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C130" w14:textId="5B7C3B89" w:rsidR="00832324" w:rsidRDefault="005F2D20" w:rsidP="00F73113">
      <w:pPr>
        <w:pStyle w:val="Title"/>
      </w:pPr>
      <w:bookmarkStart w:id="0" w:name="_Hlk111464070"/>
      <w:bookmarkStart w:id="1" w:name="_Hlk128494982"/>
      <w:bookmarkEnd w:id="0"/>
      <w:r>
        <w:t>Analysis of medicines for the treatment of non-small cell lung cancer, including a predicted versus actual analysis of d</w:t>
      </w:r>
      <w:r w:rsidR="00CF6A5A">
        <w:t xml:space="preserve">urvalumab </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4A64629A" w:rsidR="009053D3" w:rsidRPr="00F73113" w:rsidRDefault="00792968" w:rsidP="00F73113">
      <w:pPr>
        <w:pStyle w:val="Meetingdate"/>
      </w:pPr>
      <w:r>
        <w:t>September</w:t>
      </w:r>
      <w:r w:rsidR="00D151EB" w:rsidRPr="00F73113">
        <w:t xml:space="preserve"> 20</w:t>
      </w:r>
      <w:r>
        <w:t>22</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0AEA78B5" w14:textId="1B5E06F6" w:rsidR="00CF6A5A" w:rsidRDefault="00CF6A5A" w:rsidP="00CF6A5A">
      <w:r>
        <w:t xml:space="preserve">To review the utilisation of PBS listed medicines for non-small cell lung cancer (NSCLC), including an assessment of the predicted versus actual use of durvalumab. </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378E50B7" w14:textId="0D233905" w:rsidR="002D144A" w:rsidRPr="002D144A" w:rsidRDefault="00536531" w:rsidP="002D144A">
      <w:r>
        <w:t>Durvalumab was PBS listed for th</w:t>
      </w:r>
      <w:r w:rsidR="00CF6A5A">
        <w:t xml:space="preserve">e treatment of NSCLC </w:t>
      </w:r>
      <w:r>
        <w:t xml:space="preserve">on 1 March 2020. </w:t>
      </w:r>
    </w:p>
    <w:p w14:paraId="526743BB" w14:textId="77777777" w:rsidR="005C6661" w:rsidRDefault="005C6661" w:rsidP="00CF5E22">
      <w:pPr>
        <w:pStyle w:val="Heading3"/>
      </w:pPr>
      <w:r>
        <w:t>Data Source / methodology</w:t>
      </w:r>
    </w:p>
    <w:p w14:paraId="49A3B612" w14:textId="3050647F" w:rsidR="00CF6A5A" w:rsidRPr="00C11A65" w:rsidRDefault="00CF6A5A" w:rsidP="00CF6A5A">
      <w:r>
        <w:t>Data extracted from the PBS database maintained by Department of Health</w:t>
      </w:r>
      <w:r w:rsidR="00B56334">
        <w:t xml:space="preserve"> and Aged Care</w:t>
      </w:r>
      <w:r>
        <w:t xml:space="preserve">, processed by Services Australia were used for </w:t>
      </w:r>
      <w:r w:rsidR="005C375D">
        <w:t xml:space="preserve">the </w:t>
      </w:r>
      <w:r>
        <w:t xml:space="preserve">analyses. </w:t>
      </w:r>
    </w:p>
    <w:p w14:paraId="7599E7C1" w14:textId="77777777" w:rsidR="005C6661" w:rsidRDefault="005C6661" w:rsidP="00CF5E22">
      <w:pPr>
        <w:pStyle w:val="Heading3"/>
      </w:pPr>
      <w:r>
        <w:t>Key Findings</w:t>
      </w:r>
    </w:p>
    <w:p w14:paraId="60B21CDB" w14:textId="6AC7F0F1" w:rsidR="00BB0117" w:rsidRPr="00BB0117" w:rsidRDefault="00BB0117" w:rsidP="00BB0117">
      <w:pPr>
        <w:pStyle w:val="ListParagraph"/>
        <w:numPr>
          <w:ilvl w:val="0"/>
          <w:numId w:val="19"/>
        </w:numPr>
        <w:shd w:val="clear" w:color="auto" w:fill="FFFFFF"/>
        <w:spacing w:after="0" w:line="300" w:lineRule="atLeast"/>
        <w:ind w:right="150"/>
        <w:rPr>
          <w:rFonts w:eastAsia="Times New Roman" w:cstheme="minorHAnsi"/>
          <w:color w:val="222222"/>
        </w:rPr>
      </w:pPr>
      <w:r>
        <w:rPr>
          <w:rFonts w:eastAsia="Times New Roman" w:cstheme="minorHAnsi"/>
          <w:color w:val="222222"/>
        </w:rPr>
        <w:t xml:space="preserve">In 2021, there were 85,606 prescriptions dispensed to 8,225 patients for the treatment of NSCLC. </w:t>
      </w:r>
    </w:p>
    <w:p w14:paraId="7090BBD1" w14:textId="77777777" w:rsidR="00F06A24" w:rsidRDefault="00F06A24" w:rsidP="00F06A24">
      <w:pPr>
        <w:pStyle w:val="ListParagraph"/>
        <w:numPr>
          <w:ilvl w:val="0"/>
          <w:numId w:val="19"/>
        </w:numPr>
        <w:shd w:val="clear" w:color="auto" w:fill="FFFFFF"/>
        <w:spacing w:after="0" w:line="300" w:lineRule="atLeast"/>
        <w:ind w:right="150"/>
        <w:rPr>
          <w:rFonts w:eastAsia="Times New Roman" w:cstheme="minorHAnsi"/>
          <w:color w:val="222222"/>
        </w:rPr>
      </w:pPr>
      <w:r>
        <w:rPr>
          <w:rFonts w:eastAsia="Times New Roman" w:cstheme="minorHAnsi"/>
          <w:color w:val="222222"/>
        </w:rPr>
        <w:t xml:space="preserve">There was a greater proportion of NSCLC patients treated with immunotherapies compared to targeted therapies. </w:t>
      </w:r>
    </w:p>
    <w:p w14:paraId="25DB4648" w14:textId="15D71573" w:rsidR="00F06A24" w:rsidRPr="00F06A24" w:rsidRDefault="00F06A24" w:rsidP="00F06A24">
      <w:pPr>
        <w:pStyle w:val="ListParagraph"/>
        <w:numPr>
          <w:ilvl w:val="0"/>
          <w:numId w:val="19"/>
        </w:numPr>
        <w:shd w:val="clear" w:color="auto" w:fill="FFFFFF"/>
        <w:spacing w:after="0" w:line="300" w:lineRule="atLeast"/>
        <w:ind w:right="150"/>
        <w:rPr>
          <w:rFonts w:eastAsia="Times New Roman" w:cstheme="minorHAnsi"/>
          <w:color w:val="222222"/>
        </w:rPr>
      </w:pPr>
      <w:r>
        <w:rPr>
          <w:rFonts w:eastAsia="Times New Roman" w:cstheme="minorHAnsi"/>
          <w:color w:val="222222"/>
        </w:rPr>
        <w:t>In 2021, pembrolizumab was the most common immunotherapy. Based on targeted therapy type, the most common therapies were</w:t>
      </w:r>
      <w:r w:rsidRPr="00F06A24">
        <w:rPr>
          <w:rFonts w:eastAsia="Times New Roman" w:cstheme="minorHAnsi"/>
          <w:color w:val="222222"/>
        </w:rPr>
        <w:t xml:space="preserve"> alectinib </w:t>
      </w:r>
      <w:r>
        <w:rPr>
          <w:rFonts w:eastAsia="Times New Roman" w:cstheme="minorHAnsi"/>
          <w:color w:val="222222"/>
        </w:rPr>
        <w:t>(</w:t>
      </w:r>
      <w:r w:rsidRPr="00F06A24">
        <w:rPr>
          <w:rFonts w:eastAsia="Times New Roman" w:cstheme="minorHAnsi"/>
          <w:color w:val="222222"/>
        </w:rPr>
        <w:t>anaplastic lymphoma kinase inhibitor</w:t>
      </w:r>
      <w:r>
        <w:rPr>
          <w:rFonts w:eastAsia="Times New Roman" w:cstheme="minorHAnsi"/>
          <w:color w:val="222222"/>
        </w:rPr>
        <w:t>)</w:t>
      </w:r>
      <w:r w:rsidRPr="00F06A24">
        <w:rPr>
          <w:rFonts w:eastAsia="Times New Roman" w:cstheme="minorHAnsi"/>
          <w:color w:val="222222"/>
        </w:rPr>
        <w:t xml:space="preserve">, osimertinib </w:t>
      </w:r>
      <w:r>
        <w:rPr>
          <w:rFonts w:eastAsia="Times New Roman" w:cstheme="minorHAnsi"/>
          <w:color w:val="222222"/>
        </w:rPr>
        <w:t>(</w:t>
      </w:r>
      <w:r w:rsidRPr="00F06A24">
        <w:rPr>
          <w:rFonts w:eastAsia="Times New Roman" w:cstheme="minorHAnsi"/>
          <w:color w:val="222222"/>
        </w:rPr>
        <w:t>epidermal growth factor receptor inhibitor</w:t>
      </w:r>
      <w:r>
        <w:rPr>
          <w:rFonts w:eastAsia="Times New Roman" w:cstheme="minorHAnsi"/>
          <w:color w:val="222222"/>
        </w:rPr>
        <w:t>)</w:t>
      </w:r>
      <w:r w:rsidRPr="00F06A24">
        <w:rPr>
          <w:rFonts w:eastAsia="Times New Roman" w:cstheme="minorHAnsi"/>
          <w:color w:val="222222"/>
        </w:rPr>
        <w:t xml:space="preserve"> and entrectinib </w:t>
      </w:r>
      <w:r>
        <w:rPr>
          <w:rFonts w:eastAsia="Times New Roman" w:cstheme="minorHAnsi"/>
          <w:color w:val="222222"/>
        </w:rPr>
        <w:t>(</w:t>
      </w:r>
      <w:r>
        <w:rPr>
          <w:lang w:eastAsia="zh-CN"/>
        </w:rPr>
        <w:t xml:space="preserve">c-ROS oncogene 1 inhibitor). </w:t>
      </w:r>
    </w:p>
    <w:p w14:paraId="4C8208FB" w14:textId="3586FE12" w:rsidR="00B56334" w:rsidRPr="00B40DAD" w:rsidRDefault="00B56334" w:rsidP="00B40DAD">
      <w:pPr>
        <w:pStyle w:val="ListParagraph"/>
        <w:numPr>
          <w:ilvl w:val="0"/>
          <w:numId w:val="19"/>
        </w:numPr>
        <w:shd w:val="clear" w:color="auto" w:fill="FFFFFF"/>
        <w:spacing w:after="0" w:line="300" w:lineRule="atLeast"/>
        <w:ind w:right="150"/>
        <w:rPr>
          <w:rFonts w:eastAsia="Times New Roman" w:cstheme="minorHAnsi"/>
          <w:color w:val="222222"/>
        </w:rPr>
      </w:pPr>
      <w:r w:rsidRPr="00B40DAD">
        <w:rPr>
          <w:rFonts w:eastAsia="Times New Roman" w:cstheme="minorHAnsi"/>
          <w:color w:val="222222"/>
        </w:rPr>
        <w:t xml:space="preserve">There were </w:t>
      </w:r>
      <w:r w:rsidR="00B40DAD">
        <w:rPr>
          <w:rFonts w:eastAsia="Times New Roman" w:cstheme="minorHAnsi"/>
          <w:color w:val="222222"/>
        </w:rPr>
        <w:t>1,033</w:t>
      </w:r>
      <w:r w:rsidRPr="00B40DAD">
        <w:rPr>
          <w:rFonts w:eastAsia="Times New Roman" w:cstheme="minorHAnsi"/>
          <w:color w:val="222222"/>
        </w:rPr>
        <w:t xml:space="preserve"> and </w:t>
      </w:r>
      <w:r w:rsidR="00B40DAD">
        <w:rPr>
          <w:rFonts w:eastAsia="Times New Roman" w:cstheme="minorHAnsi"/>
          <w:color w:val="222222"/>
        </w:rPr>
        <w:t>1,259</w:t>
      </w:r>
      <w:r w:rsidRPr="00B40DAD">
        <w:rPr>
          <w:rFonts w:eastAsia="Times New Roman" w:cstheme="minorHAnsi"/>
          <w:color w:val="222222"/>
        </w:rPr>
        <w:t xml:space="preserve"> patients treated with </w:t>
      </w:r>
      <w:r w:rsidR="00B40DAD">
        <w:rPr>
          <w:rFonts w:eastAsia="Times New Roman" w:cstheme="minorHAnsi"/>
          <w:color w:val="222222"/>
        </w:rPr>
        <w:t>durvalumab</w:t>
      </w:r>
      <w:r w:rsidRPr="00B40DAD">
        <w:rPr>
          <w:rFonts w:eastAsia="Times New Roman" w:cstheme="minorHAnsi"/>
          <w:color w:val="222222"/>
        </w:rPr>
        <w:t xml:space="preserve"> during the first and second year of listing respectively, which was </w:t>
      </w:r>
      <w:r w:rsidR="0084343F" w:rsidRPr="0084343F">
        <w:rPr>
          <w:rFonts w:eastAsia="Times New Roman" w:cstheme="minorHAnsi"/>
          <w:color w:val="222222"/>
          <w:shd w:val="solid" w:color="000000" w:fill="000000"/>
          <w14:textFill>
            <w14:solidFill>
              <w14:srgbClr w14:val="222222">
                <w14:alpha w14:val="100000"/>
              </w14:srgbClr>
            </w14:solidFill>
          </w14:textFill>
        </w:rPr>
        <w:t>|</w:t>
      </w:r>
      <w:r w:rsidRPr="00B40DAD">
        <w:rPr>
          <w:rFonts w:eastAsia="Times New Roman" w:cstheme="minorHAnsi"/>
          <w:color w:val="222222"/>
        </w:rPr>
        <w:t xml:space="preserve"> than estimated.</w:t>
      </w:r>
    </w:p>
    <w:p w14:paraId="46997B9F" w14:textId="299A15C3" w:rsidR="00F06A24" w:rsidRDefault="00B56334" w:rsidP="00F06A24">
      <w:pPr>
        <w:pStyle w:val="ListParagraph"/>
        <w:numPr>
          <w:ilvl w:val="0"/>
          <w:numId w:val="19"/>
        </w:numPr>
        <w:shd w:val="clear" w:color="auto" w:fill="FFFFFF"/>
        <w:spacing w:after="0" w:line="300" w:lineRule="atLeast"/>
        <w:ind w:right="150"/>
        <w:rPr>
          <w:rFonts w:eastAsia="Times New Roman" w:cstheme="minorHAnsi"/>
          <w:color w:val="222222"/>
        </w:rPr>
      </w:pPr>
      <w:r w:rsidRPr="00B40DAD">
        <w:rPr>
          <w:rFonts w:eastAsia="Times New Roman" w:cstheme="minorHAnsi"/>
          <w:color w:val="222222"/>
        </w:rPr>
        <w:t>There were</w:t>
      </w:r>
      <w:r w:rsidR="00B40DAD">
        <w:rPr>
          <w:rFonts w:eastAsia="Times New Roman" w:cstheme="minorHAnsi"/>
          <w:color w:val="222222"/>
        </w:rPr>
        <w:t xml:space="preserve"> 24,241</w:t>
      </w:r>
      <w:r w:rsidRPr="00B40DAD">
        <w:rPr>
          <w:rFonts w:eastAsia="Times New Roman" w:cstheme="minorHAnsi"/>
          <w:color w:val="222222"/>
        </w:rPr>
        <w:t xml:space="preserve"> and 2</w:t>
      </w:r>
      <w:r w:rsidR="00B40DAD">
        <w:rPr>
          <w:rFonts w:eastAsia="Times New Roman" w:cstheme="minorHAnsi"/>
          <w:color w:val="222222"/>
        </w:rPr>
        <w:t>2,349</w:t>
      </w:r>
      <w:r w:rsidRPr="00B40DAD">
        <w:rPr>
          <w:rFonts w:eastAsia="Times New Roman" w:cstheme="minorHAnsi"/>
          <w:color w:val="222222"/>
        </w:rPr>
        <w:t xml:space="preserve"> </w:t>
      </w:r>
      <w:r w:rsidR="00B40DAD">
        <w:rPr>
          <w:rFonts w:eastAsia="Times New Roman" w:cstheme="minorHAnsi"/>
          <w:color w:val="222222"/>
        </w:rPr>
        <w:t>durvalumab</w:t>
      </w:r>
      <w:r w:rsidRPr="00B40DAD">
        <w:rPr>
          <w:rFonts w:eastAsia="Times New Roman" w:cstheme="minorHAnsi"/>
          <w:color w:val="222222"/>
        </w:rPr>
        <w:t xml:space="preserve"> prescriptions dispensed during the first and second year of listing respectively, which was </w:t>
      </w:r>
      <w:r w:rsidR="0084343F" w:rsidRPr="0084343F">
        <w:rPr>
          <w:rFonts w:eastAsia="Times New Roman" w:cstheme="minorHAnsi"/>
          <w:color w:val="222222"/>
          <w:shd w:val="solid" w:color="000000" w:fill="000000"/>
          <w14:textFill>
            <w14:solidFill>
              <w14:srgbClr w14:val="222222">
                <w14:alpha w14:val="100000"/>
              </w14:srgbClr>
            </w14:solidFill>
          </w14:textFill>
        </w:rPr>
        <w:t>|</w:t>
      </w:r>
      <w:r w:rsidRPr="00B40DAD">
        <w:rPr>
          <w:rFonts w:eastAsia="Times New Roman" w:cstheme="minorHAnsi"/>
          <w:color w:val="222222"/>
        </w:rPr>
        <w:t xml:space="preserve"> than estimated.</w:t>
      </w:r>
    </w:p>
    <w:p w14:paraId="650D0776" w14:textId="763FD512" w:rsidR="00B40DAD" w:rsidRPr="00AD393B" w:rsidRDefault="00F06A24" w:rsidP="00B40DAD">
      <w:pPr>
        <w:pStyle w:val="ListParagraph"/>
        <w:numPr>
          <w:ilvl w:val="0"/>
          <w:numId w:val="19"/>
        </w:numPr>
        <w:shd w:val="clear" w:color="auto" w:fill="FFFFFF"/>
        <w:spacing w:after="0" w:line="300" w:lineRule="atLeast"/>
        <w:ind w:right="150"/>
        <w:rPr>
          <w:rFonts w:eastAsia="Times New Roman" w:cstheme="minorHAnsi"/>
          <w:color w:val="222222"/>
        </w:rPr>
      </w:pPr>
      <w:r>
        <w:rPr>
          <w:rFonts w:eastAsia="Times New Roman" w:cstheme="minorHAnsi"/>
          <w:color w:val="222222"/>
        </w:rPr>
        <w:t xml:space="preserve">Most patients treated with immunotherapies did not switch to another </w:t>
      </w:r>
      <w:r w:rsidR="00BC1440">
        <w:rPr>
          <w:rFonts w:eastAsia="Times New Roman" w:cstheme="minorHAnsi"/>
          <w:color w:val="222222"/>
        </w:rPr>
        <w:t xml:space="preserve">immunotherapy. </w:t>
      </w:r>
    </w:p>
    <w:bookmarkEnd w:id="1"/>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0AABB8AE" w14:textId="714B4822" w:rsidR="00CF6A5A" w:rsidRDefault="00CF6A5A" w:rsidP="00CF6A5A">
      <w:pPr>
        <w:pStyle w:val="NoSpacing"/>
      </w:pPr>
      <w:r>
        <w:t xml:space="preserve">To assess the utilisation of PBS listed medicines for </w:t>
      </w:r>
      <w:r w:rsidR="005C375D">
        <w:t xml:space="preserve">the treatment of </w:t>
      </w:r>
      <w:r>
        <w:t xml:space="preserve">non-small cell lung cancer (NSCLC), including an assessment to compare </w:t>
      </w:r>
      <w:r w:rsidR="005C375D">
        <w:t xml:space="preserve">the </w:t>
      </w:r>
      <w:r>
        <w:t>predicted versus actual utilisation of durvalumab, as requested by DUSC at its June 202</w:t>
      </w:r>
      <w:r w:rsidR="00735B8F">
        <w:t>2</w:t>
      </w:r>
      <w:r>
        <w:t xml:space="preserve"> meeting. </w:t>
      </w:r>
    </w:p>
    <w:p w14:paraId="0A7F0B57" w14:textId="034D22D5"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6D34F6EE" w14:textId="7E5B6463" w:rsidR="00027D4C" w:rsidRDefault="00027D4C" w:rsidP="00027D4C">
      <w:r>
        <w:t>Lung cancer is one of the most common causes of cancer related death in Australia.</w:t>
      </w:r>
      <w:r>
        <w:rPr>
          <w:rStyle w:val="FootnoteReference"/>
        </w:rPr>
        <w:footnoteReference w:id="1"/>
      </w:r>
      <w:r>
        <w:t xml:space="preserve"> NSCLC is the most common lung cancer sub-type attributing to over 80% of all lung cancers.</w:t>
      </w:r>
      <w:r>
        <w:rPr>
          <w:rStyle w:val="FootnoteReference"/>
        </w:rPr>
        <w:footnoteReference w:id="2"/>
      </w:r>
      <w:r>
        <w:t xml:space="preserve"> NSCLC can be divided into two major histological types, comprising non-squamous and squamous cell carcinoma. </w:t>
      </w:r>
    </w:p>
    <w:p w14:paraId="1748F340" w14:textId="03E1FC9C" w:rsidR="00027D4C" w:rsidRPr="00027D4C" w:rsidRDefault="00027D4C" w:rsidP="00027D4C">
      <w:pPr>
        <w:rPr>
          <w:sz w:val="22"/>
          <w:szCs w:val="22"/>
          <w:lang w:eastAsia="zh-CN"/>
        </w:rPr>
      </w:pPr>
      <w:r>
        <w:rPr>
          <w:lang w:eastAsia="zh-CN"/>
        </w:rPr>
        <w:t>Histological type and genetic biomarkers can direct the treatment course.</w:t>
      </w:r>
      <w:r>
        <w:t xml:space="preserve"> </w:t>
      </w:r>
      <w:r>
        <w:rPr>
          <w:lang w:eastAsia="zh-CN"/>
        </w:rPr>
        <w:t xml:space="preserve">The relevant genetic biomarkers indicate the presence or absence of driver mutations, including epidermal growth factor receptor (EGFR), anaplastic lymphoma kinase (ALK) and c-ROS oncogene 1 (ROS1), for which specific inhibitor treatments are available. The presence of a high level of programmed cell death ligand 1 (PD-L1) expression, defined as greater than or equal to 50% of cells, is another molecular characteristic for which PD-L1 or </w:t>
      </w:r>
      <w:r w:rsidR="00111D01">
        <w:rPr>
          <w:lang w:eastAsia="zh-CN"/>
        </w:rPr>
        <w:t>programmed cell death protein 1 (</w:t>
      </w:r>
      <w:r>
        <w:rPr>
          <w:lang w:eastAsia="zh-CN"/>
        </w:rPr>
        <w:t>PD-1</w:t>
      </w:r>
      <w:r w:rsidR="00111D01">
        <w:rPr>
          <w:lang w:eastAsia="zh-CN"/>
        </w:rPr>
        <w:t>)</w:t>
      </w:r>
      <w:r>
        <w:rPr>
          <w:lang w:eastAsia="zh-CN"/>
        </w:rPr>
        <w:t xml:space="preserve"> protein inhibitors are available. </w:t>
      </w:r>
    </w:p>
    <w:p w14:paraId="7CCAC43A" w14:textId="34BA3646" w:rsidR="00027D4C" w:rsidRDefault="00027D4C" w:rsidP="00027D4C">
      <w:pPr>
        <w:rPr>
          <w:lang w:eastAsia="zh-CN"/>
        </w:rPr>
      </w:pPr>
      <w:r>
        <w:rPr>
          <w:lang w:eastAsia="zh-CN"/>
        </w:rPr>
        <w:t xml:space="preserve">In this review, utilisation of the following PBS subsidised medicines </w:t>
      </w:r>
      <w:r w:rsidR="00111D01">
        <w:rPr>
          <w:lang w:eastAsia="zh-CN"/>
        </w:rPr>
        <w:t xml:space="preserve">for the treatment of NSCLC </w:t>
      </w:r>
      <w:r w:rsidR="00847A9A">
        <w:rPr>
          <w:lang w:eastAsia="zh-CN"/>
        </w:rPr>
        <w:t>were</w:t>
      </w:r>
      <w:r>
        <w:rPr>
          <w:lang w:eastAsia="zh-CN"/>
        </w:rPr>
        <w:t xml:space="preserve"> considered: </w:t>
      </w:r>
    </w:p>
    <w:p w14:paraId="120FD83C" w14:textId="29F4F7DA" w:rsidR="00027D4C" w:rsidRPr="00027D4C" w:rsidRDefault="00027D4C" w:rsidP="00027D4C">
      <w:pPr>
        <w:rPr>
          <w:lang w:eastAsia="zh-CN"/>
        </w:rPr>
      </w:pPr>
      <w:bookmarkStart w:id="2" w:name="_Hlk109995034"/>
      <w:bookmarkStart w:id="3" w:name="_Hlk109220710"/>
      <w:r w:rsidRPr="00027D4C">
        <w:rPr>
          <w:lang w:eastAsia="zh-CN"/>
        </w:rPr>
        <w:t>Immunotherapies: atezolizumab</w:t>
      </w:r>
      <w:r w:rsidR="00F253CC">
        <w:rPr>
          <w:lang w:eastAsia="zh-CN"/>
        </w:rPr>
        <w:t xml:space="preserve"> (first-line</w:t>
      </w:r>
      <w:r w:rsidR="00111D01">
        <w:rPr>
          <w:lang w:eastAsia="zh-CN"/>
        </w:rPr>
        <w:t xml:space="preserve"> </w:t>
      </w:r>
      <w:r w:rsidR="001D5663">
        <w:rPr>
          <w:lang w:eastAsia="zh-CN"/>
        </w:rPr>
        <w:t xml:space="preserve">[1L] </w:t>
      </w:r>
      <w:r w:rsidR="00F253CC">
        <w:rPr>
          <w:lang w:eastAsia="zh-CN"/>
        </w:rPr>
        <w:t>in combination with bevacizumab</w:t>
      </w:r>
      <w:r w:rsidR="003F7024">
        <w:rPr>
          <w:lang w:eastAsia="zh-CN"/>
        </w:rPr>
        <w:t xml:space="preserve"> and </w:t>
      </w:r>
      <w:r w:rsidR="00F253CC">
        <w:rPr>
          <w:lang w:eastAsia="zh-CN"/>
        </w:rPr>
        <w:t>second-lin</w:t>
      </w:r>
      <w:r w:rsidR="001D5663">
        <w:rPr>
          <w:lang w:eastAsia="zh-CN"/>
        </w:rPr>
        <w:t>e [2L]</w:t>
      </w:r>
      <w:r w:rsidR="00F253CC">
        <w:rPr>
          <w:lang w:eastAsia="zh-CN"/>
        </w:rPr>
        <w:t xml:space="preserve"> as monotherapy)</w:t>
      </w:r>
      <w:r w:rsidR="003F7024">
        <w:rPr>
          <w:lang w:eastAsia="zh-CN"/>
        </w:rPr>
        <w:t xml:space="preserve">, durvalumab, </w:t>
      </w:r>
      <w:r w:rsidRPr="00027D4C">
        <w:rPr>
          <w:lang w:eastAsia="zh-CN"/>
        </w:rPr>
        <w:t>nivolumab</w:t>
      </w:r>
      <w:r w:rsidR="003F7024">
        <w:rPr>
          <w:lang w:eastAsia="zh-CN"/>
        </w:rPr>
        <w:t xml:space="preserve"> (</w:t>
      </w:r>
      <w:r w:rsidR="001D5663">
        <w:rPr>
          <w:lang w:eastAsia="zh-CN"/>
        </w:rPr>
        <w:t>1L</w:t>
      </w:r>
      <w:r w:rsidR="003F7024">
        <w:rPr>
          <w:lang w:eastAsia="zh-CN"/>
        </w:rPr>
        <w:t xml:space="preserve"> in combination with ipilimumab and </w:t>
      </w:r>
      <w:r w:rsidR="001D5663">
        <w:rPr>
          <w:lang w:eastAsia="zh-CN"/>
        </w:rPr>
        <w:t>2L</w:t>
      </w:r>
      <w:r w:rsidR="003F7024">
        <w:rPr>
          <w:lang w:eastAsia="zh-CN"/>
        </w:rPr>
        <w:t xml:space="preserve"> as monotherapy)</w:t>
      </w:r>
      <w:r w:rsidR="00593933">
        <w:rPr>
          <w:lang w:eastAsia="zh-CN"/>
        </w:rPr>
        <w:t xml:space="preserve"> and </w:t>
      </w:r>
      <w:r w:rsidRPr="00027D4C">
        <w:rPr>
          <w:lang w:eastAsia="zh-CN"/>
        </w:rPr>
        <w:t>pembrolizumab</w:t>
      </w:r>
      <w:r w:rsidR="00593933">
        <w:rPr>
          <w:lang w:eastAsia="zh-CN"/>
        </w:rPr>
        <w:t xml:space="preserve">. </w:t>
      </w:r>
    </w:p>
    <w:p w14:paraId="04E72F0C" w14:textId="77777777" w:rsidR="00027D4C" w:rsidRPr="00027D4C" w:rsidRDefault="00027D4C" w:rsidP="00027D4C">
      <w:pPr>
        <w:spacing w:after="0"/>
        <w:rPr>
          <w:lang w:eastAsia="zh-CN"/>
        </w:rPr>
      </w:pPr>
      <w:r w:rsidRPr="00027D4C">
        <w:rPr>
          <w:lang w:eastAsia="zh-CN"/>
        </w:rPr>
        <w:t>Targeted therapies:</w:t>
      </w:r>
    </w:p>
    <w:p w14:paraId="34048A25" w14:textId="623913B5" w:rsidR="00027D4C" w:rsidRPr="00027D4C" w:rsidRDefault="00027D4C" w:rsidP="00027D4C">
      <w:pPr>
        <w:pStyle w:val="ListParagraph"/>
        <w:numPr>
          <w:ilvl w:val="0"/>
          <w:numId w:val="1"/>
        </w:numPr>
        <w:spacing w:after="0"/>
        <w:ind w:left="709"/>
        <w:rPr>
          <w:lang w:eastAsia="zh-CN"/>
        </w:rPr>
      </w:pPr>
      <w:r w:rsidRPr="00027D4C">
        <w:rPr>
          <w:lang w:eastAsia="zh-CN"/>
        </w:rPr>
        <w:t>EGFR inhibitors: afatinib, erlotinib, gefitinib</w:t>
      </w:r>
      <w:r w:rsidR="00593933">
        <w:rPr>
          <w:lang w:eastAsia="zh-CN"/>
        </w:rPr>
        <w:t xml:space="preserve"> and osimertinib. </w:t>
      </w:r>
    </w:p>
    <w:p w14:paraId="2D347C6B" w14:textId="0720C7C2" w:rsidR="00027D4C" w:rsidRPr="00027D4C" w:rsidRDefault="00027D4C" w:rsidP="00027D4C">
      <w:pPr>
        <w:pStyle w:val="ListParagraph"/>
        <w:numPr>
          <w:ilvl w:val="0"/>
          <w:numId w:val="1"/>
        </w:numPr>
        <w:spacing w:after="0"/>
        <w:ind w:left="709"/>
        <w:rPr>
          <w:lang w:eastAsia="zh-CN"/>
        </w:rPr>
      </w:pPr>
      <w:r w:rsidRPr="00027D4C">
        <w:rPr>
          <w:lang w:eastAsia="zh-CN"/>
        </w:rPr>
        <w:t>ALK inhibitors: alectinib, brigatinib, ceritinib, crizotinib</w:t>
      </w:r>
      <w:r w:rsidR="00593933">
        <w:rPr>
          <w:lang w:eastAsia="zh-CN"/>
        </w:rPr>
        <w:t xml:space="preserve"> and </w:t>
      </w:r>
      <w:r w:rsidRPr="00027D4C">
        <w:rPr>
          <w:lang w:eastAsia="zh-CN"/>
        </w:rPr>
        <w:t>lorlatinib</w:t>
      </w:r>
      <w:r w:rsidR="00593933">
        <w:rPr>
          <w:lang w:eastAsia="zh-CN"/>
        </w:rPr>
        <w:t xml:space="preserve">. </w:t>
      </w:r>
    </w:p>
    <w:p w14:paraId="117EEEB2" w14:textId="34086EC5" w:rsidR="00027D4C" w:rsidRDefault="00027D4C" w:rsidP="00EA355C">
      <w:pPr>
        <w:pStyle w:val="ListParagraph"/>
        <w:numPr>
          <w:ilvl w:val="0"/>
          <w:numId w:val="1"/>
        </w:numPr>
        <w:spacing w:after="0"/>
        <w:ind w:left="709"/>
        <w:rPr>
          <w:lang w:eastAsia="zh-CN"/>
        </w:rPr>
      </w:pPr>
      <w:r w:rsidRPr="00027D4C">
        <w:rPr>
          <w:lang w:eastAsia="zh-CN"/>
        </w:rPr>
        <w:t>ROS1 inhibitors: crizotinib</w:t>
      </w:r>
      <w:r w:rsidR="00593933">
        <w:rPr>
          <w:lang w:eastAsia="zh-CN"/>
        </w:rPr>
        <w:t xml:space="preserve"> and</w:t>
      </w:r>
      <w:r w:rsidRPr="00027D4C">
        <w:rPr>
          <w:lang w:eastAsia="zh-CN"/>
        </w:rPr>
        <w:t xml:space="preserve"> entrectinib</w:t>
      </w:r>
      <w:r w:rsidR="00593933">
        <w:rPr>
          <w:lang w:eastAsia="zh-CN"/>
        </w:rPr>
        <w:t xml:space="preserve">. </w:t>
      </w:r>
      <w:bookmarkEnd w:id="2"/>
      <w:bookmarkEnd w:id="3"/>
    </w:p>
    <w:p w14:paraId="71581A80" w14:textId="77777777" w:rsidR="00A87712" w:rsidRDefault="00A87712" w:rsidP="00F253CC">
      <w:pPr>
        <w:spacing w:after="0"/>
        <w:rPr>
          <w:lang w:eastAsia="zh-CN"/>
        </w:rPr>
      </w:pPr>
    </w:p>
    <w:p w14:paraId="6811B0DC" w14:textId="6E754B0C" w:rsidR="00A87712" w:rsidRDefault="00A87712" w:rsidP="00EA355C">
      <w:r>
        <w:t xml:space="preserve">Chemotherapies for NSCLC </w:t>
      </w:r>
      <w:r w:rsidR="00847A9A">
        <w:t>were</w:t>
      </w:r>
      <w:r w:rsidR="005C375D">
        <w:t xml:space="preserve"> </w:t>
      </w:r>
      <w:r>
        <w:t xml:space="preserve">not included in this review. </w:t>
      </w:r>
    </w:p>
    <w:p w14:paraId="4F587A97" w14:textId="2995D852" w:rsidR="00BD4C92" w:rsidRDefault="00BD4C92">
      <w:pPr>
        <w:spacing w:line="276" w:lineRule="auto"/>
        <w:rPr>
          <w:lang w:eastAsia="zh-CN"/>
        </w:rPr>
      </w:pPr>
    </w:p>
    <w:p w14:paraId="74988D77" w14:textId="77777777" w:rsidR="006B3557" w:rsidRDefault="006B3557">
      <w:pPr>
        <w:spacing w:line="276" w:lineRule="auto"/>
        <w:rPr>
          <w:b/>
          <w:sz w:val="28"/>
        </w:rPr>
      </w:pPr>
    </w:p>
    <w:p w14:paraId="0183A567" w14:textId="4AEBB3AB" w:rsidR="007247B9" w:rsidRDefault="007247B9" w:rsidP="00CF5E22">
      <w:pPr>
        <w:pStyle w:val="Heading2"/>
      </w:pPr>
      <w:r>
        <w:lastRenderedPageBreak/>
        <w:t>Pharmacology</w:t>
      </w:r>
    </w:p>
    <w:p w14:paraId="387ABAE5" w14:textId="64932AEC" w:rsidR="0077382C" w:rsidRPr="0077382C" w:rsidRDefault="0077382C" w:rsidP="00593933">
      <w:pPr>
        <w:rPr>
          <w:rFonts w:cstheme="minorHAnsi"/>
          <w:color w:val="000000"/>
        </w:rPr>
      </w:pPr>
      <w:r w:rsidRPr="0077382C">
        <w:rPr>
          <w:rFonts w:cstheme="minorHAnsi"/>
          <w:color w:val="000000"/>
        </w:rPr>
        <w:t xml:space="preserve">Durvalumab is a monoclonal antibody that blocks the interaction of PD-L1 with PD-1 and CD80 (B7.1). </w:t>
      </w:r>
      <w:r w:rsidR="00593933" w:rsidRPr="0077382C">
        <w:rPr>
          <w:rFonts w:cstheme="minorHAnsi"/>
          <w:color w:val="000000"/>
        </w:rPr>
        <w:t>Expression of PD-L1 protein is an adaptive immune response that helps tumours evade detection and elimination by the immune system.</w:t>
      </w:r>
      <w:r w:rsidR="00593933">
        <w:rPr>
          <w:rFonts w:cstheme="minorHAnsi"/>
          <w:color w:val="000000"/>
        </w:rPr>
        <w:t xml:space="preserve"> </w:t>
      </w:r>
      <w:r w:rsidRPr="0077382C">
        <w:rPr>
          <w:rFonts w:cstheme="minorHAnsi"/>
          <w:color w:val="000000"/>
        </w:rPr>
        <w:t xml:space="preserve">Blockade of </w:t>
      </w:r>
      <w:r w:rsidR="00593933">
        <w:rPr>
          <w:rFonts w:cstheme="minorHAnsi"/>
          <w:color w:val="000000"/>
        </w:rPr>
        <w:t>these</w:t>
      </w:r>
      <w:r w:rsidRPr="0077382C">
        <w:rPr>
          <w:rFonts w:cstheme="minorHAnsi"/>
          <w:color w:val="000000"/>
        </w:rPr>
        <w:t xml:space="preserve"> interactions enhances antitumour</w:t>
      </w:r>
      <w:r w:rsidR="0081286D" w:rsidRPr="0081286D">
        <w:rPr>
          <w:rFonts w:cstheme="minorHAnsi"/>
          <w:color w:val="000000"/>
        </w:rPr>
        <w:t xml:space="preserve"> </w:t>
      </w:r>
      <w:r w:rsidR="0081286D" w:rsidRPr="0077382C">
        <w:rPr>
          <w:rFonts w:cstheme="minorHAnsi"/>
          <w:color w:val="000000"/>
        </w:rPr>
        <w:t>immune responses. These antitumour responses may result in tumour elimination.</w:t>
      </w:r>
      <w:bookmarkStart w:id="4" w:name="_Ref108789113"/>
      <w:r w:rsidR="00BF7DF1">
        <w:rPr>
          <w:rStyle w:val="FootnoteReference"/>
          <w:rFonts w:cstheme="minorHAnsi"/>
          <w:color w:val="000000"/>
        </w:rPr>
        <w:footnoteReference w:id="3"/>
      </w:r>
      <w:bookmarkEnd w:id="4"/>
      <w:r w:rsidR="0081286D" w:rsidRPr="0077382C">
        <w:rPr>
          <w:rFonts w:cstheme="minorHAnsi"/>
          <w:color w:val="000000"/>
        </w:rPr>
        <w:t xml:space="preserve"> </w:t>
      </w:r>
    </w:p>
    <w:p w14:paraId="6AC18C88" w14:textId="7A398934"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25847701" w14:textId="1CBFA25A" w:rsidR="00CB3080" w:rsidRDefault="00CB3080" w:rsidP="00A35800">
      <w:r>
        <w:t>Durvalumab is TGA indicated for:</w:t>
      </w:r>
    </w:p>
    <w:p w14:paraId="52559AA4" w14:textId="0B131805" w:rsidR="001E7A31" w:rsidRDefault="001E7A31" w:rsidP="00FC27E8">
      <w:pPr>
        <w:pStyle w:val="ListParagraph"/>
        <w:numPr>
          <w:ilvl w:val="0"/>
          <w:numId w:val="2"/>
        </w:numPr>
      </w:pPr>
      <w:r>
        <w:t>Locally advanced non-small cell lung cancer (NSCLC)</w:t>
      </w:r>
      <w:r w:rsidR="002639CF">
        <w:t xml:space="preserve"> </w:t>
      </w:r>
      <w:r w:rsidR="0017336B">
        <w:t xml:space="preserve">whose disease has not progressed following platinum-based chemoradiation therapy. </w:t>
      </w:r>
    </w:p>
    <w:p w14:paraId="7EC407C5" w14:textId="0B914DF0" w:rsidR="00CB3080" w:rsidRDefault="00FE631E" w:rsidP="00FC27E8">
      <w:pPr>
        <w:pStyle w:val="ListParagraph"/>
        <w:numPr>
          <w:ilvl w:val="0"/>
          <w:numId w:val="2"/>
        </w:numPr>
      </w:pPr>
      <w:r>
        <w:t xml:space="preserve">First-line treatment of patients with extensive-stage small cell lung cancer (ES-SCLC) </w:t>
      </w:r>
      <w:r w:rsidR="00E52913">
        <w:t>in combination with etoposide and either carboplatin or cisplatin</w:t>
      </w:r>
      <w:r>
        <w:t xml:space="preserve">. </w:t>
      </w:r>
    </w:p>
    <w:p w14:paraId="14DE28AE" w14:textId="144EC114" w:rsidR="00500899" w:rsidRDefault="009524A0" w:rsidP="00FC27E8">
      <w:pPr>
        <w:pStyle w:val="ListParagraph"/>
        <w:numPr>
          <w:ilvl w:val="0"/>
          <w:numId w:val="2"/>
        </w:numPr>
      </w:pPr>
      <w:r>
        <w:t xml:space="preserve">Locally advanced or </w:t>
      </w:r>
      <w:r w:rsidR="008C0122">
        <w:t>metastatic</w:t>
      </w:r>
      <w:r>
        <w:t xml:space="preserve"> urothelial carcinoma who</w:t>
      </w:r>
      <w:r w:rsidR="00861DCE">
        <w:t>:</w:t>
      </w:r>
    </w:p>
    <w:p w14:paraId="68C66A7D" w14:textId="77777777" w:rsidR="0066487C" w:rsidRDefault="0066487C" w:rsidP="0066487C">
      <w:pPr>
        <w:pStyle w:val="ListParagraph"/>
        <w:ind w:left="993" w:hanging="54"/>
      </w:pPr>
      <w:r>
        <w:t>-</w:t>
      </w:r>
      <w:r w:rsidR="00861DCE" w:rsidRPr="004F69C8">
        <w:t xml:space="preserve">Have disease </w:t>
      </w:r>
      <w:r w:rsidR="004F69C8" w:rsidRPr="004F69C8">
        <w:t>have disease progression during or following platinum-containing chemotherapy.</w:t>
      </w:r>
    </w:p>
    <w:p w14:paraId="2CC57A2B" w14:textId="130603A4" w:rsidR="00861DCE" w:rsidRPr="00500899" w:rsidRDefault="0066487C" w:rsidP="0066487C">
      <w:pPr>
        <w:pStyle w:val="ListParagraph"/>
        <w:ind w:left="993" w:hanging="54"/>
      </w:pPr>
      <w:r>
        <w:t>-</w:t>
      </w:r>
      <w:r w:rsidR="00500899" w:rsidRPr="0066487C">
        <w:rPr>
          <w:rFonts w:cstheme="minorHAnsi"/>
        </w:rPr>
        <w:t>H</w:t>
      </w:r>
      <w:r w:rsidR="004F69C8" w:rsidRPr="0066487C">
        <w:rPr>
          <w:rFonts w:cstheme="minorHAnsi"/>
        </w:rPr>
        <w:t>ave disease progression within 12 months of neoadjuvant or adjuvant treatment with platinum-containing chemotherapy.</w:t>
      </w:r>
    </w:p>
    <w:p w14:paraId="2A54F56B" w14:textId="77777777" w:rsidR="00500899" w:rsidRDefault="00500899">
      <w:pPr>
        <w:spacing w:line="276" w:lineRule="auto"/>
        <w:rPr>
          <w:b/>
          <w:sz w:val="28"/>
        </w:rPr>
      </w:pPr>
      <w:r>
        <w:br w:type="page"/>
      </w:r>
    </w:p>
    <w:p w14:paraId="15E919C1" w14:textId="4BE1A3C7" w:rsidR="006B709B" w:rsidRDefault="006B709B" w:rsidP="00CF5E22">
      <w:pPr>
        <w:pStyle w:val="Heading2"/>
      </w:pPr>
      <w:r>
        <w:lastRenderedPageBreak/>
        <w:t>Dosage and administration</w:t>
      </w:r>
    </w:p>
    <w:p w14:paraId="51E22FB7" w14:textId="1A528488" w:rsidR="003370D0" w:rsidRPr="00BF7DF1" w:rsidRDefault="003370D0" w:rsidP="00CF5E22">
      <w:pPr>
        <w:pStyle w:val="Tabletitle"/>
      </w:pPr>
      <w:r w:rsidRPr="00BF7DF1">
        <w:t xml:space="preserve">Table </w:t>
      </w:r>
      <w:r w:rsidR="00E47024">
        <w:t>1</w:t>
      </w:r>
      <w:r w:rsidRPr="00BF7DF1">
        <w:t xml:space="preserve">: </w:t>
      </w:r>
      <w:r w:rsidR="009663B6" w:rsidRPr="00BF7DF1">
        <w:t xml:space="preserve">Dosage and administration of </w:t>
      </w:r>
      <w:r w:rsidR="00BF7DF1" w:rsidRPr="00BF7DF1">
        <w:t>medicines for NSCLC</w:t>
      </w:r>
    </w:p>
    <w:tbl>
      <w:tblPr>
        <w:tblStyle w:val="TableGrid"/>
        <w:tblW w:w="9015" w:type="dxa"/>
        <w:tblLayout w:type="fixed"/>
        <w:tblLook w:val="04A0" w:firstRow="1" w:lastRow="0" w:firstColumn="1" w:lastColumn="0" w:noHBand="0" w:noVBand="1"/>
      </w:tblPr>
      <w:tblGrid>
        <w:gridCol w:w="1696"/>
        <w:gridCol w:w="7319"/>
      </w:tblGrid>
      <w:tr w:rsidR="004756F7" w:rsidRPr="00A35800" w14:paraId="17C962C4" w14:textId="77777777" w:rsidTr="00060403">
        <w:trPr>
          <w:trHeight w:val="323"/>
          <w:tblHeader/>
        </w:trPr>
        <w:tc>
          <w:tcPr>
            <w:tcW w:w="1696" w:type="dxa"/>
            <w:shd w:val="clear" w:color="auto" w:fill="BFBFBF" w:themeFill="background1" w:themeFillShade="BF"/>
          </w:tcPr>
          <w:p w14:paraId="2A01F4BF" w14:textId="77777777" w:rsidR="004756F7" w:rsidRPr="00A35800" w:rsidRDefault="004756F7" w:rsidP="00A35800">
            <w:pPr>
              <w:pStyle w:val="Tableheading"/>
              <w:rPr>
                <w:sz w:val="20"/>
                <w:szCs w:val="20"/>
              </w:rPr>
            </w:pPr>
            <w:r w:rsidRPr="00A35800">
              <w:rPr>
                <w:sz w:val="20"/>
                <w:szCs w:val="20"/>
              </w:rPr>
              <w:t>Product</w:t>
            </w:r>
          </w:p>
        </w:tc>
        <w:tc>
          <w:tcPr>
            <w:tcW w:w="7319" w:type="dxa"/>
            <w:shd w:val="clear" w:color="auto" w:fill="BFBFBF" w:themeFill="background1" w:themeFillShade="BF"/>
          </w:tcPr>
          <w:p w14:paraId="28170FE4" w14:textId="1AE56183" w:rsidR="004756F7" w:rsidRPr="00A35800" w:rsidRDefault="004756F7" w:rsidP="00A35800">
            <w:pPr>
              <w:pStyle w:val="Tableheading"/>
              <w:rPr>
                <w:sz w:val="20"/>
                <w:szCs w:val="20"/>
              </w:rPr>
            </w:pPr>
            <w:r w:rsidRPr="00A35800">
              <w:rPr>
                <w:sz w:val="20"/>
                <w:szCs w:val="20"/>
              </w:rPr>
              <w:t xml:space="preserve">Dose and frequency of administration </w:t>
            </w:r>
          </w:p>
        </w:tc>
      </w:tr>
      <w:tr w:rsidR="00365DA6" w:rsidRPr="004859F4" w14:paraId="614196D4" w14:textId="77777777" w:rsidTr="00441B00">
        <w:trPr>
          <w:trHeight w:val="77"/>
        </w:trPr>
        <w:tc>
          <w:tcPr>
            <w:tcW w:w="9015" w:type="dxa"/>
            <w:gridSpan w:val="2"/>
          </w:tcPr>
          <w:p w14:paraId="0859348C" w14:textId="77777777" w:rsidR="00365DA6" w:rsidRPr="004859F4" w:rsidRDefault="00365DA6" w:rsidP="00441B00">
            <w:pPr>
              <w:pStyle w:val="Tablewriting"/>
              <w:rPr>
                <w:b/>
                <w:bCs/>
              </w:rPr>
            </w:pPr>
            <w:r w:rsidRPr="004859F4">
              <w:rPr>
                <w:b/>
                <w:bCs/>
              </w:rPr>
              <w:t xml:space="preserve">Immunotherapies </w:t>
            </w:r>
          </w:p>
        </w:tc>
      </w:tr>
      <w:tr w:rsidR="00365DA6" w:rsidRPr="00CD6F12" w14:paraId="4DE34EAC" w14:textId="77777777" w:rsidTr="00441B00">
        <w:trPr>
          <w:trHeight w:val="1554"/>
        </w:trPr>
        <w:tc>
          <w:tcPr>
            <w:tcW w:w="1696" w:type="dxa"/>
          </w:tcPr>
          <w:p w14:paraId="2C443728" w14:textId="77777777" w:rsidR="00365DA6" w:rsidRPr="00CD6F12" w:rsidRDefault="00365DA6" w:rsidP="00441B00">
            <w:pPr>
              <w:pStyle w:val="Tablewriting"/>
            </w:pPr>
            <w:r w:rsidRPr="00CD6F12">
              <w:t xml:space="preserve">ATEZOLIZUMAB </w:t>
            </w:r>
          </w:p>
        </w:tc>
        <w:tc>
          <w:tcPr>
            <w:tcW w:w="7319" w:type="dxa"/>
          </w:tcPr>
          <w:p w14:paraId="5004C1D6" w14:textId="0EB92EE5" w:rsidR="00365DA6" w:rsidRPr="00347E15" w:rsidRDefault="00365DA6" w:rsidP="00441B00">
            <w:pPr>
              <w:pStyle w:val="Tablewriting"/>
              <w:rPr>
                <w:u w:val="single"/>
              </w:rPr>
            </w:pPr>
            <w:r w:rsidRPr="00347E15">
              <w:rPr>
                <w:u w:val="single"/>
              </w:rPr>
              <w:t>1L with bevacizumab</w:t>
            </w:r>
          </w:p>
          <w:p w14:paraId="618D1372" w14:textId="77777777" w:rsidR="00365DA6" w:rsidRPr="00347E15" w:rsidRDefault="00365DA6" w:rsidP="00441B00">
            <w:pPr>
              <w:pStyle w:val="Tablewriting"/>
            </w:pPr>
            <w:r w:rsidRPr="00347E15">
              <w:t xml:space="preserve">Induction of 1200 mg followed by bevacizumab, then paclitaxel and carboplatin every 3 weeks for four to six cycles. </w:t>
            </w:r>
          </w:p>
          <w:p w14:paraId="7C2FDB0C" w14:textId="77777777" w:rsidR="00365DA6" w:rsidRPr="00347E15" w:rsidRDefault="00365DA6" w:rsidP="00441B00">
            <w:pPr>
              <w:pStyle w:val="Tablewriting"/>
            </w:pPr>
            <w:r w:rsidRPr="00347E15">
              <w:t xml:space="preserve">Maintenance of 1200 mg followed by bevacizumab every 3 weeks. </w:t>
            </w:r>
          </w:p>
          <w:p w14:paraId="52F34502" w14:textId="77777777" w:rsidR="00365DA6" w:rsidRPr="00347E15" w:rsidRDefault="00365DA6" w:rsidP="00441B00">
            <w:pPr>
              <w:pStyle w:val="Tablewriting"/>
            </w:pPr>
          </w:p>
          <w:p w14:paraId="59AB3C0F" w14:textId="77777777" w:rsidR="00365DA6" w:rsidRPr="00347E15" w:rsidRDefault="00365DA6" w:rsidP="00441B00">
            <w:pPr>
              <w:pStyle w:val="Tablewriting"/>
              <w:rPr>
                <w:u w:val="single"/>
              </w:rPr>
            </w:pPr>
            <w:r w:rsidRPr="00347E15">
              <w:rPr>
                <w:u w:val="single"/>
              </w:rPr>
              <w:t xml:space="preserve">2L monotherapy </w:t>
            </w:r>
          </w:p>
          <w:p w14:paraId="192BFF97" w14:textId="77777777" w:rsidR="00365DA6" w:rsidRPr="00CD6F12" w:rsidRDefault="00365DA6" w:rsidP="00441B00">
            <w:pPr>
              <w:pStyle w:val="Tablewriting"/>
            </w:pPr>
            <w:r w:rsidRPr="00CD6F12">
              <w:t xml:space="preserve">Intravenous </w:t>
            </w:r>
            <w:r>
              <w:t xml:space="preserve">infusion </w:t>
            </w:r>
          </w:p>
          <w:p w14:paraId="47F90C29" w14:textId="77777777" w:rsidR="00365DA6" w:rsidRPr="00CD6F12" w:rsidRDefault="00365DA6" w:rsidP="00441B00">
            <w:pPr>
              <w:pStyle w:val="Tablewriting"/>
            </w:pPr>
            <w:r w:rsidRPr="00CD6F12">
              <w:t xml:space="preserve">First infusion will be given over 60 minutes, following infusions are given over 30 minutes. </w:t>
            </w:r>
          </w:p>
          <w:p w14:paraId="38546599" w14:textId="77777777" w:rsidR="00365DA6" w:rsidRPr="00CD6F12" w:rsidRDefault="00365DA6" w:rsidP="00441B00">
            <w:pPr>
              <w:pStyle w:val="ListParagraph"/>
              <w:numPr>
                <w:ilvl w:val="0"/>
                <w:numId w:val="4"/>
              </w:numPr>
              <w:autoSpaceDE w:val="0"/>
              <w:autoSpaceDN w:val="0"/>
              <w:adjustRightInd w:val="0"/>
              <w:spacing w:after="45"/>
              <w:rPr>
                <w:rFonts w:cstheme="minorHAnsi"/>
                <w:color w:val="000000"/>
                <w:sz w:val="20"/>
                <w:szCs w:val="20"/>
              </w:rPr>
            </w:pPr>
            <w:r w:rsidRPr="00CD6F12">
              <w:rPr>
                <w:rFonts w:cstheme="minorHAnsi"/>
                <w:color w:val="000000"/>
                <w:sz w:val="20"/>
                <w:szCs w:val="20"/>
              </w:rPr>
              <w:t xml:space="preserve">840 mg administered by IV infusion every 2 weeks, </w:t>
            </w:r>
          </w:p>
          <w:p w14:paraId="18CA7D38" w14:textId="77777777" w:rsidR="00365DA6" w:rsidRPr="00CD6F12" w:rsidRDefault="00365DA6" w:rsidP="00441B00">
            <w:pPr>
              <w:pStyle w:val="ListParagraph"/>
              <w:numPr>
                <w:ilvl w:val="0"/>
                <w:numId w:val="4"/>
              </w:numPr>
              <w:autoSpaceDE w:val="0"/>
              <w:autoSpaceDN w:val="0"/>
              <w:adjustRightInd w:val="0"/>
              <w:spacing w:after="45"/>
              <w:rPr>
                <w:rFonts w:cstheme="minorHAnsi"/>
                <w:color w:val="000000"/>
                <w:sz w:val="20"/>
                <w:szCs w:val="20"/>
              </w:rPr>
            </w:pPr>
            <w:r w:rsidRPr="00CD6F12">
              <w:rPr>
                <w:rFonts w:cstheme="minorHAnsi"/>
                <w:color w:val="000000"/>
                <w:sz w:val="20"/>
                <w:szCs w:val="20"/>
              </w:rPr>
              <w:t xml:space="preserve">1200 mg administered by IV infusion every 3 weeks or </w:t>
            </w:r>
          </w:p>
          <w:p w14:paraId="2B3290A2" w14:textId="77777777" w:rsidR="00365DA6" w:rsidRPr="00CD6F12" w:rsidRDefault="00365DA6" w:rsidP="00441B00">
            <w:pPr>
              <w:pStyle w:val="ListParagraph"/>
              <w:numPr>
                <w:ilvl w:val="0"/>
                <w:numId w:val="4"/>
              </w:numPr>
              <w:autoSpaceDE w:val="0"/>
              <w:autoSpaceDN w:val="0"/>
              <w:adjustRightInd w:val="0"/>
              <w:spacing w:after="45"/>
              <w:rPr>
                <w:rFonts w:cstheme="minorHAnsi"/>
                <w:color w:val="000000"/>
                <w:sz w:val="20"/>
                <w:szCs w:val="20"/>
              </w:rPr>
            </w:pPr>
            <w:r w:rsidRPr="00CD6F12">
              <w:rPr>
                <w:rFonts w:cstheme="minorHAnsi"/>
                <w:color w:val="000000"/>
                <w:sz w:val="20"/>
                <w:szCs w:val="20"/>
              </w:rPr>
              <w:t xml:space="preserve">1680 mg administered by IV infusion every 4 weeks. </w:t>
            </w:r>
            <w:r w:rsidRPr="00CD6F12">
              <w:rPr>
                <w:rStyle w:val="FootnoteReference"/>
              </w:rPr>
              <w:footnoteReference w:id="4"/>
            </w:r>
          </w:p>
        </w:tc>
      </w:tr>
      <w:tr w:rsidR="00365DA6" w:rsidRPr="00A35800" w14:paraId="7EBC94AD" w14:textId="77777777" w:rsidTr="00441B00">
        <w:trPr>
          <w:trHeight w:val="614"/>
        </w:trPr>
        <w:tc>
          <w:tcPr>
            <w:tcW w:w="1696" w:type="dxa"/>
          </w:tcPr>
          <w:p w14:paraId="244E02B0" w14:textId="77777777" w:rsidR="00365DA6" w:rsidRDefault="00365DA6" w:rsidP="00441B00">
            <w:pPr>
              <w:pStyle w:val="Tablewriting"/>
            </w:pPr>
            <w:r>
              <w:t xml:space="preserve">DURVALUMAB </w:t>
            </w:r>
          </w:p>
        </w:tc>
        <w:tc>
          <w:tcPr>
            <w:tcW w:w="7319" w:type="dxa"/>
          </w:tcPr>
          <w:p w14:paraId="5FC9EA7C" w14:textId="77777777" w:rsidR="00365DA6" w:rsidRDefault="00365DA6" w:rsidP="00441B00">
            <w:pPr>
              <w:pStyle w:val="Tablewriting"/>
            </w:pPr>
            <w:r>
              <w:t xml:space="preserve">Intravenous infusion for 1 hour. </w:t>
            </w:r>
          </w:p>
          <w:p w14:paraId="60357B00" w14:textId="1C0C39FB" w:rsidR="00365DA6" w:rsidRPr="00A35800" w:rsidRDefault="00365DA6" w:rsidP="00441B00">
            <w:pPr>
              <w:pStyle w:val="Tablewriting"/>
            </w:pPr>
            <w:r>
              <w:t xml:space="preserve">10 mg/kg every 2 weeks or 1500 mg every 4 weeks. </w:t>
            </w:r>
            <w:r w:rsidRPr="00BF7DF1">
              <w:rPr>
                <w:vertAlign w:val="superscript"/>
              </w:rPr>
              <w:fldChar w:fldCharType="begin"/>
            </w:r>
            <w:r w:rsidRPr="00BF7DF1">
              <w:rPr>
                <w:vertAlign w:val="superscript"/>
              </w:rPr>
              <w:instrText xml:space="preserve"> NOTEREF _Ref108789113 \h </w:instrText>
            </w:r>
            <w:r>
              <w:rPr>
                <w:vertAlign w:val="superscript"/>
              </w:rPr>
              <w:instrText xml:space="preserve"> \* MERGEFORMAT </w:instrText>
            </w:r>
            <w:r w:rsidRPr="00BF7DF1">
              <w:rPr>
                <w:vertAlign w:val="superscript"/>
              </w:rPr>
            </w:r>
            <w:r w:rsidRPr="00BF7DF1">
              <w:rPr>
                <w:vertAlign w:val="superscript"/>
              </w:rPr>
              <w:fldChar w:fldCharType="separate"/>
            </w:r>
            <w:r w:rsidR="00005827">
              <w:rPr>
                <w:vertAlign w:val="superscript"/>
              </w:rPr>
              <w:t>3</w:t>
            </w:r>
            <w:r w:rsidRPr="00BF7DF1">
              <w:rPr>
                <w:vertAlign w:val="superscript"/>
              </w:rPr>
              <w:fldChar w:fldCharType="end"/>
            </w:r>
          </w:p>
        </w:tc>
      </w:tr>
      <w:tr w:rsidR="00365DA6" w:rsidRPr="00A35800" w14:paraId="6BB0CC3D" w14:textId="77777777" w:rsidTr="00441B00">
        <w:trPr>
          <w:trHeight w:val="323"/>
        </w:trPr>
        <w:tc>
          <w:tcPr>
            <w:tcW w:w="1696" w:type="dxa"/>
          </w:tcPr>
          <w:p w14:paraId="23A09D59" w14:textId="77777777" w:rsidR="00365DA6" w:rsidRDefault="00365DA6" w:rsidP="00441B00">
            <w:pPr>
              <w:pStyle w:val="Tablewriting"/>
            </w:pPr>
            <w:r>
              <w:t>NIVOLUMAB</w:t>
            </w:r>
          </w:p>
        </w:tc>
        <w:tc>
          <w:tcPr>
            <w:tcW w:w="7319" w:type="dxa"/>
          </w:tcPr>
          <w:p w14:paraId="63C11368" w14:textId="77777777" w:rsidR="00365DA6" w:rsidRPr="00347E15" w:rsidRDefault="00365DA6" w:rsidP="00441B00">
            <w:pPr>
              <w:pStyle w:val="Tablewriting"/>
              <w:rPr>
                <w:u w:val="single"/>
              </w:rPr>
            </w:pPr>
            <w:r w:rsidRPr="00347E15">
              <w:rPr>
                <w:u w:val="single"/>
              </w:rPr>
              <w:t xml:space="preserve">1L with ipilimumab </w:t>
            </w:r>
          </w:p>
          <w:p w14:paraId="01125FD7" w14:textId="77777777" w:rsidR="00365DA6" w:rsidRDefault="00365DA6" w:rsidP="00441B00">
            <w:pPr>
              <w:pStyle w:val="Tablewriting"/>
            </w:pPr>
            <w:r>
              <w:t xml:space="preserve">Intravenous infusion </w:t>
            </w:r>
          </w:p>
          <w:p w14:paraId="38F37387" w14:textId="77777777" w:rsidR="00365DA6" w:rsidRDefault="00365DA6" w:rsidP="00441B00">
            <w:pPr>
              <w:pStyle w:val="Tablewriting"/>
            </w:pPr>
            <w:r>
              <w:t xml:space="preserve">360 mg nivolumab every 3 weeks, in combination with 1 mg/kg ipilimumab via intravenous infusion over 30 minutes every 6 weeks. </w:t>
            </w:r>
          </w:p>
          <w:p w14:paraId="6EA3D344" w14:textId="77777777" w:rsidR="00365DA6" w:rsidRDefault="00365DA6" w:rsidP="00441B00">
            <w:pPr>
              <w:pStyle w:val="Tablewriting"/>
            </w:pPr>
          </w:p>
          <w:p w14:paraId="1DECB91D" w14:textId="77777777" w:rsidR="00365DA6" w:rsidRPr="00347E15" w:rsidRDefault="00365DA6" w:rsidP="00441B00">
            <w:pPr>
              <w:pStyle w:val="Tablewriting"/>
              <w:rPr>
                <w:u w:val="single"/>
              </w:rPr>
            </w:pPr>
            <w:r w:rsidRPr="00347E15">
              <w:rPr>
                <w:u w:val="single"/>
              </w:rPr>
              <w:t xml:space="preserve">2L monotherapy </w:t>
            </w:r>
          </w:p>
          <w:p w14:paraId="1D86461C" w14:textId="77777777" w:rsidR="00365DA6" w:rsidRDefault="00365DA6" w:rsidP="00441B00">
            <w:pPr>
              <w:pStyle w:val="Tablewriting"/>
            </w:pPr>
            <w:r>
              <w:t>Intravenous infusion for 30 minutes</w:t>
            </w:r>
          </w:p>
          <w:p w14:paraId="433C58F8" w14:textId="77777777" w:rsidR="00365DA6" w:rsidRDefault="00365DA6" w:rsidP="00441B00">
            <w:pPr>
              <w:pStyle w:val="Tablewriting"/>
              <w:numPr>
                <w:ilvl w:val="0"/>
                <w:numId w:val="5"/>
              </w:numPr>
            </w:pPr>
            <w:r>
              <w:t>3 mg/kg every 2 weeks,</w:t>
            </w:r>
          </w:p>
          <w:p w14:paraId="7D2DEFCA" w14:textId="77777777" w:rsidR="00365DA6" w:rsidRDefault="00365DA6" w:rsidP="00441B00">
            <w:pPr>
              <w:pStyle w:val="Tablewriting"/>
              <w:numPr>
                <w:ilvl w:val="0"/>
                <w:numId w:val="5"/>
              </w:numPr>
            </w:pPr>
            <w:r>
              <w:t xml:space="preserve">240 mg every 2 weeks or </w:t>
            </w:r>
          </w:p>
          <w:p w14:paraId="66552672" w14:textId="2641A58B" w:rsidR="00365DA6" w:rsidRPr="00A35800" w:rsidRDefault="00365DA6" w:rsidP="00441B00">
            <w:pPr>
              <w:pStyle w:val="Tablewriting"/>
              <w:numPr>
                <w:ilvl w:val="0"/>
                <w:numId w:val="5"/>
              </w:numPr>
            </w:pPr>
            <w:r>
              <w:t>480 mg every 4 weeks.</w:t>
            </w:r>
            <w:r>
              <w:rPr>
                <w:rStyle w:val="FootnoteReference"/>
              </w:rPr>
              <w:footnoteReference w:id="5"/>
            </w:r>
          </w:p>
        </w:tc>
      </w:tr>
      <w:tr w:rsidR="00365DA6" w:rsidRPr="00A35800" w14:paraId="77E6E00E" w14:textId="77777777" w:rsidTr="00365DA6">
        <w:trPr>
          <w:trHeight w:val="323"/>
          <w:tblHeader/>
        </w:trPr>
        <w:tc>
          <w:tcPr>
            <w:tcW w:w="1696" w:type="dxa"/>
            <w:shd w:val="clear" w:color="auto" w:fill="auto"/>
          </w:tcPr>
          <w:p w14:paraId="6210ACF4" w14:textId="4B2E0F82" w:rsidR="00365DA6" w:rsidRPr="00365DA6" w:rsidRDefault="00365DA6" w:rsidP="00365DA6">
            <w:pPr>
              <w:pStyle w:val="Tableheading"/>
              <w:jc w:val="left"/>
              <w:rPr>
                <w:b w:val="0"/>
                <w:bCs/>
                <w:sz w:val="20"/>
                <w:szCs w:val="20"/>
              </w:rPr>
            </w:pPr>
            <w:r w:rsidRPr="00365DA6">
              <w:rPr>
                <w:b w:val="0"/>
                <w:bCs/>
                <w:sz w:val="20"/>
                <w:szCs w:val="20"/>
              </w:rPr>
              <w:t xml:space="preserve">PEMBROLIZUMAB </w:t>
            </w:r>
          </w:p>
        </w:tc>
        <w:tc>
          <w:tcPr>
            <w:tcW w:w="7319" w:type="dxa"/>
            <w:shd w:val="clear" w:color="auto" w:fill="auto"/>
          </w:tcPr>
          <w:p w14:paraId="4115D28E" w14:textId="77777777" w:rsidR="00365DA6" w:rsidRPr="00365DA6" w:rsidRDefault="00365DA6" w:rsidP="00365DA6">
            <w:pPr>
              <w:pStyle w:val="Tablewriting"/>
            </w:pPr>
            <w:r w:rsidRPr="00365DA6">
              <w:t xml:space="preserve">Intravenous infusion for 30 minutes. </w:t>
            </w:r>
          </w:p>
          <w:p w14:paraId="34C8014E" w14:textId="763EDADC" w:rsidR="00365DA6" w:rsidRPr="00365DA6" w:rsidRDefault="00365DA6" w:rsidP="00365DA6">
            <w:pPr>
              <w:pStyle w:val="Tableheading"/>
              <w:jc w:val="left"/>
              <w:rPr>
                <w:sz w:val="20"/>
                <w:szCs w:val="20"/>
              </w:rPr>
            </w:pPr>
            <w:r w:rsidRPr="00365DA6">
              <w:rPr>
                <w:b w:val="0"/>
                <w:sz w:val="20"/>
                <w:szCs w:val="20"/>
              </w:rPr>
              <w:t>Every three or six weeks depending on dose given.</w:t>
            </w:r>
            <w:r w:rsidRPr="00365DA6">
              <w:rPr>
                <w:rStyle w:val="FootnoteReference"/>
                <w:b w:val="0"/>
                <w:sz w:val="20"/>
                <w:szCs w:val="20"/>
              </w:rPr>
              <w:footnoteReference w:id="6"/>
            </w:r>
            <w:r w:rsidRPr="00365DA6">
              <w:rPr>
                <w:sz w:val="20"/>
                <w:szCs w:val="20"/>
              </w:rPr>
              <w:t xml:space="preserve"> </w:t>
            </w:r>
          </w:p>
        </w:tc>
      </w:tr>
    </w:tbl>
    <w:p w14:paraId="6D2D19AC" w14:textId="645F2208" w:rsidR="00365DA6" w:rsidRDefault="00365DA6"/>
    <w:p w14:paraId="30A96D57" w14:textId="6ED473AD" w:rsidR="00365DA6" w:rsidRDefault="00365DA6"/>
    <w:p w14:paraId="6766A237" w14:textId="676A073F" w:rsidR="00365DA6" w:rsidRDefault="00365DA6"/>
    <w:tbl>
      <w:tblPr>
        <w:tblStyle w:val="TableGrid"/>
        <w:tblW w:w="9015" w:type="dxa"/>
        <w:tblLayout w:type="fixed"/>
        <w:tblLook w:val="04A0" w:firstRow="1" w:lastRow="0" w:firstColumn="1" w:lastColumn="0" w:noHBand="0" w:noVBand="1"/>
      </w:tblPr>
      <w:tblGrid>
        <w:gridCol w:w="1696"/>
        <w:gridCol w:w="7319"/>
      </w:tblGrid>
      <w:tr w:rsidR="00365DA6" w:rsidRPr="00A35800" w14:paraId="1B7CB926" w14:textId="77777777" w:rsidTr="00441B00">
        <w:trPr>
          <w:trHeight w:val="323"/>
          <w:tblHeader/>
        </w:trPr>
        <w:tc>
          <w:tcPr>
            <w:tcW w:w="1696" w:type="dxa"/>
            <w:shd w:val="clear" w:color="auto" w:fill="BFBFBF" w:themeFill="background1" w:themeFillShade="BF"/>
          </w:tcPr>
          <w:p w14:paraId="62A30C16" w14:textId="77777777" w:rsidR="00365DA6" w:rsidRPr="00A35800" w:rsidRDefault="00365DA6" w:rsidP="00441B00">
            <w:pPr>
              <w:pStyle w:val="Tableheading"/>
              <w:rPr>
                <w:sz w:val="20"/>
                <w:szCs w:val="20"/>
              </w:rPr>
            </w:pPr>
            <w:r w:rsidRPr="00A35800">
              <w:rPr>
                <w:sz w:val="20"/>
                <w:szCs w:val="20"/>
              </w:rPr>
              <w:lastRenderedPageBreak/>
              <w:t>Product</w:t>
            </w:r>
          </w:p>
        </w:tc>
        <w:tc>
          <w:tcPr>
            <w:tcW w:w="7319" w:type="dxa"/>
            <w:shd w:val="clear" w:color="auto" w:fill="BFBFBF" w:themeFill="background1" w:themeFillShade="BF"/>
          </w:tcPr>
          <w:p w14:paraId="2413825C" w14:textId="77777777" w:rsidR="00365DA6" w:rsidRPr="00A35800" w:rsidRDefault="00365DA6" w:rsidP="00441B00">
            <w:pPr>
              <w:pStyle w:val="Tableheading"/>
              <w:rPr>
                <w:sz w:val="20"/>
                <w:szCs w:val="20"/>
              </w:rPr>
            </w:pPr>
            <w:r w:rsidRPr="00A35800">
              <w:rPr>
                <w:sz w:val="20"/>
                <w:szCs w:val="20"/>
              </w:rPr>
              <w:t xml:space="preserve">Dose and frequency of administration </w:t>
            </w:r>
          </w:p>
        </w:tc>
      </w:tr>
      <w:tr w:rsidR="00365DA6" w:rsidRPr="00A35800" w14:paraId="7B49A8E7" w14:textId="77777777" w:rsidTr="00593933">
        <w:trPr>
          <w:trHeight w:val="156"/>
        </w:trPr>
        <w:tc>
          <w:tcPr>
            <w:tcW w:w="9015" w:type="dxa"/>
            <w:gridSpan w:val="2"/>
          </w:tcPr>
          <w:p w14:paraId="41372315" w14:textId="4E184118" w:rsidR="00365DA6" w:rsidRPr="004721C5" w:rsidRDefault="00365DA6" w:rsidP="00365DA6">
            <w:pPr>
              <w:pStyle w:val="Tablewriting"/>
              <w:rPr>
                <w:b/>
                <w:bCs/>
              </w:rPr>
            </w:pPr>
            <w:r>
              <w:rPr>
                <w:b/>
                <w:bCs/>
              </w:rPr>
              <w:t xml:space="preserve">Targeted therapies </w:t>
            </w:r>
          </w:p>
        </w:tc>
      </w:tr>
      <w:tr w:rsidR="00365DA6" w:rsidRPr="00A35800" w14:paraId="348A165B" w14:textId="77777777" w:rsidTr="00060403">
        <w:trPr>
          <w:trHeight w:val="77"/>
        </w:trPr>
        <w:tc>
          <w:tcPr>
            <w:tcW w:w="1696" w:type="dxa"/>
          </w:tcPr>
          <w:p w14:paraId="313459A4" w14:textId="65B6E852" w:rsidR="00365DA6" w:rsidRPr="00A35800" w:rsidRDefault="00365DA6" w:rsidP="00365DA6">
            <w:pPr>
              <w:pStyle w:val="Tablewriting"/>
            </w:pPr>
            <w:r>
              <w:t xml:space="preserve">AFATINIB </w:t>
            </w:r>
          </w:p>
        </w:tc>
        <w:tc>
          <w:tcPr>
            <w:tcW w:w="7319" w:type="dxa"/>
          </w:tcPr>
          <w:p w14:paraId="405FC15E" w14:textId="34E85195" w:rsidR="00365DA6" w:rsidRPr="00A35800" w:rsidRDefault="00365DA6" w:rsidP="00365DA6">
            <w:pPr>
              <w:pStyle w:val="Tablewriting"/>
            </w:pPr>
            <w:r>
              <w:t>40 mg tablet once daily.</w:t>
            </w:r>
            <w:r>
              <w:rPr>
                <w:rStyle w:val="FootnoteReference"/>
              </w:rPr>
              <w:footnoteReference w:id="7"/>
            </w:r>
          </w:p>
        </w:tc>
      </w:tr>
      <w:tr w:rsidR="00365DA6" w:rsidRPr="00A35800" w14:paraId="7E77B0D3" w14:textId="77777777" w:rsidTr="00060403">
        <w:trPr>
          <w:trHeight w:val="77"/>
        </w:trPr>
        <w:tc>
          <w:tcPr>
            <w:tcW w:w="1696" w:type="dxa"/>
          </w:tcPr>
          <w:p w14:paraId="3533F685" w14:textId="2F0EB220" w:rsidR="00365DA6" w:rsidRDefault="00365DA6" w:rsidP="00365DA6">
            <w:pPr>
              <w:pStyle w:val="Tablewriting"/>
            </w:pPr>
            <w:r>
              <w:t xml:space="preserve">ALECTINIB </w:t>
            </w:r>
          </w:p>
        </w:tc>
        <w:tc>
          <w:tcPr>
            <w:tcW w:w="7319" w:type="dxa"/>
          </w:tcPr>
          <w:p w14:paraId="25851B5E" w14:textId="691C3350" w:rsidR="00365DA6" w:rsidRDefault="00365DA6" w:rsidP="00365DA6">
            <w:pPr>
              <w:pStyle w:val="Tablewriting"/>
            </w:pPr>
            <w:r>
              <w:t>Four 150 mg capsules twice a day (total daily dose of 1200 mg), taken with food.</w:t>
            </w:r>
            <w:r>
              <w:rPr>
                <w:rStyle w:val="FootnoteReference"/>
              </w:rPr>
              <w:footnoteReference w:id="8"/>
            </w:r>
            <w:r>
              <w:t xml:space="preserve"> </w:t>
            </w:r>
          </w:p>
        </w:tc>
      </w:tr>
      <w:tr w:rsidR="00365DA6" w:rsidRPr="00A35800" w14:paraId="34E45A19" w14:textId="77777777" w:rsidTr="00060403">
        <w:trPr>
          <w:trHeight w:val="77"/>
        </w:trPr>
        <w:tc>
          <w:tcPr>
            <w:tcW w:w="1696" w:type="dxa"/>
          </w:tcPr>
          <w:p w14:paraId="062C1C1A" w14:textId="246A4E69" w:rsidR="00365DA6" w:rsidRDefault="00365DA6" w:rsidP="00365DA6">
            <w:pPr>
              <w:pStyle w:val="Tablewriting"/>
            </w:pPr>
            <w:r>
              <w:t xml:space="preserve">BRIGATINIB </w:t>
            </w:r>
          </w:p>
        </w:tc>
        <w:tc>
          <w:tcPr>
            <w:tcW w:w="7319" w:type="dxa"/>
          </w:tcPr>
          <w:p w14:paraId="653ECA50" w14:textId="14DEAE83" w:rsidR="00365DA6" w:rsidRDefault="00365DA6" w:rsidP="00365DA6">
            <w:pPr>
              <w:pStyle w:val="Tablewriting"/>
            </w:pPr>
            <w:r>
              <w:t>90 mg tablet once daily for the first 7 days. Thereafter, 180 mg tablet once daily.</w:t>
            </w:r>
            <w:r>
              <w:rPr>
                <w:rStyle w:val="FootnoteReference"/>
              </w:rPr>
              <w:footnoteReference w:id="9"/>
            </w:r>
            <w:r>
              <w:t xml:space="preserve">  </w:t>
            </w:r>
          </w:p>
        </w:tc>
      </w:tr>
      <w:tr w:rsidR="00365DA6" w:rsidRPr="00A35800" w14:paraId="190ACBE1" w14:textId="77777777" w:rsidTr="00060403">
        <w:trPr>
          <w:trHeight w:val="77"/>
        </w:trPr>
        <w:tc>
          <w:tcPr>
            <w:tcW w:w="1696" w:type="dxa"/>
          </w:tcPr>
          <w:p w14:paraId="14FEA456" w14:textId="75758E99" w:rsidR="00365DA6" w:rsidRDefault="00365DA6" w:rsidP="00365DA6">
            <w:pPr>
              <w:pStyle w:val="Tablewriting"/>
            </w:pPr>
            <w:r>
              <w:t xml:space="preserve">CERITINIB </w:t>
            </w:r>
          </w:p>
        </w:tc>
        <w:tc>
          <w:tcPr>
            <w:tcW w:w="7319" w:type="dxa"/>
          </w:tcPr>
          <w:p w14:paraId="07F33A28" w14:textId="0B977687" w:rsidR="00365DA6" w:rsidRDefault="00365DA6" w:rsidP="00365DA6">
            <w:pPr>
              <w:pStyle w:val="Tablewriting"/>
            </w:pPr>
            <w:r>
              <w:t>450 mg capsule once daily with food.</w:t>
            </w:r>
            <w:r>
              <w:rPr>
                <w:rStyle w:val="FootnoteReference"/>
              </w:rPr>
              <w:footnoteReference w:id="10"/>
            </w:r>
            <w:r>
              <w:t xml:space="preserve"> </w:t>
            </w:r>
          </w:p>
        </w:tc>
      </w:tr>
      <w:tr w:rsidR="00365DA6" w:rsidRPr="00A35800" w14:paraId="619533E7" w14:textId="77777777" w:rsidTr="00060403">
        <w:trPr>
          <w:trHeight w:val="77"/>
        </w:trPr>
        <w:tc>
          <w:tcPr>
            <w:tcW w:w="1696" w:type="dxa"/>
          </w:tcPr>
          <w:p w14:paraId="3C7784EE" w14:textId="40F8CE3C" w:rsidR="00365DA6" w:rsidRDefault="00365DA6" w:rsidP="00365DA6">
            <w:pPr>
              <w:pStyle w:val="Tablewriting"/>
            </w:pPr>
            <w:r>
              <w:t xml:space="preserve">CRIZOTINIB </w:t>
            </w:r>
          </w:p>
        </w:tc>
        <w:tc>
          <w:tcPr>
            <w:tcW w:w="7319" w:type="dxa"/>
          </w:tcPr>
          <w:p w14:paraId="50337826" w14:textId="294BCC6C" w:rsidR="00365DA6" w:rsidRDefault="00365DA6" w:rsidP="00365DA6">
            <w:pPr>
              <w:pStyle w:val="Tablewriting"/>
            </w:pPr>
            <w:r>
              <w:t>250 mg capsule taken twice daily.</w:t>
            </w:r>
            <w:r>
              <w:rPr>
                <w:rStyle w:val="FootnoteReference"/>
              </w:rPr>
              <w:footnoteReference w:id="11"/>
            </w:r>
            <w:r>
              <w:t xml:space="preserve"> </w:t>
            </w:r>
          </w:p>
        </w:tc>
      </w:tr>
      <w:tr w:rsidR="00365DA6" w:rsidRPr="00A35800" w14:paraId="74905F86" w14:textId="77777777" w:rsidTr="00060403">
        <w:trPr>
          <w:trHeight w:val="77"/>
        </w:trPr>
        <w:tc>
          <w:tcPr>
            <w:tcW w:w="1696" w:type="dxa"/>
          </w:tcPr>
          <w:p w14:paraId="3F96B675" w14:textId="12CA9648" w:rsidR="00365DA6" w:rsidRDefault="00365DA6" w:rsidP="00365DA6">
            <w:pPr>
              <w:pStyle w:val="Tablewriting"/>
            </w:pPr>
            <w:r>
              <w:t xml:space="preserve">ENTRECTINIB </w:t>
            </w:r>
          </w:p>
        </w:tc>
        <w:tc>
          <w:tcPr>
            <w:tcW w:w="7319" w:type="dxa"/>
          </w:tcPr>
          <w:p w14:paraId="747D88A4" w14:textId="77777777" w:rsidR="00365DA6" w:rsidRDefault="00365DA6" w:rsidP="00365DA6">
            <w:pPr>
              <w:pStyle w:val="Tablewriting"/>
            </w:pPr>
            <w:r>
              <w:t xml:space="preserve">Adults: 600 mg given orally, once daily </w:t>
            </w:r>
          </w:p>
          <w:p w14:paraId="0EEFE54E" w14:textId="77777777" w:rsidR="00365DA6" w:rsidRDefault="00365DA6" w:rsidP="00365DA6">
            <w:pPr>
              <w:pStyle w:val="Tablewriting"/>
            </w:pPr>
            <w:r>
              <w:t>Children and adolescents: calculated based on body surface area (BSA)</w:t>
            </w:r>
          </w:p>
          <w:p w14:paraId="243CA034" w14:textId="350C367F" w:rsidR="00365DA6" w:rsidRDefault="00365DA6" w:rsidP="00365DA6">
            <w:pPr>
              <w:pStyle w:val="Tablewriting"/>
              <w:numPr>
                <w:ilvl w:val="0"/>
                <w:numId w:val="6"/>
              </w:numPr>
            </w:pPr>
            <w:r>
              <w:t>Greater than 1.50 m</w:t>
            </w:r>
            <w:r>
              <w:rPr>
                <w:vertAlign w:val="superscript"/>
              </w:rPr>
              <w:t>2</w:t>
            </w:r>
            <w:r>
              <w:t xml:space="preserve"> BSA: 600 mg once daily.</w:t>
            </w:r>
          </w:p>
          <w:p w14:paraId="38D31BEA" w14:textId="15E2B37B" w:rsidR="00365DA6" w:rsidRDefault="00365DA6" w:rsidP="00365DA6">
            <w:pPr>
              <w:pStyle w:val="Tablewriting"/>
              <w:numPr>
                <w:ilvl w:val="0"/>
                <w:numId w:val="6"/>
              </w:numPr>
            </w:pPr>
            <w:r>
              <w:t>1.11 to 1.50 m</w:t>
            </w:r>
            <w:r>
              <w:rPr>
                <w:vertAlign w:val="superscript"/>
              </w:rPr>
              <w:t>2</w:t>
            </w:r>
            <w:r>
              <w:t xml:space="preserve"> BSA: 500 mg once daily. </w:t>
            </w:r>
          </w:p>
          <w:p w14:paraId="13E28837" w14:textId="2D693997" w:rsidR="00365DA6" w:rsidRDefault="00365DA6" w:rsidP="00365DA6">
            <w:pPr>
              <w:pStyle w:val="Tablewriting"/>
              <w:numPr>
                <w:ilvl w:val="0"/>
                <w:numId w:val="6"/>
              </w:numPr>
            </w:pPr>
            <w:r>
              <w:t>0.91 to 1.10 m</w:t>
            </w:r>
            <w:r w:rsidRPr="001D5663">
              <w:rPr>
                <w:vertAlign w:val="superscript"/>
              </w:rPr>
              <w:t>2</w:t>
            </w:r>
            <w:r>
              <w:t xml:space="preserve"> BSA: 400 mg once daily.</w:t>
            </w:r>
            <w:r>
              <w:rPr>
                <w:rStyle w:val="FootnoteReference"/>
              </w:rPr>
              <w:footnoteReference w:id="12"/>
            </w:r>
            <w:r>
              <w:t xml:space="preserve"> </w:t>
            </w:r>
          </w:p>
        </w:tc>
      </w:tr>
      <w:tr w:rsidR="00365DA6" w:rsidRPr="00A35800" w14:paraId="369C0C12" w14:textId="77777777" w:rsidTr="00060403">
        <w:trPr>
          <w:trHeight w:val="77"/>
        </w:trPr>
        <w:tc>
          <w:tcPr>
            <w:tcW w:w="1696" w:type="dxa"/>
          </w:tcPr>
          <w:p w14:paraId="3AF619E9" w14:textId="2C5F5823" w:rsidR="00365DA6" w:rsidRDefault="00365DA6" w:rsidP="00365DA6">
            <w:pPr>
              <w:pStyle w:val="Tablewriting"/>
            </w:pPr>
            <w:r>
              <w:t xml:space="preserve">ERLOTINIB </w:t>
            </w:r>
          </w:p>
        </w:tc>
        <w:tc>
          <w:tcPr>
            <w:tcW w:w="7319" w:type="dxa"/>
          </w:tcPr>
          <w:p w14:paraId="0E4CE28E" w14:textId="4057A85E" w:rsidR="00365DA6" w:rsidRDefault="00365DA6" w:rsidP="00365DA6">
            <w:pPr>
              <w:pStyle w:val="Tablewriting"/>
            </w:pPr>
            <w:r>
              <w:t>One 150 mg tablet daily taken at least one hour before or two hours after the ingestion of food.</w:t>
            </w:r>
            <w:r>
              <w:rPr>
                <w:rStyle w:val="FootnoteReference"/>
              </w:rPr>
              <w:footnoteReference w:id="13"/>
            </w:r>
            <w:r w:rsidRPr="00801FF7">
              <w:rPr>
                <w:vertAlign w:val="superscript"/>
              </w:rPr>
              <w:t>,</w:t>
            </w:r>
            <w:r>
              <w:rPr>
                <w:rStyle w:val="FootnoteReference"/>
              </w:rPr>
              <w:footnoteReference w:id="14"/>
            </w:r>
          </w:p>
        </w:tc>
      </w:tr>
      <w:tr w:rsidR="00365DA6" w:rsidRPr="00A35800" w14:paraId="7C43D80A" w14:textId="77777777" w:rsidTr="00060403">
        <w:trPr>
          <w:trHeight w:val="77"/>
        </w:trPr>
        <w:tc>
          <w:tcPr>
            <w:tcW w:w="1696" w:type="dxa"/>
          </w:tcPr>
          <w:p w14:paraId="68188C94" w14:textId="7E870964" w:rsidR="00365DA6" w:rsidRDefault="00365DA6" w:rsidP="00365DA6">
            <w:pPr>
              <w:pStyle w:val="Tablewriting"/>
            </w:pPr>
            <w:r>
              <w:t xml:space="preserve">GEFITINIB </w:t>
            </w:r>
          </w:p>
        </w:tc>
        <w:tc>
          <w:tcPr>
            <w:tcW w:w="7319" w:type="dxa"/>
          </w:tcPr>
          <w:p w14:paraId="10D5FC7C" w14:textId="7AC9C044" w:rsidR="00365DA6" w:rsidRDefault="00365DA6" w:rsidP="00365DA6">
            <w:pPr>
              <w:pStyle w:val="Tablewriting"/>
            </w:pPr>
            <w:r>
              <w:t>One 250 mg tablet once daily.</w:t>
            </w:r>
            <w:r>
              <w:rPr>
                <w:rStyle w:val="FootnoteReference"/>
              </w:rPr>
              <w:footnoteReference w:id="15"/>
            </w:r>
            <w:r w:rsidRPr="00801FF7">
              <w:rPr>
                <w:vertAlign w:val="superscript"/>
              </w:rPr>
              <w:t>,</w:t>
            </w:r>
            <w:r>
              <w:rPr>
                <w:rStyle w:val="FootnoteReference"/>
              </w:rPr>
              <w:footnoteReference w:id="16"/>
            </w:r>
            <w:r>
              <w:t xml:space="preserve"> </w:t>
            </w:r>
          </w:p>
        </w:tc>
      </w:tr>
      <w:tr w:rsidR="00365DA6" w:rsidRPr="00A35800" w14:paraId="095AD6DA" w14:textId="77777777" w:rsidTr="00060403">
        <w:trPr>
          <w:trHeight w:val="77"/>
        </w:trPr>
        <w:tc>
          <w:tcPr>
            <w:tcW w:w="1696" w:type="dxa"/>
          </w:tcPr>
          <w:p w14:paraId="2D2D3EB5" w14:textId="5CE5EA26" w:rsidR="00365DA6" w:rsidRDefault="00365DA6" w:rsidP="00365DA6">
            <w:pPr>
              <w:pStyle w:val="Tablewriting"/>
            </w:pPr>
            <w:r>
              <w:t xml:space="preserve">LORLATINIB </w:t>
            </w:r>
          </w:p>
        </w:tc>
        <w:tc>
          <w:tcPr>
            <w:tcW w:w="7319" w:type="dxa"/>
          </w:tcPr>
          <w:p w14:paraId="3BCB8284" w14:textId="61631F1E" w:rsidR="00365DA6" w:rsidRDefault="00365DA6" w:rsidP="00365DA6">
            <w:pPr>
              <w:pStyle w:val="Tablewriting"/>
            </w:pPr>
            <w:r>
              <w:t>100 mg taken orally once daily.</w:t>
            </w:r>
            <w:r>
              <w:rPr>
                <w:rStyle w:val="FootnoteReference"/>
              </w:rPr>
              <w:footnoteReference w:id="17"/>
            </w:r>
            <w:r>
              <w:t xml:space="preserve"> </w:t>
            </w:r>
          </w:p>
        </w:tc>
      </w:tr>
      <w:tr w:rsidR="00365DA6" w:rsidRPr="00A35800" w14:paraId="16EE4BBA" w14:textId="77777777" w:rsidTr="00060403">
        <w:trPr>
          <w:trHeight w:val="77"/>
        </w:trPr>
        <w:tc>
          <w:tcPr>
            <w:tcW w:w="1696" w:type="dxa"/>
          </w:tcPr>
          <w:p w14:paraId="2B089E20" w14:textId="77885091" w:rsidR="00365DA6" w:rsidRDefault="00365DA6" w:rsidP="00365DA6">
            <w:pPr>
              <w:pStyle w:val="Tablewriting"/>
            </w:pPr>
            <w:r>
              <w:t>OSIMERTINIB</w:t>
            </w:r>
          </w:p>
        </w:tc>
        <w:tc>
          <w:tcPr>
            <w:tcW w:w="7319" w:type="dxa"/>
          </w:tcPr>
          <w:p w14:paraId="04A70819" w14:textId="4D5B5CDC" w:rsidR="00365DA6" w:rsidRDefault="00365DA6" w:rsidP="00365DA6">
            <w:pPr>
              <w:pStyle w:val="Tablewriting"/>
            </w:pPr>
            <w:r>
              <w:t>80 mg tablet once daily.</w:t>
            </w:r>
            <w:r>
              <w:rPr>
                <w:rStyle w:val="FootnoteReference"/>
              </w:rPr>
              <w:footnoteReference w:id="18"/>
            </w:r>
            <w:r>
              <w:t xml:space="preserve"> </w:t>
            </w:r>
          </w:p>
        </w:tc>
      </w:tr>
    </w:tbl>
    <w:p w14:paraId="08559CD9" w14:textId="0E1FB40B" w:rsidR="00A35800" w:rsidRPr="00A87712" w:rsidRDefault="003370D0" w:rsidP="00A35800">
      <w:pPr>
        <w:pStyle w:val="Notes"/>
      </w:pPr>
      <w:r w:rsidRPr="00A87712">
        <w:t>Source:</w:t>
      </w:r>
      <w:r w:rsidR="00A87712" w:rsidRPr="00A87712">
        <w:t xml:space="preserve"> TGA Consumer Medicines Information and Product Information.</w:t>
      </w:r>
    </w:p>
    <w:p w14:paraId="79A5E9E3" w14:textId="5DA25E2E" w:rsidR="00500899" w:rsidRPr="00365DA6" w:rsidRDefault="00F17D4B" w:rsidP="00365DA6">
      <w:r w:rsidRPr="002F61CA">
        <w:t xml:space="preserve">The current Product Information (PI) and Consumer Medicine Information (CMI) are available from </w:t>
      </w:r>
      <w:hyperlink r:id="rId11" w:history="1">
        <w:r>
          <w:rPr>
            <w:rStyle w:val="Hyperlink"/>
          </w:rPr>
          <w:t>the TGA (Product Information)</w:t>
        </w:r>
      </w:hyperlink>
      <w:r>
        <w:t xml:space="preserve"> and </w:t>
      </w:r>
      <w:hyperlink r:id="rId12" w:history="1">
        <w:r>
          <w:rPr>
            <w:rStyle w:val="Hyperlink"/>
          </w:rPr>
          <w:t>the TGA (Consumer Medicines Information)</w:t>
        </w:r>
      </w:hyperlink>
      <w:r>
        <w:t>.</w:t>
      </w:r>
    </w:p>
    <w:p w14:paraId="46E2BB42" w14:textId="271C4D10" w:rsidR="00DF0B13" w:rsidRPr="007247B9" w:rsidDel="00EE2BBB" w:rsidRDefault="00DF0B13" w:rsidP="00CF5E22">
      <w:pPr>
        <w:pStyle w:val="Heading2"/>
      </w:pPr>
      <w:r w:rsidRPr="007247B9" w:rsidDel="00EE2BBB">
        <w:lastRenderedPageBreak/>
        <w:t>PBS listing details</w:t>
      </w:r>
      <w:r w:rsidR="00D151EB" w:rsidDel="00EE2BBB">
        <w:t xml:space="preserve"> (as at </w:t>
      </w:r>
      <w:r w:rsidR="002D66E1">
        <w:t>August</w:t>
      </w:r>
      <w:r w:rsidR="00E47024">
        <w:t xml:space="preserve"> 2022</w:t>
      </w:r>
      <w:r w:rsidR="00D151EB" w:rsidDel="00EE2BBB">
        <w:t>)</w:t>
      </w:r>
    </w:p>
    <w:p w14:paraId="1D47784A" w14:textId="083E317E" w:rsidR="001420B3" w:rsidRPr="001420B3" w:rsidDel="00EE2BBB" w:rsidRDefault="001420B3" w:rsidP="00CF5E22">
      <w:pPr>
        <w:pStyle w:val="Tabletitle"/>
      </w:pPr>
      <w:r w:rsidRPr="001420B3" w:rsidDel="00EE2BBB">
        <w:t xml:space="preserve">Table </w:t>
      </w:r>
      <w:r w:rsidR="00E47024">
        <w:t>2</w:t>
      </w:r>
      <w:r w:rsidRPr="001420B3" w:rsidDel="00EE2BBB">
        <w:t xml:space="preserve">: </w:t>
      </w:r>
      <w:r w:rsidR="009663B6" w:rsidDel="00EE2BBB">
        <w:t>PB</w:t>
      </w:r>
      <w:r w:rsidR="00D151EB" w:rsidDel="00EE2BBB">
        <w:t xml:space="preserve">S listing of </w:t>
      </w:r>
      <w:r w:rsidR="00E47024">
        <w:t>durvalumab</w:t>
      </w:r>
      <w:r w:rsidR="00D151EB" w:rsidDel="00EE2BBB">
        <w:t xml:space="preserve"> </w:t>
      </w:r>
    </w:p>
    <w:tbl>
      <w:tblPr>
        <w:tblStyle w:val="TableGrid"/>
        <w:tblW w:w="9064" w:type="dxa"/>
        <w:tblLayout w:type="fixed"/>
        <w:tblLook w:val="04A0" w:firstRow="1" w:lastRow="0" w:firstColumn="1" w:lastColumn="0" w:noHBand="0" w:noVBand="1"/>
      </w:tblPr>
      <w:tblGrid>
        <w:gridCol w:w="846"/>
        <w:gridCol w:w="3260"/>
        <w:gridCol w:w="1134"/>
        <w:gridCol w:w="680"/>
        <w:gridCol w:w="1163"/>
        <w:gridCol w:w="1981"/>
      </w:tblGrid>
      <w:tr w:rsidR="0093111F" w:rsidRPr="00A35800" w:rsidDel="00EE2BBB" w14:paraId="6AA19A37" w14:textId="77B518AD" w:rsidTr="00E433C9">
        <w:trPr>
          <w:trHeight w:val="694"/>
          <w:tblHeader/>
        </w:trPr>
        <w:tc>
          <w:tcPr>
            <w:tcW w:w="846" w:type="dxa"/>
            <w:shd w:val="clear" w:color="auto" w:fill="BFBFBF" w:themeFill="background1" w:themeFillShade="BF"/>
          </w:tcPr>
          <w:p w14:paraId="56A3DEA0" w14:textId="1A878237" w:rsidR="0093111F" w:rsidRPr="00A35800" w:rsidDel="00EE2BBB" w:rsidRDefault="0093111F" w:rsidP="00A35800">
            <w:pPr>
              <w:pStyle w:val="Tableheading"/>
              <w:rPr>
                <w:sz w:val="20"/>
                <w:szCs w:val="20"/>
              </w:rPr>
            </w:pPr>
            <w:r w:rsidRPr="00A35800" w:rsidDel="00EE2BBB">
              <w:rPr>
                <w:sz w:val="20"/>
                <w:szCs w:val="20"/>
              </w:rPr>
              <w:t>Item</w:t>
            </w:r>
          </w:p>
        </w:tc>
        <w:tc>
          <w:tcPr>
            <w:tcW w:w="3260" w:type="dxa"/>
            <w:shd w:val="clear" w:color="auto" w:fill="BFBFBF" w:themeFill="background1" w:themeFillShade="BF"/>
          </w:tcPr>
          <w:p w14:paraId="67A07252" w14:textId="1DFF444A" w:rsidR="0093111F" w:rsidRPr="00A35800" w:rsidDel="00EE2BBB" w:rsidRDefault="0093111F" w:rsidP="00A35800">
            <w:pPr>
              <w:pStyle w:val="Tableheading"/>
              <w:rPr>
                <w:sz w:val="20"/>
                <w:szCs w:val="20"/>
              </w:rPr>
            </w:pPr>
            <w:r w:rsidRPr="00A35800" w:rsidDel="00EE2BBB">
              <w:rPr>
                <w:sz w:val="20"/>
                <w:szCs w:val="20"/>
              </w:rPr>
              <w:t>Name, form &amp; strength</w:t>
            </w:r>
          </w:p>
        </w:tc>
        <w:tc>
          <w:tcPr>
            <w:tcW w:w="1134" w:type="dxa"/>
            <w:shd w:val="clear" w:color="auto" w:fill="BFBFBF" w:themeFill="background1" w:themeFillShade="BF"/>
          </w:tcPr>
          <w:p w14:paraId="114E9799" w14:textId="7A050D78" w:rsidR="0093111F" w:rsidRPr="00A35800" w:rsidDel="00EE2BBB" w:rsidRDefault="0093111F" w:rsidP="00A35800">
            <w:pPr>
              <w:pStyle w:val="Tableheading"/>
              <w:rPr>
                <w:sz w:val="20"/>
                <w:szCs w:val="20"/>
              </w:rPr>
            </w:pPr>
            <w:r w:rsidRPr="00A35800" w:rsidDel="00EE2BBB">
              <w:rPr>
                <w:sz w:val="20"/>
                <w:szCs w:val="20"/>
              </w:rPr>
              <w:t>Max</w:t>
            </w:r>
            <w:r w:rsidR="00B93B68">
              <w:rPr>
                <w:sz w:val="20"/>
                <w:szCs w:val="20"/>
              </w:rPr>
              <w:t xml:space="preserve"> amount</w:t>
            </w:r>
            <w:r w:rsidRPr="00A35800" w:rsidDel="00EE2BBB">
              <w:rPr>
                <w:sz w:val="20"/>
                <w:szCs w:val="20"/>
              </w:rPr>
              <w:t xml:space="preserve"> </w:t>
            </w:r>
          </w:p>
        </w:tc>
        <w:tc>
          <w:tcPr>
            <w:tcW w:w="680" w:type="dxa"/>
            <w:shd w:val="clear" w:color="auto" w:fill="BFBFBF" w:themeFill="background1" w:themeFillShade="BF"/>
          </w:tcPr>
          <w:p w14:paraId="0F1A79F7" w14:textId="170F6D44" w:rsidR="0093111F" w:rsidRPr="00A35800" w:rsidDel="00EE2BBB" w:rsidRDefault="0093111F" w:rsidP="00A35800">
            <w:pPr>
              <w:pStyle w:val="Tableheading"/>
              <w:rPr>
                <w:sz w:val="20"/>
                <w:szCs w:val="20"/>
              </w:rPr>
            </w:pPr>
            <w:r w:rsidRPr="00A35800" w:rsidDel="00EE2BBB">
              <w:rPr>
                <w:sz w:val="20"/>
                <w:szCs w:val="20"/>
              </w:rPr>
              <w:t xml:space="preserve">Rpts </w:t>
            </w:r>
          </w:p>
        </w:tc>
        <w:tc>
          <w:tcPr>
            <w:tcW w:w="1163" w:type="dxa"/>
            <w:shd w:val="clear" w:color="auto" w:fill="BFBFBF" w:themeFill="background1" w:themeFillShade="BF"/>
          </w:tcPr>
          <w:p w14:paraId="05C5A0BF" w14:textId="4695B204" w:rsidR="0093111F" w:rsidRPr="00A35800" w:rsidDel="00EE2BBB" w:rsidRDefault="0093111F" w:rsidP="00A35800">
            <w:pPr>
              <w:pStyle w:val="Tableheading"/>
              <w:rPr>
                <w:sz w:val="20"/>
                <w:szCs w:val="20"/>
              </w:rPr>
            </w:pPr>
            <w:r w:rsidRPr="00A35800" w:rsidDel="00EE2BBB">
              <w:rPr>
                <w:sz w:val="20"/>
                <w:szCs w:val="20"/>
              </w:rPr>
              <w:t>DPM</w:t>
            </w:r>
            <w:r w:rsidR="00B93B68">
              <w:rPr>
                <w:sz w:val="20"/>
                <w:szCs w:val="20"/>
              </w:rPr>
              <w:t>A</w:t>
            </w:r>
          </w:p>
        </w:tc>
        <w:tc>
          <w:tcPr>
            <w:tcW w:w="1981" w:type="dxa"/>
            <w:shd w:val="clear" w:color="auto" w:fill="BFBFBF" w:themeFill="background1" w:themeFillShade="BF"/>
          </w:tcPr>
          <w:p w14:paraId="09B472B7" w14:textId="479D46E2" w:rsidR="0093111F" w:rsidRPr="00A35800" w:rsidDel="00EE2BBB" w:rsidRDefault="0093111F" w:rsidP="00A35800">
            <w:pPr>
              <w:pStyle w:val="Tableheading"/>
              <w:rPr>
                <w:sz w:val="20"/>
                <w:szCs w:val="20"/>
              </w:rPr>
            </w:pPr>
            <w:r w:rsidRPr="00A35800" w:rsidDel="00EE2BBB">
              <w:rPr>
                <w:sz w:val="20"/>
                <w:szCs w:val="20"/>
              </w:rPr>
              <w:t>Brand name and manufacturer</w:t>
            </w:r>
          </w:p>
        </w:tc>
      </w:tr>
      <w:tr w:rsidR="00B93B68" w:rsidRPr="00A35800" w:rsidDel="00EE2BBB" w14:paraId="2AF9D84B" w14:textId="0D323411" w:rsidTr="00E433C9">
        <w:trPr>
          <w:trHeight w:val="552"/>
          <w:tblHeader/>
        </w:trPr>
        <w:tc>
          <w:tcPr>
            <w:tcW w:w="846" w:type="dxa"/>
            <w:shd w:val="clear" w:color="auto" w:fill="auto"/>
          </w:tcPr>
          <w:p w14:paraId="0946E3D9" w14:textId="77777777" w:rsidR="00B93B68" w:rsidRDefault="00B93B68" w:rsidP="00B93B68">
            <w:pPr>
              <w:pStyle w:val="Tablewriting"/>
            </w:pPr>
            <w:r w:rsidRPr="00400900">
              <w:t>11915D</w:t>
            </w:r>
          </w:p>
          <w:p w14:paraId="0A3E3442" w14:textId="4548A0C5" w:rsidR="00B93B68" w:rsidRPr="00A35800" w:rsidDel="00EE2BBB" w:rsidRDefault="00B93B68" w:rsidP="00A35800">
            <w:pPr>
              <w:pStyle w:val="Tablewriting"/>
            </w:pPr>
          </w:p>
        </w:tc>
        <w:tc>
          <w:tcPr>
            <w:tcW w:w="3260" w:type="dxa"/>
            <w:shd w:val="clear" w:color="auto" w:fill="auto"/>
          </w:tcPr>
          <w:p w14:paraId="25AB9A92" w14:textId="623AE1FC" w:rsidR="00B93B68" w:rsidRDefault="00B93B68" w:rsidP="00B93B68">
            <w:pPr>
              <w:pStyle w:val="Tablewriting"/>
            </w:pPr>
            <w:r w:rsidRPr="002142AD">
              <w:t>durvalumab</w:t>
            </w:r>
            <w:r>
              <w:t>,</w:t>
            </w:r>
          </w:p>
          <w:p w14:paraId="43558C5C" w14:textId="77777777" w:rsidR="00B93B68" w:rsidRDefault="00B93B68" w:rsidP="00B93B68">
            <w:pPr>
              <w:pStyle w:val="Tablewriting"/>
            </w:pPr>
            <w:r>
              <w:t xml:space="preserve">120 mg/2.4 mL injection, 2.4 mL vial </w:t>
            </w:r>
          </w:p>
          <w:p w14:paraId="0F676F51" w14:textId="464C2B77" w:rsidR="00B93B68" w:rsidRPr="00A35800" w:rsidDel="00EE2BBB" w:rsidRDefault="00B93B68" w:rsidP="00A35800">
            <w:pPr>
              <w:pStyle w:val="Tablewriting"/>
            </w:pPr>
            <w:r>
              <w:t xml:space="preserve">500 mg/10 mL injection, 10 mL vial </w:t>
            </w:r>
          </w:p>
        </w:tc>
        <w:tc>
          <w:tcPr>
            <w:tcW w:w="1134" w:type="dxa"/>
            <w:shd w:val="clear" w:color="auto" w:fill="auto"/>
          </w:tcPr>
          <w:p w14:paraId="4E652AD4" w14:textId="201EFF51" w:rsidR="00B93B68" w:rsidRDefault="00E433C9" w:rsidP="00B93B68">
            <w:pPr>
              <w:pStyle w:val="Tablewriting"/>
              <w:jc w:val="center"/>
            </w:pPr>
            <w:r>
              <w:t>1500</w:t>
            </w:r>
            <w:r w:rsidR="00B93B68">
              <w:t xml:space="preserve"> mg </w:t>
            </w:r>
          </w:p>
          <w:p w14:paraId="0E2637C4" w14:textId="7C3DAD5C" w:rsidR="00B93B68" w:rsidRPr="00A35800" w:rsidDel="00EE2BBB" w:rsidRDefault="00B93B68" w:rsidP="00A35800">
            <w:pPr>
              <w:pStyle w:val="Tablewriting"/>
            </w:pPr>
          </w:p>
        </w:tc>
        <w:tc>
          <w:tcPr>
            <w:tcW w:w="680" w:type="dxa"/>
            <w:shd w:val="clear" w:color="auto" w:fill="auto"/>
          </w:tcPr>
          <w:p w14:paraId="39680CAC" w14:textId="175ED874" w:rsidR="00B93B68" w:rsidRDefault="00E433C9" w:rsidP="00B93B68">
            <w:pPr>
              <w:pStyle w:val="Tablewriting"/>
              <w:jc w:val="center"/>
            </w:pPr>
            <w:r>
              <w:t>4</w:t>
            </w:r>
          </w:p>
          <w:p w14:paraId="6B361CAA" w14:textId="6530A0E6" w:rsidR="00B93B68" w:rsidRPr="00A35800" w:rsidDel="00EE2BBB" w:rsidRDefault="00B93B68" w:rsidP="00A35800">
            <w:pPr>
              <w:pStyle w:val="Tablewriting"/>
            </w:pPr>
          </w:p>
        </w:tc>
        <w:tc>
          <w:tcPr>
            <w:tcW w:w="1163" w:type="dxa"/>
            <w:shd w:val="clear" w:color="auto" w:fill="auto"/>
          </w:tcPr>
          <w:p w14:paraId="6B8336F4" w14:textId="43E20E86" w:rsidR="00B93B68" w:rsidRDefault="00B93B68" w:rsidP="00B93B68">
            <w:pPr>
              <w:pStyle w:val="Tablewriting"/>
              <w:jc w:val="center"/>
            </w:pPr>
            <w:r>
              <w:t>$</w:t>
            </w:r>
            <w:r w:rsidR="00E433C9">
              <w:t>12,012.07</w:t>
            </w:r>
          </w:p>
          <w:p w14:paraId="15F68405" w14:textId="159988C6" w:rsidR="00B93B68" w:rsidRPr="00A35800" w:rsidDel="00EE2BBB" w:rsidRDefault="00B93B68" w:rsidP="00A35800">
            <w:pPr>
              <w:pStyle w:val="Tablewriting"/>
            </w:pPr>
          </w:p>
        </w:tc>
        <w:tc>
          <w:tcPr>
            <w:tcW w:w="1981" w:type="dxa"/>
            <w:vMerge w:val="restart"/>
            <w:shd w:val="clear" w:color="auto" w:fill="auto"/>
          </w:tcPr>
          <w:p w14:paraId="084580B7" w14:textId="77777777" w:rsidR="00B93B68" w:rsidRPr="002142AD" w:rsidRDefault="00B93B68" w:rsidP="00A42129">
            <w:pPr>
              <w:pStyle w:val="Tablewriting"/>
            </w:pPr>
            <w:r w:rsidRPr="002142AD">
              <w:t>Imfinzi®</w:t>
            </w:r>
          </w:p>
          <w:p w14:paraId="2D337AC6" w14:textId="6D67970A" w:rsidR="00B93B68" w:rsidRPr="00A35800" w:rsidDel="00EE2BBB" w:rsidRDefault="00B93B68" w:rsidP="00A42129">
            <w:pPr>
              <w:pStyle w:val="Tablewriting"/>
            </w:pPr>
            <w:r w:rsidRPr="002142AD">
              <w:t>AstraZeneca Pty Ltd</w:t>
            </w:r>
          </w:p>
        </w:tc>
      </w:tr>
      <w:tr w:rsidR="00B93B68" w:rsidRPr="00A35800" w:rsidDel="00EE2BBB" w14:paraId="5A26F6DA" w14:textId="5F9D4936" w:rsidTr="00E433C9">
        <w:trPr>
          <w:trHeight w:val="546"/>
          <w:tblHeader/>
        </w:trPr>
        <w:tc>
          <w:tcPr>
            <w:tcW w:w="846" w:type="dxa"/>
            <w:shd w:val="clear" w:color="auto" w:fill="auto"/>
          </w:tcPr>
          <w:p w14:paraId="76F26606" w14:textId="7563DDBC" w:rsidR="00B93B68" w:rsidRPr="00A35800" w:rsidDel="00EE2BBB" w:rsidRDefault="00B93B68" w:rsidP="00A42129">
            <w:pPr>
              <w:pStyle w:val="Tablewriting"/>
            </w:pPr>
            <w:r>
              <w:t>11911X</w:t>
            </w:r>
          </w:p>
        </w:tc>
        <w:tc>
          <w:tcPr>
            <w:tcW w:w="3260" w:type="dxa"/>
            <w:shd w:val="clear" w:color="auto" w:fill="auto"/>
          </w:tcPr>
          <w:p w14:paraId="2D166B60" w14:textId="0D7A7AED" w:rsidR="00B93B68" w:rsidRDefault="00B93B68" w:rsidP="00A42129">
            <w:pPr>
              <w:pStyle w:val="Tablewriting"/>
            </w:pPr>
            <w:r w:rsidRPr="002142AD">
              <w:t>durvalumab</w:t>
            </w:r>
            <w:r>
              <w:t>,</w:t>
            </w:r>
          </w:p>
          <w:p w14:paraId="2E9104A6" w14:textId="77DB248F" w:rsidR="00B93B68" w:rsidRDefault="00B93B68" w:rsidP="00A42129">
            <w:pPr>
              <w:pStyle w:val="Tablewriting"/>
            </w:pPr>
            <w:r>
              <w:t xml:space="preserve">120 mg/2.4 mL injection, 2.4 mL vial </w:t>
            </w:r>
          </w:p>
          <w:p w14:paraId="4C40F7E7" w14:textId="0C6C2D9F" w:rsidR="00B93B68" w:rsidRPr="00A35800" w:rsidDel="00EE2BBB" w:rsidRDefault="00B93B68" w:rsidP="00A42129">
            <w:pPr>
              <w:pStyle w:val="Tablewriting"/>
            </w:pPr>
            <w:r>
              <w:t>500 mg/10 mL injection, 10 mL vial</w:t>
            </w:r>
          </w:p>
        </w:tc>
        <w:tc>
          <w:tcPr>
            <w:tcW w:w="1134" w:type="dxa"/>
            <w:shd w:val="clear" w:color="auto" w:fill="auto"/>
          </w:tcPr>
          <w:p w14:paraId="73733F58" w14:textId="032FCF71" w:rsidR="00B93B68" w:rsidRPr="00A35800" w:rsidDel="00EE2BBB" w:rsidRDefault="00B93B68" w:rsidP="00B93B68">
            <w:pPr>
              <w:pStyle w:val="Tablewriting"/>
              <w:jc w:val="center"/>
            </w:pPr>
            <w:r>
              <w:t>1</w:t>
            </w:r>
            <w:r w:rsidR="00E433C9">
              <w:t>5</w:t>
            </w:r>
            <w:r>
              <w:t>00 mg</w:t>
            </w:r>
          </w:p>
        </w:tc>
        <w:tc>
          <w:tcPr>
            <w:tcW w:w="680" w:type="dxa"/>
            <w:shd w:val="clear" w:color="auto" w:fill="auto"/>
          </w:tcPr>
          <w:p w14:paraId="4E9C2300" w14:textId="760556B4" w:rsidR="00B93B68" w:rsidRDefault="00E433C9" w:rsidP="00B93B68">
            <w:pPr>
              <w:pStyle w:val="Tablewriting"/>
              <w:jc w:val="center"/>
            </w:pPr>
            <w:r>
              <w:t>4</w:t>
            </w:r>
          </w:p>
          <w:p w14:paraId="2751F86C" w14:textId="796120C3" w:rsidR="00B93B68" w:rsidRPr="00A35800" w:rsidDel="00EE2BBB" w:rsidRDefault="00B93B68" w:rsidP="00B93B68">
            <w:pPr>
              <w:pStyle w:val="Tablewriting"/>
              <w:jc w:val="center"/>
            </w:pPr>
          </w:p>
        </w:tc>
        <w:tc>
          <w:tcPr>
            <w:tcW w:w="1163" w:type="dxa"/>
            <w:shd w:val="clear" w:color="auto" w:fill="auto"/>
          </w:tcPr>
          <w:p w14:paraId="0EB41EFB" w14:textId="2CD42BA3" w:rsidR="00B93B68" w:rsidRPr="00A35800" w:rsidDel="00EE2BBB" w:rsidRDefault="00B93B68" w:rsidP="00A42129">
            <w:pPr>
              <w:pStyle w:val="Tablewriting"/>
            </w:pPr>
            <w:r>
              <w:t>$</w:t>
            </w:r>
            <w:r w:rsidR="00E433C9">
              <w:t>12,220.65</w:t>
            </w:r>
          </w:p>
        </w:tc>
        <w:tc>
          <w:tcPr>
            <w:tcW w:w="1981" w:type="dxa"/>
            <w:vMerge/>
            <w:shd w:val="clear" w:color="auto" w:fill="auto"/>
          </w:tcPr>
          <w:p w14:paraId="2F152B32" w14:textId="38D2B297" w:rsidR="00B93B68" w:rsidRPr="00A35800" w:rsidDel="00EE2BBB" w:rsidRDefault="00B93B68" w:rsidP="00A42129">
            <w:pPr>
              <w:pStyle w:val="Tablewriting"/>
            </w:pPr>
          </w:p>
        </w:tc>
      </w:tr>
    </w:tbl>
    <w:p w14:paraId="3095DC70" w14:textId="77777777" w:rsidR="00347E15" w:rsidRDefault="00347E15" w:rsidP="00347E15">
      <w:pPr>
        <w:pStyle w:val="Notes"/>
        <w:spacing w:after="0"/>
        <w:rPr>
          <w:rFonts w:cstheme="minorHAnsi"/>
          <w:color w:val="222222"/>
        </w:rPr>
      </w:pPr>
      <w:r w:rsidRPr="00AE67C3">
        <w:rPr>
          <w:rFonts w:cstheme="minorHAnsi"/>
          <w:color w:val="222222"/>
        </w:rPr>
        <w:t xml:space="preserve">Note: Special Pricing Arrangements apply. </w:t>
      </w:r>
    </w:p>
    <w:p w14:paraId="59FAC5DE" w14:textId="5C870B40" w:rsidR="00F7579F" w:rsidRPr="00AE67C3" w:rsidRDefault="007408C7" w:rsidP="00F7579F">
      <w:pPr>
        <w:pStyle w:val="Notes"/>
        <w:spacing w:after="0"/>
      </w:pPr>
      <w:r w:rsidRPr="00A35800" w:rsidDel="00EE2BBB">
        <w:t xml:space="preserve">Source: </w:t>
      </w:r>
      <w:r w:rsidR="001624D7" w:rsidDel="00EE2BBB">
        <w:t xml:space="preserve">the </w:t>
      </w:r>
      <w:hyperlink r:id="rId13" w:history="1">
        <w:r w:rsidR="001624D7" w:rsidRPr="001624D7" w:rsidDel="00EE2BBB">
          <w:rPr>
            <w:rStyle w:val="Hyperlink"/>
          </w:rPr>
          <w:t>PBS website</w:t>
        </w:r>
      </w:hyperlink>
      <w:r w:rsidR="001624D7" w:rsidDel="00EE2BBB">
        <w:t>.</w:t>
      </w:r>
      <w:r w:rsidR="0080485E" w:rsidDel="00EE2BBB">
        <w:t xml:space="preserve">  </w:t>
      </w:r>
    </w:p>
    <w:p w14:paraId="14A3A810" w14:textId="657332AB" w:rsidR="00F7579F" w:rsidRPr="00F7579F" w:rsidDel="00EE2BBB" w:rsidRDefault="004C3186" w:rsidP="00F7579F">
      <w:pPr>
        <w:pStyle w:val="Heading3"/>
        <w:spacing w:after="0"/>
      </w:pPr>
      <w:r w:rsidDel="00EE2BBB">
        <w:t>Restriction</w:t>
      </w:r>
    </w:p>
    <w:p w14:paraId="51E02161" w14:textId="06949349" w:rsidR="00F7579F" w:rsidRPr="00F7579F" w:rsidRDefault="00692DD3" w:rsidP="00F7579F">
      <w:r>
        <w:t xml:space="preserve">Durvalumab is an Authority Required (Streamlined) listing under Section 100 (Efficient </w:t>
      </w:r>
      <w:r w:rsidR="00F377EB">
        <w:t>Funding of Chemotherapy</w:t>
      </w:r>
      <w:r>
        <w:t xml:space="preserve">) for the treatment of unresectable </w:t>
      </w:r>
      <w:r w:rsidR="00365DA6">
        <w:t>S</w:t>
      </w:r>
      <w:r>
        <w:t xml:space="preserve">tage III </w:t>
      </w:r>
      <w:r w:rsidR="00593933">
        <w:t>NSCLC.</w:t>
      </w:r>
      <w:r>
        <w:t xml:space="preserve"> </w:t>
      </w:r>
    </w:p>
    <w:p w14:paraId="1F7147AE" w14:textId="77777777" w:rsidR="00B94924" w:rsidRDefault="000C6657" w:rsidP="00F7579F">
      <w:r w:rsidRPr="001C0793">
        <w:t>Treatment phase: Initial treatment</w:t>
      </w:r>
    </w:p>
    <w:p w14:paraId="767AFB00" w14:textId="77777777" w:rsidR="00B94924" w:rsidRPr="00F7579F" w:rsidRDefault="000C6657" w:rsidP="00FC27E8">
      <w:pPr>
        <w:pStyle w:val="ListParagraph"/>
        <w:numPr>
          <w:ilvl w:val="0"/>
          <w:numId w:val="7"/>
        </w:numPr>
      </w:pPr>
      <w:r w:rsidRPr="00F7579F">
        <w:rPr>
          <w:rFonts w:cstheme="minorHAnsi"/>
        </w:rPr>
        <w:t xml:space="preserve">Clinical criteria: </w:t>
      </w:r>
    </w:p>
    <w:p w14:paraId="20E44F62" w14:textId="77777777" w:rsidR="00B94924" w:rsidRPr="00F7579F" w:rsidRDefault="000C6657" w:rsidP="00EB50AB">
      <w:pPr>
        <w:pStyle w:val="ListParagraph"/>
        <w:numPr>
          <w:ilvl w:val="0"/>
          <w:numId w:val="24"/>
        </w:numPr>
      </w:pPr>
      <w:r w:rsidRPr="00F7579F">
        <w:rPr>
          <w:rFonts w:cstheme="minorHAnsi"/>
          <w:color w:val="222222"/>
        </w:rPr>
        <w:t>Patient must have received platinum based chemoradiation therapy,</w:t>
      </w:r>
      <w:r w:rsidR="001C0793" w:rsidRPr="00F7579F">
        <w:rPr>
          <w:rFonts w:cstheme="minorHAnsi"/>
          <w:color w:val="222222"/>
        </w:rPr>
        <w:t xml:space="preserve"> </w:t>
      </w:r>
      <w:r w:rsidRPr="00F7579F">
        <w:rPr>
          <w:rFonts w:cstheme="minorHAnsi"/>
          <w:color w:val="222222"/>
          <w:bdr w:val="none" w:sz="0" w:space="0" w:color="auto" w:frame="1"/>
        </w:rPr>
        <w:t>AND</w:t>
      </w:r>
    </w:p>
    <w:p w14:paraId="2303467E" w14:textId="77777777" w:rsidR="00B94924" w:rsidRPr="00F7579F" w:rsidRDefault="000C6657" w:rsidP="00EB50AB">
      <w:pPr>
        <w:pStyle w:val="ListParagraph"/>
        <w:numPr>
          <w:ilvl w:val="0"/>
          <w:numId w:val="24"/>
        </w:numPr>
      </w:pPr>
      <w:r w:rsidRPr="00F7579F">
        <w:rPr>
          <w:rFonts w:cstheme="minorHAnsi"/>
          <w:color w:val="222222"/>
        </w:rPr>
        <w:t>The condition must not have progressed following platinum based chemoradiation therapy,</w:t>
      </w:r>
      <w:r w:rsidR="001C0793" w:rsidRPr="00F7579F">
        <w:rPr>
          <w:rFonts w:cstheme="minorHAnsi"/>
          <w:color w:val="222222"/>
        </w:rPr>
        <w:t xml:space="preserve"> </w:t>
      </w:r>
      <w:r w:rsidRPr="00F7579F">
        <w:rPr>
          <w:rFonts w:cstheme="minorHAnsi"/>
          <w:color w:val="222222"/>
          <w:bdr w:val="none" w:sz="0" w:space="0" w:color="auto" w:frame="1"/>
        </w:rPr>
        <w:t>AND</w:t>
      </w:r>
    </w:p>
    <w:p w14:paraId="78D53C20" w14:textId="77777777" w:rsidR="00B94924" w:rsidRPr="00F7579F" w:rsidRDefault="000C6657" w:rsidP="00EB50AB">
      <w:pPr>
        <w:pStyle w:val="ListParagraph"/>
        <w:numPr>
          <w:ilvl w:val="0"/>
          <w:numId w:val="24"/>
        </w:numPr>
      </w:pPr>
      <w:r w:rsidRPr="00F7579F">
        <w:rPr>
          <w:rFonts w:cstheme="minorHAnsi"/>
          <w:color w:val="222222"/>
        </w:rPr>
        <w:t>Patient must have a WHO performance status of 0 or 1,</w:t>
      </w:r>
      <w:r w:rsidR="001C0793" w:rsidRPr="00F7579F">
        <w:rPr>
          <w:rFonts w:cstheme="minorHAnsi"/>
          <w:color w:val="222222"/>
        </w:rPr>
        <w:t xml:space="preserve"> </w:t>
      </w:r>
      <w:r w:rsidRPr="00F7579F">
        <w:rPr>
          <w:rFonts w:cstheme="minorHAnsi"/>
          <w:color w:val="222222"/>
          <w:bdr w:val="none" w:sz="0" w:space="0" w:color="auto" w:frame="1"/>
        </w:rPr>
        <w:t>AND</w:t>
      </w:r>
    </w:p>
    <w:p w14:paraId="2DCAE388" w14:textId="77777777" w:rsidR="00B94924" w:rsidRPr="00F7579F" w:rsidRDefault="000C6657" w:rsidP="00EB50AB">
      <w:pPr>
        <w:pStyle w:val="ListParagraph"/>
        <w:numPr>
          <w:ilvl w:val="0"/>
          <w:numId w:val="24"/>
        </w:numPr>
      </w:pPr>
      <w:r w:rsidRPr="00F7579F">
        <w:rPr>
          <w:rFonts w:cstheme="minorHAnsi"/>
          <w:color w:val="222222"/>
        </w:rPr>
        <w:t>Patient must not have previously received PBS-subsidised treatment with this drug for this condition,</w:t>
      </w:r>
      <w:r w:rsidR="001C0793" w:rsidRPr="00F7579F">
        <w:rPr>
          <w:rFonts w:cstheme="minorHAnsi"/>
          <w:color w:val="222222"/>
        </w:rPr>
        <w:t xml:space="preserve"> </w:t>
      </w:r>
      <w:r w:rsidRPr="00F7579F">
        <w:rPr>
          <w:rFonts w:cstheme="minorHAnsi"/>
          <w:color w:val="222222"/>
          <w:bdr w:val="none" w:sz="0" w:space="0" w:color="auto" w:frame="1"/>
        </w:rPr>
        <w:t>AND</w:t>
      </w:r>
    </w:p>
    <w:p w14:paraId="021DFF2A" w14:textId="3C522DBC" w:rsidR="000844B5" w:rsidRPr="00F7579F" w:rsidRDefault="000C6657" w:rsidP="00EB50AB">
      <w:pPr>
        <w:pStyle w:val="ListParagraph"/>
        <w:numPr>
          <w:ilvl w:val="0"/>
          <w:numId w:val="24"/>
        </w:numPr>
      </w:pPr>
      <w:r w:rsidRPr="00F7579F">
        <w:rPr>
          <w:rFonts w:cstheme="minorHAnsi"/>
          <w:color w:val="222222"/>
        </w:rPr>
        <w:t>The treatment must be the sole PBS-subsidised systemic anti-cancer therapy for this condition.</w:t>
      </w:r>
    </w:p>
    <w:p w14:paraId="5D4783CF" w14:textId="45AF8416" w:rsidR="00B94924" w:rsidRPr="00F7579F" w:rsidRDefault="00ED456D" w:rsidP="00F7579F">
      <w:pPr>
        <w:pStyle w:val="NormalWeb"/>
        <w:shd w:val="clear" w:color="auto" w:fill="FFFFFF"/>
        <w:spacing w:before="240" w:beforeAutospacing="0" w:after="200" w:afterAutospacing="0"/>
        <w:rPr>
          <w:rFonts w:asciiTheme="minorHAnsi" w:hAnsiTheme="minorHAnsi" w:cstheme="minorHAnsi"/>
          <w:color w:val="222222"/>
        </w:rPr>
      </w:pPr>
      <w:r w:rsidRPr="00F7579F">
        <w:rPr>
          <w:rFonts w:asciiTheme="minorHAnsi" w:hAnsiTheme="minorHAnsi" w:cstheme="minorHAnsi"/>
          <w:color w:val="222222"/>
        </w:rPr>
        <w:t>Treatment phase: Continuing treatment</w:t>
      </w:r>
    </w:p>
    <w:p w14:paraId="1AF36743" w14:textId="77777777" w:rsidR="00B94924" w:rsidRPr="00F7579F" w:rsidRDefault="00B94924" w:rsidP="00FC27E8">
      <w:pPr>
        <w:pStyle w:val="ListParagraph"/>
        <w:numPr>
          <w:ilvl w:val="0"/>
          <w:numId w:val="7"/>
        </w:numPr>
      </w:pPr>
      <w:r w:rsidRPr="00F7579F">
        <w:rPr>
          <w:rFonts w:cstheme="minorHAnsi"/>
        </w:rPr>
        <w:t xml:space="preserve">Clinical criteria: </w:t>
      </w:r>
    </w:p>
    <w:p w14:paraId="06CD4032" w14:textId="721B9C3E" w:rsidR="00B94924" w:rsidRPr="00F7579F" w:rsidRDefault="00B94924" w:rsidP="00EB50AB">
      <w:pPr>
        <w:pStyle w:val="ListParagraph"/>
        <w:numPr>
          <w:ilvl w:val="0"/>
          <w:numId w:val="25"/>
        </w:numPr>
      </w:pPr>
      <w:r w:rsidRPr="00F7579F">
        <w:rPr>
          <w:rFonts w:cstheme="minorHAnsi"/>
          <w:color w:val="222222"/>
        </w:rPr>
        <w:t xml:space="preserve">Patient must have previously received PBS-subsidised treatment with this drug for this condition, </w:t>
      </w:r>
      <w:r w:rsidRPr="00F7579F">
        <w:rPr>
          <w:rFonts w:cstheme="minorHAnsi"/>
          <w:color w:val="222222"/>
          <w:bdr w:val="none" w:sz="0" w:space="0" w:color="auto" w:frame="1"/>
        </w:rPr>
        <w:t>AND</w:t>
      </w:r>
    </w:p>
    <w:p w14:paraId="0B248340" w14:textId="08C64F8F" w:rsidR="00B94924" w:rsidRPr="00F7579F" w:rsidRDefault="00B94924" w:rsidP="00EB50AB">
      <w:pPr>
        <w:pStyle w:val="ListParagraph"/>
        <w:numPr>
          <w:ilvl w:val="0"/>
          <w:numId w:val="25"/>
        </w:numPr>
      </w:pPr>
      <w:r w:rsidRPr="00F7579F">
        <w:rPr>
          <w:rFonts w:cstheme="minorHAnsi"/>
          <w:color w:val="222222"/>
        </w:rPr>
        <w:t xml:space="preserve">Patient must not have developed disease progression while being treated with this drug for this condition, </w:t>
      </w:r>
      <w:r w:rsidRPr="00F7579F">
        <w:rPr>
          <w:rFonts w:cstheme="minorHAnsi"/>
          <w:color w:val="222222"/>
          <w:bdr w:val="none" w:sz="0" w:space="0" w:color="auto" w:frame="1"/>
        </w:rPr>
        <w:t>AND</w:t>
      </w:r>
    </w:p>
    <w:p w14:paraId="12CBF3DD" w14:textId="3330A7FF" w:rsidR="00B94924" w:rsidRPr="00F7579F" w:rsidRDefault="00B94924" w:rsidP="00EB50AB">
      <w:pPr>
        <w:pStyle w:val="ListParagraph"/>
        <w:numPr>
          <w:ilvl w:val="0"/>
          <w:numId w:val="25"/>
        </w:numPr>
      </w:pPr>
      <w:r w:rsidRPr="00F7579F">
        <w:rPr>
          <w:rFonts w:cstheme="minorHAnsi"/>
          <w:color w:val="222222"/>
        </w:rPr>
        <w:t xml:space="preserve">The treatment must be the sole PBS-subsidised systemic anti-cancer therapy for this </w:t>
      </w:r>
      <w:r w:rsidR="00354E69" w:rsidRPr="00F7579F">
        <w:rPr>
          <w:rFonts w:cstheme="minorHAnsi"/>
          <w:color w:val="222222"/>
        </w:rPr>
        <w:t>condition,</w:t>
      </w:r>
      <w:r w:rsidRPr="00F7579F">
        <w:rPr>
          <w:rFonts w:cstheme="minorHAnsi"/>
          <w:color w:val="222222"/>
        </w:rPr>
        <w:t xml:space="preserve"> </w:t>
      </w:r>
      <w:r w:rsidRPr="00F7579F">
        <w:rPr>
          <w:rFonts w:cstheme="minorHAnsi"/>
          <w:color w:val="222222"/>
          <w:bdr w:val="none" w:sz="0" w:space="0" w:color="auto" w:frame="1"/>
        </w:rPr>
        <w:t>AND</w:t>
      </w:r>
    </w:p>
    <w:p w14:paraId="35570EF2" w14:textId="11FDB0B0" w:rsidR="00B94924" w:rsidRPr="00F7579F" w:rsidRDefault="00B94924" w:rsidP="00EB50AB">
      <w:pPr>
        <w:pStyle w:val="ListParagraph"/>
        <w:numPr>
          <w:ilvl w:val="0"/>
          <w:numId w:val="25"/>
        </w:numPr>
      </w:pPr>
      <w:r w:rsidRPr="00F7579F">
        <w:rPr>
          <w:rFonts w:cstheme="minorHAnsi"/>
          <w:color w:val="222222"/>
        </w:rPr>
        <w:t xml:space="preserve">The treatment must not exceed 12 months in total for this condition under the initial and continuing restriction combined, </w:t>
      </w:r>
      <w:r w:rsidRPr="00F7579F">
        <w:rPr>
          <w:rFonts w:cstheme="minorHAnsi"/>
          <w:color w:val="222222"/>
          <w:bdr w:val="none" w:sz="0" w:space="0" w:color="auto" w:frame="1"/>
        </w:rPr>
        <w:t>AND</w:t>
      </w:r>
    </w:p>
    <w:p w14:paraId="36C831AD" w14:textId="3148C425" w:rsidR="00F7579F" w:rsidRPr="00F377EB" w:rsidDel="00EE2BBB" w:rsidRDefault="00B94924" w:rsidP="00EB50AB">
      <w:pPr>
        <w:pStyle w:val="ListParagraph"/>
        <w:numPr>
          <w:ilvl w:val="0"/>
          <w:numId w:val="25"/>
        </w:numPr>
      </w:pPr>
      <w:r w:rsidRPr="00B94924">
        <w:rPr>
          <w:rFonts w:cstheme="minorHAnsi"/>
          <w:color w:val="222222"/>
        </w:rPr>
        <w:t xml:space="preserve">The treatment must be </w:t>
      </w:r>
      <w:r>
        <w:rPr>
          <w:rFonts w:cstheme="minorHAnsi"/>
          <w:color w:val="222222"/>
        </w:rPr>
        <w:t>once in a lifetime with this drug fo</w:t>
      </w:r>
      <w:r w:rsidRPr="00593933">
        <w:rPr>
          <w:rFonts w:cstheme="minorHAnsi"/>
          <w:color w:val="222222"/>
        </w:rPr>
        <w:t>r this condition</w:t>
      </w:r>
      <w:r w:rsidR="00F7579F" w:rsidRPr="00593933">
        <w:rPr>
          <w:rFonts w:cstheme="minorHAnsi"/>
          <w:color w:val="222222"/>
        </w:rPr>
        <w:t xml:space="preserve">. </w:t>
      </w:r>
      <w:r w:rsidRPr="00593933">
        <w:rPr>
          <w:rFonts w:cstheme="minorHAnsi"/>
          <w:color w:val="222222"/>
        </w:rPr>
        <w:t xml:space="preserve"> </w:t>
      </w:r>
    </w:p>
    <w:p w14:paraId="34D3489C" w14:textId="4F998AD2" w:rsidR="00F7579F" w:rsidRDefault="006775F1" w:rsidP="00A35800">
      <w:pPr>
        <w:rPr>
          <w:rStyle w:val="Hyperlink"/>
        </w:rPr>
      </w:pPr>
      <w:r w:rsidRPr="006775F1" w:rsidDel="00EE2BBB">
        <w:t xml:space="preserve">For </w:t>
      </w:r>
      <w:r w:rsidR="00835337" w:rsidDel="00EE2BBB">
        <w:t xml:space="preserve">details of the current PBS listing refer to the </w:t>
      </w:r>
      <w:hyperlink r:id="rId14" w:history="1">
        <w:r w:rsidR="00835337" w:rsidRPr="00645D51" w:rsidDel="00EE2BBB">
          <w:rPr>
            <w:rStyle w:val="Hyperlink"/>
          </w:rPr>
          <w:t>PBS website</w:t>
        </w:r>
      </w:hyperlink>
      <w:r w:rsidR="00835337" w:rsidDel="00EE2BBB">
        <w:rPr>
          <w:rStyle w:val="Hyperlink"/>
        </w:rPr>
        <w:t>.</w:t>
      </w:r>
    </w:p>
    <w:p w14:paraId="506F69CA" w14:textId="77777777" w:rsidR="00593933" w:rsidRPr="00F7579F" w:rsidDel="00EE2BBB" w:rsidRDefault="00593933" w:rsidP="00A35800">
      <w:pPr>
        <w:rPr>
          <w:color w:val="0000FF" w:themeColor="hyperlink"/>
          <w:u w:val="single"/>
        </w:rPr>
      </w:pPr>
    </w:p>
    <w:p w14:paraId="509ADFEB" w14:textId="201634E9" w:rsidR="009C35F2" w:rsidRDefault="009C35F2" w:rsidP="00CF5E22">
      <w:pPr>
        <w:pStyle w:val="Heading3"/>
      </w:pPr>
      <w:r w:rsidRPr="00675BB1" w:rsidDel="00EE2BBB">
        <w:lastRenderedPageBreak/>
        <w:t>Date of listing on PBS</w:t>
      </w:r>
    </w:p>
    <w:p w14:paraId="42BEB151" w14:textId="77777777" w:rsidR="00593933" w:rsidRPr="002D144A" w:rsidRDefault="00593933" w:rsidP="00593933">
      <w:r>
        <w:t xml:space="preserve">Durvalumab was PBS listed for the treatment of NSCLC on 1 March 2020. </w:t>
      </w:r>
    </w:p>
    <w:p w14:paraId="39EF75ED" w14:textId="73256AB5" w:rsidR="00675BB1" w:rsidRPr="00675BB1" w:rsidDel="00EE2BBB" w:rsidRDefault="00675BB1" w:rsidP="00CF5E22">
      <w:pPr>
        <w:pStyle w:val="Heading3"/>
      </w:pPr>
      <w:r w:rsidRPr="00675BB1" w:rsidDel="00EE2BBB">
        <w:t>Changes to listing</w:t>
      </w:r>
    </w:p>
    <w:p w14:paraId="44949E61" w14:textId="1E40E18F" w:rsidR="00A053B3" w:rsidRDefault="00A053B3" w:rsidP="00A35800">
      <w:r>
        <w:rPr>
          <w:b/>
          <w:bCs/>
        </w:rPr>
        <w:t xml:space="preserve">October 2021: </w:t>
      </w:r>
      <w:r>
        <w:t xml:space="preserve">Removal of grandfather treatment phase. </w:t>
      </w:r>
    </w:p>
    <w:p w14:paraId="39B303D1" w14:textId="64EC3E6F" w:rsidR="000D7DE1" w:rsidRDefault="000D7DE1" w:rsidP="000D7DE1">
      <w:pPr>
        <w:spacing w:after="0"/>
      </w:pPr>
      <w:r w:rsidRPr="000D7DE1">
        <w:rPr>
          <w:b/>
          <w:bCs/>
        </w:rPr>
        <w:t xml:space="preserve">August 2022: </w:t>
      </w:r>
      <w:r w:rsidR="00FA722B">
        <w:t>The</w:t>
      </w:r>
      <w:r w:rsidR="00DB3C29">
        <w:t xml:space="preserve"> existing</w:t>
      </w:r>
      <w:r>
        <w:t xml:space="preserve"> </w:t>
      </w:r>
      <w:r w:rsidR="00FA722B">
        <w:t xml:space="preserve">listing of durvalumab </w:t>
      </w:r>
      <w:r>
        <w:t xml:space="preserve">was amended following the PBAC’s recommendation at its March 2022 meeting for the listing of durvalumab 1500 mg Q4W regimen for the treatment of NSCLC. The maximum amount was increased from 1200 mg to 1500 mg, the number of repeats was reduced from 8 to 4 and the administrative note, ‘No increase in the maximum number of repeats may be authorised’ was removed. </w:t>
      </w:r>
    </w:p>
    <w:p w14:paraId="7D1BBCAF" w14:textId="77777777" w:rsidR="000D7DE1" w:rsidRPr="000D7DE1" w:rsidDel="00EE2BBB" w:rsidRDefault="000D7DE1" w:rsidP="000D7DE1">
      <w:pPr>
        <w:pStyle w:val="ListParagraph"/>
        <w:spacing w:after="0"/>
        <w:ind w:left="360"/>
      </w:pPr>
    </w:p>
    <w:p w14:paraId="64C94A85" w14:textId="0279637B" w:rsidR="00BF544D" w:rsidRPr="002F61CA" w:rsidDel="00EE2BBB" w:rsidRDefault="00BF544D" w:rsidP="00BF544D">
      <w:r w:rsidRPr="002F61CA" w:rsidDel="00EE2BBB">
        <w:t xml:space="preserve">Current PBS listing details are available from </w:t>
      </w:r>
      <w:r w:rsidDel="00EE2BBB">
        <w:t xml:space="preserve">the </w:t>
      </w:r>
      <w:hyperlink r:id="rId15" w:history="1">
        <w:r w:rsidRPr="00645D51" w:rsidDel="00EE2BBB">
          <w:rPr>
            <w:rStyle w:val="Hyperlink"/>
          </w:rPr>
          <w:t>PBS website</w:t>
        </w:r>
      </w:hyperlink>
      <w:r w:rsidDel="00EE2BBB">
        <w:t>.</w:t>
      </w:r>
    </w:p>
    <w:p w14:paraId="383E312E" w14:textId="36F154A8" w:rsidR="00736041" w:rsidRDefault="00394AEE" w:rsidP="00CF5E22">
      <w:pPr>
        <w:pStyle w:val="Heading2"/>
      </w:pPr>
      <w:r>
        <w:t>Relevant aspects of</w:t>
      </w:r>
      <w:r w:rsidR="00736041" w:rsidRPr="005E22C2">
        <w:t xml:space="preserve"> consideration</w:t>
      </w:r>
      <w:r>
        <w:t xml:space="preserve"> by the Pharmaceutical Benefits Advisory Committee (PBAC)</w:t>
      </w:r>
    </w:p>
    <w:p w14:paraId="6349834D" w14:textId="507003D1" w:rsidR="00B15615" w:rsidRPr="00B15615" w:rsidRDefault="00B15615" w:rsidP="00B15615">
      <w:pPr>
        <w:pStyle w:val="Heading3"/>
        <w:spacing w:after="0"/>
      </w:pPr>
      <w:r w:rsidRPr="00B15615">
        <w:t xml:space="preserve">November 2018 PBAC </w:t>
      </w:r>
      <w:r w:rsidR="00DC0F1D">
        <w:t>m</w:t>
      </w:r>
      <w:r w:rsidRPr="00B15615">
        <w:t>eeting</w:t>
      </w:r>
    </w:p>
    <w:p w14:paraId="56F7E603" w14:textId="3C210E92" w:rsidR="00F76823" w:rsidRDefault="00274876" w:rsidP="00F76823">
      <w:r>
        <w:t xml:space="preserve">The submission requested a Section 100 (Efficient Funding of Chemotherapy), Authority Required (Streamlined) listing for durvalumab for treatment of Stage III </w:t>
      </w:r>
      <w:r w:rsidR="009D6207">
        <w:t>NSCLC</w:t>
      </w:r>
      <w:r>
        <w:t xml:space="preserve"> in patients who have not progressed after platinum-based chemoradiation therapy (CRT). The submission requested PBS listing on the basis of a cost-utility analysis comparing durvalumab to placebo or ‘watch and wait’ monitoring plus best supportive care.</w:t>
      </w:r>
    </w:p>
    <w:p w14:paraId="5F37E29A" w14:textId="77777777" w:rsidR="009D6207" w:rsidRDefault="009D6207" w:rsidP="00F76823">
      <w:r>
        <w:t xml:space="preserve">The PBAC noted that the DUSC considered the estimates of utilisation presented in the submission to be inaccurate. The main issues identified by the DUSC were: </w:t>
      </w:r>
    </w:p>
    <w:p w14:paraId="7DFD2A3F" w14:textId="3ACDE65B" w:rsidR="009D6207" w:rsidRDefault="009D6207" w:rsidP="00FC27E8">
      <w:pPr>
        <w:pStyle w:val="ListParagraph"/>
        <w:numPr>
          <w:ilvl w:val="0"/>
          <w:numId w:val="7"/>
        </w:numPr>
      </w:pPr>
      <w:r>
        <w:t xml:space="preserve">The proportion of NSCLC of all lung cancers </w:t>
      </w:r>
      <w:r w:rsidR="00FA722B">
        <w:t>was</w:t>
      </w:r>
      <w:r>
        <w:t xml:space="preserve"> likely to be closer to 80% than the 70.3% applied in the estimates. </w:t>
      </w:r>
    </w:p>
    <w:p w14:paraId="7496F01E" w14:textId="342B5F01" w:rsidR="00F76823" w:rsidRDefault="009D6207" w:rsidP="00FC27E8">
      <w:pPr>
        <w:pStyle w:val="ListParagraph"/>
        <w:numPr>
          <w:ilvl w:val="0"/>
          <w:numId w:val="7"/>
        </w:numPr>
      </w:pPr>
      <w:r>
        <w:t xml:space="preserve">No justification was provided for the estimate of the proportion of patients undergoing first-line chemoradiation. The submission assumed that 70%, 80% and 90% of eligible patients would receive chemoradiation in </w:t>
      </w:r>
      <w:r w:rsidR="00F377EB">
        <w:t>Y</w:t>
      </w:r>
      <w:r>
        <w:t xml:space="preserve">ear 1, </w:t>
      </w:r>
      <w:r w:rsidR="00F377EB">
        <w:t>Y</w:t>
      </w:r>
      <w:r>
        <w:t>ear 2 and</w:t>
      </w:r>
      <w:r w:rsidR="00F377EB">
        <w:t xml:space="preserve"> Y</w:t>
      </w:r>
      <w:r>
        <w:t>ears 3-6. The DUSC did not agree that the number</w:t>
      </w:r>
      <w:r w:rsidR="00FA722B">
        <w:t xml:space="preserve"> </w:t>
      </w:r>
      <w:r>
        <w:t xml:space="preserve">of patients receiving chemoradiation would substantially change with the introduction of durvalumab. The DUSC considered that the proportion of patients receiving chemoradiation was reasonable for </w:t>
      </w:r>
      <w:r w:rsidR="00F377EB">
        <w:t>Y</w:t>
      </w:r>
      <w:r>
        <w:t>ear 1, but was overestimated for subsequent years.</w:t>
      </w:r>
    </w:p>
    <w:p w14:paraId="1B48C794" w14:textId="59177957" w:rsidR="009D6207" w:rsidRDefault="009D6207" w:rsidP="00FC27E8">
      <w:pPr>
        <w:pStyle w:val="ListParagraph"/>
        <w:numPr>
          <w:ilvl w:val="0"/>
          <w:numId w:val="7"/>
        </w:numPr>
      </w:pPr>
      <w:r>
        <w:t xml:space="preserve">The submission initially estimated that the total cost to Government would be more than $100 million in </w:t>
      </w:r>
      <w:r w:rsidR="00F76823">
        <w:t>Y</w:t>
      </w:r>
      <w:r>
        <w:t>ear 6. However, the DUSC noted that the financial implications did not account for cost-offsets associated with the lower use of subsequent immunotherapies.</w:t>
      </w:r>
    </w:p>
    <w:p w14:paraId="72BC548B" w14:textId="5B550D78" w:rsidR="009D6207" w:rsidRDefault="009D6207" w:rsidP="00F76823">
      <w:r>
        <w:t>The Pre-PBAC response included a revised estimated use and financial implications</w:t>
      </w:r>
      <w:r w:rsidR="00FA722B">
        <w:t xml:space="preserve"> and applied the following </w:t>
      </w:r>
      <w:r>
        <w:t xml:space="preserve">changes as well as the lower price offered as part of the Pre-PBAC response: </w:t>
      </w:r>
    </w:p>
    <w:p w14:paraId="3E04479D" w14:textId="2374EF8D" w:rsidR="009D6207" w:rsidRDefault="009D6207" w:rsidP="00FC27E8">
      <w:pPr>
        <w:pStyle w:val="ListParagraph"/>
        <w:numPr>
          <w:ilvl w:val="0"/>
          <w:numId w:val="9"/>
        </w:numPr>
      </w:pPr>
      <w:r>
        <w:t xml:space="preserve">80% of lung cancers </w:t>
      </w:r>
      <w:r w:rsidR="00FA722B">
        <w:t>were</w:t>
      </w:r>
      <w:r>
        <w:t xml:space="preserve"> assumed to be NSCLC. </w:t>
      </w:r>
    </w:p>
    <w:p w14:paraId="14095DFC" w14:textId="77777777" w:rsidR="00F76823" w:rsidRDefault="009D6207" w:rsidP="00FC27E8">
      <w:pPr>
        <w:pStyle w:val="ListParagraph"/>
        <w:numPr>
          <w:ilvl w:val="0"/>
          <w:numId w:val="9"/>
        </w:numPr>
      </w:pPr>
      <w:r>
        <w:lastRenderedPageBreak/>
        <w:t xml:space="preserve">Proportion of patients receiving first line chemoradiation 70% in </w:t>
      </w:r>
      <w:r w:rsidR="00F377EB">
        <w:t>Y</w:t>
      </w:r>
      <w:r>
        <w:t xml:space="preserve">ear 1, 75% in year 2 and 80% in </w:t>
      </w:r>
      <w:r w:rsidR="00F377EB">
        <w:t>Y</w:t>
      </w:r>
      <w:r>
        <w:t>ears 3-6.</w:t>
      </w:r>
    </w:p>
    <w:p w14:paraId="7CE33ECA" w14:textId="09C5C4A0" w:rsidR="00F76823" w:rsidRDefault="009D6207" w:rsidP="00F76823">
      <w:r>
        <w:t xml:space="preserve">The Pre-PBAC response did not include cost-offsets from later line immunotherapy use. The PBAC considered the DUSC advice on the proportion of patients who would receive first-line chemoradiation to be reasonable. </w:t>
      </w:r>
    </w:p>
    <w:p w14:paraId="5695D154" w14:textId="5629D841" w:rsidR="00274876" w:rsidRDefault="00274876" w:rsidP="00F76823">
      <w:r>
        <w:t xml:space="preserve">The PBAC did not recommend the listing of durvalumab as an adjuvant (consolidation) treatment for Stage III </w:t>
      </w:r>
      <w:r w:rsidR="009D6207">
        <w:t>NSCLC</w:t>
      </w:r>
      <w:r>
        <w:t xml:space="preserve"> patients who have not progressed following chemoradiotherapy. The PBAC noted that some patients (</w:t>
      </w:r>
      <w:r w:rsidR="00735E54">
        <w:t xml:space="preserve">approximately </w:t>
      </w:r>
      <w:r>
        <w:t xml:space="preserve">25%) are cured by chemo-radiotherapy and hence consolidation treatment with durvalumab would expose this group of patients to treatment without benefit. The PBAC however acknowledged that adjuvant treatment with durvalumab may reduce the risk of recurrence of NSCLC in some patients who have not been cured by chemo-radiotherapy. However, given the immaturity of the trial data and the unknown impact of subsequent treatment with an immunotherapy agent on progression, the extent of effect on overall survival could not be determined. The Committee considered that the uncertainty surrounding the magnitude of benefit of durvalumab in this setting resulted in a highly uncertain and potentially very high incremental cost-effectiveness ratio. </w:t>
      </w:r>
    </w:p>
    <w:p w14:paraId="667EFDCF" w14:textId="5608211F" w:rsidR="00F76823" w:rsidRDefault="00274876" w:rsidP="00F76823">
      <w:r>
        <w:t>The PBAC noted the high estimated financial impact of subsidising durvalumab for the proposed listing, although considered that the financial impact was overestimated as it did not account for a reduction in the use of subsequent lines of PD-(L)1 therapies. The PBAC considered that there would be substantial cost offsets from PD-(L)1 use in later stage NSCLC resulting from a PBS listing of durvalumab in stage III NSCLC, which would affect the current risk sharing arrangements (RSA) in the current joint Deed of Agreement for atezolizumab, nivolumab and pembrolizumab in NSCLC. The PBAC considered that if durvalumab was made available on the PBS, there would only be a modest increase in the overall number of patients treated for NSCLC, provided sequential treatment with different PD-(L)1 therapies was precluded.</w:t>
      </w:r>
    </w:p>
    <w:p w14:paraId="20C5D02C" w14:textId="105A33DF" w:rsidR="00F274D7" w:rsidRPr="00B15615" w:rsidRDefault="0072517C" w:rsidP="00F76823">
      <w:r>
        <w:t xml:space="preserve">For further details refer to </w:t>
      </w:r>
      <w:r w:rsidRPr="00F65F0D">
        <w:t xml:space="preserve">the </w:t>
      </w:r>
      <w:hyperlink r:id="rId16" w:history="1">
        <w:r w:rsidRPr="00274876">
          <w:rPr>
            <w:rStyle w:val="Hyperlink"/>
          </w:rPr>
          <w:t>Public Summary Document</w:t>
        </w:r>
      </w:hyperlink>
      <w:r w:rsidRPr="00F65F0D">
        <w:t xml:space="preserve"> from the </w:t>
      </w:r>
      <w:r>
        <w:t>November 2018 PBAC meeting.</w:t>
      </w:r>
    </w:p>
    <w:p w14:paraId="4EE5990C" w14:textId="21C69399" w:rsidR="00B15615" w:rsidRPr="00B15615" w:rsidRDefault="00B15615" w:rsidP="00B15615">
      <w:pPr>
        <w:pStyle w:val="Heading3"/>
        <w:spacing w:after="0"/>
      </w:pPr>
      <w:r w:rsidRPr="00B15615">
        <w:t xml:space="preserve">July 2019 PBAC </w:t>
      </w:r>
      <w:r w:rsidR="00DC0F1D">
        <w:t>m</w:t>
      </w:r>
      <w:r w:rsidRPr="00B15615">
        <w:t>eeting</w:t>
      </w:r>
    </w:p>
    <w:p w14:paraId="0BF519E0" w14:textId="5D087A06" w:rsidR="007120D3" w:rsidRDefault="00274876" w:rsidP="007120D3">
      <w:r>
        <w:t xml:space="preserve">The PBAC did not recommend the listing of durvalumab as a consolidation treatment in Stage III unresectable NSCLC in patients who have not progressed after </w:t>
      </w:r>
      <w:r w:rsidR="00593933">
        <w:t>platinum-based</w:t>
      </w:r>
      <w:r>
        <w:t xml:space="preserve"> CRT. </w:t>
      </w:r>
    </w:p>
    <w:p w14:paraId="6DE0D696" w14:textId="4B39466C" w:rsidR="00274876" w:rsidRDefault="00274876" w:rsidP="007120D3">
      <w:r>
        <w:t>The PBAC considered the total cost of subsidising durvalumab in this setting to be very high and uncertain.</w:t>
      </w:r>
      <w:r w:rsidR="007120D3">
        <w:t xml:space="preserve"> </w:t>
      </w:r>
      <w:r>
        <w:t xml:space="preserve">The PBAC considered that the financial impact was overestimated in terms of the eligible patient population and inadequate inclusion of cost-offsets associated with avoiding subsequent immunotherapy. </w:t>
      </w:r>
    </w:p>
    <w:p w14:paraId="052A7201" w14:textId="77777777" w:rsidR="00274876" w:rsidRDefault="00274876" w:rsidP="007120D3">
      <w:r>
        <w:t xml:space="preserve">The PBAC considered it would be appropriate for the patient estimates to apply an uptake of CRT of 70% and an uptake rate for durvalumab of 90% across all years. </w:t>
      </w:r>
    </w:p>
    <w:p w14:paraId="1B165F85" w14:textId="3918C4A9" w:rsidR="00274876" w:rsidRDefault="00274876" w:rsidP="007120D3">
      <w:r>
        <w:lastRenderedPageBreak/>
        <w:t xml:space="preserve">The PBAC recalled that in November 2018, it considered that there would be substantial cost-offsets from PD-(L)1 inhibitor use in later stage NSCLC resulting from a PBS listing of durvalumab in stage III NSCLC, which would affect the current RSA in the shared subsidisation cap in the Deeds of Agreement for atezolizumab, nivolumab and pembrolizumab in NSCLC (paragraph 7.13, durvalumab PSD, November 2018 meeting). The PBAC considered the cost-offsets were underestimated in the financial estimates and that it would be appropriate to assume that 70% of patients that initiate treatment with durvalumab would avoid subsequent use of PD-(L)1 inhibitors in the metastatic setting. </w:t>
      </w:r>
    </w:p>
    <w:p w14:paraId="52D87C2B" w14:textId="77418395" w:rsidR="00274876" w:rsidRDefault="00274876" w:rsidP="007120D3">
      <w:r>
        <w:t>The PBAC reaffirmed its November 2018 advice that if durvalumab was made available on the PBS, there would only be a modest increase in the overall number of patients treated for NSCLC, provided sequential treatment with different PD-(L)1 therapies was precluded. The PBAC also reaffirmed its previous advice that due to a lack of evidence to support the sequential use of immunotherapies, precluding prior and subsequent use of PD-(L)1 inhibitors remained appropriate. The PBAC further considered it was appropriate for durvalumab to share the RSA subsidisation cap in the current Deeds of Agreement for locally advanced/metastatic NSCLC for PD-(L)1 therapies.</w:t>
      </w:r>
    </w:p>
    <w:p w14:paraId="5595F63B" w14:textId="77777777" w:rsidR="00274876" w:rsidRDefault="00274876" w:rsidP="007120D3">
      <w:r>
        <w:t xml:space="preserve">The PBAC considered that any resubmission could be a minor resubmission and would be required to: </w:t>
      </w:r>
    </w:p>
    <w:p w14:paraId="48733B4A" w14:textId="3F4D0537" w:rsidR="00274876" w:rsidRDefault="00274876" w:rsidP="007120D3">
      <w:pPr>
        <w:pStyle w:val="ListParagraph"/>
        <w:numPr>
          <w:ilvl w:val="0"/>
          <w:numId w:val="1"/>
        </w:numPr>
      </w:pPr>
      <w:r>
        <w:t xml:space="preserve">Revise the patient estimates applying the uptake rates. </w:t>
      </w:r>
    </w:p>
    <w:p w14:paraId="618DB207" w14:textId="3A7D973F" w:rsidR="00274876" w:rsidRDefault="00274876" w:rsidP="007120D3">
      <w:pPr>
        <w:pStyle w:val="ListParagraph"/>
        <w:numPr>
          <w:ilvl w:val="0"/>
          <w:numId w:val="1"/>
        </w:numPr>
      </w:pPr>
      <w:r>
        <w:t>Revise the financial estimates for grandfathered patients to take into account only the number of patients accessing treatment at the time of PBAC reconsideration and a reduced cost per patient to account for treatment already received</w:t>
      </w:r>
      <w:r w:rsidR="00F377EB">
        <w:t xml:space="preserve">. </w:t>
      </w:r>
    </w:p>
    <w:p w14:paraId="0483CF7D" w14:textId="6F84BBBD" w:rsidR="0072517C" w:rsidRDefault="0072517C" w:rsidP="007120D3">
      <w:r>
        <w:t xml:space="preserve">For further details refer to </w:t>
      </w:r>
      <w:r w:rsidRPr="00F65F0D">
        <w:t xml:space="preserve">the </w:t>
      </w:r>
      <w:hyperlink r:id="rId17" w:history="1">
        <w:r w:rsidRPr="00274876">
          <w:rPr>
            <w:rStyle w:val="Hyperlink"/>
          </w:rPr>
          <w:t>Public Summary Document</w:t>
        </w:r>
      </w:hyperlink>
      <w:r>
        <w:t xml:space="preserve"> </w:t>
      </w:r>
      <w:r w:rsidRPr="00F65F0D">
        <w:t>from the</w:t>
      </w:r>
      <w:r>
        <w:t xml:space="preserve"> July 2019 PBAC meeting.</w:t>
      </w:r>
    </w:p>
    <w:p w14:paraId="522337AC" w14:textId="111CCDAC" w:rsidR="00B15615" w:rsidRPr="00F65F0D" w:rsidRDefault="00B15615" w:rsidP="007120D3">
      <w:pPr>
        <w:pStyle w:val="Heading3"/>
        <w:spacing w:after="0"/>
      </w:pPr>
      <w:r>
        <w:t>November</w:t>
      </w:r>
      <w:r w:rsidRPr="00B15615">
        <w:t xml:space="preserve"> 2019 PBAC </w:t>
      </w:r>
      <w:r w:rsidR="00DC0F1D">
        <w:t>m</w:t>
      </w:r>
      <w:r w:rsidRPr="00B15615">
        <w:t>eeting</w:t>
      </w:r>
    </w:p>
    <w:p w14:paraId="673850F1" w14:textId="79490650" w:rsidR="0072517C" w:rsidRDefault="0072517C" w:rsidP="007120D3">
      <w:pPr>
        <w:spacing w:after="0"/>
      </w:pPr>
      <w:r>
        <w:t xml:space="preserve">The PBAC recommended the listing of durvalumab, on the basis that it should be available only under special arrangements under Section 100 (Efficient </w:t>
      </w:r>
      <w:r w:rsidR="007120D3">
        <w:t>Funding of Chemotherapy</w:t>
      </w:r>
      <w:r>
        <w:t>). The PBAC recommended durvalumab be made available for the treatment of unresectable Stage III NSCLC in patients whose disease had not progressed following CRT</w:t>
      </w:r>
      <w:r w:rsidR="009D6207">
        <w:t>.</w:t>
      </w:r>
      <w:r>
        <w:t xml:space="preserve"> The PBAC’s recommendation for listing was based on, among other matters, its assessment, as described above, that the cost-effectiveness of durvalumab would be acceptable with a small (around 5%) reduction to the price proposed in the resubmission.</w:t>
      </w:r>
    </w:p>
    <w:p w14:paraId="147995FB" w14:textId="77777777" w:rsidR="007120D3" w:rsidRDefault="007120D3" w:rsidP="007120D3">
      <w:pPr>
        <w:spacing w:after="0"/>
      </w:pPr>
    </w:p>
    <w:p w14:paraId="06562F10" w14:textId="1F174186" w:rsidR="0072517C" w:rsidRDefault="0072517C" w:rsidP="0072517C">
      <w:r>
        <w:t>The PBAC noted the revised financial estimates applied the treatment cost per patient for nivolumab to estimate the net reduction in cost of PD-(L)1 inhibitors but there are alternative PD-(L)1 inhibitors available in the first-line and second-line setting (pembrolizumab, atezolizumab). The PBAC noted the PD-(L)1 inhibitor costs for the offset patients (in both the first-line or second-line setting) are already accounted for in current subsidisation caps for NSCLC. The PBAC was also of the view that nivolumab should not be considered the most likely therapy for the purposes of the estimated offset population, as the PBAC has previously considered that the majority of patients were likely to switch to first line treatment with PD-(L)1 inhibitors once these are available.</w:t>
      </w:r>
    </w:p>
    <w:p w14:paraId="79E95969" w14:textId="05C82F70" w:rsidR="00893920" w:rsidRPr="0072517C" w:rsidRDefault="0072517C" w:rsidP="00A35800">
      <w:r>
        <w:lastRenderedPageBreak/>
        <w:t xml:space="preserve">For further details refer to </w:t>
      </w:r>
      <w:r w:rsidRPr="00F65F0D">
        <w:t xml:space="preserve">the </w:t>
      </w:r>
      <w:hyperlink r:id="rId18" w:history="1">
        <w:r w:rsidRPr="00274876">
          <w:rPr>
            <w:rStyle w:val="Hyperlink"/>
          </w:rPr>
          <w:t>Public Summary Document</w:t>
        </w:r>
      </w:hyperlink>
      <w:r w:rsidRPr="00F65F0D">
        <w:t xml:space="preserve"> from the </w:t>
      </w:r>
      <w:r>
        <w:t>November 2019 PBAC meeting</w:t>
      </w:r>
    </w:p>
    <w:p w14:paraId="5FD3EDEC" w14:textId="537C6006" w:rsidR="00B15615" w:rsidRPr="00B15615" w:rsidRDefault="00B15615" w:rsidP="00B15615">
      <w:pPr>
        <w:pStyle w:val="Heading3"/>
        <w:spacing w:after="0"/>
      </w:pPr>
      <w:r>
        <w:t>March 2022</w:t>
      </w:r>
      <w:r w:rsidRPr="00B15615">
        <w:t xml:space="preserve"> PBAC </w:t>
      </w:r>
      <w:r w:rsidR="00DC0F1D">
        <w:t>m</w:t>
      </w:r>
      <w:r w:rsidRPr="00B15615">
        <w:t>eeting</w:t>
      </w:r>
    </w:p>
    <w:p w14:paraId="1B16FAD8" w14:textId="5BA1F88C" w:rsidR="00893920" w:rsidRDefault="0072517C" w:rsidP="00893920">
      <w:r>
        <w:t xml:space="preserve">The PBAC recommended the listing of the durvalumab 1500 mg Q4W regimen for the treatment of NSCLC. The PBAC considered creating a separate listing with a maximum amount of 1500 mg and four repeats to provide for 1500 mg Q4W dosing may lead to unnecessary complexity and potential ambiguity in the listings. </w:t>
      </w:r>
    </w:p>
    <w:p w14:paraId="6AFCF68A" w14:textId="77777777" w:rsidR="0072517C" w:rsidRDefault="0072517C" w:rsidP="00893920">
      <w:pPr>
        <w:spacing w:after="0"/>
      </w:pPr>
      <w:r>
        <w:t xml:space="preserve">Instead, the PBAC recommended amending the existing listing as follows: </w:t>
      </w:r>
    </w:p>
    <w:p w14:paraId="016543AC" w14:textId="77777777" w:rsidR="0072517C" w:rsidRDefault="0072517C" w:rsidP="00893920">
      <w:pPr>
        <w:pStyle w:val="ListParagraph"/>
        <w:numPr>
          <w:ilvl w:val="0"/>
          <w:numId w:val="1"/>
        </w:numPr>
        <w:spacing w:after="0"/>
      </w:pPr>
      <w:r>
        <w:t xml:space="preserve">Increase the maximum amount from 1200 mg to 1500 mg. </w:t>
      </w:r>
    </w:p>
    <w:p w14:paraId="3260EB8F" w14:textId="77777777" w:rsidR="0072517C" w:rsidRDefault="0072517C" w:rsidP="00893920">
      <w:pPr>
        <w:pStyle w:val="ListParagraph"/>
        <w:numPr>
          <w:ilvl w:val="0"/>
          <w:numId w:val="1"/>
        </w:numPr>
        <w:spacing w:after="0"/>
      </w:pPr>
      <w:r>
        <w:t xml:space="preserve">Reduce the number of repeats from 8 to 4. </w:t>
      </w:r>
    </w:p>
    <w:p w14:paraId="3F0B916C" w14:textId="711157F8" w:rsidR="00893920" w:rsidRDefault="0072517C" w:rsidP="00893920">
      <w:pPr>
        <w:pStyle w:val="ListParagraph"/>
        <w:numPr>
          <w:ilvl w:val="0"/>
          <w:numId w:val="1"/>
        </w:numPr>
        <w:spacing w:after="0"/>
      </w:pPr>
      <w:r>
        <w:t xml:space="preserve">remove administrative advice: ‘No increase in the maximum number of repeats may be authorised’. </w:t>
      </w:r>
    </w:p>
    <w:p w14:paraId="4168B3FD" w14:textId="77777777" w:rsidR="00893920" w:rsidRDefault="00893920" w:rsidP="00893920">
      <w:pPr>
        <w:pStyle w:val="ListParagraph"/>
        <w:spacing w:after="0"/>
        <w:ind w:left="360"/>
      </w:pPr>
    </w:p>
    <w:p w14:paraId="7325A4F7" w14:textId="7CE47EF2" w:rsidR="0072517C" w:rsidRPr="0072517C" w:rsidRDefault="0072517C" w:rsidP="00893920">
      <w:r>
        <w:t>The PBAC considered the market share estimates were reasonable and, due to the small cost differences, were unlikely to have a significant impact on the overall financial impact.</w:t>
      </w:r>
    </w:p>
    <w:p w14:paraId="70539E18" w14:textId="4DCC1A1E" w:rsidR="00D94863" w:rsidRPr="00F65F0D" w:rsidRDefault="00D94863" w:rsidP="00893920">
      <w:r>
        <w:t xml:space="preserve">For further details refer to </w:t>
      </w:r>
      <w:r w:rsidRPr="00F65F0D">
        <w:t xml:space="preserve">the </w:t>
      </w:r>
      <w:hyperlink r:id="rId19" w:history="1">
        <w:r w:rsidRPr="0072517C">
          <w:rPr>
            <w:rStyle w:val="Hyperlink"/>
          </w:rPr>
          <w:t>Public Summary Document</w:t>
        </w:r>
      </w:hyperlink>
      <w:r>
        <w:t xml:space="preserve"> </w:t>
      </w:r>
      <w:r w:rsidRPr="00F65F0D">
        <w:t xml:space="preserve">from the </w:t>
      </w:r>
      <w:r w:rsidR="0072517C">
        <w:t xml:space="preserve">March 2022 </w:t>
      </w:r>
      <w:r>
        <w:t>PBAC meeting.</w:t>
      </w:r>
    </w:p>
    <w:p w14:paraId="0DEBD50F" w14:textId="1EF03B4B" w:rsidR="00094DCF" w:rsidRDefault="00ED633B" w:rsidP="00CF5E22">
      <w:pPr>
        <w:pStyle w:val="Heading2"/>
      </w:pPr>
      <w:r>
        <w:t xml:space="preserve">Previous reviews by </w:t>
      </w:r>
      <w:r w:rsidR="00177B86">
        <w:t xml:space="preserve">the </w:t>
      </w:r>
      <w:r>
        <w:t>DUSC</w:t>
      </w:r>
    </w:p>
    <w:p w14:paraId="011F65B8" w14:textId="507786BE" w:rsidR="0066487C" w:rsidRPr="0066487C" w:rsidRDefault="0066487C" w:rsidP="0066487C">
      <w:pPr>
        <w:rPr>
          <w:b/>
          <w:bCs/>
          <w:u w:val="single"/>
        </w:rPr>
      </w:pPr>
      <w:r w:rsidRPr="0066487C">
        <w:rPr>
          <w:b/>
          <w:bCs/>
          <w:u w:val="single"/>
        </w:rPr>
        <w:t xml:space="preserve">Commercial-in-confidence </w:t>
      </w:r>
    </w:p>
    <w:p w14:paraId="0E2FA47D" w14:textId="1C212097" w:rsidR="00AA2599" w:rsidRDefault="00AA2599" w:rsidP="00B15615">
      <w:pPr>
        <w:spacing w:after="0"/>
        <w:rPr>
          <w:b/>
          <w:i/>
          <w:szCs w:val="28"/>
        </w:rPr>
      </w:pPr>
      <w:r w:rsidRPr="00AA2599">
        <w:rPr>
          <w:b/>
          <w:i/>
          <w:color w:val="000000"/>
          <w:w w:val="57"/>
          <w:szCs w:val="28"/>
          <w:shd w:val="solid" w:color="000000" w:fill="000000"/>
          <w:fitText w:val="1315" w:id="-1459872256"/>
          <w14:textFill>
            <w14:solidFill>
              <w14:srgbClr w14:val="000000">
                <w14:alpha w14:val="100000"/>
              </w14:srgbClr>
            </w14:solidFill>
          </w14:textFill>
        </w:rPr>
        <w:t>|||||||||||||||||||</w:t>
      </w:r>
      <w:r w:rsidRPr="00AA2599">
        <w:rPr>
          <w:b/>
          <w:i/>
          <w:color w:val="000000"/>
          <w:spacing w:val="16"/>
          <w:w w:val="57"/>
          <w:szCs w:val="28"/>
          <w:shd w:val="solid" w:color="000000" w:fill="000000"/>
          <w:fitText w:val="1315" w:id="-1459872256"/>
          <w14:textFill>
            <w14:solidFill>
              <w14:srgbClr w14:val="000000">
                <w14:alpha w14:val="100000"/>
              </w14:srgbClr>
            </w14:solidFill>
          </w14:textFill>
        </w:rPr>
        <w:t>|</w:t>
      </w:r>
    </w:p>
    <w:p w14:paraId="4E6BED7A" w14:textId="2AB96EFF" w:rsidR="00AA2599" w:rsidRDefault="00AA2599" w:rsidP="00B15615">
      <w:pPr>
        <w:spacing w:after="0"/>
        <w:rPr>
          <w:b/>
          <w:i/>
          <w:szCs w:val="28"/>
        </w:rPr>
      </w:pPr>
      <w:r w:rsidRPr="00AA2599">
        <w:rPr>
          <w:b/>
          <w:i/>
          <w:color w:val="000000"/>
          <w:w w:val="53"/>
          <w:szCs w:val="28"/>
          <w:shd w:val="solid" w:color="000000" w:fill="000000"/>
          <w:fitText w:val="5021" w:id="-1459872255"/>
          <w14:textFill>
            <w14:solidFill>
              <w14:srgbClr w14:val="000000">
                <w14:alpha w14:val="100000"/>
              </w14:srgbClr>
            </w14:solidFill>
          </w14:textFill>
        </w:rPr>
        <w:t>|||||||||||||||||||||||||||||||||||||||||||||||||||||||||||||||||||||||||||||||||</w:t>
      </w:r>
      <w:r w:rsidRPr="00AA2599">
        <w:rPr>
          <w:b/>
          <w:i/>
          <w:color w:val="000000"/>
          <w:spacing w:val="72"/>
          <w:w w:val="53"/>
          <w:szCs w:val="28"/>
          <w:shd w:val="solid" w:color="000000" w:fill="000000"/>
          <w:fitText w:val="5021" w:id="-1459872255"/>
          <w14:textFill>
            <w14:solidFill>
              <w14:srgbClr w14:val="000000">
                <w14:alpha w14:val="100000"/>
              </w14:srgbClr>
            </w14:solidFill>
          </w14:textFill>
        </w:rPr>
        <w:t>|</w:t>
      </w:r>
      <w:r>
        <w:rPr>
          <w:b/>
          <w:i/>
          <w:szCs w:val="28"/>
        </w:rPr>
        <w:t xml:space="preserve"> </w:t>
      </w:r>
    </w:p>
    <w:p w14:paraId="1329E9D0" w14:textId="51BB16C4" w:rsidR="00AA2599" w:rsidRDefault="00AA2599" w:rsidP="00B15615">
      <w:pPr>
        <w:spacing w:after="0"/>
        <w:rPr>
          <w:b/>
          <w:i/>
          <w:szCs w:val="28"/>
        </w:rPr>
      </w:pPr>
      <w:r w:rsidRPr="00AA2599">
        <w:rPr>
          <w:b/>
          <w:i/>
          <w:color w:val="000000"/>
          <w:w w:val="53"/>
          <w:szCs w:val="28"/>
          <w:shd w:val="solid" w:color="000000" w:fill="000000"/>
          <w:fitText w:val="8627" w:id="-1459872254"/>
          <w14:textFill>
            <w14:solidFill>
              <w14:srgbClr w14:val="000000">
                <w14:alpha w14:val="100000"/>
              </w14:srgbClr>
            </w14:solidFill>
          </w14:textFill>
        </w:rPr>
        <w:t>|||||||||||||||||||||||||||||||||||||||||||||||||||||||||||||||||||||||||||||||||||||||||||||||||||||||||||||||||||||||||||||||||||||||||||||</w:t>
      </w:r>
      <w:r w:rsidRPr="00AA2599">
        <w:rPr>
          <w:b/>
          <w:i/>
          <w:color w:val="000000"/>
          <w:spacing w:val="57"/>
          <w:w w:val="53"/>
          <w:szCs w:val="28"/>
          <w:shd w:val="solid" w:color="000000" w:fill="000000"/>
          <w:fitText w:val="8627" w:id="-1459872254"/>
          <w14:textFill>
            <w14:solidFill>
              <w14:srgbClr w14:val="000000">
                <w14:alpha w14:val="100000"/>
              </w14:srgbClr>
            </w14:solidFill>
          </w14:textFill>
        </w:rPr>
        <w:t>|</w:t>
      </w:r>
      <w:r>
        <w:rPr>
          <w:b/>
          <w:i/>
          <w:szCs w:val="28"/>
        </w:rPr>
        <w:t xml:space="preserve"> </w:t>
      </w:r>
      <w:r w:rsidRPr="00AA2599">
        <w:rPr>
          <w:b/>
          <w:i/>
          <w:color w:val="000000"/>
          <w:w w:val="53"/>
          <w:szCs w:val="28"/>
          <w:shd w:val="solid" w:color="000000" w:fill="000000"/>
          <w:fitText w:val="8364" w:id="-1459872253"/>
          <w14:textFill>
            <w14:solidFill>
              <w14:srgbClr w14:val="000000">
                <w14:alpha w14:val="100000"/>
              </w14:srgbClr>
            </w14:solidFill>
          </w14:textFill>
        </w:rPr>
        <w:t>|||||||||||||||||||||||||||||||||||||||||||||||||||||||||||||||||||||||||||||||||||||||||||||||||||||||||||||||||||||||||||||||||||||||||</w:t>
      </w:r>
      <w:r w:rsidRPr="00AA2599">
        <w:rPr>
          <w:b/>
          <w:i/>
          <w:color w:val="000000"/>
          <w:spacing w:val="35"/>
          <w:w w:val="53"/>
          <w:szCs w:val="28"/>
          <w:shd w:val="solid" w:color="000000" w:fill="000000"/>
          <w:fitText w:val="8364" w:id="-1459872253"/>
          <w14:textFill>
            <w14:solidFill>
              <w14:srgbClr w14:val="000000">
                <w14:alpha w14:val="100000"/>
              </w14:srgbClr>
            </w14:solidFill>
          </w14:textFill>
        </w:rPr>
        <w:t>|</w:t>
      </w:r>
      <w:r>
        <w:rPr>
          <w:b/>
          <w:i/>
          <w:szCs w:val="28"/>
        </w:rPr>
        <w:t xml:space="preserve"> </w:t>
      </w:r>
      <w:r w:rsidRPr="00AA2599">
        <w:rPr>
          <w:b/>
          <w:i/>
          <w:color w:val="000000"/>
          <w:w w:val="53"/>
          <w:szCs w:val="28"/>
          <w:shd w:val="solid" w:color="000000" w:fill="000000"/>
          <w:fitText w:val="8615" w:id="-1459872252"/>
          <w14:textFill>
            <w14:solidFill>
              <w14:srgbClr w14:val="000000">
                <w14:alpha w14:val="100000"/>
              </w14:srgbClr>
            </w14:solidFill>
          </w14:textFill>
        </w:rPr>
        <w:t>|||||||||||||||||||||||||||||||||||||||||||||||||||||||||||||||||||||||||||||||||||||||||||||||||||||||||||||||||||||||||||||||||||||||||||||</w:t>
      </w:r>
      <w:r w:rsidRPr="00AA2599">
        <w:rPr>
          <w:b/>
          <w:i/>
          <w:color w:val="000000"/>
          <w:spacing w:val="45"/>
          <w:w w:val="53"/>
          <w:szCs w:val="28"/>
          <w:shd w:val="solid" w:color="000000" w:fill="000000"/>
          <w:fitText w:val="8615" w:id="-1459872252"/>
          <w14:textFill>
            <w14:solidFill>
              <w14:srgbClr w14:val="000000">
                <w14:alpha w14:val="100000"/>
              </w14:srgbClr>
            </w14:solidFill>
          </w14:textFill>
        </w:rPr>
        <w:t>|</w:t>
      </w:r>
      <w:r>
        <w:rPr>
          <w:b/>
          <w:i/>
          <w:szCs w:val="28"/>
        </w:rPr>
        <w:t xml:space="preserve"> </w:t>
      </w:r>
      <w:r w:rsidRPr="00AA2599">
        <w:rPr>
          <w:b/>
          <w:i/>
          <w:color w:val="000000"/>
          <w:w w:val="53"/>
          <w:szCs w:val="28"/>
          <w:shd w:val="solid" w:color="000000" w:fill="000000"/>
          <w:fitText w:val="8766" w:id="-1459872251"/>
          <w14:textFill>
            <w14:solidFill>
              <w14:srgbClr w14:val="000000">
                <w14:alpha w14:val="100000"/>
              </w14:srgbClr>
            </w14:solidFill>
          </w14:textFill>
        </w:rPr>
        <w:t>|||||||||||||||||||||||||||||||||||||||||||||||||||||||||||||||||||||||||||||||||||||||||||||||||||||||||||||||||||||||||||||||||||||||||||||||</w:t>
      </w:r>
      <w:r w:rsidRPr="00AA2599">
        <w:rPr>
          <w:b/>
          <w:i/>
          <w:color w:val="000000"/>
          <w:spacing w:val="75"/>
          <w:w w:val="53"/>
          <w:szCs w:val="28"/>
          <w:shd w:val="solid" w:color="000000" w:fill="000000"/>
          <w:fitText w:val="8766" w:id="-1459872251"/>
          <w14:textFill>
            <w14:solidFill>
              <w14:srgbClr w14:val="000000">
                <w14:alpha w14:val="100000"/>
              </w14:srgbClr>
            </w14:solidFill>
          </w14:textFill>
        </w:rPr>
        <w:t>|</w:t>
      </w:r>
      <w:r>
        <w:rPr>
          <w:b/>
          <w:i/>
          <w:szCs w:val="28"/>
        </w:rPr>
        <w:t xml:space="preserve"> </w:t>
      </w:r>
      <w:r w:rsidRPr="00AA2599">
        <w:rPr>
          <w:b/>
          <w:i/>
          <w:color w:val="000000"/>
          <w:w w:val="53"/>
          <w:szCs w:val="28"/>
          <w:shd w:val="solid" w:color="000000" w:fill="000000"/>
          <w:fitText w:val="8691" w:id="-1459872250"/>
          <w14:textFill>
            <w14:solidFill>
              <w14:srgbClr w14:val="000000">
                <w14:alpha w14:val="100000"/>
              </w14:srgbClr>
            </w14:solidFill>
          </w14:textFill>
        </w:rPr>
        <w:t>|||||||||||||||||||||||||||||||||||||||||||||||||||||||||||||||||||||||||||||||||||||||||||||||||||||||||||||||||||||||||||||||||||||||||||||</w:t>
      </w:r>
      <w:r w:rsidRPr="00AA2599">
        <w:rPr>
          <w:b/>
          <w:i/>
          <w:color w:val="000000"/>
          <w:spacing w:val="121"/>
          <w:w w:val="53"/>
          <w:szCs w:val="28"/>
          <w:shd w:val="solid" w:color="000000" w:fill="000000"/>
          <w:fitText w:val="8691" w:id="-1459872250"/>
          <w14:textFill>
            <w14:solidFill>
              <w14:srgbClr w14:val="000000">
                <w14:alpha w14:val="100000"/>
              </w14:srgbClr>
            </w14:solidFill>
          </w14:textFill>
        </w:rPr>
        <w:t>|</w:t>
      </w:r>
      <w:r>
        <w:rPr>
          <w:b/>
          <w:i/>
          <w:szCs w:val="28"/>
        </w:rPr>
        <w:t xml:space="preserve"> </w:t>
      </w:r>
      <w:r w:rsidRPr="00AA2599">
        <w:rPr>
          <w:b/>
          <w:i/>
          <w:color w:val="000000"/>
          <w:w w:val="53"/>
          <w:szCs w:val="28"/>
          <w:shd w:val="solid" w:color="000000" w:fill="000000"/>
          <w:fitText w:val="8602" w:id="-1459872249"/>
          <w14:textFill>
            <w14:solidFill>
              <w14:srgbClr w14:val="000000">
                <w14:alpha w14:val="100000"/>
              </w14:srgbClr>
            </w14:solidFill>
          </w14:textFill>
        </w:rPr>
        <w:t>|||||||||||||||||||||||||||||||||||||||||||||||||||||||||||||||||||||||||||||||||||||||||||||||||||||||||||||||||||||||||||||||||||||||||||||</w:t>
      </w:r>
      <w:r w:rsidRPr="00AA2599">
        <w:rPr>
          <w:b/>
          <w:i/>
          <w:color w:val="000000"/>
          <w:spacing w:val="32"/>
          <w:w w:val="53"/>
          <w:szCs w:val="28"/>
          <w:shd w:val="solid" w:color="000000" w:fill="000000"/>
          <w:fitText w:val="8602" w:id="-1459872249"/>
          <w14:textFill>
            <w14:solidFill>
              <w14:srgbClr w14:val="000000">
                <w14:alpha w14:val="100000"/>
              </w14:srgbClr>
            </w14:solidFill>
          </w14:textFill>
        </w:rPr>
        <w:t>|</w:t>
      </w:r>
      <w:r>
        <w:rPr>
          <w:b/>
          <w:i/>
          <w:szCs w:val="28"/>
        </w:rPr>
        <w:t xml:space="preserve"> </w:t>
      </w:r>
      <w:r w:rsidRPr="00AA2599">
        <w:rPr>
          <w:b/>
          <w:i/>
          <w:color w:val="000000"/>
          <w:w w:val="53"/>
          <w:szCs w:val="28"/>
          <w:shd w:val="solid" w:color="000000" w:fill="000000"/>
          <w:fitText w:val="8865" w:id="-1459872248"/>
          <w14:textFill>
            <w14:solidFill>
              <w14:srgbClr w14:val="000000">
                <w14:alpha w14:val="100000"/>
              </w14:srgbClr>
            </w14:solidFill>
          </w14:textFill>
        </w:rPr>
        <w:t>|||||||||||||||||||||||||||||||||||||||||||||||||||||||||||||||||||||||||||||||||||||||||||||||||||||||||||||||||||||||||||||||||||||||||||||||||</w:t>
      </w:r>
      <w:r w:rsidRPr="00AA2599">
        <w:rPr>
          <w:b/>
          <w:i/>
          <w:color w:val="000000"/>
          <w:spacing w:val="53"/>
          <w:w w:val="53"/>
          <w:szCs w:val="28"/>
          <w:shd w:val="solid" w:color="000000" w:fill="000000"/>
          <w:fitText w:val="8865" w:id="-1459872248"/>
          <w14:textFill>
            <w14:solidFill>
              <w14:srgbClr w14:val="000000">
                <w14:alpha w14:val="100000"/>
              </w14:srgbClr>
            </w14:solidFill>
          </w14:textFill>
        </w:rPr>
        <w:t>|</w:t>
      </w:r>
      <w:r>
        <w:rPr>
          <w:b/>
          <w:i/>
          <w:szCs w:val="28"/>
        </w:rPr>
        <w:t xml:space="preserve"> </w:t>
      </w:r>
      <w:r w:rsidRPr="00AA2599">
        <w:rPr>
          <w:b/>
          <w:i/>
          <w:color w:val="000000"/>
          <w:w w:val="53"/>
          <w:szCs w:val="28"/>
          <w:shd w:val="solid" w:color="000000" w:fill="000000"/>
          <w:fitText w:val="8590" w:id="-1459872247"/>
          <w14:textFill>
            <w14:solidFill>
              <w14:srgbClr w14:val="000000">
                <w14:alpha w14:val="100000"/>
              </w14:srgbClr>
            </w14:solidFill>
          </w14:textFill>
        </w:rPr>
        <w:t>|||||||||||||||||||||||||||||||||||||||||||||||||||||||||||||||||||||||||||||||||||||||||||||||||||||||||||||||||||||||||||||||||||||||||||||</w:t>
      </w:r>
      <w:r w:rsidRPr="00AA2599">
        <w:rPr>
          <w:b/>
          <w:i/>
          <w:color w:val="000000"/>
          <w:spacing w:val="20"/>
          <w:w w:val="53"/>
          <w:szCs w:val="28"/>
          <w:shd w:val="solid" w:color="000000" w:fill="000000"/>
          <w:fitText w:val="8590" w:id="-1459872247"/>
          <w14:textFill>
            <w14:solidFill>
              <w14:srgbClr w14:val="000000">
                <w14:alpha w14:val="100000"/>
              </w14:srgbClr>
            </w14:solidFill>
          </w14:textFill>
        </w:rPr>
        <w:t>|</w:t>
      </w:r>
      <w:r>
        <w:rPr>
          <w:b/>
          <w:i/>
          <w:szCs w:val="28"/>
        </w:rPr>
        <w:t xml:space="preserve"> </w:t>
      </w:r>
      <w:r w:rsidRPr="00AA2599">
        <w:rPr>
          <w:b/>
          <w:i/>
          <w:color w:val="000000"/>
          <w:w w:val="61"/>
          <w:szCs w:val="28"/>
          <w:shd w:val="solid" w:color="000000" w:fill="000000"/>
          <w:fitText w:val="989" w:id="-1459872246"/>
          <w14:textFill>
            <w14:solidFill>
              <w14:srgbClr w14:val="000000">
                <w14:alpha w14:val="100000"/>
              </w14:srgbClr>
            </w14:solidFill>
          </w14:textFill>
        </w:rPr>
        <w:t>|||||||||||||</w:t>
      </w:r>
      <w:r w:rsidRPr="00AA2599">
        <w:rPr>
          <w:b/>
          <w:i/>
          <w:color w:val="000000"/>
          <w:spacing w:val="16"/>
          <w:w w:val="61"/>
          <w:szCs w:val="28"/>
          <w:shd w:val="solid" w:color="000000" w:fill="000000"/>
          <w:fitText w:val="989" w:id="-1459872246"/>
          <w14:textFill>
            <w14:solidFill>
              <w14:srgbClr w14:val="000000">
                <w14:alpha w14:val="100000"/>
              </w14:srgbClr>
            </w14:solidFill>
          </w14:textFill>
        </w:rPr>
        <w:t>|</w:t>
      </w:r>
      <w:r>
        <w:rPr>
          <w:b/>
          <w:i/>
          <w:szCs w:val="28"/>
        </w:rPr>
        <w:t xml:space="preserve"> </w:t>
      </w:r>
    </w:p>
    <w:p w14:paraId="35500CA0" w14:textId="27236016" w:rsidR="00FA722B" w:rsidRDefault="00FA722B" w:rsidP="00B15615">
      <w:pPr>
        <w:spacing w:after="0"/>
      </w:pPr>
    </w:p>
    <w:p w14:paraId="3E1101A3" w14:textId="5A345BA8" w:rsidR="00B15615" w:rsidRPr="0066487C" w:rsidRDefault="0066487C" w:rsidP="00B15615">
      <w:pPr>
        <w:spacing w:after="0"/>
        <w:rPr>
          <w:b/>
          <w:bCs/>
          <w:u w:val="single"/>
        </w:rPr>
      </w:pPr>
      <w:r w:rsidRPr="0066487C">
        <w:rPr>
          <w:b/>
          <w:bCs/>
          <w:u w:val="single"/>
        </w:rPr>
        <w:t xml:space="preserve">End commercial-in-confidence </w:t>
      </w:r>
    </w:p>
    <w:p w14:paraId="05CD9AB2" w14:textId="50A7DE71" w:rsidR="00B15615" w:rsidRDefault="00B15615" w:rsidP="00B15615">
      <w:pPr>
        <w:pStyle w:val="Heading3"/>
        <w:spacing w:after="0"/>
      </w:pPr>
      <w:r>
        <w:t>February 2017</w:t>
      </w:r>
    </w:p>
    <w:p w14:paraId="6DAD6D41" w14:textId="7063C557" w:rsidR="00DA4DF8" w:rsidRPr="00DA4DF8" w:rsidRDefault="00DA4DF8" w:rsidP="00B15615">
      <w:pPr>
        <w:spacing w:after="0"/>
        <w:rPr>
          <w:b/>
          <w:bCs/>
        </w:rPr>
      </w:pPr>
      <w:r>
        <w:rPr>
          <w:b/>
          <w:bCs/>
        </w:rPr>
        <w:t>Erlotinib and Gefinitib</w:t>
      </w:r>
      <w:r w:rsidR="00C865C5">
        <w:rPr>
          <w:b/>
          <w:bCs/>
        </w:rPr>
        <w:t xml:space="preserve"> for NSCLC</w:t>
      </w:r>
      <w:r>
        <w:rPr>
          <w:b/>
          <w:bCs/>
        </w:rPr>
        <w:t xml:space="preserve">: predicted versus actual analysis </w:t>
      </w:r>
    </w:p>
    <w:p w14:paraId="47FE9144" w14:textId="7568DA8D" w:rsidR="00DA4DF8" w:rsidRDefault="00DA4DF8" w:rsidP="00B15615">
      <w:pPr>
        <w:spacing w:after="0"/>
      </w:pPr>
      <w:r>
        <w:t xml:space="preserve">In 2014, 598 patients commenced erlotinib or gefitinib for first-line treatment of Stage IIIB (locally advanced) or Stage IV (metastatic) NSCLC harbouring EGFR mutations. In 2015, 347 patients commenced </w:t>
      </w:r>
      <w:r w:rsidR="00FA722B">
        <w:t>1L</w:t>
      </w:r>
      <w:r>
        <w:t xml:space="preserve"> erlotinib or gefitinib therapy. The number of </w:t>
      </w:r>
      <w:r w:rsidR="00DE2B72">
        <w:t>patients</w:t>
      </w:r>
      <w:r>
        <w:t xml:space="preserve"> </w:t>
      </w:r>
      <w:r w:rsidR="00DE2B72">
        <w:t>who received</w:t>
      </w:r>
      <w:r>
        <w:t xml:space="preserve"> </w:t>
      </w:r>
      <w:r w:rsidR="000637C8">
        <w:t>1L</w:t>
      </w:r>
      <w:r>
        <w:t xml:space="preserve"> TKIs was similar to expected in 2014 and lower than expected in 2015. Median length on </w:t>
      </w:r>
      <w:r w:rsidR="000637C8">
        <w:t xml:space="preserve">1L </w:t>
      </w:r>
      <w:r w:rsidR="00DE2B72">
        <w:t>TKI treatment was</w:t>
      </w:r>
      <w:r>
        <w:t xml:space="preserve"> similar to predicted. The observed prevalence of EGFR mutations (17.9%) was similar to predicted (15%). A small proportion of patients (7.4%) initiating TKI </w:t>
      </w:r>
      <w:r>
        <w:lastRenderedPageBreak/>
        <w:t xml:space="preserve">therapy in 2014 had supplies of chemotherapy between supplies of TKI, indicating use beyond progression or in combination with chemotherapy, which is outside the PBS restriction. </w:t>
      </w:r>
    </w:p>
    <w:p w14:paraId="29777181" w14:textId="77777777" w:rsidR="00B15615" w:rsidRDefault="00B15615" w:rsidP="00B15615">
      <w:pPr>
        <w:spacing w:after="0"/>
      </w:pPr>
    </w:p>
    <w:p w14:paraId="5F1758D7" w14:textId="664A1F01" w:rsidR="00C865C5" w:rsidRDefault="00C865C5" w:rsidP="00B15615">
      <w:pPr>
        <w:spacing w:after="0"/>
      </w:pPr>
      <w:r>
        <w:t xml:space="preserve">For details of the DUSC consideration of erlotinib and gefitinib refer to the </w:t>
      </w:r>
      <w:hyperlink r:id="rId20" w:history="1">
        <w:r w:rsidRPr="00BA173F">
          <w:rPr>
            <w:rStyle w:val="Hyperlink"/>
          </w:rPr>
          <w:t>Public Release Document</w:t>
        </w:r>
      </w:hyperlink>
      <w:r>
        <w:t xml:space="preserve"> from the February 2017 DUSC meeting.</w:t>
      </w:r>
    </w:p>
    <w:p w14:paraId="586B7D79" w14:textId="77777777" w:rsidR="00C04305" w:rsidRDefault="00C04305" w:rsidP="00B15615">
      <w:pPr>
        <w:spacing w:after="0"/>
      </w:pPr>
    </w:p>
    <w:p w14:paraId="0A750876" w14:textId="2D1B0E96" w:rsidR="00B15615" w:rsidRPr="00C865C5" w:rsidRDefault="00B15615" w:rsidP="00B15615">
      <w:pPr>
        <w:pStyle w:val="Heading3"/>
        <w:spacing w:after="0"/>
      </w:pPr>
      <w:r>
        <w:t xml:space="preserve">June 2020 </w:t>
      </w:r>
    </w:p>
    <w:p w14:paraId="066E775F" w14:textId="7D9DC7A6" w:rsidR="00043103" w:rsidRDefault="00043103" w:rsidP="00B15615">
      <w:pPr>
        <w:spacing w:after="0"/>
        <w:rPr>
          <w:b/>
          <w:bCs/>
        </w:rPr>
      </w:pPr>
      <w:r>
        <w:rPr>
          <w:b/>
          <w:bCs/>
        </w:rPr>
        <w:t xml:space="preserve">Nivolumab for NSCLC: predicted versus actual analysis </w:t>
      </w:r>
    </w:p>
    <w:p w14:paraId="29011EEC" w14:textId="7FA704ED" w:rsidR="00043103" w:rsidRDefault="00043103" w:rsidP="00B15615">
      <w:pPr>
        <w:spacing w:after="0"/>
      </w:pPr>
      <w:r>
        <w:t>DUSC reviewed the use of nivolumab for the treatment of NSCLC. Since PBS listing, 5,331 patients were supplied nivolumab for NSCLC, and in 2019, 25,816 prescriptions of nivolumab were supplied to 2,327 patients. The utilisation of nivolumab had decreased as other immunotherapies had been PBS listed for NSCLC. The alteration of the PBS restriction to allow flat dosing from September 2019 was changing prescribing, as patients were being supplied higher doses less often.</w:t>
      </w:r>
    </w:p>
    <w:p w14:paraId="4574FFB8" w14:textId="77777777" w:rsidR="00CA7904" w:rsidRPr="00043103" w:rsidRDefault="00CA7904" w:rsidP="00B15615">
      <w:pPr>
        <w:spacing w:after="0"/>
        <w:rPr>
          <w:b/>
          <w:bCs/>
        </w:rPr>
      </w:pPr>
    </w:p>
    <w:p w14:paraId="44C9A188" w14:textId="4A6DFB41" w:rsidR="00043103" w:rsidRDefault="00043103" w:rsidP="00B15615">
      <w:pPr>
        <w:spacing w:after="0"/>
      </w:pPr>
      <w:r>
        <w:t xml:space="preserve">For details of the DUSC consideration of nivolumab refer to the </w:t>
      </w:r>
      <w:hyperlink r:id="rId21" w:history="1">
        <w:r w:rsidRPr="00043103">
          <w:rPr>
            <w:rStyle w:val="Hyperlink"/>
          </w:rPr>
          <w:t>Public Release Document</w:t>
        </w:r>
      </w:hyperlink>
      <w:r>
        <w:t xml:space="preserve"> from the June 2020 DUSC meeting.</w:t>
      </w:r>
    </w:p>
    <w:p w14:paraId="784CC00B" w14:textId="33705CD5" w:rsidR="00B15615" w:rsidRDefault="00B15615" w:rsidP="00B15615">
      <w:pPr>
        <w:spacing w:after="0"/>
      </w:pPr>
    </w:p>
    <w:p w14:paraId="78A63483" w14:textId="381C2759" w:rsidR="00B15615" w:rsidRDefault="00B15615" w:rsidP="00B15615">
      <w:pPr>
        <w:pStyle w:val="Heading3"/>
        <w:spacing w:after="0"/>
      </w:pPr>
      <w:r>
        <w:t xml:space="preserve">October 2020 </w:t>
      </w:r>
    </w:p>
    <w:p w14:paraId="3F98D011" w14:textId="3C740D0E" w:rsidR="00043103" w:rsidRDefault="00043103" w:rsidP="00B15615">
      <w:pPr>
        <w:spacing w:after="0"/>
        <w:rPr>
          <w:b/>
          <w:bCs/>
        </w:rPr>
      </w:pPr>
      <w:r w:rsidRPr="00043103">
        <w:rPr>
          <w:b/>
          <w:bCs/>
        </w:rPr>
        <w:t xml:space="preserve">Alectinib for </w:t>
      </w:r>
      <w:r>
        <w:rPr>
          <w:b/>
          <w:bCs/>
        </w:rPr>
        <w:t xml:space="preserve">NSCLC: predicted versus actual analysis </w:t>
      </w:r>
    </w:p>
    <w:p w14:paraId="4B25A0FC" w14:textId="09255C2E" w:rsidR="00043103" w:rsidRDefault="00043103" w:rsidP="00B15615">
      <w:pPr>
        <w:spacing w:after="0"/>
      </w:pPr>
      <w:r>
        <w:t>DUSC reviewed the use of alectinib for the treatment of NSCLC. In 2018, 254 patients were dispensed 1,715 alectinib scripts. In 2019, 322 patients were dispensed 2,546 alectinib scripts. The overall utilisation of alectinib was higher than expected. The growth in the number of dispensed scripts was greater compared to the number of patients as the treatment duration was longer than predicted. For patients treated with ALK inhibitors, most were treated with alectinib or switched from a different treatment to alectinib.</w:t>
      </w:r>
    </w:p>
    <w:p w14:paraId="2B463252" w14:textId="77777777" w:rsidR="00B15615" w:rsidRPr="00043103" w:rsidRDefault="00B15615" w:rsidP="00B15615">
      <w:pPr>
        <w:spacing w:after="0"/>
        <w:rPr>
          <w:b/>
          <w:bCs/>
        </w:rPr>
      </w:pPr>
    </w:p>
    <w:p w14:paraId="4EDC9E52" w14:textId="269582AE" w:rsidR="00043103" w:rsidRPr="008C3874" w:rsidRDefault="009D1ED5" w:rsidP="00B15615">
      <w:pPr>
        <w:spacing w:after="0"/>
      </w:pPr>
      <w:r>
        <w:t xml:space="preserve">For details of the DUSC consideration of </w:t>
      </w:r>
      <w:r w:rsidR="00043103">
        <w:t xml:space="preserve">alectinib </w:t>
      </w:r>
      <w:r>
        <w:t xml:space="preserve">refer to the </w:t>
      </w:r>
      <w:hyperlink r:id="rId22" w:history="1">
        <w:r w:rsidRPr="00043103">
          <w:rPr>
            <w:rStyle w:val="Hyperlink"/>
          </w:rPr>
          <w:t>Public Release Document</w:t>
        </w:r>
      </w:hyperlink>
      <w:r>
        <w:t xml:space="preserve"> from the </w:t>
      </w:r>
      <w:r w:rsidR="00043103">
        <w:t xml:space="preserve">October 2020 </w:t>
      </w:r>
      <w:r>
        <w:t>DUSC meeting.</w:t>
      </w:r>
    </w:p>
    <w:p w14:paraId="01BA7D6F" w14:textId="77777777" w:rsidR="00500899" w:rsidRDefault="00500899">
      <w:pPr>
        <w:spacing w:line="276" w:lineRule="auto"/>
        <w:rPr>
          <w:rFonts w:eastAsiaTheme="majorEastAsia" w:cstheme="majorBidi"/>
          <w:b/>
          <w:bCs/>
          <w:sz w:val="32"/>
          <w:szCs w:val="32"/>
        </w:rPr>
      </w:pPr>
      <w:r>
        <w:br w:type="page"/>
      </w:r>
    </w:p>
    <w:p w14:paraId="0312FFEC" w14:textId="116C45B2" w:rsidR="00E677DD" w:rsidRPr="005E22C2" w:rsidRDefault="00E677DD" w:rsidP="00CF5E22">
      <w:pPr>
        <w:pStyle w:val="Heading1"/>
      </w:pPr>
      <w:r w:rsidRPr="005E22C2">
        <w:lastRenderedPageBreak/>
        <w:t>Method</w:t>
      </w:r>
      <w:r w:rsidR="001B5D37" w:rsidRPr="005E22C2">
        <w:t>s</w:t>
      </w:r>
    </w:p>
    <w:p w14:paraId="07588D7A" w14:textId="08C7FBE2" w:rsidR="00292AB5" w:rsidRDefault="00292AB5" w:rsidP="00A35800">
      <w:r>
        <w:t>Data extracted from the PBS claims database maintained by the Department of Health</w:t>
      </w:r>
      <w:r w:rsidR="00B56334">
        <w:t xml:space="preserve"> and</w:t>
      </w:r>
      <w:r>
        <w:t xml:space="preserve"> Aged Care and processed by Services Australia were used for the analyses. Prescription data were extracted from 1 January 201</w:t>
      </w:r>
      <w:r w:rsidR="00EE6AA4">
        <w:t>6</w:t>
      </w:r>
      <w:r>
        <w:t xml:space="preserve"> up to and including 30 </w:t>
      </w:r>
      <w:r w:rsidR="00EE6AA4">
        <w:t>June</w:t>
      </w:r>
      <w:r>
        <w:t xml:space="preserve"> 202</w:t>
      </w:r>
      <w:r w:rsidR="00EE6AA4">
        <w:t>2</w:t>
      </w:r>
      <w:r>
        <w:t xml:space="preserve">. </w:t>
      </w:r>
    </w:p>
    <w:p w14:paraId="174D6C07" w14:textId="15C5275E" w:rsidR="006E7C84" w:rsidRDefault="00292AB5" w:rsidP="00A35800">
      <w:r>
        <w:t>These data were used to determine the prescription and patients counts</w:t>
      </w:r>
      <w:r w:rsidR="00EE6AA4">
        <w:t xml:space="preserve"> </w:t>
      </w:r>
      <w:r>
        <w:t xml:space="preserve">for the </w:t>
      </w:r>
      <w:r w:rsidR="00EE6AA4">
        <w:t>NSCLC</w:t>
      </w:r>
      <w:r>
        <w:t xml:space="preserve"> market</w:t>
      </w:r>
      <w:r w:rsidR="00DE2B72">
        <w:t xml:space="preserve"> </w:t>
      </w:r>
      <w:r w:rsidR="006E7C84">
        <w:t xml:space="preserve">counted by </w:t>
      </w:r>
      <w:r w:rsidR="00DE2B72">
        <w:t xml:space="preserve">supply </w:t>
      </w:r>
      <w:r w:rsidR="006E7C84">
        <w:t>quarter and calendar year.</w:t>
      </w:r>
      <w:r w:rsidR="00A45F3F">
        <w:t xml:space="preserve"> T</w:t>
      </w:r>
      <w:r w:rsidR="006E7C84">
        <w:t xml:space="preserve">hese counts were categorised into therapy type: immunotherapy </w:t>
      </w:r>
      <w:r w:rsidR="00DE2B72">
        <w:t>and</w:t>
      </w:r>
      <w:r w:rsidR="006E7C84">
        <w:t xml:space="preserve"> targeted therapy. Drug names were ascertained based on their item cod</w:t>
      </w:r>
      <w:r w:rsidR="000637C8">
        <w:t>e</w:t>
      </w:r>
      <w:r w:rsidR="006E7C84">
        <w:t xml:space="preserve">. Crizotinib is currently PBS listed as both an ALK and ROS1 inhibitor, for which there are separate item codes. Similarly, </w:t>
      </w:r>
      <w:r w:rsidR="00AD393B">
        <w:t>atezolizumab</w:t>
      </w:r>
      <w:r w:rsidR="006E7C84">
        <w:t xml:space="preserve"> and nivolumab are currently PBS listed as </w:t>
      </w:r>
      <w:r w:rsidR="000637C8">
        <w:t>1L and 2L</w:t>
      </w:r>
      <w:r w:rsidR="006E7C84">
        <w:t xml:space="preserve"> therapies for NSCLC, for which there are separate item codes for. </w:t>
      </w:r>
    </w:p>
    <w:p w14:paraId="54DE9BF8" w14:textId="198A688D" w:rsidR="00EE6AA4" w:rsidRDefault="006E7C84" w:rsidP="00A35800">
      <w:r>
        <w:t xml:space="preserve">Bevacizumab was PBS listed as a combination therapy with </w:t>
      </w:r>
      <w:r w:rsidR="00AD393B">
        <w:t>atezolizumab</w:t>
      </w:r>
      <w:r>
        <w:t xml:space="preserve"> </w:t>
      </w:r>
      <w:r w:rsidR="00DE2B72">
        <w:t>for</w:t>
      </w:r>
      <w:r>
        <w:t xml:space="preserve"> </w:t>
      </w:r>
      <w:r w:rsidR="000637C8">
        <w:t>1L</w:t>
      </w:r>
      <w:r>
        <w:t xml:space="preserve"> therapy. However, </w:t>
      </w:r>
      <w:r w:rsidR="000637C8">
        <w:t>o</w:t>
      </w:r>
      <w:r>
        <w:t>n</w:t>
      </w:r>
      <w:r w:rsidR="000637C8">
        <w:t xml:space="preserve"> 1</w:t>
      </w:r>
      <w:r>
        <w:t xml:space="preserve"> </w:t>
      </w:r>
      <w:r w:rsidR="00764B0A">
        <w:t>June</w:t>
      </w:r>
      <w:r>
        <w:t xml:space="preserve"> 2021, it became an unrestricted listing with different item codes </w:t>
      </w:r>
      <w:r w:rsidR="000637C8">
        <w:t>with</w:t>
      </w:r>
      <w:r>
        <w:t xml:space="preserve"> </w:t>
      </w:r>
      <w:r w:rsidR="000637C8">
        <w:t>a</w:t>
      </w:r>
      <w:r>
        <w:t xml:space="preserve"> change in brand</w:t>
      </w:r>
      <w:r w:rsidR="000637C8">
        <w:t xml:space="preserve"> name</w:t>
      </w:r>
      <w:r>
        <w:t>.</w:t>
      </w:r>
      <w:r w:rsidR="00764B0A">
        <w:rPr>
          <w:rStyle w:val="FootnoteReference"/>
        </w:rPr>
        <w:footnoteReference w:id="19"/>
      </w:r>
      <w:r>
        <w:t xml:space="preserve"> As the indication for NSCLC utilisation cannot be ascertained following its change to an unrestricted listing, utilisation data for bevacizumab was only extracted up until </w:t>
      </w:r>
      <w:r w:rsidR="00764B0A">
        <w:t>31 May</w:t>
      </w:r>
      <w:r w:rsidR="006B3557">
        <w:t xml:space="preserve"> </w:t>
      </w:r>
      <w:r>
        <w:t xml:space="preserve">2021. </w:t>
      </w:r>
    </w:p>
    <w:p w14:paraId="6D1C2756" w14:textId="7EEBBB1F" w:rsidR="006E7C84" w:rsidRDefault="00EE6AA4" w:rsidP="00A35800">
      <w:r>
        <w:t>For durvalumab</w:t>
      </w:r>
      <w:r w:rsidR="00292AB5">
        <w:t xml:space="preserve">, </w:t>
      </w:r>
      <w:r w:rsidR="006E7C84">
        <w:t>PBS claims</w:t>
      </w:r>
      <w:r w:rsidR="00292AB5">
        <w:t xml:space="preserve"> data were used to determine the number of incident and prevalent patients, number of prescriptions supplied, and to analyse patient demographics such as age and gender. Initiating and prevalent patients were counted by quarter of supply. An initiating patient was defined based on their first date of supply of </w:t>
      </w:r>
      <w:r w:rsidR="006E7C84">
        <w:t>durvalumab</w:t>
      </w:r>
      <w:r w:rsidR="00292AB5">
        <w:t xml:space="preserve">. </w:t>
      </w:r>
    </w:p>
    <w:p w14:paraId="42D3226D" w14:textId="01113756" w:rsidR="00DE2B72" w:rsidRDefault="00D80202" w:rsidP="00A35800">
      <w:r>
        <w:t xml:space="preserve">A drug sequence analysis was conducted to examine the </w:t>
      </w:r>
      <w:r w:rsidR="000F4641">
        <w:t xml:space="preserve">utilisation </w:t>
      </w:r>
      <w:r>
        <w:t>pattern of immunotherapies. The first prescribed drug was recorded and if patients were subsequently supplied other drugs, these were noted to form the patient’s drug chronological sequence.</w:t>
      </w:r>
    </w:p>
    <w:p w14:paraId="32F350DE" w14:textId="3EBD0EEC" w:rsidR="00A45F3F" w:rsidRDefault="00D80202" w:rsidP="00A35800">
      <w:r>
        <w:t>The treatment duration of durvalumab was ascertained. A Kaplan</w:t>
      </w:r>
      <w:r w:rsidR="000637C8">
        <w:t>-</w:t>
      </w:r>
      <w:r>
        <w:t xml:space="preserve">Meier curve was generated to present treatment duration. A cohort of initiating patients were selected from 1 </w:t>
      </w:r>
      <w:r w:rsidR="00CC735C">
        <w:t xml:space="preserve">June </w:t>
      </w:r>
      <w:r>
        <w:t>20</w:t>
      </w:r>
      <w:r w:rsidR="00CC735C">
        <w:t>20</w:t>
      </w:r>
      <w:r>
        <w:t xml:space="preserve">, to account for the wash out period of grandfathered patients, up to and including </w:t>
      </w:r>
      <w:r w:rsidR="00C04305">
        <w:t>30 November 2020</w:t>
      </w:r>
      <w:r>
        <w:t>. These patients were followed until 30 June 202</w:t>
      </w:r>
      <w:r w:rsidR="00BE5B19">
        <w:t>2</w:t>
      </w:r>
      <w:r w:rsidR="004E21F6">
        <w:t>, with patients censored if they were still continuing treatment</w:t>
      </w:r>
      <w:r>
        <w:t xml:space="preserve">. Another Kaplan Meier curve was generated accounting for breaks in treatment. A patient was considered to be on a treatment break if they did not receive a supply in more than two sets of standard treatment days. The median standard treatment days was calculated to be </w:t>
      </w:r>
      <w:r w:rsidR="00A45F3F">
        <w:t>14</w:t>
      </w:r>
      <w:r>
        <w:t xml:space="preserve"> days. </w:t>
      </w:r>
    </w:p>
    <w:p w14:paraId="087B0025" w14:textId="143302C7" w:rsidR="00292AB5" w:rsidRDefault="00A45F3F" w:rsidP="00A35800">
      <w:r>
        <w:t xml:space="preserve">Date of death data were linked to the PBS claims data based on the unique patient identifier. </w:t>
      </w:r>
      <w:r w:rsidR="00C04305">
        <w:t>This was used to determine the proportion of patients who ceased</w:t>
      </w:r>
      <w:r w:rsidR="001D5663">
        <w:t xml:space="preserve"> durvalumab</w:t>
      </w:r>
      <w:r w:rsidR="00C04305">
        <w:t xml:space="preserve"> treatment due to death. </w:t>
      </w:r>
      <w:r w:rsidR="000637C8">
        <w:t>Date of death data</w:t>
      </w:r>
      <w:r w:rsidR="001D5663">
        <w:t xml:space="preserve"> were last updated 20 December 2021. </w:t>
      </w:r>
      <w:r w:rsidR="000637C8">
        <w:t xml:space="preserve"> </w:t>
      </w:r>
      <w:r w:rsidR="00292AB5">
        <w:t xml:space="preserve">As this </w:t>
      </w:r>
      <w:r w:rsidR="00292AB5">
        <w:lastRenderedPageBreak/>
        <w:t xml:space="preserve">analysis uses date of supply prescription data, there may be small differences compared with publicly available </w:t>
      </w:r>
      <w:r w:rsidR="00DE2B72">
        <w:t>Services Australia</w:t>
      </w:r>
      <w:r w:rsidR="00292AB5">
        <w:t xml:space="preserve"> Medicare date of processing data.</w:t>
      </w:r>
      <w:r w:rsidR="00292AB5">
        <w:rPr>
          <w:rStyle w:val="FootnoteReference"/>
        </w:rPr>
        <w:footnoteReference w:id="20"/>
      </w:r>
      <w:r w:rsidR="00292AB5">
        <w:t xml:space="preserve">  </w:t>
      </w:r>
    </w:p>
    <w:p w14:paraId="19B6CC37" w14:textId="2ACDC621" w:rsidR="00500899" w:rsidRPr="00AD393B" w:rsidRDefault="00292AB5" w:rsidP="00AD393B">
      <w:r>
        <w:t>Data manipulation was undertaken using SAS</w:t>
      </w:r>
      <w:r w:rsidR="00AD393B">
        <w:t xml:space="preserve">. </w:t>
      </w:r>
    </w:p>
    <w:p w14:paraId="5302C887" w14:textId="77777777" w:rsidR="00AD393B" w:rsidRDefault="00AD393B">
      <w:pPr>
        <w:spacing w:line="276" w:lineRule="auto"/>
        <w:rPr>
          <w:rFonts w:eastAsiaTheme="majorEastAsia" w:cstheme="majorBidi"/>
          <w:b/>
          <w:bCs/>
          <w:sz w:val="32"/>
          <w:szCs w:val="32"/>
        </w:rPr>
      </w:pPr>
      <w:r>
        <w:br w:type="page"/>
      </w:r>
    </w:p>
    <w:p w14:paraId="4F91A98A" w14:textId="3336A91F" w:rsidR="00C714D0" w:rsidRPr="005E22C2" w:rsidRDefault="00C714D0" w:rsidP="00CF5E22">
      <w:pPr>
        <w:pStyle w:val="Heading1"/>
      </w:pPr>
      <w:r w:rsidRPr="005E22C2">
        <w:lastRenderedPageBreak/>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4E1C0463" w14:textId="6C54A15F" w:rsidR="00CA427C" w:rsidRDefault="00736041" w:rsidP="00B4232A">
      <w:pPr>
        <w:pStyle w:val="Heading3"/>
      </w:pPr>
      <w:r w:rsidRPr="005E22C2">
        <w:t>Overall utilisatio</w:t>
      </w:r>
      <w:r w:rsidR="003D16D8">
        <w:t>n</w:t>
      </w:r>
    </w:p>
    <w:p w14:paraId="5044D5EC" w14:textId="7EEB9862" w:rsidR="00E101C7" w:rsidRPr="00E101C7" w:rsidRDefault="00E101C7" w:rsidP="00E101C7">
      <w:r>
        <w:t xml:space="preserve">Figure 1 and Table 3 shows the number of prescriptions supplied for the treatment of NSCLC by supply quarter and calendar year, respectively. </w:t>
      </w:r>
    </w:p>
    <w:p w14:paraId="6BCE2055" w14:textId="21F2DB91" w:rsidR="00B4232A" w:rsidRDefault="00193582" w:rsidP="00CA427C">
      <w:pPr>
        <w:pStyle w:val="Figurecaption"/>
        <w:jc w:val="center"/>
      </w:pPr>
      <w:r>
        <w:rPr>
          <w:noProof/>
        </w:rPr>
        <w:drawing>
          <wp:inline distT="0" distB="0" distL="0" distR="0" wp14:anchorId="19CEFD9C" wp14:editId="6582E20B">
            <wp:extent cx="5687695" cy="4481830"/>
            <wp:effectExtent l="0" t="0" r="8255" b="13970"/>
            <wp:docPr id="6" name="Chart 6">
              <a:extLst xmlns:a="http://schemas.openxmlformats.org/drawingml/2006/main">
                <a:ext uri="{FF2B5EF4-FFF2-40B4-BE49-F238E27FC236}">
                  <a16:creationId xmlns:a16="http://schemas.microsoft.com/office/drawing/2014/main" id="{09B09601-2673-4223-B8BA-0E69F6A11915}"/>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A611D8">
        <w:t xml:space="preserve">  </w:t>
      </w:r>
    </w:p>
    <w:p w14:paraId="660BC4FE" w14:textId="17E95CF1" w:rsidR="00E101C7" w:rsidRDefault="00E801B2" w:rsidP="00E801B2">
      <w:pPr>
        <w:pStyle w:val="Tabletitle"/>
      </w:pPr>
      <w:r w:rsidRPr="00E801B2">
        <w:t xml:space="preserve">Figure 1: </w:t>
      </w:r>
      <w:r w:rsidR="002325A4">
        <w:t xml:space="preserve">Number of prescriptions supplied for the treatment for NSCLC </w:t>
      </w:r>
      <w:r w:rsidR="00415E61">
        <w:t>by</w:t>
      </w:r>
      <w:r w:rsidR="002325A4">
        <w:t xml:space="preserve"> supply quarter</w:t>
      </w:r>
    </w:p>
    <w:p w14:paraId="49C9F578" w14:textId="77777777" w:rsidR="00E101C7" w:rsidRDefault="00E101C7" w:rsidP="00E101C7">
      <w:pPr>
        <w:spacing w:after="0"/>
      </w:pPr>
    </w:p>
    <w:p w14:paraId="2F41DF1D" w14:textId="3435A05F" w:rsidR="00E101C7" w:rsidRDefault="00E101C7" w:rsidP="00E101C7">
      <w:pPr>
        <w:spacing w:after="0"/>
      </w:pPr>
      <w:r>
        <w:t xml:space="preserve">As shown in Figure 1, based on the number of prescriptions supplied, the drug </w:t>
      </w:r>
      <w:r w:rsidR="0041065C">
        <w:t>that has accounted</w:t>
      </w:r>
      <w:r>
        <w:t xml:space="preserve"> for the largest NSCLC market share has varied over time</w:t>
      </w:r>
      <w:r w:rsidR="0041065C">
        <w:t xml:space="preserve">, </w:t>
      </w:r>
      <w:r w:rsidR="00233495">
        <w:t xml:space="preserve">including </w:t>
      </w:r>
      <w:r>
        <w:t xml:space="preserve">erlotinib (prior to 2017Q3), nivolumab (from 2017Q3 to 2020Q1) and pembrolizumab (from 2020Q1 onwards). </w:t>
      </w:r>
    </w:p>
    <w:p w14:paraId="7D7CAAC7" w14:textId="32B08CC7" w:rsidR="00E101C7" w:rsidRDefault="00E101C7" w:rsidP="00E101C7">
      <w:pPr>
        <w:spacing w:after="0"/>
      </w:pPr>
    </w:p>
    <w:p w14:paraId="3A158B21" w14:textId="67874CD9" w:rsidR="00E101C7" w:rsidRDefault="00E101C7" w:rsidP="00E101C7">
      <w:pPr>
        <w:spacing w:after="0"/>
      </w:pPr>
    </w:p>
    <w:p w14:paraId="4C9C1532" w14:textId="1AE5FC61" w:rsidR="00E101C7" w:rsidRDefault="00E101C7" w:rsidP="00E101C7">
      <w:pPr>
        <w:spacing w:after="0"/>
      </w:pPr>
    </w:p>
    <w:p w14:paraId="040FC738" w14:textId="6C5A68BD" w:rsidR="00E101C7" w:rsidRDefault="00E101C7" w:rsidP="00E101C7">
      <w:pPr>
        <w:spacing w:after="0"/>
      </w:pPr>
    </w:p>
    <w:p w14:paraId="6370F9BE" w14:textId="0029DB33" w:rsidR="00E101C7" w:rsidRDefault="00E101C7" w:rsidP="00E101C7">
      <w:pPr>
        <w:spacing w:after="0"/>
      </w:pPr>
    </w:p>
    <w:p w14:paraId="53E52178" w14:textId="77777777" w:rsidR="00E101C7" w:rsidRPr="00E101C7" w:rsidRDefault="00E101C7" w:rsidP="00E101C7">
      <w:pPr>
        <w:spacing w:after="0"/>
      </w:pPr>
    </w:p>
    <w:p w14:paraId="43C5AE99" w14:textId="63768A58" w:rsidR="00E12E74" w:rsidRDefault="005A2081" w:rsidP="00944A7A">
      <w:pPr>
        <w:pStyle w:val="Tabletitle"/>
      </w:pPr>
      <w:r>
        <w:lastRenderedPageBreak/>
        <w:t xml:space="preserve">Table </w:t>
      </w:r>
      <w:r w:rsidR="00B15615">
        <w:t>3</w:t>
      </w:r>
      <w:r>
        <w:t xml:space="preserve">: Number of </w:t>
      </w:r>
      <w:r w:rsidR="007B4782">
        <w:t xml:space="preserve">NSCLC </w:t>
      </w:r>
      <w:r>
        <w:t xml:space="preserve">prescriptions supplied by drug and calendar year </w:t>
      </w:r>
    </w:p>
    <w:tbl>
      <w:tblPr>
        <w:tblW w:w="8947" w:type="dxa"/>
        <w:tblLayout w:type="fixed"/>
        <w:tblLook w:val="04A0" w:firstRow="1" w:lastRow="0" w:firstColumn="1" w:lastColumn="0" w:noHBand="0" w:noVBand="1"/>
      </w:tblPr>
      <w:tblGrid>
        <w:gridCol w:w="1693"/>
        <w:gridCol w:w="906"/>
        <w:gridCol w:w="907"/>
        <w:gridCol w:w="907"/>
        <w:gridCol w:w="907"/>
        <w:gridCol w:w="906"/>
        <w:gridCol w:w="907"/>
        <w:gridCol w:w="907"/>
        <w:gridCol w:w="907"/>
      </w:tblGrid>
      <w:tr w:rsidR="00944A7A" w:rsidRPr="008C6905" w14:paraId="6B10E230" w14:textId="77777777" w:rsidTr="00944A7A">
        <w:trPr>
          <w:trHeight w:val="222"/>
        </w:trPr>
        <w:tc>
          <w:tcPr>
            <w:tcW w:w="169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2CEBC17" w14:textId="77777777" w:rsidR="008C6905" w:rsidRPr="008C6905" w:rsidRDefault="008C6905" w:rsidP="008C6905">
            <w:pPr>
              <w:spacing w:after="0"/>
              <w:rPr>
                <w:rFonts w:ascii="Calibri" w:eastAsia="Times New Roman" w:hAnsi="Calibri" w:cs="Calibri"/>
                <w:b/>
                <w:bCs/>
                <w:color w:val="000000"/>
                <w:sz w:val="20"/>
                <w:szCs w:val="20"/>
              </w:rPr>
            </w:pPr>
            <w:r w:rsidRPr="008C6905">
              <w:rPr>
                <w:rFonts w:ascii="Calibri" w:eastAsia="Times New Roman" w:hAnsi="Calibri" w:cs="Calibri"/>
                <w:b/>
                <w:bCs/>
                <w:color w:val="000000"/>
                <w:sz w:val="20"/>
                <w:szCs w:val="20"/>
              </w:rPr>
              <w:t xml:space="preserve">Drug </w:t>
            </w:r>
          </w:p>
        </w:tc>
        <w:tc>
          <w:tcPr>
            <w:tcW w:w="90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01289D0" w14:textId="77777777" w:rsidR="008C6905" w:rsidRPr="008C6905" w:rsidRDefault="008C6905" w:rsidP="008C6905">
            <w:pPr>
              <w:spacing w:after="0"/>
              <w:jc w:val="center"/>
              <w:rPr>
                <w:rFonts w:ascii="Calibri" w:eastAsia="Times New Roman" w:hAnsi="Calibri" w:cs="Calibri"/>
                <w:b/>
                <w:bCs/>
                <w:color w:val="000000"/>
                <w:sz w:val="20"/>
                <w:szCs w:val="20"/>
              </w:rPr>
            </w:pPr>
            <w:r w:rsidRPr="008C6905">
              <w:rPr>
                <w:rFonts w:ascii="Calibri" w:eastAsia="Times New Roman" w:hAnsi="Calibri" w:cs="Calibri"/>
                <w:b/>
                <w:bCs/>
                <w:color w:val="000000"/>
                <w:sz w:val="20"/>
                <w:szCs w:val="20"/>
              </w:rPr>
              <w:t>2016</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23DA0AB" w14:textId="77777777" w:rsidR="008C6905" w:rsidRPr="008C6905" w:rsidRDefault="008C6905" w:rsidP="008C6905">
            <w:pPr>
              <w:spacing w:after="0"/>
              <w:jc w:val="center"/>
              <w:rPr>
                <w:rFonts w:ascii="Calibri" w:eastAsia="Times New Roman" w:hAnsi="Calibri" w:cs="Calibri"/>
                <w:b/>
                <w:bCs/>
                <w:color w:val="000000"/>
                <w:sz w:val="20"/>
                <w:szCs w:val="20"/>
              </w:rPr>
            </w:pPr>
            <w:r w:rsidRPr="008C6905">
              <w:rPr>
                <w:rFonts w:ascii="Calibri" w:eastAsia="Times New Roman" w:hAnsi="Calibri" w:cs="Calibri"/>
                <w:b/>
                <w:bCs/>
                <w:color w:val="000000"/>
                <w:sz w:val="20"/>
                <w:szCs w:val="20"/>
              </w:rPr>
              <w:t>2017</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1498B21" w14:textId="77777777" w:rsidR="008C6905" w:rsidRPr="008C6905" w:rsidRDefault="008C6905" w:rsidP="008C6905">
            <w:pPr>
              <w:spacing w:after="0"/>
              <w:jc w:val="center"/>
              <w:rPr>
                <w:rFonts w:ascii="Calibri" w:eastAsia="Times New Roman" w:hAnsi="Calibri" w:cs="Calibri"/>
                <w:b/>
                <w:bCs/>
                <w:color w:val="000000"/>
                <w:sz w:val="20"/>
                <w:szCs w:val="20"/>
              </w:rPr>
            </w:pPr>
            <w:r w:rsidRPr="008C6905">
              <w:rPr>
                <w:rFonts w:ascii="Calibri" w:eastAsia="Times New Roman" w:hAnsi="Calibri" w:cs="Calibri"/>
                <w:b/>
                <w:bCs/>
                <w:color w:val="000000"/>
                <w:sz w:val="20"/>
                <w:szCs w:val="20"/>
              </w:rPr>
              <w:t>2018</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D6B1DA4" w14:textId="77777777" w:rsidR="008C6905" w:rsidRPr="008C6905" w:rsidRDefault="008C6905" w:rsidP="008C6905">
            <w:pPr>
              <w:spacing w:after="0"/>
              <w:jc w:val="center"/>
              <w:rPr>
                <w:rFonts w:ascii="Calibri" w:eastAsia="Times New Roman" w:hAnsi="Calibri" w:cs="Calibri"/>
                <w:b/>
                <w:bCs/>
                <w:color w:val="000000"/>
                <w:sz w:val="20"/>
                <w:szCs w:val="20"/>
              </w:rPr>
            </w:pPr>
            <w:r w:rsidRPr="008C6905">
              <w:rPr>
                <w:rFonts w:ascii="Calibri" w:eastAsia="Times New Roman" w:hAnsi="Calibri" w:cs="Calibri"/>
                <w:b/>
                <w:bCs/>
                <w:color w:val="000000"/>
                <w:sz w:val="20"/>
                <w:szCs w:val="20"/>
              </w:rPr>
              <w:t>2019</w:t>
            </w:r>
          </w:p>
        </w:tc>
        <w:tc>
          <w:tcPr>
            <w:tcW w:w="906"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15D26AD" w14:textId="77777777" w:rsidR="008C6905" w:rsidRPr="008C6905" w:rsidRDefault="008C6905" w:rsidP="008C6905">
            <w:pPr>
              <w:spacing w:after="0"/>
              <w:jc w:val="center"/>
              <w:rPr>
                <w:rFonts w:ascii="Calibri" w:eastAsia="Times New Roman" w:hAnsi="Calibri" w:cs="Calibri"/>
                <w:b/>
                <w:bCs/>
                <w:color w:val="000000"/>
                <w:sz w:val="20"/>
                <w:szCs w:val="20"/>
              </w:rPr>
            </w:pPr>
            <w:r w:rsidRPr="008C6905">
              <w:rPr>
                <w:rFonts w:ascii="Calibri" w:eastAsia="Times New Roman" w:hAnsi="Calibri" w:cs="Calibri"/>
                <w:b/>
                <w:bCs/>
                <w:color w:val="000000"/>
                <w:sz w:val="20"/>
                <w:szCs w:val="20"/>
              </w:rPr>
              <w:t>2020</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DA170DF" w14:textId="77777777" w:rsidR="008C6905" w:rsidRPr="008C6905" w:rsidRDefault="008C6905" w:rsidP="008C6905">
            <w:pPr>
              <w:spacing w:after="0"/>
              <w:jc w:val="center"/>
              <w:rPr>
                <w:rFonts w:ascii="Calibri" w:eastAsia="Times New Roman" w:hAnsi="Calibri" w:cs="Calibri"/>
                <w:b/>
                <w:bCs/>
                <w:color w:val="000000"/>
                <w:sz w:val="20"/>
                <w:szCs w:val="20"/>
              </w:rPr>
            </w:pPr>
            <w:r w:rsidRPr="008C6905">
              <w:rPr>
                <w:rFonts w:ascii="Calibri" w:eastAsia="Times New Roman" w:hAnsi="Calibri" w:cs="Calibri"/>
                <w:b/>
                <w:bCs/>
                <w:color w:val="000000"/>
                <w:sz w:val="20"/>
                <w:szCs w:val="20"/>
              </w:rPr>
              <w:t>2021</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573F36D" w14:textId="77777777" w:rsidR="008C6905" w:rsidRPr="008C6905" w:rsidRDefault="008C6905" w:rsidP="008C6905">
            <w:pPr>
              <w:spacing w:after="0"/>
              <w:jc w:val="center"/>
              <w:rPr>
                <w:rFonts w:ascii="Calibri" w:eastAsia="Times New Roman" w:hAnsi="Calibri" w:cs="Calibri"/>
                <w:b/>
                <w:bCs/>
                <w:color w:val="000000"/>
                <w:sz w:val="20"/>
                <w:szCs w:val="20"/>
              </w:rPr>
            </w:pPr>
            <w:r w:rsidRPr="008C6905">
              <w:rPr>
                <w:rFonts w:ascii="Calibri" w:eastAsia="Times New Roman" w:hAnsi="Calibri" w:cs="Calibri"/>
                <w:b/>
                <w:bCs/>
                <w:color w:val="000000"/>
                <w:sz w:val="20"/>
                <w:szCs w:val="20"/>
              </w:rPr>
              <w:t>2022</w:t>
            </w:r>
          </w:p>
        </w:tc>
        <w:tc>
          <w:tcPr>
            <w:tcW w:w="90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C4E8352" w14:textId="66F0A47A" w:rsidR="008C6905" w:rsidRPr="008C6905" w:rsidRDefault="008C6905" w:rsidP="008C6905">
            <w:pPr>
              <w:spacing w:after="0"/>
              <w:jc w:val="center"/>
              <w:rPr>
                <w:rFonts w:ascii="Calibri" w:eastAsia="Times New Roman" w:hAnsi="Calibri" w:cs="Calibri"/>
                <w:b/>
                <w:bCs/>
                <w:color w:val="000000"/>
                <w:sz w:val="20"/>
                <w:szCs w:val="20"/>
              </w:rPr>
            </w:pPr>
            <w:r w:rsidRPr="008C6905">
              <w:rPr>
                <w:rFonts w:ascii="Calibri" w:eastAsia="Times New Roman" w:hAnsi="Calibri" w:cs="Calibri"/>
                <w:b/>
                <w:bCs/>
                <w:color w:val="000000"/>
                <w:sz w:val="20"/>
                <w:szCs w:val="20"/>
              </w:rPr>
              <w:t>Total</w:t>
            </w:r>
          </w:p>
        </w:tc>
      </w:tr>
      <w:tr w:rsidR="00451255" w:rsidRPr="00451255" w14:paraId="08E3A2EB" w14:textId="77777777" w:rsidTr="00451255">
        <w:trPr>
          <w:trHeight w:val="222"/>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4B5BAB95" w14:textId="77777777" w:rsidR="00451255" w:rsidRPr="00451255" w:rsidRDefault="00451255" w:rsidP="00451255">
            <w:pPr>
              <w:spacing w:after="0"/>
              <w:rPr>
                <w:rFonts w:ascii="Calibri" w:eastAsia="Times New Roman" w:hAnsi="Calibri" w:cs="Calibri"/>
                <w:color w:val="000000"/>
                <w:sz w:val="20"/>
                <w:szCs w:val="20"/>
              </w:rPr>
            </w:pPr>
            <w:r w:rsidRPr="00451255">
              <w:rPr>
                <w:rFonts w:ascii="Calibri" w:eastAsia="Times New Roman" w:hAnsi="Calibri" w:cs="Calibri"/>
                <w:color w:val="000000"/>
                <w:sz w:val="20"/>
                <w:szCs w:val="20"/>
              </w:rPr>
              <w:t>NIVOLUMAB</w:t>
            </w:r>
          </w:p>
        </w:tc>
        <w:tc>
          <w:tcPr>
            <w:tcW w:w="906" w:type="dxa"/>
            <w:tcBorders>
              <w:top w:val="nil"/>
              <w:left w:val="nil"/>
              <w:bottom w:val="single" w:sz="4" w:space="0" w:color="auto"/>
              <w:right w:val="single" w:sz="4" w:space="0" w:color="auto"/>
            </w:tcBorders>
            <w:shd w:val="clear" w:color="auto" w:fill="auto"/>
            <w:noWrap/>
            <w:vAlign w:val="bottom"/>
            <w:hideMark/>
          </w:tcPr>
          <w:p w14:paraId="16D24FBE"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1D49F2FC"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13,799</w:t>
            </w:r>
          </w:p>
        </w:tc>
        <w:tc>
          <w:tcPr>
            <w:tcW w:w="907" w:type="dxa"/>
            <w:tcBorders>
              <w:top w:val="nil"/>
              <w:left w:val="nil"/>
              <w:bottom w:val="single" w:sz="4" w:space="0" w:color="auto"/>
              <w:right w:val="single" w:sz="4" w:space="0" w:color="auto"/>
            </w:tcBorders>
            <w:shd w:val="clear" w:color="auto" w:fill="auto"/>
            <w:noWrap/>
            <w:vAlign w:val="bottom"/>
            <w:hideMark/>
          </w:tcPr>
          <w:p w14:paraId="38FB618C"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35,747</w:t>
            </w:r>
          </w:p>
        </w:tc>
        <w:tc>
          <w:tcPr>
            <w:tcW w:w="907" w:type="dxa"/>
            <w:tcBorders>
              <w:top w:val="nil"/>
              <w:left w:val="nil"/>
              <w:bottom w:val="single" w:sz="4" w:space="0" w:color="auto"/>
              <w:right w:val="single" w:sz="4" w:space="0" w:color="auto"/>
            </w:tcBorders>
            <w:shd w:val="clear" w:color="auto" w:fill="auto"/>
            <w:noWrap/>
            <w:vAlign w:val="bottom"/>
            <w:hideMark/>
          </w:tcPr>
          <w:p w14:paraId="1EDA13F3"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25,816</w:t>
            </w:r>
          </w:p>
        </w:tc>
        <w:tc>
          <w:tcPr>
            <w:tcW w:w="906" w:type="dxa"/>
            <w:tcBorders>
              <w:top w:val="nil"/>
              <w:left w:val="nil"/>
              <w:bottom w:val="single" w:sz="4" w:space="0" w:color="auto"/>
              <w:right w:val="single" w:sz="4" w:space="0" w:color="auto"/>
            </w:tcBorders>
            <w:shd w:val="clear" w:color="auto" w:fill="auto"/>
            <w:noWrap/>
            <w:vAlign w:val="bottom"/>
            <w:hideMark/>
          </w:tcPr>
          <w:p w14:paraId="2F3C0DD2"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13,992</w:t>
            </w:r>
          </w:p>
        </w:tc>
        <w:tc>
          <w:tcPr>
            <w:tcW w:w="907" w:type="dxa"/>
            <w:tcBorders>
              <w:top w:val="nil"/>
              <w:left w:val="nil"/>
              <w:bottom w:val="single" w:sz="4" w:space="0" w:color="auto"/>
              <w:right w:val="single" w:sz="4" w:space="0" w:color="auto"/>
            </w:tcBorders>
            <w:shd w:val="clear" w:color="auto" w:fill="auto"/>
            <w:noWrap/>
            <w:vAlign w:val="bottom"/>
            <w:hideMark/>
          </w:tcPr>
          <w:p w14:paraId="2DEB0223"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9,499</w:t>
            </w:r>
          </w:p>
        </w:tc>
        <w:tc>
          <w:tcPr>
            <w:tcW w:w="907" w:type="dxa"/>
            <w:tcBorders>
              <w:top w:val="nil"/>
              <w:left w:val="nil"/>
              <w:bottom w:val="single" w:sz="4" w:space="0" w:color="auto"/>
              <w:right w:val="single" w:sz="4" w:space="0" w:color="auto"/>
            </w:tcBorders>
            <w:shd w:val="clear" w:color="auto" w:fill="auto"/>
            <w:noWrap/>
            <w:vAlign w:val="bottom"/>
            <w:hideMark/>
          </w:tcPr>
          <w:p w14:paraId="2BBDD22E"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3,717</w:t>
            </w:r>
          </w:p>
        </w:tc>
        <w:tc>
          <w:tcPr>
            <w:tcW w:w="907" w:type="dxa"/>
            <w:tcBorders>
              <w:top w:val="nil"/>
              <w:left w:val="nil"/>
              <w:bottom w:val="single" w:sz="4" w:space="0" w:color="auto"/>
              <w:right w:val="single" w:sz="4" w:space="0" w:color="auto"/>
            </w:tcBorders>
            <w:shd w:val="clear" w:color="auto" w:fill="auto"/>
            <w:noWrap/>
            <w:vAlign w:val="bottom"/>
            <w:hideMark/>
          </w:tcPr>
          <w:p w14:paraId="2C3503E8"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102,570</w:t>
            </w:r>
          </w:p>
        </w:tc>
      </w:tr>
      <w:tr w:rsidR="00451255" w:rsidRPr="00451255" w14:paraId="00DCF564" w14:textId="77777777" w:rsidTr="00451255">
        <w:trPr>
          <w:trHeight w:val="222"/>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1FEDB75D" w14:textId="77777777" w:rsidR="00451255" w:rsidRPr="00451255" w:rsidRDefault="00451255" w:rsidP="00451255">
            <w:pPr>
              <w:spacing w:after="0"/>
              <w:rPr>
                <w:rFonts w:ascii="Calibri" w:eastAsia="Times New Roman" w:hAnsi="Calibri" w:cs="Calibri"/>
                <w:color w:val="000000"/>
                <w:sz w:val="20"/>
                <w:szCs w:val="20"/>
              </w:rPr>
            </w:pPr>
            <w:r w:rsidRPr="00451255">
              <w:rPr>
                <w:rFonts w:ascii="Calibri" w:eastAsia="Times New Roman" w:hAnsi="Calibri" w:cs="Calibri"/>
                <w:color w:val="000000"/>
                <w:sz w:val="20"/>
                <w:szCs w:val="20"/>
              </w:rPr>
              <w:t>PEMBROLIZUMAB</w:t>
            </w:r>
          </w:p>
        </w:tc>
        <w:tc>
          <w:tcPr>
            <w:tcW w:w="906" w:type="dxa"/>
            <w:tcBorders>
              <w:top w:val="nil"/>
              <w:left w:val="nil"/>
              <w:bottom w:val="single" w:sz="4" w:space="0" w:color="auto"/>
              <w:right w:val="single" w:sz="4" w:space="0" w:color="auto"/>
            </w:tcBorders>
            <w:shd w:val="clear" w:color="auto" w:fill="auto"/>
            <w:noWrap/>
            <w:vAlign w:val="bottom"/>
            <w:hideMark/>
          </w:tcPr>
          <w:p w14:paraId="7DA021C7"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033CDBF0"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50CE376A"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1,062</w:t>
            </w:r>
          </w:p>
        </w:tc>
        <w:tc>
          <w:tcPr>
            <w:tcW w:w="907" w:type="dxa"/>
            <w:tcBorders>
              <w:top w:val="nil"/>
              <w:left w:val="nil"/>
              <w:bottom w:val="single" w:sz="4" w:space="0" w:color="auto"/>
              <w:right w:val="single" w:sz="4" w:space="0" w:color="auto"/>
            </w:tcBorders>
            <w:shd w:val="clear" w:color="auto" w:fill="auto"/>
            <w:noWrap/>
            <w:vAlign w:val="bottom"/>
            <w:hideMark/>
          </w:tcPr>
          <w:p w14:paraId="1230C451"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11,846</w:t>
            </w:r>
          </w:p>
        </w:tc>
        <w:tc>
          <w:tcPr>
            <w:tcW w:w="906" w:type="dxa"/>
            <w:tcBorders>
              <w:top w:val="nil"/>
              <w:left w:val="nil"/>
              <w:bottom w:val="single" w:sz="4" w:space="0" w:color="auto"/>
              <w:right w:val="single" w:sz="4" w:space="0" w:color="auto"/>
            </w:tcBorders>
            <w:shd w:val="clear" w:color="auto" w:fill="auto"/>
            <w:noWrap/>
            <w:vAlign w:val="bottom"/>
            <w:hideMark/>
          </w:tcPr>
          <w:p w14:paraId="73E803A1"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28,933</w:t>
            </w:r>
          </w:p>
        </w:tc>
        <w:tc>
          <w:tcPr>
            <w:tcW w:w="907" w:type="dxa"/>
            <w:tcBorders>
              <w:top w:val="nil"/>
              <w:left w:val="nil"/>
              <w:bottom w:val="single" w:sz="4" w:space="0" w:color="auto"/>
              <w:right w:val="single" w:sz="4" w:space="0" w:color="auto"/>
            </w:tcBorders>
            <w:shd w:val="clear" w:color="auto" w:fill="auto"/>
            <w:noWrap/>
            <w:vAlign w:val="bottom"/>
            <w:hideMark/>
          </w:tcPr>
          <w:p w14:paraId="26E03E23"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33,959</w:t>
            </w:r>
          </w:p>
        </w:tc>
        <w:tc>
          <w:tcPr>
            <w:tcW w:w="907" w:type="dxa"/>
            <w:tcBorders>
              <w:top w:val="nil"/>
              <w:left w:val="nil"/>
              <w:bottom w:val="single" w:sz="4" w:space="0" w:color="auto"/>
              <w:right w:val="single" w:sz="4" w:space="0" w:color="auto"/>
            </w:tcBorders>
            <w:shd w:val="clear" w:color="auto" w:fill="auto"/>
            <w:noWrap/>
            <w:vAlign w:val="bottom"/>
            <w:hideMark/>
          </w:tcPr>
          <w:p w14:paraId="03BC87EE"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16,574</w:t>
            </w:r>
          </w:p>
        </w:tc>
        <w:tc>
          <w:tcPr>
            <w:tcW w:w="907" w:type="dxa"/>
            <w:tcBorders>
              <w:top w:val="nil"/>
              <w:left w:val="nil"/>
              <w:bottom w:val="single" w:sz="4" w:space="0" w:color="auto"/>
              <w:right w:val="single" w:sz="4" w:space="0" w:color="auto"/>
            </w:tcBorders>
            <w:shd w:val="clear" w:color="auto" w:fill="auto"/>
            <w:noWrap/>
            <w:vAlign w:val="bottom"/>
            <w:hideMark/>
          </w:tcPr>
          <w:p w14:paraId="72B76650"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92,374</w:t>
            </w:r>
          </w:p>
        </w:tc>
      </w:tr>
      <w:tr w:rsidR="00451255" w:rsidRPr="00451255" w14:paraId="1F09F584" w14:textId="77777777" w:rsidTr="00451255">
        <w:trPr>
          <w:trHeight w:val="222"/>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37BEA737" w14:textId="77777777" w:rsidR="00451255" w:rsidRPr="00451255" w:rsidRDefault="00451255" w:rsidP="00451255">
            <w:pPr>
              <w:spacing w:after="0"/>
              <w:rPr>
                <w:rFonts w:ascii="Calibri" w:eastAsia="Times New Roman" w:hAnsi="Calibri" w:cs="Calibri"/>
                <w:color w:val="000000"/>
                <w:sz w:val="20"/>
                <w:szCs w:val="20"/>
              </w:rPr>
            </w:pPr>
            <w:r w:rsidRPr="00451255">
              <w:rPr>
                <w:rFonts w:ascii="Calibri" w:eastAsia="Times New Roman" w:hAnsi="Calibri" w:cs="Calibri"/>
                <w:color w:val="000000"/>
                <w:sz w:val="20"/>
                <w:szCs w:val="20"/>
              </w:rPr>
              <w:t>ERLOTINIB</w:t>
            </w:r>
          </w:p>
        </w:tc>
        <w:tc>
          <w:tcPr>
            <w:tcW w:w="906" w:type="dxa"/>
            <w:tcBorders>
              <w:top w:val="nil"/>
              <w:left w:val="nil"/>
              <w:bottom w:val="single" w:sz="4" w:space="0" w:color="auto"/>
              <w:right w:val="single" w:sz="4" w:space="0" w:color="auto"/>
            </w:tcBorders>
            <w:shd w:val="clear" w:color="auto" w:fill="auto"/>
            <w:noWrap/>
            <w:vAlign w:val="bottom"/>
            <w:hideMark/>
          </w:tcPr>
          <w:p w14:paraId="2821B110"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5,874</w:t>
            </w:r>
          </w:p>
        </w:tc>
        <w:tc>
          <w:tcPr>
            <w:tcW w:w="907" w:type="dxa"/>
            <w:tcBorders>
              <w:top w:val="nil"/>
              <w:left w:val="nil"/>
              <w:bottom w:val="single" w:sz="4" w:space="0" w:color="auto"/>
              <w:right w:val="single" w:sz="4" w:space="0" w:color="auto"/>
            </w:tcBorders>
            <w:shd w:val="clear" w:color="auto" w:fill="auto"/>
            <w:noWrap/>
            <w:vAlign w:val="bottom"/>
            <w:hideMark/>
          </w:tcPr>
          <w:p w14:paraId="2F928E14"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6,705</w:t>
            </w:r>
          </w:p>
        </w:tc>
        <w:tc>
          <w:tcPr>
            <w:tcW w:w="907" w:type="dxa"/>
            <w:tcBorders>
              <w:top w:val="nil"/>
              <w:left w:val="nil"/>
              <w:bottom w:val="single" w:sz="4" w:space="0" w:color="auto"/>
              <w:right w:val="single" w:sz="4" w:space="0" w:color="auto"/>
            </w:tcBorders>
            <w:shd w:val="clear" w:color="auto" w:fill="auto"/>
            <w:noWrap/>
            <w:vAlign w:val="bottom"/>
            <w:hideMark/>
          </w:tcPr>
          <w:p w14:paraId="246151E2"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6,755</w:t>
            </w:r>
          </w:p>
        </w:tc>
        <w:tc>
          <w:tcPr>
            <w:tcW w:w="907" w:type="dxa"/>
            <w:tcBorders>
              <w:top w:val="nil"/>
              <w:left w:val="nil"/>
              <w:bottom w:val="single" w:sz="4" w:space="0" w:color="auto"/>
              <w:right w:val="single" w:sz="4" w:space="0" w:color="auto"/>
            </w:tcBorders>
            <w:shd w:val="clear" w:color="auto" w:fill="auto"/>
            <w:noWrap/>
            <w:vAlign w:val="bottom"/>
            <w:hideMark/>
          </w:tcPr>
          <w:p w14:paraId="448F22EB"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6,562</w:t>
            </w:r>
          </w:p>
        </w:tc>
        <w:tc>
          <w:tcPr>
            <w:tcW w:w="906" w:type="dxa"/>
            <w:tcBorders>
              <w:top w:val="nil"/>
              <w:left w:val="nil"/>
              <w:bottom w:val="single" w:sz="4" w:space="0" w:color="auto"/>
              <w:right w:val="single" w:sz="4" w:space="0" w:color="auto"/>
            </w:tcBorders>
            <w:shd w:val="clear" w:color="auto" w:fill="auto"/>
            <w:noWrap/>
            <w:vAlign w:val="bottom"/>
            <w:hideMark/>
          </w:tcPr>
          <w:p w14:paraId="423B66B7"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6,258</w:t>
            </w:r>
          </w:p>
        </w:tc>
        <w:tc>
          <w:tcPr>
            <w:tcW w:w="907" w:type="dxa"/>
            <w:tcBorders>
              <w:top w:val="nil"/>
              <w:left w:val="nil"/>
              <w:bottom w:val="single" w:sz="4" w:space="0" w:color="auto"/>
              <w:right w:val="single" w:sz="4" w:space="0" w:color="auto"/>
            </w:tcBorders>
            <w:shd w:val="clear" w:color="auto" w:fill="auto"/>
            <w:noWrap/>
            <w:vAlign w:val="bottom"/>
            <w:hideMark/>
          </w:tcPr>
          <w:p w14:paraId="7BE0500C"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2,857</w:t>
            </w:r>
          </w:p>
        </w:tc>
        <w:tc>
          <w:tcPr>
            <w:tcW w:w="907" w:type="dxa"/>
            <w:tcBorders>
              <w:top w:val="nil"/>
              <w:left w:val="nil"/>
              <w:bottom w:val="single" w:sz="4" w:space="0" w:color="auto"/>
              <w:right w:val="single" w:sz="4" w:space="0" w:color="auto"/>
            </w:tcBorders>
            <w:shd w:val="clear" w:color="auto" w:fill="auto"/>
            <w:noWrap/>
            <w:vAlign w:val="bottom"/>
            <w:hideMark/>
          </w:tcPr>
          <w:p w14:paraId="676BC6D5"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755</w:t>
            </w:r>
          </w:p>
        </w:tc>
        <w:tc>
          <w:tcPr>
            <w:tcW w:w="907" w:type="dxa"/>
            <w:tcBorders>
              <w:top w:val="nil"/>
              <w:left w:val="nil"/>
              <w:bottom w:val="single" w:sz="4" w:space="0" w:color="auto"/>
              <w:right w:val="single" w:sz="4" w:space="0" w:color="auto"/>
            </w:tcBorders>
            <w:shd w:val="clear" w:color="auto" w:fill="auto"/>
            <w:noWrap/>
            <w:vAlign w:val="bottom"/>
            <w:hideMark/>
          </w:tcPr>
          <w:p w14:paraId="2CB7B791"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35,766</w:t>
            </w:r>
          </w:p>
        </w:tc>
      </w:tr>
      <w:tr w:rsidR="00451255" w:rsidRPr="00451255" w14:paraId="14444ED9" w14:textId="77777777" w:rsidTr="00451255">
        <w:trPr>
          <w:trHeight w:val="222"/>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5C1C9980" w14:textId="77777777" w:rsidR="00451255" w:rsidRPr="00451255" w:rsidRDefault="00451255" w:rsidP="00451255">
            <w:pPr>
              <w:spacing w:after="0"/>
              <w:rPr>
                <w:rFonts w:ascii="Calibri" w:eastAsia="Times New Roman" w:hAnsi="Calibri" w:cs="Calibri"/>
                <w:color w:val="000000"/>
                <w:sz w:val="20"/>
                <w:szCs w:val="20"/>
              </w:rPr>
            </w:pPr>
            <w:r w:rsidRPr="00451255">
              <w:rPr>
                <w:rFonts w:ascii="Calibri" w:eastAsia="Times New Roman" w:hAnsi="Calibri" w:cs="Calibri"/>
                <w:color w:val="000000"/>
                <w:sz w:val="20"/>
                <w:szCs w:val="20"/>
              </w:rPr>
              <w:t>OSIMERTINIB</w:t>
            </w:r>
          </w:p>
        </w:tc>
        <w:tc>
          <w:tcPr>
            <w:tcW w:w="906" w:type="dxa"/>
            <w:tcBorders>
              <w:top w:val="nil"/>
              <w:left w:val="nil"/>
              <w:bottom w:val="single" w:sz="4" w:space="0" w:color="auto"/>
              <w:right w:val="single" w:sz="4" w:space="0" w:color="auto"/>
            </w:tcBorders>
            <w:shd w:val="clear" w:color="auto" w:fill="auto"/>
            <w:noWrap/>
            <w:vAlign w:val="bottom"/>
            <w:hideMark/>
          </w:tcPr>
          <w:p w14:paraId="5039A774"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4ED9F2D1"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1A45286D"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6A2C91AC"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3,113</w:t>
            </w:r>
          </w:p>
        </w:tc>
        <w:tc>
          <w:tcPr>
            <w:tcW w:w="906" w:type="dxa"/>
            <w:tcBorders>
              <w:top w:val="nil"/>
              <w:left w:val="nil"/>
              <w:bottom w:val="single" w:sz="4" w:space="0" w:color="auto"/>
              <w:right w:val="single" w:sz="4" w:space="0" w:color="auto"/>
            </w:tcBorders>
            <w:shd w:val="clear" w:color="auto" w:fill="auto"/>
            <w:noWrap/>
            <w:vAlign w:val="bottom"/>
            <w:hideMark/>
          </w:tcPr>
          <w:p w14:paraId="4ADD568A"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3,952</w:t>
            </w:r>
          </w:p>
        </w:tc>
        <w:tc>
          <w:tcPr>
            <w:tcW w:w="907" w:type="dxa"/>
            <w:tcBorders>
              <w:top w:val="nil"/>
              <w:left w:val="nil"/>
              <w:bottom w:val="single" w:sz="4" w:space="0" w:color="auto"/>
              <w:right w:val="single" w:sz="4" w:space="0" w:color="auto"/>
            </w:tcBorders>
            <w:shd w:val="clear" w:color="auto" w:fill="auto"/>
            <w:noWrap/>
            <w:vAlign w:val="bottom"/>
            <w:hideMark/>
          </w:tcPr>
          <w:p w14:paraId="284DCAEB"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12,808</w:t>
            </w:r>
          </w:p>
        </w:tc>
        <w:tc>
          <w:tcPr>
            <w:tcW w:w="907" w:type="dxa"/>
            <w:tcBorders>
              <w:top w:val="nil"/>
              <w:left w:val="nil"/>
              <w:bottom w:val="single" w:sz="4" w:space="0" w:color="auto"/>
              <w:right w:val="single" w:sz="4" w:space="0" w:color="auto"/>
            </w:tcBorders>
            <w:shd w:val="clear" w:color="auto" w:fill="auto"/>
            <w:noWrap/>
            <w:vAlign w:val="bottom"/>
            <w:hideMark/>
          </w:tcPr>
          <w:p w14:paraId="4B6E6A98"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8,105</w:t>
            </w:r>
          </w:p>
        </w:tc>
        <w:tc>
          <w:tcPr>
            <w:tcW w:w="907" w:type="dxa"/>
            <w:tcBorders>
              <w:top w:val="nil"/>
              <w:left w:val="nil"/>
              <w:bottom w:val="single" w:sz="4" w:space="0" w:color="auto"/>
              <w:right w:val="single" w:sz="4" w:space="0" w:color="auto"/>
            </w:tcBorders>
            <w:shd w:val="clear" w:color="auto" w:fill="auto"/>
            <w:noWrap/>
            <w:vAlign w:val="bottom"/>
            <w:hideMark/>
          </w:tcPr>
          <w:p w14:paraId="65FC1F29"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27,978</w:t>
            </w:r>
          </w:p>
        </w:tc>
      </w:tr>
      <w:tr w:rsidR="00451255" w:rsidRPr="00451255" w14:paraId="2EC18D06" w14:textId="77777777" w:rsidTr="00451255">
        <w:trPr>
          <w:trHeight w:val="222"/>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1B91A457" w14:textId="77777777" w:rsidR="00451255" w:rsidRPr="00451255" w:rsidRDefault="00451255" w:rsidP="00451255">
            <w:pPr>
              <w:spacing w:after="0"/>
              <w:rPr>
                <w:rFonts w:ascii="Calibri" w:eastAsia="Times New Roman" w:hAnsi="Calibri" w:cs="Calibri"/>
                <w:color w:val="000000"/>
                <w:sz w:val="20"/>
                <w:szCs w:val="20"/>
              </w:rPr>
            </w:pPr>
            <w:r w:rsidRPr="00451255">
              <w:rPr>
                <w:rFonts w:ascii="Calibri" w:eastAsia="Times New Roman" w:hAnsi="Calibri" w:cs="Calibri"/>
                <w:color w:val="000000"/>
                <w:sz w:val="20"/>
                <w:szCs w:val="20"/>
              </w:rPr>
              <w:t>DURVALUMAB</w:t>
            </w:r>
          </w:p>
        </w:tc>
        <w:tc>
          <w:tcPr>
            <w:tcW w:w="906" w:type="dxa"/>
            <w:tcBorders>
              <w:top w:val="nil"/>
              <w:left w:val="nil"/>
              <w:bottom w:val="single" w:sz="4" w:space="0" w:color="auto"/>
              <w:right w:val="single" w:sz="4" w:space="0" w:color="auto"/>
            </w:tcBorders>
            <w:shd w:val="clear" w:color="auto" w:fill="auto"/>
            <w:noWrap/>
            <w:vAlign w:val="bottom"/>
            <w:hideMark/>
          </w:tcPr>
          <w:p w14:paraId="3D5A585A"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4DFC37C1"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5FF3D6C1"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28829CAE"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6" w:type="dxa"/>
            <w:tcBorders>
              <w:top w:val="nil"/>
              <w:left w:val="nil"/>
              <w:bottom w:val="single" w:sz="4" w:space="0" w:color="auto"/>
              <w:right w:val="single" w:sz="4" w:space="0" w:color="auto"/>
            </w:tcBorders>
            <w:shd w:val="clear" w:color="auto" w:fill="auto"/>
            <w:noWrap/>
            <w:vAlign w:val="bottom"/>
            <w:hideMark/>
          </w:tcPr>
          <w:p w14:paraId="35C18EA3"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9,398</w:t>
            </w:r>
          </w:p>
        </w:tc>
        <w:tc>
          <w:tcPr>
            <w:tcW w:w="907" w:type="dxa"/>
            <w:tcBorders>
              <w:top w:val="nil"/>
              <w:left w:val="nil"/>
              <w:bottom w:val="single" w:sz="4" w:space="0" w:color="auto"/>
              <w:right w:val="single" w:sz="4" w:space="0" w:color="auto"/>
            </w:tcBorders>
            <w:shd w:val="clear" w:color="auto" w:fill="auto"/>
            <w:noWrap/>
            <w:vAlign w:val="bottom"/>
            <w:hideMark/>
          </w:tcPr>
          <w:p w14:paraId="5D89CB5F"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10,735</w:t>
            </w:r>
          </w:p>
        </w:tc>
        <w:tc>
          <w:tcPr>
            <w:tcW w:w="907" w:type="dxa"/>
            <w:tcBorders>
              <w:top w:val="nil"/>
              <w:left w:val="nil"/>
              <w:bottom w:val="single" w:sz="4" w:space="0" w:color="auto"/>
              <w:right w:val="single" w:sz="4" w:space="0" w:color="auto"/>
            </w:tcBorders>
            <w:shd w:val="clear" w:color="auto" w:fill="auto"/>
            <w:noWrap/>
            <w:vAlign w:val="bottom"/>
            <w:hideMark/>
          </w:tcPr>
          <w:p w14:paraId="0A4BD248"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5,333</w:t>
            </w:r>
          </w:p>
        </w:tc>
        <w:tc>
          <w:tcPr>
            <w:tcW w:w="907" w:type="dxa"/>
            <w:tcBorders>
              <w:top w:val="nil"/>
              <w:left w:val="nil"/>
              <w:bottom w:val="single" w:sz="4" w:space="0" w:color="auto"/>
              <w:right w:val="single" w:sz="4" w:space="0" w:color="auto"/>
            </w:tcBorders>
            <w:shd w:val="clear" w:color="auto" w:fill="auto"/>
            <w:noWrap/>
            <w:vAlign w:val="bottom"/>
            <w:hideMark/>
          </w:tcPr>
          <w:p w14:paraId="19CED4AC"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25,466</w:t>
            </w:r>
          </w:p>
        </w:tc>
      </w:tr>
      <w:tr w:rsidR="00451255" w:rsidRPr="00451255" w14:paraId="1FF158F9" w14:textId="77777777" w:rsidTr="00451255">
        <w:trPr>
          <w:trHeight w:val="222"/>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524BDE0B" w14:textId="77777777" w:rsidR="00451255" w:rsidRPr="00451255" w:rsidRDefault="00451255" w:rsidP="00451255">
            <w:pPr>
              <w:spacing w:after="0"/>
              <w:rPr>
                <w:rFonts w:ascii="Calibri" w:eastAsia="Times New Roman" w:hAnsi="Calibri" w:cs="Calibri"/>
                <w:color w:val="000000"/>
                <w:sz w:val="20"/>
                <w:szCs w:val="20"/>
              </w:rPr>
            </w:pPr>
            <w:r w:rsidRPr="00451255">
              <w:rPr>
                <w:rFonts w:ascii="Calibri" w:eastAsia="Times New Roman" w:hAnsi="Calibri" w:cs="Calibri"/>
                <w:color w:val="000000"/>
                <w:sz w:val="20"/>
                <w:szCs w:val="20"/>
              </w:rPr>
              <w:t>ATEZOLIZUMAB</w:t>
            </w:r>
          </w:p>
        </w:tc>
        <w:tc>
          <w:tcPr>
            <w:tcW w:w="906" w:type="dxa"/>
            <w:tcBorders>
              <w:top w:val="nil"/>
              <w:left w:val="nil"/>
              <w:bottom w:val="single" w:sz="4" w:space="0" w:color="auto"/>
              <w:right w:val="single" w:sz="4" w:space="0" w:color="auto"/>
            </w:tcBorders>
            <w:shd w:val="clear" w:color="auto" w:fill="auto"/>
            <w:noWrap/>
            <w:vAlign w:val="bottom"/>
            <w:hideMark/>
          </w:tcPr>
          <w:p w14:paraId="4392350C"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5B09DA29"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240337B4"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2,033</w:t>
            </w:r>
          </w:p>
        </w:tc>
        <w:tc>
          <w:tcPr>
            <w:tcW w:w="907" w:type="dxa"/>
            <w:tcBorders>
              <w:top w:val="nil"/>
              <w:left w:val="nil"/>
              <w:bottom w:val="single" w:sz="4" w:space="0" w:color="auto"/>
              <w:right w:val="single" w:sz="4" w:space="0" w:color="auto"/>
            </w:tcBorders>
            <w:shd w:val="clear" w:color="auto" w:fill="auto"/>
            <w:noWrap/>
            <w:vAlign w:val="bottom"/>
            <w:hideMark/>
          </w:tcPr>
          <w:p w14:paraId="2A7CC1F1"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5,472</w:t>
            </w:r>
          </w:p>
        </w:tc>
        <w:tc>
          <w:tcPr>
            <w:tcW w:w="906" w:type="dxa"/>
            <w:tcBorders>
              <w:top w:val="nil"/>
              <w:left w:val="nil"/>
              <w:bottom w:val="single" w:sz="4" w:space="0" w:color="auto"/>
              <w:right w:val="single" w:sz="4" w:space="0" w:color="auto"/>
            </w:tcBorders>
            <w:shd w:val="clear" w:color="auto" w:fill="auto"/>
            <w:noWrap/>
            <w:vAlign w:val="bottom"/>
            <w:hideMark/>
          </w:tcPr>
          <w:p w14:paraId="0F291451"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7,663</w:t>
            </w:r>
          </w:p>
        </w:tc>
        <w:tc>
          <w:tcPr>
            <w:tcW w:w="907" w:type="dxa"/>
            <w:tcBorders>
              <w:top w:val="nil"/>
              <w:left w:val="nil"/>
              <w:bottom w:val="single" w:sz="4" w:space="0" w:color="auto"/>
              <w:right w:val="single" w:sz="4" w:space="0" w:color="auto"/>
            </w:tcBorders>
            <w:shd w:val="clear" w:color="auto" w:fill="auto"/>
            <w:noWrap/>
            <w:vAlign w:val="bottom"/>
            <w:hideMark/>
          </w:tcPr>
          <w:p w14:paraId="35FD3221"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6,297</w:t>
            </w:r>
          </w:p>
        </w:tc>
        <w:tc>
          <w:tcPr>
            <w:tcW w:w="907" w:type="dxa"/>
            <w:tcBorders>
              <w:top w:val="nil"/>
              <w:left w:val="nil"/>
              <w:bottom w:val="single" w:sz="4" w:space="0" w:color="auto"/>
              <w:right w:val="single" w:sz="4" w:space="0" w:color="auto"/>
            </w:tcBorders>
            <w:shd w:val="clear" w:color="auto" w:fill="auto"/>
            <w:noWrap/>
            <w:vAlign w:val="bottom"/>
            <w:hideMark/>
          </w:tcPr>
          <w:p w14:paraId="4D78F980"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2,778</w:t>
            </w:r>
          </w:p>
        </w:tc>
        <w:tc>
          <w:tcPr>
            <w:tcW w:w="907" w:type="dxa"/>
            <w:tcBorders>
              <w:top w:val="nil"/>
              <w:left w:val="nil"/>
              <w:bottom w:val="single" w:sz="4" w:space="0" w:color="auto"/>
              <w:right w:val="single" w:sz="4" w:space="0" w:color="auto"/>
            </w:tcBorders>
            <w:shd w:val="clear" w:color="auto" w:fill="auto"/>
            <w:noWrap/>
            <w:vAlign w:val="bottom"/>
            <w:hideMark/>
          </w:tcPr>
          <w:p w14:paraId="3508715A"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24,243</w:t>
            </w:r>
          </w:p>
        </w:tc>
      </w:tr>
      <w:tr w:rsidR="00451255" w:rsidRPr="00451255" w14:paraId="0CA29B76" w14:textId="77777777" w:rsidTr="00451255">
        <w:trPr>
          <w:trHeight w:val="222"/>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08EF02AE" w14:textId="77777777" w:rsidR="00451255" w:rsidRPr="00451255" w:rsidRDefault="00451255" w:rsidP="00451255">
            <w:pPr>
              <w:spacing w:after="0"/>
              <w:rPr>
                <w:rFonts w:ascii="Calibri" w:eastAsia="Times New Roman" w:hAnsi="Calibri" w:cs="Calibri"/>
                <w:color w:val="000000"/>
                <w:sz w:val="20"/>
                <w:szCs w:val="20"/>
              </w:rPr>
            </w:pPr>
            <w:r w:rsidRPr="00451255">
              <w:rPr>
                <w:rFonts w:ascii="Calibri" w:eastAsia="Times New Roman" w:hAnsi="Calibri" w:cs="Calibri"/>
                <w:color w:val="000000"/>
                <w:sz w:val="20"/>
                <w:szCs w:val="20"/>
              </w:rPr>
              <w:t>GEFITINIB</w:t>
            </w:r>
          </w:p>
        </w:tc>
        <w:tc>
          <w:tcPr>
            <w:tcW w:w="906" w:type="dxa"/>
            <w:tcBorders>
              <w:top w:val="nil"/>
              <w:left w:val="nil"/>
              <w:bottom w:val="single" w:sz="4" w:space="0" w:color="auto"/>
              <w:right w:val="single" w:sz="4" w:space="0" w:color="auto"/>
            </w:tcBorders>
            <w:shd w:val="clear" w:color="auto" w:fill="auto"/>
            <w:noWrap/>
            <w:vAlign w:val="bottom"/>
            <w:hideMark/>
          </w:tcPr>
          <w:p w14:paraId="544685DB"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2,285</w:t>
            </w:r>
          </w:p>
        </w:tc>
        <w:tc>
          <w:tcPr>
            <w:tcW w:w="907" w:type="dxa"/>
            <w:tcBorders>
              <w:top w:val="nil"/>
              <w:left w:val="nil"/>
              <w:bottom w:val="single" w:sz="4" w:space="0" w:color="auto"/>
              <w:right w:val="single" w:sz="4" w:space="0" w:color="auto"/>
            </w:tcBorders>
            <w:shd w:val="clear" w:color="auto" w:fill="auto"/>
            <w:noWrap/>
            <w:vAlign w:val="bottom"/>
            <w:hideMark/>
          </w:tcPr>
          <w:p w14:paraId="308A08B0"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2,657</w:t>
            </w:r>
          </w:p>
        </w:tc>
        <w:tc>
          <w:tcPr>
            <w:tcW w:w="907" w:type="dxa"/>
            <w:tcBorders>
              <w:top w:val="nil"/>
              <w:left w:val="nil"/>
              <w:bottom w:val="single" w:sz="4" w:space="0" w:color="auto"/>
              <w:right w:val="single" w:sz="4" w:space="0" w:color="auto"/>
            </w:tcBorders>
            <w:shd w:val="clear" w:color="auto" w:fill="auto"/>
            <w:noWrap/>
            <w:vAlign w:val="bottom"/>
            <w:hideMark/>
          </w:tcPr>
          <w:p w14:paraId="3A7C1185"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3,037</w:t>
            </w:r>
          </w:p>
        </w:tc>
        <w:tc>
          <w:tcPr>
            <w:tcW w:w="907" w:type="dxa"/>
            <w:tcBorders>
              <w:top w:val="nil"/>
              <w:left w:val="nil"/>
              <w:bottom w:val="single" w:sz="4" w:space="0" w:color="auto"/>
              <w:right w:val="single" w:sz="4" w:space="0" w:color="auto"/>
            </w:tcBorders>
            <w:shd w:val="clear" w:color="auto" w:fill="auto"/>
            <w:noWrap/>
            <w:vAlign w:val="bottom"/>
            <w:hideMark/>
          </w:tcPr>
          <w:p w14:paraId="44B8DD07"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3,112</w:t>
            </w:r>
          </w:p>
        </w:tc>
        <w:tc>
          <w:tcPr>
            <w:tcW w:w="906" w:type="dxa"/>
            <w:tcBorders>
              <w:top w:val="nil"/>
              <w:left w:val="nil"/>
              <w:bottom w:val="single" w:sz="4" w:space="0" w:color="auto"/>
              <w:right w:val="single" w:sz="4" w:space="0" w:color="auto"/>
            </w:tcBorders>
            <w:shd w:val="clear" w:color="auto" w:fill="auto"/>
            <w:noWrap/>
            <w:vAlign w:val="bottom"/>
            <w:hideMark/>
          </w:tcPr>
          <w:p w14:paraId="03043ADA"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3,291</w:t>
            </w:r>
          </w:p>
        </w:tc>
        <w:tc>
          <w:tcPr>
            <w:tcW w:w="907" w:type="dxa"/>
            <w:tcBorders>
              <w:top w:val="nil"/>
              <w:left w:val="nil"/>
              <w:bottom w:val="single" w:sz="4" w:space="0" w:color="auto"/>
              <w:right w:val="single" w:sz="4" w:space="0" w:color="auto"/>
            </w:tcBorders>
            <w:shd w:val="clear" w:color="auto" w:fill="auto"/>
            <w:noWrap/>
            <w:vAlign w:val="bottom"/>
            <w:hideMark/>
          </w:tcPr>
          <w:p w14:paraId="5452607C"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1,620</w:t>
            </w:r>
          </w:p>
        </w:tc>
        <w:tc>
          <w:tcPr>
            <w:tcW w:w="907" w:type="dxa"/>
            <w:tcBorders>
              <w:top w:val="nil"/>
              <w:left w:val="nil"/>
              <w:bottom w:val="single" w:sz="4" w:space="0" w:color="auto"/>
              <w:right w:val="single" w:sz="4" w:space="0" w:color="auto"/>
            </w:tcBorders>
            <w:shd w:val="clear" w:color="auto" w:fill="auto"/>
            <w:noWrap/>
            <w:vAlign w:val="bottom"/>
            <w:hideMark/>
          </w:tcPr>
          <w:p w14:paraId="774C6417"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494</w:t>
            </w:r>
          </w:p>
        </w:tc>
        <w:tc>
          <w:tcPr>
            <w:tcW w:w="907" w:type="dxa"/>
            <w:tcBorders>
              <w:top w:val="nil"/>
              <w:left w:val="nil"/>
              <w:bottom w:val="single" w:sz="4" w:space="0" w:color="auto"/>
              <w:right w:val="single" w:sz="4" w:space="0" w:color="auto"/>
            </w:tcBorders>
            <w:shd w:val="clear" w:color="auto" w:fill="auto"/>
            <w:noWrap/>
            <w:vAlign w:val="bottom"/>
            <w:hideMark/>
          </w:tcPr>
          <w:p w14:paraId="48A8BE8A"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16,496</w:t>
            </w:r>
          </w:p>
        </w:tc>
      </w:tr>
      <w:tr w:rsidR="00451255" w:rsidRPr="00451255" w14:paraId="33057612" w14:textId="77777777" w:rsidTr="00451255">
        <w:trPr>
          <w:trHeight w:val="222"/>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5532C3D9" w14:textId="77777777" w:rsidR="00451255" w:rsidRPr="00451255" w:rsidRDefault="00451255" w:rsidP="00451255">
            <w:pPr>
              <w:spacing w:after="0"/>
              <w:rPr>
                <w:rFonts w:ascii="Calibri" w:eastAsia="Times New Roman" w:hAnsi="Calibri" w:cs="Calibri"/>
                <w:color w:val="000000"/>
                <w:sz w:val="20"/>
                <w:szCs w:val="20"/>
              </w:rPr>
            </w:pPr>
            <w:r w:rsidRPr="00451255">
              <w:rPr>
                <w:rFonts w:ascii="Calibri" w:eastAsia="Times New Roman" w:hAnsi="Calibri" w:cs="Calibri"/>
                <w:color w:val="000000"/>
                <w:sz w:val="20"/>
                <w:szCs w:val="20"/>
              </w:rPr>
              <w:t>ALECTINIB</w:t>
            </w:r>
          </w:p>
        </w:tc>
        <w:tc>
          <w:tcPr>
            <w:tcW w:w="906" w:type="dxa"/>
            <w:tcBorders>
              <w:top w:val="nil"/>
              <w:left w:val="nil"/>
              <w:bottom w:val="single" w:sz="4" w:space="0" w:color="auto"/>
              <w:right w:val="single" w:sz="4" w:space="0" w:color="auto"/>
            </w:tcBorders>
            <w:shd w:val="clear" w:color="auto" w:fill="auto"/>
            <w:noWrap/>
            <w:vAlign w:val="bottom"/>
            <w:hideMark/>
          </w:tcPr>
          <w:p w14:paraId="17904EB3"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1627EDF7"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14E0D468"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1,715</w:t>
            </w:r>
          </w:p>
        </w:tc>
        <w:tc>
          <w:tcPr>
            <w:tcW w:w="907" w:type="dxa"/>
            <w:tcBorders>
              <w:top w:val="nil"/>
              <w:left w:val="nil"/>
              <w:bottom w:val="single" w:sz="4" w:space="0" w:color="auto"/>
              <w:right w:val="single" w:sz="4" w:space="0" w:color="auto"/>
            </w:tcBorders>
            <w:shd w:val="clear" w:color="auto" w:fill="auto"/>
            <w:noWrap/>
            <w:vAlign w:val="bottom"/>
            <w:hideMark/>
          </w:tcPr>
          <w:p w14:paraId="10414BB0"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2,546</w:t>
            </w:r>
          </w:p>
        </w:tc>
        <w:tc>
          <w:tcPr>
            <w:tcW w:w="906" w:type="dxa"/>
            <w:tcBorders>
              <w:top w:val="nil"/>
              <w:left w:val="nil"/>
              <w:bottom w:val="single" w:sz="4" w:space="0" w:color="auto"/>
              <w:right w:val="single" w:sz="4" w:space="0" w:color="auto"/>
            </w:tcBorders>
            <w:shd w:val="clear" w:color="auto" w:fill="auto"/>
            <w:noWrap/>
            <w:vAlign w:val="bottom"/>
            <w:hideMark/>
          </w:tcPr>
          <w:p w14:paraId="3401515E"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3,248</w:t>
            </w:r>
          </w:p>
        </w:tc>
        <w:tc>
          <w:tcPr>
            <w:tcW w:w="907" w:type="dxa"/>
            <w:tcBorders>
              <w:top w:val="nil"/>
              <w:left w:val="nil"/>
              <w:bottom w:val="single" w:sz="4" w:space="0" w:color="auto"/>
              <w:right w:val="single" w:sz="4" w:space="0" w:color="auto"/>
            </w:tcBorders>
            <w:shd w:val="clear" w:color="auto" w:fill="auto"/>
            <w:noWrap/>
            <w:vAlign w:val="bottom"/>
            <w:hideMark/>
          </w:tcPr>
          <w:p w14:paraId="319B3FFE"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3,614</w:t>
            </w:r>
          </w:p>
        </w:tc>
        <w:tc>
          <w:tcPr>
            <w:tcW w:w="907" w:type="dxa"/>
            <w:tcBorders>
              <w:top w:val="nil"/>
              <w:left w:val="nil"/>
              <w:bottom w:val="single" w:sz="4" w:space="0" w:color="auto"/>
              <w:right w:val="single" w:sz="4" w:space="0" w:color="auto"/>
            </w:tcBorders>
            <w:shd w:val="clear" w:color="auto" w:fill="auto"/>
            <w:noWrap/>
            <w:vAlign w:val="bottom"/>
            <w:hideMark/>
          </w:tcPr>
          <w:p w14:paraId="2BF2B9A2"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1,950</w:t>
            </w:r>
          </w:p>
        </w:tc>
        <w:tc>
          <w:tcPr>
            <w:tcW w:w="907" w:type="dxa"/>
            <w:tcBorders>
              <w:top w:val="nil"/>
              <w:left w:val="nil"/>
              <w:bottom w:val="single" w:sz="4" w:space="0" w:color="auto"/>
              <w:right w:val="single" w:sz="4" w:space="0" w:color="auto"/>
            </w:tcBorders>
            <w:shd w:val="clear" w:color="auto" w:fill="auto"/>
            <w:noWrap/>
            <w:vAlign w:val="bottom"/>
            <w:hideMark/>
          </w:tcPr>
          <w:p w14:paraId="19C844D6"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13,073</w:t>
            </w:r>
          </w:p>
        </w:tc>
      </w:tr>
      <w:tr w:rsidR="00451255" w:rsidRPr="00451255" w14:paraId="59D53D78" w14:textId="77777777" w:rsidTr="00451255">
        <w:trPr>
          <w:trHeight w:val="222"/>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738F7072" w14:textId="77777777" w:rsidR="00451255" w:rsidRPr="00451255" w:rsidRDefault="00451255" w:rsidP="00451255">
            <w:pPr>
              <w:spacing w:after="0"/>
              <w:rPr>
                <w:rFonts w:ascii="Calibri" w:eastAsia="Times New Roman" w:hAnsi="Calibri" w:cs="Calibri"/>
                <w:color w:val="000000"/>
                <w:sz w:val="20"/>
                <w:szCs w:val="20"/>
              </w:rPr>
            </w:pPr>
            <w:r w:rsidRPr="00451255">
              <w:rPr>
                <w:rFonts w:ascii="Calibri" w:eastAsia="Times New Roman" w:hAnsi="Calibri" w:cs="Calibri"/>
                <w:color w:val="000000"/>
                <w:sz w:val="20"/>
                <w:szCs w:val="20"/>
              </w:rPr>
              <w:t>BEVACIZUMAB</w:t>
            </w:r>
          </w:p>
        </w:tc>
        <w:tc>
          <w:tcPr>
            <w:tcW w:w="906" w:type="dxa"/>
            <w:tcBorders>
              <w:top w:val="nil"/>
              <w:left w:val="nil"/>
              <w:bottom w:val="single" w:sz="4" w:space="0" w:color="auto"/>
              <w:right w:val="single" w:sz="4" w:space="0" w:color="auto"/>
            </w:tcBorders>
            <w:shd w:val="clear" w:color="auto" w:fill="auto"/>
            <w:noWrap/>
            <w:vAlign w:val="bottom"/>
            <w:hideMark/>
          </w:tcPr>
          <w:p w14:paraId="60D9B26F"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1A9F3141"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683157CA"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4801BDAB"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746</w:t>
            </w:r>
          </w:p>
        </w:tc>
        <w:tc>
          <w:tcPr>
            <w:tcW w:w="906" w:type="dxa"/>
            <w:tcBorders>
              <w:top w:val="nil"/>
              <w:left w:val="nil"/>
              <w:bottom w:val="single" w:sz="4" w:space="0" w:color="auto"/>
              <w:right w:val="single" w:sz="4" w:space="0" w:color="auto"/>
            </w:tcBorders>
            <w:shd w:val="clear" w:color="auto" w:fill="auto"/>
            <w:noWrap/>
            <w:vAlign w:val="bottom"/>
            <w:hideMark/>
          </w:tcPr>
          <w:p w14:paraId="05D6286F"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3,974</w:t>
            </w:r>
          </w:p>
        </w:tc>
        <w:tc>
          <w:tcPr>
            <w:tcW w:w="907" w:type="dxa"/>
            <w:tcBorders>
              <w:top w:val="nil"/>
              <w:left w:val="nil"/>
              <w:bottom w:val="single" w:sz="4" w:space="0" w:color="auto"/>
              <w:right w:val="single" w:sz="4" w:space="0" w:color="auto"/>
            </w:tcBorders>
            <w:shd w:val="clear" w:color="auto" w:fill="auto"/>
            <w:noWrap/>
            <w:vAlign w:val="bottom"/>
            <w:hideMark/>
          </w:tcPr>
          <w:p w14:paraId="03D9DF9A"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1,443</w:t>
            </w:r>
          </w:p>
        </w:tc>
        <w:tc>
          <w:tcPr>
            <w:tcW w:w="907" w:type="dxa"/>
            <w:tcBorders>
              <w:top w:val="nil"/>
              <w:left w:val="nil"/>
              <w:bottom w:val="single" w:sz="4" w:space="0" w:color="auto"/>
              <w:right w:val="single" w:sz="4" w:space="0" w:color="auto"/>
            </w:tcBorders>
            <w:shd w:val="clear" w:color="auto" w:fill="auto"/>
            <w:noWrap/>
            <w:vAlign w:val="bottom"/>
            <w:hideMark/>
          </w:tcPr>
          <w:p w14:paraId="5863D00A"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0830F936"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6,163</w:t>
            </w:r>
          </w:p>
        </w:tc>
      </w:tr>
      <w:tr w:rsidR="00451255" w:rsidRPr="00451255" w14:paraId="7B2C3176" w14:textId="77777777" w:rsidTr="00451255">
        <w:trPr>
          <w:trHeight w:val="222"/>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64A40EEA" w14:textId="77777777" w:rsidR="00451255" w:rsidRPr="00451255" w:rsidRDefault="00451255" w:rsidP="00451255">
            <w:pPr>
              <w:spacing w:after="0"/>
              <w:rPr>
                <w:rFonts w:ascii="Calibri" w:eastAsia="Times New Roman" w:hAnsi="Calibri" w:cs="Calibri"/>
                <w:color w:val="000000"/>
                <w:sz w:val="20"/>
                <w:szCs w:val="20"/>
              </w:rPr>
            </w:pPr>
            <w:r w:rsidRPr="00451255">
              <w:rPr>
                <w:rFonts w:ascii="Calibri" w:eastAsia="Times New Roman" w:hAnsi="Calibri" w:cs="Calibri"/>
                <w:color w:val="000000"/>
                <w:sz w:val="20"/>
                <w:szCs w:val="20"/>
              </w:rPr>
              <w:t>CRIZOTINIB</w:t>
            </w:r>
          </w:p>
        </w:tc>
        <w:tc>
          <w:tcPr>
            <w:tcW w:w="906" w:type="dxa"/>
            <w:tcBorders>
              <w:top w:val="nil"/>
              <w:left w:val="nil"/>
              <w:bottom w:val="single" w:sz="4" w:space="0" w:color="auto"/>
              <w:right w:val="single" w:sz="4" w:space="0" w:color="auto"/>
            </w:tcBorders>
            <w:shd w:val="clear" w:color="auto" w:fill="auto"/>
            <w:noWrap/>
            <w:vAlign w:val="bottom"/>
            <w:hideMark/>
          </w:tcPr>
          <w:p w14:paraId="04DD1D8C"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1,248</w:t>
            </w:r>
          </w:p>
        </w:tc>
        <w:tc>
          <w:tcPr>
            <w:tcW w:w="907" w:type="dxa"/>
            <w:tcBorders>
              <w:top w:val="nil"/>
              <w:left w:val="nil"/>
              <w:bottom w:val="single" w:sz="4" w:space="0" w:color="auto"/>
              <w:right w:val="single" w:sz="4" w:space="0" w:color="auto"/>
            </w:tcBorders>
            <w:shd w:val="clear" w:color="auto" w:fill="auto"/>
            <w:noWrap/>
            <w:vAlign w:val="bottom"/>
            <w:hideMark/>
          </w:tcPr>
          <w:p w14:paraId="31C344F9"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1,258</w:t>
            </w:r>
          </w:p>
        </w:tc>
        <w:tc>
          <w:tcPr>
            <w:tcW w:w="907" w:type="dxa"/>
            <w:tcBorders>
              <w:top w:val="nil"/>
              <w:left w:val="nil"/>
              <w:bottom w:val="single" w:sz="4" w:space="0" w:color="auto"/>
              <w:right w:val="single" w:sz="4" w:space="0" w:color="auto"/>
            </w:tcBorders>
            <w:shd w:val="clear" w:color="auto" w:fill="auto"/>
            <w:noWrap/>
            <w:vAlign w:val="bottom"/>
            <w:hideMark/>
          </w:tcPr>
          <w:p w14:paraId="2B39D861"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784</w:t>
            </w:r>
          </w:p>
        </w:tc>
        <w:tc>
          <w:tcPr>
            <w:tcW w:w="907" w:type="dxa"/>
            <w:tcBorders>
              <w:top w:val="nil"/>
              <w:left w:val="nil"/>
              <w:bottom w:val="single" w:sz="4" w:space="0" w:color="auto"/>
              <w:right w:val="single" w:sz="4" w:space="0" w:color="auto"/>
            </w:tcBorders>
            <w:shd w:val="clear" w:color="auto" w:fill="auto"/>
            <w:noWrap/>
            <w:vAlign w:val="bottom"/>
            <w:hideMark/>
          </w:tcPr>
          <w:p w14:paraId="652EC57F"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640</w:t>
            </w:r>
          </w:p>
        </w:tc>
        <w:tc>
          <w:tcPr>
            <w:tcW w:w="906" w:type="dxa"/>
            <w:tcBorders>
              <w:top w:val="nil"/>
              <w:left w:val="nil"/>
              <w:bottom w:val="single" w:sz="4" w:space="0" w:color="auto"/>
              <w:right w:val="single" w:sz="4" w:space="0" w:color="auto"/>
            </w:tcBorders>
            <w:shd w:val="clear" w:color="auto" w:fill="auto"/>
            <w:noWrap/>
            <w:vAlign w:val="bottom"/>
            <w:hideMark/>
          </w:tcPr>
          <w:p w14:paraId="4E5B852F"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654</w:t>
            </w:r>
          </w:p>
        </w:tc>
        <w:tc>
          <w:tcPr>
            <w:tcW w:w="907" w:type="dxa"/>
            <w:tcBorders>
              <w:top w:val="nil"/>
              <w:left w:val="nil"/>
              <w:bottom w:val="single" w:sz="4" w:space="0" w:color="auto"/>
              <w:right w:val="single" w:sz="4" w:space="0" w:color="auto"/>
            </w:tcBorders>
            <w:shd w:val="clear" w:color="auto" w:fill="auto"/>
            <w:noWrap/>
            <w:vAlign w:val="bottom"/>
            <w:hideMark/>
          </w:tcPr>
          <w:p w14:paraId="28113311"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515</w:t>
            </w:r>
          </w:p>
        </w:tc>
        <w:tc>
          <w:tcPr>
            <w:tcW w:w="907" w:type="dxa"/>
            <w:tcBorders>
              <w:top w:val="nil"/>
              <w:left w:val="nil"/>
              <w:bottom w:val="single" w:sz="4" w:space="0" w:color="auto"/>
              <w:right w:val="single" w:sz="4" w:space="0" w:color="auto"/>
            </w:tcBorders>
            <w:shd w:val="clear" w:color="auto" w:fill="auto"/>
            <w:noWrap/>
            <w:vAlign w:val="bottom"/>
            <w:hideMark/>
          </w:tcPr>
          <w:p w14:paraId="36E0E898"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203</w:t>
            </w:r>
          </w:p>
        </w:tc>
        <w:tc>
          <w:tcPr>
            <w:tcW w:w="907" w:type="dxa"/>
            <w:tcBorders>
              <w:top w:val="nil"/>
              <w:left w:val="nil"/>
              <w:bottom w:val="single" w:sz="4" w:space="0" w:color="auto"/>
              <w:right w:val="single" w:sz="4" w:space="0" w:color="auto"/>
            </w:tcBorders>
            <w:shd w:val="clear" w:color="auto" w:fill="auto"/>
            <w:noWrap/>
            <w:vAlign w:val="bottom"/>
            <w:hideMark/>
          </w:tcPr>
          <w:p w14:paraId="6D47EBC1"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5,302</w:t>
            </w:r>
          </w:p>
        </w:tc>
      </w:tr>
      <w:tr w:rsidR="00451255" w:rsidRPr="00451255" w14:paraId="18459DB1" w14:textId="77777777" w:rsidTr="00451255">
        <w:trPr>
          <w:trHeight w:val="222"/>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697280DD" w14:textId="77777777" w:rsidR="00451255" w:rsidRPr="00451255" w:rsidRDefault="00451255" w:rsidP="00451255">
            <w:pPr>
              <w:spacing w:after="0"/>
              <w:rPr>
                <w:rFonts w:ascii="Calibri" w:eastAsia="Times New Roman" w:hAnsi="Calibri" w:cs="Calibri"/>
                <w:color w:val="000000"/>
                <w:sz w:val="20"/>
                <w:szCs w:val="20"/>
              </w:rPr>
            </w:pPr>
            <w:r w:rsidRPr="00451255">
              <w:rPr>
                <w:rFonts w:ascii="Calibri" w:eastAsia="Times New Roman" w:hAnsi="Calibri" w:cs="Calibri"/>
                <w:color w:val="000000"/>
                <w:sz w:val="20"/>
                <w:szCs w:val="20"/>
              </w:rPr>
              <w:t>AFATINIB</w:t>
            </w:r>
          </w:p>
        </w:tc>
        <w:tc>
          <w:tcPr>
            <w:tcW w:w="906" w:type="dxa"/>
            <w:tcBorders>
              <w:top w:val="nil"/>
              <w:left w:val="nil"/>
              <w:bottom w:val="single" w:sz="4" w:space="0" w:color="auto"/>
              <w:right w:val="single" w:sz="4" w:space="0" w:color="auto"/>
            </w:tcBorders>
            <w:shd w:val="clear" w:color="auto" w:fill="auto"/>
            <w:noWrap/>
            <w:vAlign w:val="bottom"/>
            <w:hideMark/>
          </w:tcPr>
          <w:p w14:paraId="68C68802"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235C99E2"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32882ED2"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354</w:t>
            </w:r>
          </w:p>
        </w:tc>
        <w:tc>
          <w:tcPr>
            <w:tcW w:w="907" w:type="dxa"/>
            <w:tcBorders>
              <w:top w:val="nil"/>
              <w:left w:val="nil"/>
              <w:bottom w:val="single" w:sz="4" w:space="0" w:color="auto"/>
              <w:right w:val="single" w:sz="4" w:space="0" w:color="auto"/>
            </w:tcBorders>
            <w:shd w:val="clear" w:color="auto" w:fill="auto"/>
            <w:noWrap/>
            <w:vAlign w:val="bottom"/>
            <w:hideMark/>
          </w:tcPr>
          <w:p w14:paraId="2D78FF37"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1,344</w:t>
            </w:r>
          </w:p>
        </w:tc>
        <w:tc>
          <w:tcPr>
            <w:tcW w:w="906" w:type="dxa"/>
            <w:tcBorders>
              <w:top w:val="nil"/>
              <w:left w:val="nil"/>
              <w:bottom w:val="single" w:sz="4" w:space="0" w:color="auto"/>
              <w:right w:val="single" w:sz="4" w:space="0" w:color="auto"/>
            </w:tcBorders>
            <w:shd w:val="clear" w:color="auto" w:fill="auto"/>
            <w:noWrap/>
            <w:vAlign w:val="bottom"/>
            <w:hideMark/>
          </w:tcPr>
          <w:p w14:paraId="15E39B0E"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1,484</w:t>
            </w:r>
          </w:p>
        </w:tc>
        <w:tc>
          <w:tcPr>
            <w:tcW w:w="907" w:type="dxa"/>
            <w:tcBorders>
              <w:top w:val="nil"/>
              <w:left w:val="nil"/>
              <w:bottom w:val="single" w:sz="4" w:space="0" w:color="auto"/>
              <w:right w:val="single" w:sz="4" w:space="0" w:color="auto"/>
            </w:tcBorders>
            <w:shd w:val="clear" w:color="auto" w:fill="auto"/>
            <w:noWrap/>
            <w:vAlign w:val="bottom"/>
            <w:hideMark/>
          </w:tcPr>
          <w:p w14:paraId="57C012CB"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884</w:t>
            </w:r>
          </w:p>
        </w:tc>
        <w:tc>
          <w:tcPr>
            <w:tcW w:w="907" w:type="dxa"/>
            <w:tcBorders>
              <w:top w:val="nil"/>
              <w:left w:val="nil"/>
              <w:bottom w:val="single" w:sz="4" w:space="0" w:color="auto"/>
              <w:right w:val="single" w:sz="4" w:space="0" w:color="auto"/>
            </w:tcBorders>
            <w:shd w:val="clear" w:color="auto" w:fill="auto"/>
            <w:noWrap/>
            <w:vAlign w:val="bottom"/>
            <w:hideMark/>
          </w:tcPr>
          <w:p w14:paraId="7E9DE41D"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366</w:t>
            </w:r>
          </w:p>
        </w:tc>
        <w:tc>
          <w:tcPr>
            <w:tcW w:w="907" w:type="dxa"/>
            <w:tcBorders>
              <w:top w:val="nil"/>
              <w:left w:val="nil"/>
              <w:bottom w:val="single" w:sz="4" w:space="0" w:color="auto"/>
              <w:right w:val="single" w:sz="4" w:space="0" w:color="auto"/>
            </w:tcBorders>
            <w:shd w:val="clear" w:color="auto" w:fill="auto"/>
            <w:noWrap/>
            <w:vAlign w:val="bottom"/>
            <w:hideMark/>
          </w:tcPr>
          <w:p w14:paraId="0A451BBB"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4,432</w:t>
            </w:r>
          </w:p>
        </w:tc>
      </w:tr>
      <w:tr w:rsidR="00451255" w:rsidRPr="00451255" w14:paraId="5BF2A6A5" w14:textId="77777777" w:rsidTr="00451255">
        <w:trPr>
          <w:trHeight w:val="222"/>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41BF5117" w14:textId="77777777" w:rsidR="00451255" w:rsidRPr="00451255" w:rsidRDefault="00451255" w:rsidP="00451255">
            <w:pPr>
              <w:spacing w:after="0"/>
              <w:rPr>
                <w:rFonts w:ascii="Calibri" w:eastAsia="Times New Roman" w:hAnsi="Calibri" w:cs="Calibri"/>
                <w:color w:val="000000"/>
                <w:sz w:val="20"/>
                <w:szCs w:val="20"/>
              </w:rPr>
            </w:pPr>
            <w:r w:rsidRPr="00451255">
              <w:rPr>
                <w:rFonts w:ascii="Calibri" w:eastAsia="Times New Roman" w:hAnsi="Calibri" w:cs="Calibri"/>
                <w:color w:val="000000"/>
                <w:sz w:val="20"/>
                <w:szCs w:val="20"/>
              </w:rPr>
              <w:t>LORLATINIB</w:t>
            </w:r>
          </w:p>
        </w:tc>
        <w:tc>
          <w:tcPr>
            <w:tcW w:w="906" w:type="dxa"/>
            <w:tcBorders>
              <w:top w:val="nil"/>
              <w:left w:val="nil"/>
              <w:bottom w:val="single" w:sz="4" w:space="0" w:color="auto"/>
              <w:right w:val="single" w:sz="4" w:space="0" w:color="auto"/>
            </w:tcBorders>
            <w:shd w:val="clear" w:color="auto" w:fill="auto"/>
            <w:noWrap/>
            <w:vAlign w:val="bottom"/>
            <w:hideMark/>
          </w:tcPr>
          <w:p w14:paraId="6396A543"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254EE73D"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5F09D837"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17B893A5"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6" w:type="dxa"/>
            <w:tcBorders>
              <w:top w:val="nil"/>
              <w:left w:val="nil"/>
              <w:bottom w:val="single" w:sz="4" w:space="0" w:color="auto"/>
              <w:right w:val="single" w:sz="4" w:space="0" w:color="auto"/>
            </w:tcBorders>
            <w:shd w:val="clear" w:color="auto" w:fill="auto"/>
            <w:noWrap/>
            <w:vAlign w:val="bottom"/>
            <w:hideMark/>
          </w:tcPr>
          <w:p w14:paraId="1F04D65E"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181</w:t>
            </w:r>
          </w:p>
        </w:tc>
        <w:tc>
          <w:tcPr>
            <w:tcW w:w="907" w:type="dxa"/>
            <w:tcBorders>
              <w:top w:val="nil"/>
              <w:left w:val="nil"/>
              <w:bottom w:val="single" w:sz="4" w:space="0" w:color="auto"/>
              <w:right w:val="single" w:sz="4" w:space="0" w:color="auto"/>
            </w:tcBorders>
            <w:shd w:val="clear" w:color="auto" w:fill="auto"/>
            <w:noWrap/>
            <w:vAlign w:val="bottom"/>
            <w:hideMark/>
          </w:tcPr>
          <w:p w14:paraId="17A09B2F"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620</w:t>
            </w:r>
          </w:p>
        </w:tc>
        <w:tc>
          <w:tcPr>
            <w:tcW w:w="907" w:type="dxa"/>
            <w:tcBorders>
              <w:top w:val="nil"/>
              <w:left w:val="nil"/>
              <w:bottom w:val="single" w:sz="4" w:space="0" w:color="auto"/>
              <w:right w:val="single" w:sz="4" w:space="0" w:color="auto"/>
            </w:tcBorders>
            <w:shd w:val="clear" w:color="auto" w:fill="auto"/>
            <w:noWrap/>
            <w:vAlign w:val="bottom"/>
            <w:hideMark/>
          </w:tcPr>
          <w:p w14:paraId="076E150C"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342</w:t>
            </w:r>
          </w:p>
        </w:tc>
        <w:tc>
          <w:tcPr>
            <w:tcW w:w="907" w:type="dxa"/>
            <w:tcBorders>
              <w:top w:val="nil"/>
              <w:left w:val="nil"/>
              <w:bottom w:val="single" w:sz="4" w:space="0" w:color="auto"/>
              <w:right w:val="single" w:sz="4" w:space="0" w:color="auto"/>
            </w:tcBorders>
            <w:shd w:val="clear" w:color="auto" w:fill="auto"/>
            <w:noWrap/>
            <w:vAlign w:val="bottom"/>
            <w:hideMark/>
          </w:tcPr>
          <w:p w14:paraId="252A1EF7"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1,143</w:t>
            </w:r>
          </w:p>
        </w:tc>
      </w:tr>
      <w:tr w:rsidR="00451255" w:rsidRPr="00451255" w14:paraId="641CE359" w14:textId="77777777" w:rsidTr="00451255">
        <w:trPr>
          <w:trHeight w:val="222"/>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06EFFBA2" w14:textId="77777777" w:rsidR="00451255" w:rsidRPr="00451255" w:rsidRDefault="00451255" w:rsidP="00451255">
            <w:pPr>
              <w:spacing w:after="0"/>
              <w:rPr>
                <w:rFonts w:ascii="Calibri" w:eastAsia="Times New Roman" w:hAnsi="Calibri" w:cs="Calibri"/>
                <w:color w:val="000000"/>
                <w:sz w:val="20"/>
                <w:szCs w:val="20"/>
              </w:rPr>
            </w:pPr>
            <w:r w:rsidRPr="00451255">
              <w:rPr>
                <w:rFonts w:ascii="Calibri" w:eastAsia="Times New Roman" w:hAnsi="Calibri" w:cs="Calibri"/>
                <w:color w:val="000000"/>
                <w:sz w:val="20"/>
                <w:szCs w:val="20"/>
              </w:rPr>
              <w:t>CERITINIB</w:t>
            </w:r>
          </w:p>
        </w:tc>
        <w:tc>
          <w:tcPr>
            <w:tcW w:w="906" w:type="dxa"/>
            <w:tcBorders>
              <w:top w:val="nil"/>
              <w:left w:val="nil"/>
              <w:bottom w:val="single" w:sz="4" w:space="0" w:color="auto"/>
              <w:right w:val="single" w:sz="4" w:space="0" w:color="auto"/>
            </w:tcBorders>
            <w:shd w:val="clear" w:color="auto" w:fill="auto"/>
            <w:noWrap/>
            <w:vAlign w:val="bottom"/>
            <w:hideMark/>
          </w:tcPr>
          <w:p w14:paraId="3F953AB6"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5AFA2F2F"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395</w:t>
            </w:r>
          </w:p>
        </w:tc>
        <w:tc>
          <w:tcPr>
            <w:tcW w:w="907" w:type="dxa"/>
            <w:tcBorders>
              <w:top w:val="nil"/>
              <w:left w:val="nil"/>
              <w:bottom w:val="single" w:sz="4" w:space="0" w:color="auto"/>
              <w:right w:val="single" w:sz="4" w:space="0" w:color="auto"/>
            </w:tcBorders>
            <w:shd w:val="clear" w:color="auto" w:fill="auto"/>
            <w:noWrap/>
            <w:vAlign w:val="bottom"/>
            <w:hideMark/>
          </w:tcPr>
          <w:p w14:paraId="4AF0FA76"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179</w:t>
            </w:r>
          </w:p>
        </w:tc>
        <w:tc>
          <w:tcPr>
            <w:tcW w:w="907" w:type="dxa"/>
            <w:tcBorders>
              <w:top w:val="nil"/>
              <w:left w:val="nil"/>
              <w:bottom w:val="single" w:sz="4" w:space="0" w:color="auto"/>
              <w:right w:val="single" w:sz="4" w:space="0" w:color="auto"/>
            </w:tcBorders>
            <w:shd w:val="clear" w:color="auto" w:fill="auto"/>
            <w:noWrap/>
            <w:vAlign w:val="bottom"/>
            <w:hideMark/>
          </w:tcPr>
          <w:p w14:paraId="19C55949"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97</w:t>
            </w:r>
          </w:p>
        </w:tc>
        <w:tc>
          <w:tcPr>
            <w:tcW w:w="906" w:type="dxa"/>
            <w:tcBorders>
              <w:top w:val="nil"/>
              <w:left w:val="nil"/>
              <w:bottom w:val="single" w:sz="4" w:space="0" w:color="auto"/>
              <w:right w:val="single" w:sz="4" w:space="0" w:color="auto"/>
            </w:tcBorders>
            <w:shd w:val="clear" w:color="auto" w:fill="auto"/>
            <w:noWrap/>
            <w:vAlign w:val="bottom"/>
            <w:hideMark/>
          </w:tcPr>
          <w:p w14:paraId="42FF05E2"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62</w:t>
            </w:r>
          </w:p>
        </w:tc>
        <w:tc>
          <w:tcPr>
            <w:tcW w:w="907" w:type="dxa"/>
            <w:tcBorders>
              <w:top w:val="nil"/>
              <w:left w:val="nil"/>
              <w:bottom w:val="single" w:sz="4" w:space="0" w:color="auto"/>
              <w:right w:val="single" w:sz="4" w:space="0" w:color="auto"/>
            </w:tcBorders>
            <w:shd w:val="clear" w:color="auto" w:fill="auto"/>
            <w:noWrap/>
            <w:vAlign w:val="bottom"/>
            <w:hideMark/>
          </w:tcPr>
          <w:p w14:paraId="4C918A10"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46</w:t>
            </w:r>
          </w:p>
        </w:tc>
        <w:tc>
          <w:tcPr>
            <w:tcW w:w="907" w:type="dxa"/>
            <w:tcBorders>
              <w:top w:val="nil"/>
              <w:left w:val="nil"/>
              <w:bottom w:val="single" w:sz="4" w:space="0" w:color="auto"/>
              <w:right w:val="single" w:sz="4" w:space="0" w:color="auto"/>
            </w:tcBorders>
            <w:shd w:val="clear" w:color="auto" w:fill="auto"/>
            <w:noWrap/>
            <w:vAlign w:val="bottom"/>
            <w:hideMark/>
          </w:tcPr>
          <w:p w14:paraId="066A7549"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11</w:t>
            </w:r>
          </w:p>
        </w:tc>
        <w:tc>
          <w:tcPr>
            <w:tcW w:w="907" w:type="dxa"/>
            <w:tcBorders>
              <w:top w:val="nil"/>
              <w:left w:val="nil"/>
              <w:bottom w:val="single" w:sz="4" w:space="0" w:color="auto"/>
              <w:right w:val="single" w:sz="4" w:space="0" w:color="auto"/>
            </w:tcBorders>
            <w:shd w:val="clear" w:color="auto" w:fill="auto"/>
            <w:noWrap/>
            <w:vAlign w:val="bottom"/>
            <w:hideMark/>
          </w:tcPr>
          <w:p w14:paraId="3D223375"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790</w:t>
            </w:r>
          </w:p>
        </w:tc>
      </w:tr>
      <w:tr w:rsidR="00451255" w:rsidRPr="00451255" w14:paraId="06B5E5C4" w14:textId="77777777" w:rsidTr="00451255">
        <w:trPr>
          <w:trHeight w:val="222"/>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434AB0FD" w14:textId="77777777" w:rsidR="00451255" w:rsidRPr="00451255" w:rsidRDefault="00451255" w:rsidP="00451255">
            <w:pPr>
              <w:spacing w:after="0"/>
              <w:rPr>
                <w:rFonts w:ascii="Calibri" w:eastAsia="Times New Roman" w:hAnsi="Calibri" w:cs="Calibri"/>
                <w:color w:val="000000"/>
                <w:sz w:val="20"/>
                <w:szCs w:val="20"/>
              </w:rPr>
            </w:pPr>
            <w:r w:rsidRPr="00451255">
              <w:rPr>
                <w:rFonts w:ascii="Calibri" w:eastAsia="Times New Roman" w:hAnsi="Calibri" w:cs="Calibri"/>
                <w:color w:val="000000"/>
                <w:sz w:val="20"/>
                <w:szCs w:val="20"/>
              </w:rPr>
              <w:t>IPILIMUMAB</w:t>
            </w:r>
          </w:p>
        </w:tc>
        <w:tc>
          <w:tcPr>
            <w:tcW w:w="906" w:type="dxa"/>
            <w:tcBorders>
              <w:top w:val="nil"/>
              <w:left w:val="nil"/>
              <w:bottom w:val="single" w:sz="4" w:space="0" w:color="auto"/>
              <w:right w:val="single" w:sz="4" w:space="0" w:color="auto"/>
            </w:tcBorders>
            <w:shd w:val="clear" w:color="auto" w:fill="auto"/>
            <w:noWrap/>
            <w:vAlign w:val="bottom"/>
            <w:hideMark/>
          </w:tcPr>
          <w:p w14:paraId="2374A3B7"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4CB97A19"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028DEA07"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1957B2F6"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6" w:type="dxa"/>
            <w:tcBorders>
              <w:top w:val="nil"/>
              <w:left w:val="nil"/>
              <w:bottom w:val="single" w:sz="4" w:space="0" w:color="auto"/>
              <w:right w:val="single" w:sz="4" w:space="0" w:color="auto"/>
            </w:tcBorders>
            <w:shd w:val="clear" w:color="auto" w:fill="auto"/>
            <w:noWrap/>
            <w:vAlign w:val="bottom"/>
            <w:hideMark/>
          </w:tcPr>
          <w:p w14:paraId="5479457C"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4B6B86C7"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314</w:t>
            </w:r>
          </w:p>
        </w:tc>
        <w:tc>
          <w:tcPr>
            <w:tcW w:w="907" w:type="dxa"/>
            <w:tcBorders>
              <w:top w:val="nil"/>
              <w:left w:val="nil"/>
              <w:bottom w:val="single" w:sz="4" w:space="0" w:color="auto"/>
              <w:right w:val="single" w:sz="4" w:space="0" w:color="auto"/>
            </w:tcBorders>
            <w:shd w:val="clear" w:color="auto" w:fill="auto"/>
            <w:noWrap/>
            <w:vAlign w:val="bottom"/>
            <w:hideMark/>
          </w:tcPr>
          <w:p w14:paraId="771E6D3C"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265</w:t>
            </w:r>
          </w:p>
        </w:tc>
        <w:tc>
          <w:tcPr>
            <w:tcW w:w="907" w:type="dxa"/>
            <w:tcBorders>
              <w:top w:val="nil"/>
              <w:left w:val="nil"/>
              <w:bottom w:val="single" w:sz="4" w:space="0" w:color="auto"/>
              <w:right w:val="single" w:sz="4" w:space="0" w:color="auto"/>
            </w:tcBorders>
            <w:shd w:val="clear" w:color="auto" w:fill="auto"/>
            <w:noWrap/>
            <w:vAlign w:val="bottom"/>
            <w:hideMark/>
          </w:tcPr>
          <w:p w14:paraId="65519B0B"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579</w:t>
            </w:r>
          </w:p>
        </w:tc>
      </w:tr>
      <w:tr w:rsidR="00451255" w:rsidRPr="00451255" w14:paraId="4F42EAEC" w14:textId="77777777" w:rsidTr="00451255">
        <w:trPr>
          <w:trHeight w:val="222"/>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0B3C51D8" w14:textId="77777777" w:rsidR="00451255" w:rsidRPr="00451255" w:rsidRDefault="00451255" w:rsidP="00451255">
            <w:pPr>
              <w:spacing w:after="0"/>
              <w:rPr>
                <w:rFonts w:ascii="Calibri" w:eastAsia="Times New Roman" w:hAnsi="Calibri" w:cs="Calibri"/>
                <w:color w:val="000000"/>
                <w:sz w:val="20"/>
                <w:szCs w:val="20"/>
              </w:rPr>
            </w:pPr>
            <w:r w:rsidRPr="00451255">
              <w:rPr>
                <w:rFonts w:ascii="Calibri" w:eastAsia="Times New Roman" w:hAnsi="Calibri" w:cs="Calibri"/>
                <w:color w:val="000000"/>
                <w:sz w:val="20"/>
                <w:szCs w:val="20"/>
              </w:rPr>
              <w:t>BRIGATINIB</w:t>
            </w:r>
          </w:p>
        </w:tc>
        <w:tc>
          <w:tcPr>
            <w:tcW w:w="906" w:type="dxa"/>
            <w:tcBorders>
              <w:top w:val="nil"/>
              <w:left w:val="nil"/>
              <w:bottom w:val="single" w:sz="4" w:space="0" w:color="auto"/>
              <w:right w:val="single" w:sz="4" w:space="0" w:color="auto"/>
            </w:tcBorders>
            <w:shd w:val="clear" w:color="auto" w:fill="auto"/>
            <w:noWrap/>
            <w:vAlign w:val="bottom"/>
            <w:hideMark/>
          </w:tcPr>
          <w:p w14:paraId="241C8371"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74EB53D3"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02FBB453"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0D419292"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6" w:type="dxa"/>
            <w:tcBorders>
              <w:top w:val="nil"/>
              <w:left w:val="nil"/>
              <w:bottom w:val="single" w:sz="4" w:space="0" w:color="auto"/>
              <w:right w:val="single" w:sz="4" w:space="0" w:color="auto"/>
            </w:tcBorders>
            <w:shd w:val="clear" w:color="auto" w:fill="auto"/>
            <w:noWrap/>
            <w:vAlign w:val="bottom"/>
            <w:hideMark/>
          </w:tcPr>
          <w:p w14:paraId="27A0AA48"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96</w:t>
            </w:r>
          </w:p>
        </w:tc>
        <w:tc>
          <w:tcPr>
            <w:tcW w:w="907" w:type="dxa"/>
            <w:tcBorders>
              <w:top w:val="nil"/>
              <w:left w:val="nil"/>
              <w:bottom w:val="single" w:sz="4" w:space="0" w:color="auto"/>
              <w:right w:val="single" w:sz="4" w:space="0" w:color="auto"/>
            </w:tcBorders>
            <w:shd w:val="clear" w:color="auto" w:fill="auto"/>
            <w:noWrap/>
            <w:vAlign w:val="bottom"/>
            <w:hideMark/>
          </w:tcPr>
          <w:p w14:paraId="59B16250"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191</w:t>
            </w:r>
          </w:p>
        </w:tc>
        <w:tc>
          <w:tcPr>
            <w:tcW w:w="907" w:type="dxa"/>
            <w:tcBorders>
              <w:top w:val="nil"/>
              <w:left w:val="nil"/>
              <w:bottom w:val="single" w:sz="4" w:space="0" w:color="auto"/>
              <w:right w:val="single" w:sz="4" w:space="0" w:color="auto"/>
            </w:tcBorders>
            <w:shd w:val="clear" w:color="auto" w:fill="auto"/>
            <w:noWrap/>
            <w:vAlign w:val="bottom"/>
            <w:hideMark/>
          </w:tcPr>
          <w:p w14:paraId="051583AD"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149</w:t>
            </w:r>
          </w:p>
        </w:tc>
        <w:tc>
          <w:tcPr>
            <w:tcW w:w="907" w:type="dxa"/>
            <w:tcBorders>
              <w:top w:val="nil"/>
              <w:left w:val="nil"/>
              <w:bottom w:val="single" w:sz="4" w:space="0" w:color="auto"/>
              <w:right w:val="single" w:sz="4" w:space="0" w:color="auto"/>
            </w:tcBorders>
            <w:shd w:val="clear" w:color="auto" w:fill="auto"/>
            <w:noWrap/>
            <w:vAlign w:val="bottom"/>
            <w:hideMark/>
          </w:tcPr>
          <w:p w14:paraId="25692F28"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436</w:t>
            </w:r>
          </w:p>
        </w:tc>
      </w:tr>
      <w:tr w:rsidR="00451255" w:rsidRPr="00451255" w14:paraId="22B4EBC5" w14:textId="77777777" w:rsidTr="00451255">
        <w:trPr>
          <w:trHeight w:val="222"/>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553B2DF5" w14:textId="77777777" w:rsidR="00451255" w:rsidRPr="00451255" w:rsidRDefault="00451255" w:rsidP="00451255">
            <w:pPr>
              <w:spacing w:after="0"/>
              <w:rPr>
                <w:rFonts w:ascii="Calibri" w:eastAsia="Times New Roman" w:hAnsi="Calibri" w:cs="Calibri"/>
                <w:color w:val="000000"/>
                <w:sz w:val="20"/>
                <w:szCs w:val="20"/>
              </w:rPr>
            </w:pPr>
            <w:r w:rsidRPr="00451255">
              <w:rPr>
                <w:rFonts w:ascii="Calibri" w:eastAsia="Times New Roman" w:hAnsi="Calibri" w:cs="Calibri"/>
                <w:color w:val="000000"/>
                <w:sz w:val="20"/>
                <w:szCs w:val="20"/>
              </w:rPr>
              <w:t>ENTRECTINIB</w:t>
            </w:r>
          </w:p>
        </w:tc>
        <w:tc>
          <w:tcPr>
            <w:tcW w:w="906" w:type="dxa"/>
            <w:tcBorders>
              <w:top w:val="nil"/>
              <w:left w:val="nil"/>
              <w:bottom w:val="single" w:sz="4" w:space="0" w:color="auto"/>
              <w:right w:val="single" w:sz="4" w:space="0" w:color="auto"/>
            </w:tcBorders>
            <w:shd w:val="clear" w:color="auto" w:fill="auto"/>
            <w:noWrap/>
            <w:vAlign w:val="bottom"/>
            <w:hideMark/>
          </w:tcPr>
          <w:p w14:paraId="5A5F021E"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09E12B3E"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1E44A40B"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4A560E84"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6" w:type="dxa"/>
            <w:tcBorders>
              <w:top w:val="nil"/>
              <w:left w:val="nil"/>
              <w:bottom w:val="single" w:sz="4" w:space="0" w:color="auto"/>
              <w:right w:val="single" w:sz="4" w:space="0" w:color="auto"/>
            </w:tcBorders>
            <w:shd w:val="clear" w:color="auto" w:fill="auto"/>
            <w:noWrap/>
            <w:vAlign w:val="bottom"/>
            <w:hideMark/>
          </w:tcPr>
          <w:p w14:paraId="6277B398"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23</w:t>
            </w:r>
          </w:p>
        </w:tc>
        <w:tc>
          <w:tcPr>
            <w:tcW w:w="907" w:type="dxa"/>
            <w:tcBorders>
              <w:top w:val="nil"/>
              <w:left w:val="nil"/>
              <w:bottom w:val="single" w:sz="4" w:space="0" w:color="auto"/>
              <w:right w:val="single" w:sz="4" w:space="0" w:color="auto"/>
            </w:tcBorders>
            <w:shd w:val="clear" w:color="auto" w:fill="auto"/>
            <w:noWrap/>
            <w:vAlign w:val="bottom"/>
            <w:hideMark/>
          </w:tcPr>
          <w:p w14:paraId="2531BFAA"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204</w:t>
            </w:r>
          </w:p>
        </w:tc>
        <w:tc>
          <w:tcPr>
            <w:tcW w:w="907" w:type="dxa"/>
            <w:tcBorders>
              <w:top w:val="nil"/>
              <w:left w:val="nil"/>
              <w:bottom w:val="single" w:sz="4" w:space="0" w:color="auto"/>
              <w:right w:val="single" w:sz="4" w:space="0" w:color="auto"/>
            </w:tcBorders>
            <w:shd w:val="clear" w:color="auto" w:fill="auto"/>
            <w:noWrap/>
            <w:vAlign w:val="bottom"/>
            <w:hideMark/>
          </w:tcPr>
          <w:p w14:paraId="00929063"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161</w:t>
            </w:r>
          </w:p>
        </w:tc>
        <w:tc>
          <w:tcPr>
            <w:tcW w:w="907" w:type="dxa"/>
            <w:tcBorders>
              <w:top w:val="nil"/>
              <w:left w:val="nil"/>
              <w:bottom w:val="single" w:sz="4" w:space="0" w:color="auto"/>
              <w:right w:val="single" w:sz="4" w:space="0" w:color="auto"/>
            </w:tcBorders>
            <w:shd w:val="clear" w:color="auto" w:fill="auto"/>
            <w:noWrap/>
            <w:vAlign w:val="bottom"/>
            <w:hideMark/>
          </w:tcPr>
          <w:p w14:paraId="11B9DF37"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388</w:t>
            </w:r>
          </w:p>
        </w:tc>
      </w:tr>
      <w:tr w:rsidR="00451255" w:rsidRPr="00451255" w14:paraId="75A789D2" w14:textId="77777777" w:rsidTr="00451255">
        <w:trPr>
          <w:trHeight w:val="222"/>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11C598AF" w14:textId="77777777" w:rsidR="00451255" w:rsidRPr="00451255" w:rsidRDefault="00451255" w:rsidP="00451255">
            <w:pPr>
              <w:spacing w:after="0"/>
              <w:rPr>
                <w:rFonts w:ascii="Calibri" w:eastAsia="Times New Roman" w:hAnsi="Calibri" w:cs="Calibri"/>
                <w:color w:val="000000"/>
                <w:sz w:val="20"/>
                <w:szCs w:val="20"/>
              </w:rPr>
            </w:pPr>
            <w:r w:rsidRPr="00451255">
              <w:rPr>
                <w:rFonts w:ascii="Calibri" w:eastAsia="Times New Roman" w:hAnsi="Calibri" w:cs="Calibri"/>
                <w:color w:val="000000"/>
                <w:sz w:val="20"/>
                <w:szCs w:val="20"/>
              </w:rPr>
              <w:t xml:space="preserve">Total </w:t>
            </w:r>
          </w:p>
        </w:tc>
        <w:tc>
          <w:tcPr>
            <w:tcW w:w="906" w:type="dxa"/>
            <w:tcBorders>
              <w:top w:val="nil"/>
              <w:left w:val="nil"/>
              <w:bottom w:val="single" w:sz="4" w:space="0" w:color="auto"/>
              <w:right w:val="single" w:sz="4" w:space="0" w:color="auto"/>
            </w:tcBorders>
            <w:shd w:val="clear" w:color="auto" w:fill="auto"/>
            <w:noWrap/>
            <w:vAlign w:val="bottom"/>
            <w:hideMark/>
          </w:tcPr>
          <w:p w14:paraId="647F1E91"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9,407</w:t>
            </w:r>
          </w:p>
        </w:tc>
        <w:tc>
          <w:tcPr>
            <w:tcW w:w="907" w:type="dxa"/>
            <w:tcBorders>
              <w:top w:val="nil"/>
              <w:left w:val="nil"/>
              <w:bottom w:val="single" w:sz="4" w:space="0" w:color="auto"/>
              <w:right w:val="single" w:sz="4" w:space="0" w:color="auto"/>
            </w:tcBorders>
            <w:shd w:val="clear" w:color="auto" w:fill="auto"/>
            <w:noWrap/>
            <w:vAlign w:val="bottom"/>
            <w:hideMark/>
          </w:tcPr>
          <w:p w14:paraId="7BC49094"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24,814</w:t>
            </w:r>
          </w:p>
        </w:tc>
        <w:tc>
          <w:tcPr>
            <w:tcW w:w="907" w:type="dxa"/>
            <w:tcBorders>
              <w:top w:val="nil"/>
              <w:left w:val="nil"/>
              <w:bottom w:val="single" w:sz="4" w:space="0" w:color="auto"/>
              <w:right w:val="single" w:sz="4" w:space="0" w:color="auto"/>
            </w:tcBorders>
            <w:shd w:val="clear" w:color="auto" w:fill="auto"/>
            <w:noWrap/>
            <w:vAlign w:val="bottom"/>
            <w:hideMark/>
          </w:tcPr>
          <w:p w14:paraId="3EEB7580"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51,666</w:t>
            </w:r>
          </w:p>
        </w:tc>
        <w:tc>
          <w:tcPr>
            <w:tcW w:w="907" w:type="dxa"/>
            <w:tcBorders>
              <w:top w:val="nil"/>
              <w:left w:val="nil"/>
              <w:bottom w:val="single" w:sz="4" w:space="0" w:color="auto"/>
              <w:right w:val="single" w:sz="4" w:space="0" w:color="auto"/>
            </w:tcBorders>
            <w:shd w:val="clear" w:color="auto" w:fill="auto"/>
            <w:noWrap/>
            <w:vAlign w:val="bottom"/>
            <w:hideMark/>
          </w:tcPr>
          <w:p w14:paraId="6A079387"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61,294</w:t>
            </w:r>
          </w:p>
        </w:tc>
        <w:tc>
          <w:tcPr>
            <w:tcW w:w="906" w:type="dxa"/>
            <w:tcBorders>
              <w:top w:val="nil"/>
              <w:left w:val="nil"/>
              <w:bottom w:val="single" w:sz="4" w:space="0" w:color="auto"/>
              <w:right w:val="single" w:sz="4" w:space="0" w:color="auto"/>
            </w:tcBorders>
            <w:shd w:val="clear" w:color="auto" w:fill="auto"/>
            <w:noWrap/>
            <w:vAlign w:val="bottom"/>
            <w:hideMark/>
          </w:tcPr>
          <w:p w14:paraId="3FB38EB0"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83,209</w:t>
            </w:r>
          </w:p>
        </w:tc>
        <w:tc>
          <w:tcPr>
            <w:tcW w:w="907" w:type="dxa"/>
            <w:tcBorders>
              <w:top w:val="nil"/>
              <w:left w:val="nil"/>
              <w:bottom w:val="single" w:sz="4" w:space="0" w:color="auto"/>
              <w:right w:val="single" w:sz="4" w:space="0" w:color="auto"/>
            </w:tcBorders>
            <w:shd w:val="clear" w:color="auto" w:fill="auto"/>
            <w:noWrap/>
            <w:vAlign w:val="bottom"/>
            <w:hideMark/>
          </w:tcPr>
          <w:p w14:paraId="6675DE50"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85,606</w:t>
            </w:r>
          </w:p>
        </w:tc>
        <w:tc>
          <w:tcPr>
            <w:tcW w:w="907" w:type="dxa"/>
            <w:tcBorders>
              <w:top w:val="nil"/>
              <w:left w:val="nil"/>
              <w:bottom w:val="single" w:sz="4" w:space="0" w:color="auto"/>
              <w:right w:val="single" w:sz="4" w:space="0" w:color="auto"/>
            </w:tcBorders>
            <w:shd w:val="clear" w:color="auto" w:fill="auto"/>
            <w:noWrap/>
            <w:vAlign w:val="bottom"/>
            <w:hideMark/>
          </w:tcPr>
          <w:p w14:paraId="52DE7DE0"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41,203</w:t>
            </w:r>
          </w:p>
        </w:tc>
        <w:tc>
          <w:tcPr>
            <w:tcW w:w="907" w:type="dxa"/>
            <w:tcBorders>
              <w:top w:val="nil"/>
              <w:left w:val="nil"/>
              <w:bottom w:val="single" w:sz="4" w:space="0" w:color="auto"/>
              <w:right w:val="single" w:sz="4" w:space="0" w:color="auto"/>
            </w:tcBorders>
            <w:shd w:val="clear" w:color="auto" w:fill="auto"/>
            <w:noWrap/>
            <w:vAlign w:val="bottom"/>
            <w:hideMark/>
          </w:tcPr>
          <w:p w14:paraId="3C8FD9E9"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357,199</w:t>
            </w:r>
          </w:p>
        </w:tc>
      </w:tr>
      <w:tr w:rsidR="00451255" w:rsidRPr="00451255" w14:paraId="12232E37" w14:textId="77777777" w:rsidTr="00451255">
        <w:trPr>
          <w:trHeight w:val="222"/>
        </w:trPr>
        <w:tc>
          <w:tcPr>
            <w:tcW w:w="1693" w:type="dxa"/>
            <w:tcBorders>
              <w:top w:val="nil"/>
              <w:left w:val="single" w:sz="4" w:space="0" w:color="auto"/>
              <w:bottom w:val="single" w:sz="4" w:space="0" w:color="auto"/>
              <w:right w:val="single" w:sz="4" w:space="0" w:color="auto"/>
            </w:tcBorders>
            <w:shd w:val="clear" w:color="auto" w:fill="auto"/>
            <w:noWrap/>
            <w:vAlign w:val="bottom"/>
            <w:hideMark/>
          </w:tcPr>
          <w:p w14:paraId="375F36C0" w14:textId="23D9802C" w:rsidR="00451255" w:rsidRPr="00451255" w:rsidRDefault="00451255" w:rsidP="00451255">
            <w:pPr>
              <w:spacing w:after="0"/>
              <w:rPr>
                <w:rFonts w:ascii="Calibri" w:eastAsia="Times New Roman" w:hAnsi="Calibri" w:cs="Calibri"/>
                <w:color w:val="000000"/>
                <w:sz w:val="20"/>
                <w:szCs w:val="20"/>
              </w:rPr>
            </w:pPr>
            <w:r w:rsidRPr="00451255">
              <w:rPr>
                <w:rFonts w:ascii="Calibri" w:eastAsia="Times New Roman" w:hAnsi="Calibri" w:cs="Calibri"/>
                <w:color w:val="000000"/>
                <w:sz w:val="20"/>
                <w:szCs w:val="20"/>
              </w:rPr>
              <w:t xml:space="preserve">Growth </w:t>
            </w:r>
            <w:r w:rsidR="00E101C7">
              <w:rPr>
                <w:rFonts w:ascii="Calibri" w:eastAsia="Times New Roman" w:hAnsi="Calibri" w:cs="Calibri"/>
                <w:color w:val="000000"/>
                <w:sz w:val="20"/>
                <w:szCs w:val="20"/>
              </w:rPr>
              <w:t xml:space="preserve">from previous year </w:t>
            </w:r>
          </w:p>
        </w:tc>
        <w:tc>
          <w:tcPr>
            <w:tcW w:w="906" w:type="dxa"/>
            <w:tcBorders>
              <w:top w:val="nil"/>
              <w:left w:val="nil"/>
              <w:bottom w:val="single" w:sz="4" w:space="0" w:color="auto"/>
              <w:right w:val="single" w:sz="4" w:space="0" w:color="auto"/>
            </w:tcBorders>
            <w:shd w:val="clear" w:color="auto" w:fill="auto"/>
            <w:noWrap/>
            <w:vAlign w:val="bottom"/>
            <w:hideMark/>
          </w:tcPr>
          <w:p w14:paraId="5AC42829"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32458084"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164%</w:t>
            </w:r>
          </w:p>
        </w:tc>
        <w:tc>
          <w:tcPr>
            <w:tcW w:w="907" w:type="dxa"/>
            <w:tcBorders>
              <w:top w:val="nil"/>
              <w:left w:val="nil"/>
              <w:bottom w:val="single" w:sz="4" w:space="0" w:color="auto"/>
              <w:right w:val="single" w:sz="4" w:space="0" w:color="auto"/>
            </w:tcBorders>
            <w:shd w:val="clear" w:color="auto" w:fill="auto"/>
            <w:noWrap/>
            <w:vAlign w:val="bottom"/>
            <w:hideMark/>
          </w:tcPr>
          <w:p w14:paraId="2F6016B4"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108%</w:t>
            </w:r>
          </w:p>
        </w:tc>
        <w:tc>
          <w:tcPr>
            <w:tcW w:w="907" w:type="dxa"/>
            <w:tcBorders>
              <w:top w:val="nil"/>
              <w:left w:val="nil"/>
              <w:bottom w:val="single" w:sz="4" w:space="0" w:color="auto"/>
              <w:right w:val="single" w:sz="4" w:space="0" w:color="auto"/>
            </w:tcBorders>
            <w:shd w:val="clear" w:color="auto" w:fill="auto"/>
            <w:noWrap/>
            <w:vAlign w:val="bottom"/>
            <w:hideMark/>
          </w:tcPr>
          <w:p w14:paraId="1453CD90"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19%</w:t>
            </w:r>
          </w:p>
        </w:tc>
        <w:tc>
          <w:tcPr>
            <w:tcW w:w="906" w:type="dxa"/>
            <w:tcBorders>
              <w:top w:val="nil"/>
              <w:left w:val="nil"/>
              <w:bottom w:val="single" w:sz="4" w:space="0" w:color="auto"/>
              <w:right w:val="single" w:sz="4" w:space="0" w:color="auto"/>
            </w:tcBorders>
            <w:shd w:val="clear" w:color="auto" w:fill="auto"/>
            <w:noWrap/>
            <w:vAlign w:val="bottom"/>
            <w:hideMark/>
          </w:tcPr>
          <w:p w14:paraId="6E01BC71"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36%</w:t>
            </w:r>
          </w:p>
        </w:tc>
        <w:tc>
          <w:tcPr>
            <w:tcW w:w="907" w:type="dxa"/>
            <w:tcBorders>
              <w:top w:val="nil"/>
              <w:left w:val="nil"/>
              <w:bottom w:val="single" w:sz="4" w:space="0" w:color="auto"/>
              <w:right w:val="single" w:sz="4" w:space="0" w:color="auto"/>
            </w:tcBorders>
            <w:shd w:val="clear" w:color="auto" w:fill="auto"/>
            <w:noWrap/>
            <w:vAlign w:val="bottom"/>
            <w:hideMark/>
          </w:tcPr>
          <w:p w14:paraId="53A71E8E"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3%</w:t>
            </w:r>
          </w:p>
        </w:tc>
        <w:tc>
          <w:tcPr>
            <w:tcW w:w="907" w:type="dxa"/>
            <w:tcBorders>
              <w:top w:val="nil"/>
              <w:left w:val="nil"/>
              <w:bottom w:val="single" w:sz="4" w:space="0" w:color="auto"/>
              <w:right w:val="single" w:sz="4" w:space="0" w:color="auto"/>
            </w:tcBorders>
            <w:shd w:val="clear" w:color="auto" w:fill="auto"/>
            <w:noWrap/>
            <w:vAlign w:val="bottom"/>
            <w:hideMark/>
          </w:tcPr>
          <w:p w14:paraId="4D4C0FD1"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c>
          <w:tcPr>
            <w:tcW w:w="907" w:type="dxa"/>
            <w:tcBorders>
              <w:top w:val="nil"/>
              <w:left w:val="nil"/>
              <w:bottom w:val="single" w:sz="4" w:space="0" w:color="auto"/>
              <w:right w:val="single" w:sz="4" w:space="0" w:color="auto"/>
            </w:tcBorders>
            <w:shd w:val="clear" w:color="auto" w:fill="auto"/>
            <w:noWrap/>
            <w:vAlign w:val="bottom"/>
            <w:hideMark/>
          </w:tcPr>
          <w:p w14:paraId="7A07A3C8" w14:textId="77777777" w:rsidR="00451255" w:rsidRPr="00451255" w:rsidRDefault="00451255" w:rsidP="00451255">
            <w:pPr>
              <w:spacing w:after="0"/>
              <w:jc w:val="center"/>
              <w:rPr>
                <w:rFonts w:ascii="Calibri" w:eastAsia="Times New Roman" w:hAnsi="Calibri" w:cs="Calibri"/>
                <w:color w:val="000000"/>
                <w:sz w:val="20"/>
                <w:szCs w:val="20"/>
              </w:rPr>
            </w:pPr>
            <w:r w:rsidRPr="00451255">
              <w:rPr>
                <w:rFonts w:ascii="Calibri" w:eastAsia="Times New Roman" w:hAnsi="Calibri" w:cs="Calibri"/>
                <w:color w:val="000000"/>
                <w:sz w:val="20"/>
                <w:szCs w:val="20"/>
              </w:rPr>
              <w:t> </w:t>
            </w:r>
          </w:p>
        </w:tc>
      </w:tr>
    </w:tbl>
    <w:p w14:paraId="0ED83AEF" w14:textId="5DE52898" w:rsidR="00DE013A" w:rsidRDefault="00944A7A" w:rsidP="00944A7A">
      <w:pPr>
        <w:pStyle w:val="Figurecaption"/>
        <w:spacing w:after="0"/>
      </w:pPr>
      <w:r>
        <w:t>Note</w:t>
      </w:r>
      <w:r w:rsidR="00DE013A">
        <w:t>s</w:t>
      </w:r>
      <w:r>
        <w:t xml:space="preserve">: </w:t>
      </w:r>
      <w:r w:rsidR="00451255">
        <w:tab/>
      </w:r>
    </w:p>
    <w:p w14:paraId="2FF6A9ED" w14:textId="77777777" w:rsidR="00DE013A" w:rsidRDefault="00944A7A" w:rsidP="00FC27E8">
      <w:pPr>
        <w:pStyle w:val="Figurecaption"/>
        <w:numPr>
          <w:ilvl w:val="0"/>
          <w:numId w:val="16"/>
        </w:numPr>
        <w:spacing w:after="0"/>
      </w:pPr>
      <w:r>
        <w:t xml:space="preserve">2022 figures are year-to-date 30 June. </w:t>
      </w:r>
    </w:p>
    <w:p w14:paraId="02C59EF4" w14:textId="55A5EBDB" w:rsidR="00944A7A" w:rsidRDefault="00944A7A" w:rsidP="00FC27E8">
      <w:pPr>
        <w:pStyle w:val="Figurecaption"/>
        <w:numPr>
          <w:ilvl w:val="0"/>
          <w:numId w:val="16"/>
        </w:numPr>
        <w:spacing w:after="0"/>
      </w:pPr>
      <w:r>
        <w:t xml:space="preserve">The PBS listing of bevacizumab became unrestricted </w:t>
      </w:r>
      <w:r w:rsidR="008F4037">
        <w:t xml:space="preserve">1 </w:t>
      </w:r>
      <w:r w:rsidR="003A3796">
        <w:t>June</w:t>
      </w:r>
      <w:r w:rsidR="00F863A5">
        <w:t xml:space="preserve"> </w:t>
      </w:r>
      <w:r>
        <w:t xml:space="preserve">2021. </w:t>
      </w:r>
    </w:p>
    <w:p w14:paraId="57D14278" w14:textId="1F8BEC41" w:rsidR="0041065C" w:rsidRDefault="0041065C" w:rsidP="0041065C">
      <w:pPr>
        <w:pStyle w:val="Figurecaption"/>
        <w:spacing w:after="0"/>
        <w:rPr>
          <w:sz w:val="24"/>
          <w:szCs w:val="24"/>
        </w:rPr>
      </w:pPr>
    </w:p>
    <w:p w14:paraId="38F8E6C2" w14:textId="317B379D" w:rsidR="00FD3EA3" w:rsidRDefault="0041065C" w:rsidP="0041065C">
      <w:pPr>
        <w:pStyle w:val="Figurecaption"/>
        <w:spacing w:after="0"/>
        <w:rPr>
          <w:sz w:val="24"/>
          <w:szCs w:val="24"/>
        </w:rPr>
      </w:pPr>
      <w:r>
        <w:rPr>
          <w:sz w:val="24"/>
          <w:szCs w:val="24"/>
        </w:rPr>
        <w:t xml:space="preserve">In Table 3, nivolumab accounted for the highest total number of NSCLC prescriptions supplied. The highest percentage growth in the number of NSCLC prescriptions was observed between 2016 to 2017 (164%), due to the PBS listings of nivolumab and ceritinib in 2017. </w:t>
      </w:r>
    </w:p>
    <w:p w14:paraId="5F11573A" w14:textId="374C3A11" w:rsidR="0041065C" w:rsidRDefault="0041065C" w:rsidP="0041065C">
      <w:pPr>
        <w:pStyle w:val="Figurecaption"/>
        <w:spacing w:after="0"/>
        <w:rPr>
          <w:sz w:val="24"/>
          <w:szCs w:val="24"/>
        </w:rPr>
      </w:pPr>
    </w:p>
    <w:p w14:paraId="025C6A88" w14:textId="2E6F9A68" w:rsidR="0041065C" w:rsidRDefault="0041065C" w:rsidP="0041065C">
      <w:pPr>
        <w:pStyle w:val="Figurecaption"/>
        <w:spacing w:after="0"/>
        <w:rPr>
          <w:sz w:val="24"/>
          <w:szCs w:val="24"/>
        </w:rPr>
      </w:pPr>
    </w:p>
    <w:p w14:paraId="0A8347B3" w14:textId="6962662E" w:rsidR="0041065C" w:rsidRDefault="0041065C" w:rsidP="0041065C">
      <w:pPr>
        <w:pStyle w:val="Figurecaption"/>
        <w:spacing w:after="0"/>
        <w:rPr>
          <w:sz w:val="24"/>
          <w:szCs w:val="24"/>
        </w:rPr>
      </w:pPr>
    </w:p>
    <w:p w14:paraId="7EF6EFD6" w14:textId="625BF1FB" w:rsidR="0041065C" w:rsidRDefault="0041065C" w:rsidP="0041065C">
      <w:pPr>
        <w:pStyle w:val="Figurecaption"/>
        <w:spacing w:after="0"/>
        <w:rPr>
          <w:sz w:val="24"/>
          <w:szCs w:val="24"/>
        </w:rPr>
      </w:pPr>
    </w:p>
    <w:p w14:paraId="7C5F1328" w14:textId="666ED1BA" w:rsidR="0041065C" w:rsidRDefault="0041065C" w:rsidP="0041065C">
      <w:pPr>
        <w:pStyle w:val="Figurecaption"/>
        <w:spacing w:after="0"/>
        <w:rPr>
          <w:sz w:val="24"/>
          <w:szCs w:val="24"/>
        </w:rPr>
      </w:pPr>
    </w:p>
    <w:p w14:paraId="4470B180" w14:textId="325648AD" w:rsidR="0041065C" w:rsidRDefault="0041065C" w:rsidP="0041065C">
      <w:pPr>
        <w:pStyle w:val="Figurecaption"/>
        <w:spacing w:after="0"/>
        <w:rPr>
          <w:sz w:val="24"/>
          <w:szCs w:val="24"/>
        </w:rPr>
      </w:pPr>
    </w:p>
    <w:p w14:paraId="332EF222" w14:textId="2B0BE1A9" w:rsidR="0041065C" w:rsidRDefault="0041065C" w:rsidP="0041065C">
      <w:pPr>
        <w:pStyle w:val="Figurecaption"/>
        <w:spacing w:after="0"/>
        <w:rPr>
          <w:sz w:val="24"/>
          <w:szCs w:val="24"/>
        </w:rPr>
      </w:pPr>
    </w:p>
    <w:p w14:paraId="01DCEC09" w14:textId="1357CE5E" w:rsidR="0041065C" w:rsidRDefault="0041065C" w:rsidP="0041065C">
      <w:pPr>
        <w:pStyle w:val="Figurecaption"/>
        <w:spacing w:after="0"/>
        <w:rPr>
          <w:sz w:val="24"/>
          <w:szCs w:val="24"/>
        </w:rPr>
      </w:pPr>
    </w:p>
    <w:p w14:paraId="2A94AF5D" w14:textId="25184AA5" w:rsidR="0041065C" w:rsidRDefault="0041065C" w:rsidP="0041065C">
      <w:pPr>
        <w:pStyle w:val="Figurecaption"/>
        <w:spacing w:after="0"/>
        <w:rPr>
          <w:sz w:val="24"/>
          <w:szCs w:val="24"/>
        </w:rPr>
      </w:pPr>
    </w:p>
    <w:p w14:paraId="2FF456D6" w14:textId="4BB420BD" w:rsidR="0041065C" w:rsidRDefault="0041065C" w:rsidP="0041065C">
      <w:pPr>
        <w:pStyle w:val="Figurecaption"/>
        <w:spacing w:after="0"/>
        <w:rPr>
          <w:sz w:val="24"/>
          <w:szCs w:val="24"/>
        </w:rPr>
      </w:pPr>
    </w:p>
    <w:p w14:paraId="5858DA0F" w14:textId="63B264C3" w:rsidR="0041065C" w:rsidRDefault="0041065C" w:rsidP="0041065C">
      <w:pPr>
        <w:pStyle w:val="Figurecaption"/>
        <w:spacing w:after="0"/>
        <w:rPr>
          <w:sz w:val="24"/>
          <w:szCs w:val="24"/>
        </w:rPr>
      </w:pPr>
    </w:p>
    <w:p w14:paraId="4DD07B95" w14:textId="5221EECD" w:rsidR="0041065C" w:rsidRDefault="0041065C" w:rsidP="0041065C">
      <w:pPr>
        <w:pStyle w:val="Figurecaption"/>
        <w:spacing w:after="0"/>
        <w:rPr>
          <w:sz w:val="24"/>
          <w:szCs w:val="24"/>
        </w:rPr>
      </w:pPr>
    </w:p>
    <w:p w14:paraId="7AD308FC" w14:textId="0D0C9593" w:rsidR="0041065C" w:rsidRDefault="0041065C" w:rsidP="0041065C">
      <w:pPr>
        <w:pStyle w:val="Figurecaption"/>
        <w:spacing w:after="0"/>
        <w:rPr>
          <w:sz w:val="24"/>
          <w:szCs w:val="24"/>
        </w:rPr>
      </w:pPr>
    </w:p>
    <w:p w14:paraId="36D2DCC7" w14:textId="526C96DB" w:rsidR="0041065C" w:rsidRDefault="0041065C" w:rsidP="0041065C">
      <w:pPr>
        <w:pStyle w:val="Figurecaption"/>
        <w:spacing w:after="0"/>
        <w:rPr>
          <w:sz w:val="24"/>
          <w:szCs w:val="24"/>
        </w:rPr>
      </w:pPr>
    </w:p>
    <w:p w14:paraId="3E228966" w14:textId="4DFDE50C" w:rsidR="0041065C" w:rsidRDefault="0041065C" w:rsidP="0041065C">
      <w:pPr>
        <w:pStyle w:val="Figurecaption"/>
        <w:spacing w:after="0"/>
        <w:rPr>
          <w:sz w:val="24"/>
          <w:szCs w:val="24"/>
        </w:rPr>
      </w:pPr>
    </w:p>
    <w:p w14:paraId="2048D2C8" w14:textId="36ECD900" w:rsidR="0041065C" w:rsidRPr="0041065C" w:rsidRDefault="0041065C" w:rsidP="0041065C">
      <w:r>
        <w:lastRenderedPageBreak/>
        <w:t xml:space="preserve">Figure 2 and Table 4 shows the number of </w:t>
      </w:r>
      <w:r w:rsidR="000D1639">
        <w:t xml:space="preserve">patients </w:t>
      </w:r>
      <w:r>
        <w:t xml:space="preserve">supplied treatment </w:t>
      </w:r>
      <w:r w:rsidR="000D1639">
        <w:t>for</w:t>
      </w:r>
      <w:r w:rsidR="0036146C">
        <w:t xml:space="preserve"> </w:t>
      </w:r>
      <w:r>
        <w:t xml:space="preserve">NSCLC by supply quarter and calendar year, respectively. </w:t>
      </w:r>
    </w:p>
    <w:p w14:paraId="2F27829B" w14:textId="1BC0C28F" w:rsidR="003D16D8" w:rsidRDefault="00A11E5E" w:rsidP="00DA106C">
      <w:pPr>
        <w:pStyle w:val="Figurecaption"/>
        <w:jc w:val="center"/>
      </w:pPr>
      <w:r>
        <w:rPr>
          <w:noProof/>
        </w:rPr>
        <w:drawing>
          <wp:inline distT="0" distB="0" distL="0" distR="0" wp14:anchorId="4CF4AB76" wp14:editId="69269F87">
            <wp:extent cx="5420564" cy="3906317"/>
            <wp:effectExtent l="0" t="0" r="8890" b="18415"/>
            <wp:docPr id="11" name="Chart 11">
              <a:extLst xmlns:a="http://schemas.openxmlformats.org/drawingml/2006/main">
                <a:ext uri="{FF2B5EF4-FFF2-40B4-BE49-F238E27FC236}">
                  <a16:creationId xmlns:a16="http://schemas.microsoft.com/office/drawing/2014/main" id="{46EE19A1-5DDD-41B1-B6F9-91B8DA1F4AB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185AD97" w14:textId="3BB6590C" w:rsidR="00451255" w:rsidRDefault="002325A4" w:rsidP="003D16D8">
      <w:pPr>
        <w:pStyle w:val="Tabletitle"/>
      </w:pPr>
      <w:r w:rsidRPr="00E801B2">
        <w:t xml:space="preserve">Figure </w:t>
      </w:r>
      <w:r>
        <w:t>2</w:t>
      </w:r>
      <w:r w:rsidRPr="00E801B2">
        <w:t xml:space="preserve">: </w:t>
      </w:r>
      <w:r>
        <w:t xml:space="preserve">Number of patients supplied treatment for NSCLC </w:t>
      </w:r>
      <w:r w:rsidR="00415E61">
        <w:t>by</w:t>
      </w:r>
      <w:r>
        <w:t xml:space="preserve"> supply quarter</w:t>
      </w:r>
    </w:p>
    <w:p w14:paraId="5DF0C054" w14:textId="77777777" w:rsidR="0041065C" w:rsidRDefault="0041065C" w:rsidP="0041065C">
      <w:pPr>
        <w:spacing w:after="0"/>
      </w:pPr>
    </w:p>
    <w:p w14:paraId="2A353172" w14:textId="4AD4966C" w:rsidR="0041065C" w:rsidRDefault="0041065C" w:rsidP="0041065C">
      <w:pPr>
        <w:spacing w:after="0"/>
      </w:pPr>
      <w:r>
        <w:t xml:space="preserve">As shown in Figure 2, based on the number of patients treated for NSCLC the most common drug for the treatment of NSCLC has varied over time, </w:t>
      </w:r>
      <w:r w:rsidR="003A3796">
        <w:t>including</w:t>
      </w:r>
      <w:r>
        <w:t xml:space="preserve"> erlotinib (prior to 2017Q3), nivolumab (from 2017Q3 to 2020Q1) and pembrolizumab (from 2020Q1 onwards). </w:t>
      </w:r>
    </w:p>
    <w:p w14:paraId="5D82F6DA" w14:textId="6DA7B081" w:rsidR="0041065C" w:rsidRDefault="0041065C" w:rsidP="0041065C"/>
    <w:p w14:paraId="552B485D" w14:textId="7883E93B" w:rsidR="0041065C" w:rsidRDefault="0041065C" w:rsidP="0041065C"/>
    <w:p w14:paraId="77976747" w14:textId="06620FE6" w:rsidR="0041065C" w:rsidRDefault="0041065C" w:rsidP="0041065C"/>
    <w:p w14:paraId="7B089CD4" w14:textId="14756CA6" w:rsidR="0041065C" w:rsidRDefault="0041065C" w:rsidP="0041065C"/>
    <w:p w14:paraId="77D5EB0D" w14:textId="64A74E40" w:rsidR="0041065C" w:rsidRDefault="0041065C" w:rsidP="0041065C"/>
    <w:p w14:paraId="0171E943" w14:textId="0A0E540F" w:rsidR="0041065C" w:rsidRDefault="0041065C" w:rsidP="0041065C"/>
    <w:p w14:paraId="62BB7713" w14:textId="4CD3FF03" w:rsidR="0041065C" w:rsidRDefault="0041065C" w:rsidP="0041065C"/>
    <w:p w14:paraId="7BEAF5D8" w14:textId="7FE664EA" w:rsidR="0041065C" w:rsidRDefault="0041065C" w:rsidP="0041065C"/>
    <w:p w14:paraId="44BA522E" w14:textId="3AEF7B37" w:rsidR="0041065C" w:rsidRDefault="0041065C" w:rsidP="0041065C"/>
    <w:p w14:paraId="7CB04A42" w14:textId="77777777" w:rsidR="0041065C" w:rsidRPr="0041065C" w:rsidRDefault="0041065C" w:rsidP="0041065C"/>
    <w:p w14:paraId="2FDF013E" w14:textId="79BF412E" w:rsidR="00DE013A" w:rsidRDefault="00DE013A" w:rsidP="00DE013A">
      <w:pPr>
        <w:pStyle w:val="Tabletitle"/>
      </w:pPr>
      <w:r>
        <w:lastRenderedPageBreak/>
        <w:t xml:space="preserve">Table 4: Number of </w:t>
      </w:r>
      <w:r w:rsidR="00617751">
        <w:t xml:space="preserve">patients supplied treatment for NSCLC </w:t>
      </w:r>
      <w:r>
        <w:t xml:space="preserve">by drug and calendar year </w:t>
      </w:r>
    </w:p>
    <w:tbl>
      <w:tblPr>
        <w:tblW w:w="9053" w:type="dxa"/>
        <w:tblLook w:val="04A0" w:firstRow="1" w:lastRow="0" w:firstColumn="1" w:lastColumn="0" w:noHBand="0" w:noVBand="1"/>
      </w:tblPr>
      <w:tblGrid>
        <w:gridCol w:w="1838"/>
        <w:gridCol w:w="982"/>
        <w:gridCol w:w="962"/>
        <w:gridCol w:w="864"/>
        <w:gridCol w:w="829"/>
        <w:gridCol w:w="829"/>
        <w:gridCol w:w="864"/>
        <w:gridCol w:w="923"/>
        <w:gridCol w:w="962"/>
      </w:tblGrid>
      <w:tr w:rsidR="00DE013A" w:rsidRPr="00DE013A" w14:paraId="62BE377F" w14:textId="77777777" w:rsidTr="004A0752">
        <w:trPr>
          <w:trHeight w:val="248"/>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B661352" w14:textId="50A27BA3" w:rsidR="00DE013A" w:rsidRPr="00DE013A" w:rsidRDefault="00DE013A" w:rsidP="00DE013A">
            <w:pPr>
              <w:spacing w:after="0"/>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Drug </w:t>
            </w:r>
          </w:p>
        </w:tc>
        <w:tc>
          <w:tcPr>
            <w:tcW w:w="98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60009F4" w14:textId="77777777" w:rsidR="00DE013A" w:rsidRPr="00DE013A" w:rsidRDefault="00DE013A" w:rsidP="00FD3EA3">
            <w:pPr>
              <w:spacing w:after="0"/>
              <w:jc w:val="center"/>
              <w:rPr>
                <w:rFonts w:ascii="Calibri" w:eastAsia="Times New Roman" w:hAnsi="Calibri" w:cs="Calibri"/>
                <w:b/>
                <w:bCs/>
                <w:color w:val="000000"/>
                <w:sz w:val="22"/>
                <w:szCs w:val="22"/>
              </w:rPr>
            </w:pPr>
            <w:r w:rsidRPr="00DE013A">
              <w:rPr>
                <w:rFonts w:ascii="Calibri" w:eastAsia="Times New Roman" w:hAnsi="Calibri" w:cs="Calibri"/>
                <w:b/>
                <w:bCs/>
                <w:color w:val="000000"/>
                <w:sz w:val="22"/>
                <w:szCs w:val="22"/>
              </w:rPr>
              <w:t>2016</w:t>
            </w:r>
          </w:p>
        </w:tc>
        <w:tc>
          <w:tcPr>
            <w:tcW w:w="96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A8AB553" w14:textId="77777777" w:rsidR="00DE013A" w:rsidRPr="00DE013A" w:rsidRDefault="00DE013A" w:rsidP="00FD3EA3">
            <w:pPr>
              <w:spacing w:after="0"/>
              <w:jc w:val="center"/>
              <w:rPr>
                <w:rFonts w:ascii="Calibri" w:eastAsia="Times New Roman" w:hAnsi="Calibri" w:cs="Calibri"/>
                <w:b/>
                <w:bCs/>
                <w:color w:val="000000"/>
                <w:sz w:val="22"/>
                <w:szCs w:val="22"/>
              </w:rPr>
            </w:pPr>
            <w:r w:rsidRPr="00DE013A">
              <w:rPr>
                <w:rFonts w:ascii="Calibri" w:eastAsia="Times New Roman" w:hAnsi="Calibri" w:cs="Calibri"/>
                <w:b/>
                <w:bCs/>
                <w:color w:val="000000"/>
                <w:sz w:val="22"/>
                <w:szCs w:val="22"/>
              </w:rPr>
              <w:t>2017</w:t>
            </w:r>
          </w:p>
        </w:tc>
        <w:tc>
          <w:tcPr>
            <w:tcW w:w="86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65B0945" w14:textId="77777777" w:rsidR="00DE013A" w:rsidRPr="00DE013A" w:rsidRDefault="00DE013A" w:rsidP="00FD3EA3">
            <w:pPr>
              <w:spacing w:after="0"/>
              <w:jc w:val="center"/>
              <w:rPr>
                <w:rFonts w:ascii="Calibri" w:eastAsia="Times New Roman" w:hAnsi="Calibri" w:cs="Calibri"/>
                <w:b/>
                <w:bCs/>
                <w:color w:val="000000"/>
                <w:sz w:val="22"/>
                <w:szCs w:val="22"/>
              </w:rPr>
            </w:pPr>
            <w:r w:rsidRPr="00DE013A">
              <w:rPr>
                <w:rFonts w:ascii="Calibri" w:eastAsia="Times New Roman" w:hAnsi="Calibri" w:cs="Calibri"/>
                <w:b/>
                <w:bCs/>
                <w:color w:val="000000"/>
                <w:sz w:val="22"/>
                <w:szCs w:val="22"/>
              </w:rPr>
              <w:t>2018</w:t>
            </w:r>
          </w:p>
        </w:tc>
        <w:tc>
          <w:tcPr>
            <w:tcW w:w="82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D7F66EC" w14:textId="77777777" w:rsidR="00DE013A" w:rsidRPr="00DE013A" w:rsidRDefault="00DE013A" w:rsidP="00FD3EA3">
            <w:pPr>
              <w:spacing w:after="0"/>
              <w:jc w:val="center"/>
              <w:rPr>
                <w:rFonts w:ascii="Calibri" w:eastAsia="Times New Roman" w:hAnsi="Calibri" w:cs="Calibri"/>
                <w:b/>
                <w:bCs/>
                <w:color w:val="000000"/>
                <w:sz w:val="22"/>
                <w:szCs w:val="22"/>
              </w:rPr>
            </w:pPr>
            <w:r w:rsidRPr="00DE013A">
              <w:rPr>
                <w:rFonts w:ascii="Calibri" w:eastAsia="Times New Roman" w:hAnsi="Calibri" w:cs="Calibri"/>
                <w:b/>
                <w:bCs/>
                <w:color w:val="000000"/>
                <w:sz w:val="22"/>
                <w:szCs w:val="22"/>
              </w:rPr>
              <w:t>2019</w:t>
            </w:r>
          </w:p>
        </w:tc>
        <w:tc>
          <w:tcPr>
            <w:tcW w:w="82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B9C30D1" w14:textId="77777777" w:rsidR="00DE013A" w:rsidRPr="00DE013A" w:rsidRDefault="00DE013A" w:rsidP="00FD3EA3">
            <w:pPr>
              <w:spacing w:after="0"/>
              <w:jc w:val="center"/>
              <w:rPr>
                <w:rFonts w:ascii="Calibri" w:eastAsia="Times New Roman" w:hAnsi="Calibri" w:cs="Calibri"/>
                <w:b/>
                <w:bCs/>
                <w:color w:val="000000"/>
                <w:sz w:val="22"/>
                <w:szCs w:val="22"/>
              </w:rPr>
            </w:pPr>
            <w:r w:rsidRPr="00DE013A">
              <w:rPr>
                <w:rFonts w:ascii="Calibri" w:eastAsia="Times New Roman" w:hAnsi="Calibri" w:cs="Calibri"/>
                <w:b/>
                <w:bCs/>
                <w:color w:val="000000"/>
                <w:sz w:val="22"/>
                <w:szCs w:val="22"/>
              </w:rPr>
              <w:t>2020</w:t>
            </w:r>
          </w:p>
        </w:tc>
        <w:tc>
          <w:tcPr>
            <w:tcW w:w="864"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209ADE7" w14:textId="77777777" w:rsidR="00DE013A" w:rsidRPr="00DE013A" w:rsidRDefault="00DE013A" w:rsidP="00FD3EA3">
            <w:pPr>
              <w:spacing w:after="0"/>
              <w:jc w:val="center"/>
              <w:rPr>
                <w:rFonts w:ascii="Calibri" w:eastAsia="Times New Roman" w:hAnsi="Calibri" w:cs="Calibri"/>
                <w:b/>
                <w:bCs/>
                <w:color w:val="000000"/>
                <w:sz w:val="22"/>
                <w:szCs w:val="22"/>
              </w:rPr>
            </w:pPr>
            <w:r w:rsidRPr="00DE013A">
              <w:rPr>
                <w:rFonts w:ascii="Calibri" w:eastAsia="Times New Roman" w:hAnsi="Calibri" w:cs="Calibri"/>
                <w:b/>
                <w:bCs/>
                <w:color w:val="000000"/>
                <w:sz w:val="22"/>
                <w:szCs w:val="22"/>
              </w:rPr>
              <w:t>2021</w:t>
            </w:r>
          </w:p>
        </w:tc>
        <w:tc>
          <w:tcPr>
            <w:tcW w:w="923"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8612095" w14:textId="77777777" w:rsidR="00DE013A" w:rsidRPr="00DE013A" w:rsidRDefault="00DE013A" w:rsidP="00FD3EA3">
            <w:pPr>
              <w:spacing w:after="0"/>
              <w:jc w:val="center"/>
              <w:rPr>
                <w:rFonts w:ascii="Calibri" w:eastAsia="Times New Roman" w:hAnsi="Calibri" w:cs="Calibri"/>
                <w:b/>
                <w:bCs/>
                <w:color w:val="000000"/>
                <w:sz w:val="22"/>
                <w:szCs w:val="22"/>
              </w:rPr>
            </w:pPr>
            <w:r w:rsidRPr="00DE013A">
              <w:rPr>
                <w:rFonts w:ascii="Calibri" w:eastAsia="Times New Roman" w:hAnsi="Calibri" w:cs="Calibri"/>
                <w:b/>
                <w:bCs/>
                <w:color w:val="000000"/>
                <w:sz w:val="22"/>
                <w:szCs w:val="22"/>
              </w:rPr>
              <w:t>2022</w:t>
            </w:r>
          </w:p>
        </w:tc>
        <w:tc>
          <w:tcPr>
            <w:tcW w:w="962"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612BA74E" w14:textId="4409C4DC" w:rsidR="00DE013A" w:rsidRPr="00DE013A" w:rsidRDefault="00DE013A" w:rsidP="00FD3EA3">
            <w:pPr>
              <w:spacing w:after="0"/>
              <w:jc w:val="center"/>
              <w:rPr>
                <w:rFonts w:ascii="Calibri" w:eastAsia="Times New Roman" w:hAnsi="Calibri" w:cs="Calibri"/>
                <w:b/>
                <w:bCs/>
                <w:color w:val="000000"/>
                <w:sz w:val="22"/>
                <w:szCs w:val="22"/>
              </w:rPr>
            </w:pPr>
            <w:r w:rsidRPr="00DE013A">
              <w:rPr>
                <w:rFonts w:ascii="Calibri" w:eastAsia="Times New Roman" w:hAnsi="Calibri" w:cs="Calibri"/>
                <w:b/>
                <w:bCs/>
                <w:color w:val="000000"/>
                <w:sz w:val="22"/>
                <w:szCs w:val="22"/>
              </w:rPr>
              <w:t>Total</w:t>
            </w:r>
          </w:p>
        </w:tc>
      </w:tr>
      <w:tr w:rsidR="00DA61E8" w:rsidRPr="00DA61E8" w14:paraId="16D2A087" w14:textId="77777777" w:rsidTr="004A0752">
        <w:trPr>
          <w:trHeight w:val="248"/>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1E00CFCE" w14:textId="77777777" w:rsidR="00DA61E8" w:rsidRPr="00DA61E8" w:rsidRDefault="00DA61E8" w:rsidP="00DA61E8">
            <w:pPr>
              <w:spacing w:after="0"/>
              <w:rPr>
                <w:rFonts w:ascii="Calibri" w:eastAsia="Times New Roman" w:hAnsi="Calibri" w:cs="Calibri"/>
                <w:color w:val="000000"/>
                <w:sz w:val="22"/>
                <w:szCs w:val="22"/>
              </w:rPr>
            </w:pPr>
            <w:r w:rsidRPr="00DA61E8">
              <w:rPr>
                <w:rFonts w:ascii="Calibri" w:eastAsia="Times New Roman" w:hAnsi="Calibri" w:cs="Calibri"/>
                <w:color w:val="000000"/>
                <w:sz w:val="22"/>
                <w:szCs w:val="22"/>
              </w:rPr>
              <w:t>PEMBROLIZUMAB</w:t>
            </w:r>
          </w:p>
        </w:tc>
        <w:tc>
          <w:tcPr>
            <w:tcW w:w="982" w:type="dxa"/>
            <w:tcBorders>
              <w:top w:val="nil"/>
              <w:left w:val="nil"/>
              <w:bottom w:val="single" w:sz="4" w:space="0" w:color="auto"/>
              <w:right w:val="single" w:sz="4" w:space="0" w:color="auto"/>
            </w:tcBorders>
            <w:shd w:val="clear" w:color="auto" w:fill="auto"/>
            <w:noWrap/>
            <w:vAlign w:val="bottom"/>
          </w:tcPr>
          <w:p w14:paraId="2030DF3D"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962" w:type="dxa"/>
            <w:tcBorders>
              <w:top w:val="nil"/>
              <w:left w:val="nil"/>
              <w:bottom w:val="single" w:sz="4" w:space="0" w:color="auto"/>
              <w:right w:val="single" w:sz="4" w:space="0" w:color="auto"/>
            </w:tcBorders>
            <w:shd w:val="clear" w:color="auto" w:fill="auto"/>
            <w:noWrap/>
            <w:vAlign w:val="bottom"/>
          </w:tcPr>
          <w:p w14:paraId="0DF0F2FE"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64" w:type="dxa"/>
            <w:tcBorders>
              <w:top w:val="nil"/>
              <w:left w:val="nil"/>
              <w:bottom w:val="single" w:sz="4" w:space="0" w:color="auto"/>
              <w:right w:val="single" w:sz="4" w:space="0" w:color="auto"/>
            </w:tcBorders>
            <w:shd w:val="clear" w:color="auto" w:fill="auto"/>
            <w:noWrap/>
            <w:vAlign w:val="bottom"/>
          </w:tcPr>
          <w:p w14:paraId="6FA6A6DA"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525</w:t>
            </w:r>
          </w:p>
        </w:tc>
        <w:tc>
          <w:tcPr>
            <w:tcW w:w="829" w:type="dxa"/>
            <w:tcBorders>
              <w:top w:val="nil"/>
              <w:left w:val="nil"/>
              <w:bottom w:val="single" w:sz="4" w:space="0" w:color="auto"/>
              <w:right w:val="single" w:sz="4" w:space="0" w:color="auto"/>
            </w:tcBorders>
            <w:shd w:val="clear" w:color="auto" w:fill="auto"/>
            <w:noWrap/>
            <w:vAlign w:val="bottom"/>
          </w:tcPr>
          <w:p w14:paraId="675BFC51"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1,944</w:t>
            </w:r>
          </w:p>
        </w:tc>
        <w:tc>
          <w:tcPr>
            <w:tcW w:w="829" w:type="dxa"/>
            <w:tcBorders>
              <w:top w:val="nil"/>
              <w:left w:val="nil"/>
              <w:bottom w:val="single" w:sz="4" w:space="0" w:color="auto"/>
              <w:right w:val="single" w:sz="4" w:space="0" w:color="auto"/>
            </w:tcBorders>
            <w:shd w:val="clear" w:color="auto" w:fill="auto"/>
            <w:noWrap/>
            <w:vAlign w:val="bottom"/>
          </w:tcPr>
          <w:p w14:paraId="4EEBAAD5"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4,295</w:t>
            </w:r>
          </w:p>
        </w:tc>
        <w:tc>
          <w:tcPr>
            <w:tcW w:w="864" w:type="dxa"/>
            <w:tcBorders>
              <w:top w:val="nil"/>
              <w:left w:val="nil"/>
              <w:bottom w:val="single" w:sz="4" w:space="0" w:color="auto"/>
              <w:right w:val="single" w:sz="4" w:space="0" w:color="auto"/>
            </w:tcBorders>
            <w:shd w:val="clear" w:color="auto" w:fill="auto"/>
            <w:noWrap/>
            <w:vAlign w:val="bottom"/>
          </w:tcPr>
          <w:p w14:paraId="42058D70"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5,048</w:t>
            </w:r>
          </w:p>
        </w:tc>
        <w:tc>
          <w:tcPr>
            <w:tcW w:w="923" w:type="dxa"/>
            <w:tcBorders>
              <w:top w:val="nil"/>
              <w:left w:val="nil"/>
              <w:bottom w:val="single" w:sz="4" w:space="0" w:color="auto"/>
              <w:right w:val="single" w:sz="4" w:space="0" w:color="auto"/>
            </w:tcBorders>
            <w:shd w:val="clear" w:color="auto" w:fill="auto"/>
            <w:noWrap/>
            <w:vAlign w:val="bottom"/>
          </w:tcPr>
          <w:p w14:paraId="6A0FD648"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3,545</w:t>
            </w:r>
          </w:p>
        </w:tc>
        <w:tc>
          <w:tcPr>
            <w:tcW w:w="962" w:type="dxa"/>
            <w:tcBorders>
              <w:top w:val="nil"/>
              <w:left w:val="nil"/>
              <w:bottom w:val="single" w:sz="4" w:space="0" w:color="auto"/>
              <w:right w:val="single" w:sz="4" w:space="0" w:color="auto"/>
            </w:tcBorders>
            <w:shd w:val="clear" w:color="auto" w:fill="auto"/>
            <w:noWrap/>
            <w:vAlign w:val="bottom"/>
          </w:tcPr>
          <w:p w14:paraId="7C9C64C4"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15,357</w:t>
            </w:r>
          </w:p>
        </w:tc>
      </w:tr>
      <w:tr w:rsidR="00DA61E8" w:rsidRPr="00DA61E8" w14:paraId="246AC76C" w14:textId="77777777" w:rsidTr="004A0752">
        <w:trPr>
          <w:trHeight w:val="248"/>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29650F1F" w14:textId="77777777" w:rsidR="00DA61E8" w:rsidRPr="00DA61E8" w:rsidRDefault="00DA61E8" w:rsidP="00DA61E8">
            <w:pPr>
              <w:spacing w:after="0"/>
              <w:rPr>
                <w:rFonts w:ascii="Calibri" w:eastAsia="Times New Roman" w:hAnsi="Calibri" w:cs="Calibri"/>
                <w:color w:val="000000"/>
                <w:sz w:val="22"/>
                <w:szCs w:val="22"/>
              </w:rPr>
            </w:pPr>
            <w:r w:rsidRPr="00DA61E8">
              <w:rPr>
                <w:rFonts w:ascii="Calibri" w:eastAsia="Times New Roman" w:hAnsi="Calibri" w:cs="Calibri"/>
                <w:color w:val="000000"/>
                <w:sz w:val="22"/>
                <w:szCs w:val="22"/>
              </w:rPr>
              <w:t>NIVOLUMAB</w:t>
            </w:r>
          </w:p>
        </w:tc>
        <w:tc>
          <w:tcPr>
            <w:tcW w:w="982" w:type="dxa"/>
            <w:tcBorders>
              <w:top w:val="nil"/>
              <w:left w:val="nil"/>
              <w:bottom w:val="single" w:sz="4" w:space="0" w:color="auto"/>
              <w:right w:val="single" w:sz="4" w:space="0" w:color="auto"/>
            </w:tcBorders>
            <w:shd w:val="clear" w:color="auto" w:fill="auto"/>
            <w:noWrap/>
            <w:vAlign w:val="bottom"/>
          </w:tcPr>
          <w:p w14:paraId="2501D4F5"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962" w:type="dxa"/>
            <w:tcBorders>
              <w:top w:val="nil"/>
              <w:left w:val="nil"/>
              <w:bottom w:val="single" w:sz="4" w:space="0" w:color="auto"/>
              <w:right w:val="single" w:sz="4" w:space="0" w:color="auto"/>
            </w:tcBorders>
            <w:shd w:val="clear" w:color="auto" w:fill="auto"/>
            <w:noWrap/>
            <w:vAlign w:val="bottom"/>
          </w:tcPr>
          <w:p w14:paraId="5253736D"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2,247</w:t>
            </w:r>
          </w:p>
        </w:tc>
        <w:tc>
          <w:tcPr>
            <w:tcW w:w="864" w:type="dxa"/>
            <w:tcBorders>
              <w:top w:val="nil"/>
              <w:left w:val="nil"/>
              <w:bottom w:val="single" w:sz="4" w:space="0" w:color="auto"/>
              <w:right w:val="single" w:sz="4" w:space="0" w:color="auto"/>
            </w:tcBorders>
            <w:shd w:val="clear" w:color="auto" w:fill="auto"/>
            <w:noWrap/>
            <w:vAlign w:val="bottom"/>
          </w:tcPr>
          <w:p w14:paraId="667FEDD1"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3,244</w:t>
            </w:r>
          </w:p>
        </w:tc>
        <w:tc>
          <w:tcPr>
            <w:tcW w:w="829" w:type="dxa"/>
            <w:tcBorders>
              <w:top w:val="nil"/>
              <w:left w:val="nil"/>
              <w:bottom w:val="single" w:sz="4" w:space="0" w:color="auto"/>
              <w:right w:val="single" w:sz="4" w:space="0" w:color="auto"/>
            </w:tcBorders>
            <w:shd w:val="clear" w:color="auto" w:fill="auto"/>
            <w:noWrap/>
            <w:vAlign w:val="bottom"/>
          </w:tcPr>
          <w:p w14:paraId="54D3673B"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2,327</w:t>
            </w:r>
          </w:p>
        </w:tc>
        <w:tc>
          <w:tcPr>
            <w:tcW w:w="829" w:type="dxa"/>
            <w:tcBorders>
              <w:top w:val="nil"/>
              <w:left w:val="nil"/>
              <w:bottom w:val="single" w:sz="4" w:space="0" w:color="auto"/>
              <w:right w:val="single" w:sz="4" w:space="0" w:color="auto"/>
            </w:tcBorders>
            <w:shd w:val="clear" w:color="auto" w:fill="auto"/>
            <w:noWrap/>
            <w:vAlign w:val="bottom"/>
          </w:tcPr>
          <w:p w14:paraId="4D2C2962"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1,565</w:t>
            </w:r>
          </w:p>
        </w:tc>
        <w:tc>
          <w:tcPr>
            <w:tcW w:w="864" w:type="dxa"/>
            <w:tcBorders>
              <w:top w:val="nil"/>
              <w:left w:val="nil"/>
              <w:bottom w:val="single" w:sz="4" w:space="0" w:color="auto"/>
              <w:right w:val="single" w:sz="4" w:space="0" w:color="auto"/>
            </w:tcBorders>
            <w:shd w:val="clear" w:color="auto" w:fill="auto"/>
            <w:noWrap/>
            <w:vAlign w:val="bottom"/>
          </w:tcPr>
          <w:p w14:paraId="323C8478"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1,095</w:t>
            </w:r>
          </w:p>
        </w:tc>
        <w:tc>
          <w:tcPr>
            <w:tcW w:w="923" w:type="dxa"/>
            <w:tcBorders>
              <w:top w:val="nil"/>
              <w:left w:val="nil"/>
              <w:bottom w:val="single" w:sz="4" w:space="0" w:color="auto"/>
              <w:right w:val="single" w:sz="4" w:space="0" w:color="auto"/>
            </w:tcBorders>
            <w:shd w:val="clear" w:color="auto" w:fill="auto"/>
            <w:noWrap/>
            <w:vAlign w:val="bottom"/>
          </w:tcPr>
          <w:p w14:paraId="56B2D0B3"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680</w:t>
            </w:r>
          </w:p>
        </w:tc>
        <w:tc>
          <w:tcPr>
            <w:tcW w:w="962" w:type="dxa"/>
            <w:tcBorders>
              <w:top w:val="nil"/>
              <w:left w:val="nil"/>
              <w:bottom w:val="single" w:sz="4" w:space="0" w:color="auto"/>
              <w:right w:val="single" w:sz="4" w:space="0" w:color="auto"/>
            </w:tcBorders>
            <w:shd w:val="clear" w:color="auto" w:fill="auto"/>
            <w:noWrap/>
            <w:vAlign w:val="bottom"/>
          </w:tcPr>
          <w:p w14:paraId="24FD4C74"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11,158</w:t>
            </w:r>
          </w:p>
        </w:tc>
      </w:tr>
      <w:tr w:rsidR="00DA61E8" w:rsidRPr="00DA61E8" w14:paraId="1E6C49B1" w14:textId="77777777" w:rsidTr="004A0752">
        <w:trPr>
          <w:trHeight w:val="248"/>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2F714670" w14:textId="77777777" w:rsidR="00DA61E8" w:rsidRPr="00DA61E8" w:rsidRDefault="00DA61E8" w:rsidP="00DA61E8">
            <w:pPr>
              <w:spacing w:after="0"/>
              <w:rPr>
                <w:rFonts w:ascii="Calibri" w:eastAsia="Times New Roman" w:hAnsi="Calibri" w:cs="Calibri"/>
                <w:color w:val="000000"/>
                <w:sz w:val="22"/>
                <w:szCs w:val="22"/>
              </w:rPr>
            </w:pPr>
            <w:r w:rsidRPr="00DA61E8">
              <w:rPr>
                <w:rFonts w:ascii="Calibri" w:eastAsia="Times New Roman" w:hAnsi="Calibri" w:cs="Calibri"/>
                <w:color w:val="000000"/>
                <w:sz w:val="22"/>
                <w:szCs w:val="22"/>
              </w:rPr>
              <w:t>ERLOTINIB</w:t>
            </w:r>
          </w:p>
        </w:tc>
        <w:tc>
          <w:tcPr>
            <w:tcW w:w="982" w:type="dxa"/>
            <w:tcBorders>
              <w:top w:val="nil"/>
              <w:left w:val="nil"/>
              <w:bottom w:val="single" w:sz="4" w:space="0" w:color="auto"/>
              <w:right w:val="single" w:sz="4" w:space="0" w:color="auto"/>
            </w:tcBorders>
            <w:shd w:val="clear" w:color="auto" w:fill="auto"/>
            <w:noWrap/>
            <w:vAlign w:val="bottom"/>
          </w:tcPr>
          <w:p w14:paraId="27A8061D"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856</w:t>
            </w:r>
          </w:p>
        </w:tc>
        <w:tc>
          <w:tcPr>
            <w:tcW w:w="962" w:type="dxa"/>
            <w:tcBorders>
              <w:top w:val="nil"/>
              <w:left w:val="nil"/>
              <w:bottom w:val="single" w:sz="4" w:space="0" w:color="auto"/>
              <w:right w:val="single" w:sz="4" w:space="0" w:color="auto"/>
            </w:tcBorders>
            <w:shd w:val="clear" w:color="auto" w:fill="auto"/>
            <w:noWrap/>
            <w:vAlign w:val="bottom"/>
          </w:tcPr>
          <w:p w14:paraId="73FF4EB0"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983</w:t>
            </w:r>
          </w:p>
        </w:tc>
        <w:tc>
          <w:tcPr>
            <w:tcW w:w="864" w:type="dxa"/>
            <w:tcBorders>
              <w:top w:val="nil"/>
              <w:left w:val="nil"/>
              <w:bottom w:val="single" w:sz="4" w:space="0" w:color="auto"/>
              <w:right w:val="single" w:sz="4" w:space="0" w:color="auto"/>
            </w:tcBorders>
            <w:shd w:val="clear" w:color="auto" w:fill="auto"/>
            <w:noWrap/>
            <w:vAlign w:val="bottom"/>
          </w:tcPr>
          <w:p w14:paraId="247AB312"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962</w:t>
            </w:r>
          </w:p>
        </w:tc>
        <w:tc>
          <w:tcPr>
            <w:tcW w:w="829" w:type="dxa"/>
            <w:tcBorders>
              <w:top w:val="nil"/>
              <w:left w:val="nil"/>
              <w:bottom w:val="single" w:sz="4" w:space="0" w:color="auto"/>
              <w:right w:val="single" w:sz="4" w:space="0" w:color="auto"/>
            </w:tcBorders>
            <w:shd w:val="clear" w:color="auto" w:fill="auto"/>
            <w:noWrap/>
            <w:vAlign w:val="bottom"/>
          </w:tcPr>
          <w:p w14:paraId="12347A35"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903</w:t>
            </w:r>
          </w:p>
        </w:tc>
        <w:tc>
          <w:tcPr>
            <w:tcW w:w="829" w:type="dxa"/>
            <w:tcBorders>
              <w:top w:val="nil"/>
              <w:left w:val="nil"/>
              <w:bottom w:val="single" w:sz="4" w:space="0" w:color="auto"/>
              <w:right w:val="single" w:sz="4" w:space="0" w:color="auto"/>
            </w:tcBorders>
            <w:shd w:val="clear" w:color="auto" w:fill="auto"/>
            <w:noWrap/>
            <w:vAlign w:val="bottom"/>
          </w:tcPr>
          <w:p w14:paraId="0240ED5E"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823</w:t>
            </w:r>
          </w:p>
        </w:tc>
        <w:tc>
          <w:tcPr>
            <w:tcW w:w="864" w:type="dxa"/>
            <w:tcBorders>
              <w:top w:val="nil"/>
              <w:left w:val="nil"/>
              <w:bottom w:val="single" w:sz="4" w:space="0" w:color="auto"/>
              <w:right w:val="single" w:sz="4" w:space="0" w:color="auto"/>
            </w:tcBorders>
            <w:shd w:val="clear" w:color="auto" w:fill="auto"/>
            <w:noWrap/>
            <w:vAlign w:val="bottom"/>
          </w:tcPr>
          <w:p w14:paraId="0FDEE5C6"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383</w:t>
            </w:r>
          </w:p>
        </w:tc>
        <w:tc>
          <w:tcPr>
            <w:tcW w:w="923" w:type="dxa"/>
            <w:tcBorders>
              <w:top w:val="nil"/>
              <w:left w:val="nil"/>
              <w:bottom w:val="single" w:sz="4" w:space="0" w:color="auto"/>
              <w:right w:val="single" w:sz="4" w:space="0" w:color="auto"/>
            </w:tcBorders>
            <w:shd w:val="clear" w:color="auto" w:fill="auto"/>
            <w:noWrap/>
            <w:vAlign w:val="bottom"/>
          </w:tcPr>
          <w:p w14:paraId="7521A05D"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155</w:t>
            </w:r>
          </w:p>
        </w:tc>
        <w:tc>
          <w:tcPr>
            <w:tcW w:w="962" w:type="dxa"/>
            <w:tcBorders>
              <w:top w:val="nil"/>
              <w:left w:val="nil"/>
              <w:bottom w:val="single" w:sz="4" w:space="0" w:color="auto"/>
              <w:right w:val="single" w:sz="4" w:space="0" w:color="auto"/>
            </w:tcBorders>
            <w:shd w:val="clear" w:color="auto" w:fill="auto"/>
            <w:noWrap/>
            <w:vAlign w:val="bottom"/>
          </w:tcPr>
          <w:p w14:paraId="261212E9"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5,065</w:t>
            </w:r>
          </w:p>
        </w:tc>
      </w:tr>
      <w:tr w:rsidR="00DA61E8" w:rsidRPr="00DA61E8" w14:paraId="1658EF4E" w14:textId="77777777" w:rsidTr="004A0752">
        <w:trPr>
          <w:trHeight w:val="248"/>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3B53C4FF" w14:textId="77777777" w:rsidR="00DA61E8" w:rsidRPr="00DA61E8" w:rsidRDefault="00DA61E8" w:rsidP="00DA61E8">
            <w:pPr>
              <w:spacing w:after="0"/>
              <w:rPr>
                <w:rFonts w:ascii="Calibri" w:eastAsia="Times New Roman" w:hAnsi="Calibri" w:cs="Calibri"/>
                <w:color w:val="000000"/>
                <w:sz w:val="22"/>
                <w:szCs w:val="22"/>
              </w:rPr>
            </w:pPr>
            <w:r w:rsidRPr="00DA61E8">
              <w:rPr>
                <w:rFonts w:ascii="Calibri" w:eastAsia="Times New Roman" w:hAnsi="Calibri" w:cs="Calibri"/>
                <w:color w:val="000000"/>
                <w:sz w:val="22"/>
                <w:szCs w:val="22"/>
              </w:rPr>
              <w:t>OSIMERTINIB</w:t>
            </w:r>
          </w:p>
        </w:tc>
        <w:tc>
          <w:tcPr>
            <w:tcW w:w="982" w:type="dxa"/>
            <w:tcBorders>
              <w:top w:val="nil"/>
              <w:left w:val="nil"/>
              <w:bottom w:val="single" w:sz="4" w:space="0" w:color="auto"/>
              <w:right w:val="single" w:sz="4" w:space="0" w:color="auto"/>
            </w:tcBorders>
            <w:shd w:val="clear" w:color="auto" w:fill="auto"/>
            <w:noWrap/>
            <w:vAlign w:val="bottom"/>
          </w:tcPr>
          <w:p w14:paraId="17B93F3C"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962" w:type="dxa"/>
            <w:tcBorders>
              <w:top w:val="nil"/>
              <w:left w:val="nil"/>
              <w:bottom w:val="single" w:sz="4" w:space="0" w:color="auto"/>
              <w:right w:val="single" w:sz="4" w:space="0" w:color="auto"/>
            </w:tcBorders>
            <w:shd w:val="clear" w:color="auto" w:fill="auto"/>
            <w:noWrap/>
            <w:vAlign w:val="bottom"/>
          </w:tcPr>
          <w:p w14:paraId="38BB970C"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64" w:type="dxa"/>
            <w:tcBorders>
              <w:top w:val="nil"/>
              <w:left w:val="nil"/>
              <w:bottom w:val="single" w:sz="4" w:space="0" w:color="auto"/>
              <w:right w:val="single" w:sz="4" w:space="0" w:color="auto"/>
            </w:tcBorders>
            <w:shd w:val="clear" w:color="auto" w:fill="auto"/>
            <w:noWrap/>
            <w:vAlign w:val="bottom"/>
          </w:tcPr>
          <w:p w14:paraId="0F9E6E52"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29" w:type="dxa"/>
            <w:tcBorders>
              <w:top w:val="nil"/>
              <w:left w:val="nil"/>
              <w:bottom w:val="single" w:sz="4" w:space="0" w:color="auto"/>
              <w:right w:val="single" w:sz="4" w:space="0" w:color="auto"/>
            </w:tcBorders>
            <w:shd w:val="clear" w:color="auto" w:fill="auto"/>
            <w:noWrap/>
            <w:vAlign w:val="bottom"/>
          </w:tcPr>
          <w:p w14:paraId="4BFAF3CA"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438</w:t>
            </w:r>
          </w:p>
        </w:tc>
        <w:tc>
          <w:tcPr>
            <w:tcW w:w="829" w:type="dxa"/>
            <w:tcBorders>
              <w:top w:val="nil"/>
              <w:left w:val="nil"/>
              <w:bottom w:val="single" w:sz="4" w:space="0" w:color="auto"/>
              <w:right w:val="single" w:sz="4" w:space="0" w:color="auto"/>
            </w:tcBorders>
            <w:shd w:val="clear" w:color="auto" w:fill="auto"/>
            <w:noWrap/>
            <w:vAlign w:val="bottom"/>
          </w:tcPr>
          <w:p w14:paraId="75676877"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506</w:t>
            </w:r>
          </w:p>
        </w:tc>
        <w:tc>
          <w:tcPr>
            <w:tcW w:w="864" w:type="dxa"/>
            <w:tcBorders>
              <w:top w:val="nil"/>
              <w:left w:val="nil"/>
              <w:bottom w:val="single" w:sz="4" w:space="0" w:color="auto"/>
              <w:right w:val="single" w:sz="4" w:space="0" w:color="auto"/>
            </w:tcBorders>
            <w:shd w:val="clear" w:color="auto" w:fill="auto"/>
            <w:noWrap/>
            <w:vAlign w:val="bottom"/>
          </w:tcPr>
          <w:p w14:paraId="1B1FA680"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1,743</w:t>
            </w:r>
          </w:p>
        </w:tc>
        <w:tc>
          <w:tcPr>
            <w:tcW w:w="923" w:type="dxa"/>
            <w:tcBorders>
              <w:top w:val="nil"/>
              <w:left w:val="nil"/>
              <w:bottom w:val="single" w:sz="4" w:space="0" w:color="auto"/>
              <w:right w:val="single" w:sz="4" w:space="0" w:color="auto"/>
            </w:tcBorders>
            <w:shd w:val="clear" w:color="auto" w:fill="auto"/>
            <w:noWrap/>
            <w:vAlign w:val="bottom"/>
          </w:tcPr>
          <w:p w14:paraId="28434D59"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1,643</w:t>
            </w:r>
          </w:p>
        </w:tc>
        <w:tc>
          <w:tcPr>
            <w:tcW w:w="962" w:type="dxa"/>
            <w:tcBorders>
              <w:top w:val="nil"/>
              <w:left w:val="nil"/>
              <w:bottom w:val="single" w:sz="4" w:space="0" w:color="auto"/>
              <w:right w:val="single" w:sz="4" w:space="0" w:color="auto"/>
            </w:tcBorders>
            <w:shd w:val="clear" w:color="auto" w:fill="auto"/>
            <w:noWrap/>
            <w:vAlign w:val="bottom"/>
          </w:tcPr>
          <w:p w14:paraId="38FB28CC"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4,330</w:t>
            </w:r>
          </w:p>
        </w:tc>
      </w:tr>
      <w:tr w:rsidR="00DA61E8" w:rsidRPr="00DA61E8" w14:paraId="6163A6DC" w14:textId="77777777" w:rsidTr="004A0752">
        <w:trPr>
          <w:trHeight w:val="248"/>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6CE14AF7" w14:textId="77777777" w:rsidR="00DA61E8" w:rsidRPr="00DA61E8" w:rsidRDefault="00DA61E8" w:rsidP="00DA61E8">
            <w:pPr>
              <w:spacing w:after="0"/>
              <w:rPr>
                <w:rFonts w:ascii="Calibri" w:eastAsia="Times New Roman" w:hAnsi="Calibri" w:cs="Calibri"/>
                <w:color w:val="000000"/>
                <w:sz w:val="22"/>
                <w:szCs w:val="22"/>
              </w:rPr>
            </w:pPr>
            <w:r w:rsidRPr="00DA61E8">
              <w:rPr>
                <w:rFonts w:ascii="Calibri" w:eastAsia="Times New Roman" w:hAnsi="Calibri" w:cs="Calibri"/>
                <w:color w:val="000000"/>
                <w:sz w:val="22"/>
                <w:szCs w:val="22"/>
              </w:rPr>
              <w:t>ATEZOLIZUMAB</w:t>
            </w:r>
          </w:p>
        </w:tc>
        <w:tc>
          <w:tcPr>
            <w:tcW w:w="982" w:type="dxa"/>
            <w:tcBorders>
              <w:top w:val="nil"/>
              <w:left w:val="nil"/>
              <w:bottom w:val="single" w:sz="4" w:space="0" w:color="auto"/>
              <w:right w:val="single" w:sz="4" w:space="0" w:color="auto"/>
            </w:tcBorders>
            <w:shd w:val="clear" w:color="auto" w:fill="auto"/>
            <w:noWrap/>
            <w:vAlign w:val="bottom"/>
          </w:tcPr>
          <w:p w14:paraId="1A05D873"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962" w:type="dxa"/>
            <w:tcBorders>
              <w:top w:val="nil"/>
              <w:left w:val="nil"/>
              <w:bottom w:val="single" w:sz="4" w:space="0" w:color="auto"/>
              <w:right w:val="single" w:sz="4" w:space="0" w:color="auto"/>
            </w:tcBorders>
            <w:shd w:val="clear" w:color="auto" w:fill="auto"/>
            <w:noWrap/>
            <w:vAlign w:val="bottom"/>
          </w:tcPr>
          <w:p w14:paraId="6D4D6AD9"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64" w:type="dxa"/>
            <w:tcBorders>
              <w:top w:val="nil"/>
              <w:left w:val="nil"/>
              <w:bottom w:val="single" w:sz="4" w:space="0" w:color="auto"/>
              <w:right w:val="single" w:sz="4" w:space="0" w:color="auto"/>
            </w:tcBorders>
            <w:shd w:val="clear" w:color="auto" w:fill="auto"/>
            <w:noWrap/>
            <w:vAlign w:val="bottom"/>
          </w:tcPr>
          <w:p w14:paraId="4E08F414"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488</w:t>
            </w:r>
          </w:p>
        </w:tc>
        <w:tc>
          <w:tcPr>
            <w:tcW w:w="829" w:type="dxa"/>
            <w:tcBorders>
              <w:top w:val="nil"/>
              <w:left w:val="nil"/>
              <w:bottom w:val="single" w:sz="4" w:space="0" w:color="auto"/>
              <w:right w:val="single" w:sz="4" w:space="0" w:color="auto"/>
            </w:tcBorders>
            <w:shd w:val="clear" w:color="auto" w:fill="auto"/>
            <w:noWrap/>
            <w:vAlign w:val="bottom"/>
          </w:tcPr>
          <w:p w14:paraId="488876CF"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1,004</w:t>
            </w:r>
          </w:p>
        </w:tc>
        <w:tc>
          <w:tcPr>
            <w:tcW w:w="829" w:type="dxa"/>
            <w:tcBorders>
              <w:top w:val="nil"/>
              <w:left w:val="nil"/>
              <w:bottom w:val="single" w:sz="4" w:space="0" w:color="auto"/>
              <w:right w:val="single" w:sz="4" w:space="0" w:color="auto"/>
            </w:tcBorders>
            <w:shd w:val="clear" w:color="auto" w:fill="auto"/>
            <w:noWrap/>
            <w:vAlign w:val="bottom"/>
          </w:tcPr>
          <w:p w14:paraId="3642D158"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1,035</w:t>
            </w:r>
          </w:p>
        </w:tc>
        <w:tc>
          <w:tcPr>
            <w:tcW w:w="864" w:type="dxa"/>
            <w:tcBorders>
              <w:top w:val="nil"/>
              <w:left w:val="nil"/>
              <w:bottom w:val="single" w:sz="4" w:space="0" w:color="auto"/>
              <w:right w:val="single" w:sz="4" w:space="0" w:color="auto"/>
            </w:tcBorders>
            <w:shd w:val="clear" w:color="auto" w:fill="auto"/>
            <w:noWrap/>
            <w:vAlign w:val="bottom"/>
          </w:tcPr>
          <w:p w14:paraId="3C65F742"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854</w:t>
            </w:r>
          </w:p>
        </w:tc>
        <w:tc>
          <w:tcPr>
            <w:tcW w:w="923" w:type="dxa"/>
            <w:tcBorders>
              <w:top w:val="nil"/>
              <w:left w:val="nil"/>
              <w:bottom w:val="single" w:sz="4" w:space="0" w:color="auto"/>
              <w:right w:val="single" w:sz="4" w:space="0" w:color="auto"/>
            </w:tcBorders>
            <w:shd w:val="clear" w:color="auto" w:fill="auto"/>
            <w:noWrap/>
            <w:vAlign w:val="bottom"/>
          </w:tcPr>
          <w:p w14:paraId="2ECB7419"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572</w:t>
            </w:r>
          </w:p>
        </w:tc>
        <w:tc>
          <w:tcPr>
            <w:tcW w:w="962" w:type="dxa"/>
            <w:tcBorders>
              <w:top w:val="nil"/>
              <w:left w:val="nil"/>
              <w:bottom w:val="single" w:sz="4" w:space="0" w:color="auto"/>
              <w:right w:val="single" w:sz="4" w:space="0" w:color="auto"/>
            </w:tcBorders>
            <w:shd w:val="clear" w:color="auto" w:fill="auto"/>
            <w:noWrap/>
            <w:vAlign w:val="bottom"/>
          </w:tcPr>
          <w:p w14:paraId="4E31A3BF"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3,953</w:t>
            </w:r>
          </w:p>
        </w:tc>
      </w:tr>
      <w:tr w:rsidR="00DA61E8" w:rsidRPr="00DA61E8" w14:paraId="73F7B0AB" w14:textId="77777777" w:rsidTr="004A0752">
        <w:trPr>
          <w:trHeight w:val="248"/>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470522E8" w14:textId="77777777" w:rsidR="00DA61E8" w:rsidRPr="00DA61E8" w:rsidRDefault="00DA61E8" w:rsidP="00DA61E8">
            <w:pPr>
              <w:spacing w:after="0"/>
              <w:rPr>
                <w:rFonts w:ascii="Calibri" w:eastAsia="Times New Roman" w:hAnsi="Calibri" w:cs="Calibri"/>
                <w:color w:val="000000"/>
                <w:sz w:val="22"/>
                <w:szCs w:val="22"/>
              </w:rPr>
            </w:pPr>
            <w:r w:rsidRPr="00DA61E8">
              <w:rPr>
                <w:rFonts w:ascii="Calibri" w:eastAsia="Times New Roman" w:hAnsi="Calibri" w:cs="Calibri"/>
                <w:color w:val="000000"/>
                <w:sz w:val="22"/>
                <w:szCs w:val="22"/>
              </w:rPr>
              <w:t>DURVALUMAB</w:t>
            </w:r>
          </w:p>
        </w:tc>
        <w:tc>
          <w:tcPr>
            <w:tcW w:w="982" w:type="dxa"/>
            <w:tcBorders>
              <w:top w:val="nil"/>
              <w:left w:val="nil"/>
              <w:bottom w:val="single" w:sz="4" w:space="0" w:color="auto"/>
              <w:right w:val="single" w:sz="4" w:space="0" w:color="auto"/>
            </w:tcBorders>
            <w:shd w:val="clear" w:color="auto" w:fill="auto"/>
            <w:noWrap/>
            <w:vAlign w:val="bottom"/>
          </w:tcPr>
          <w:p w14:paraId="2B190815"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962" w:type="dxa"/>
            <w:tcBorders>
              <w:top w:val="nil"/>
              <w:left w:val="nil"/>
              <w:bottom w:val="single" w:sz="4" w:space="0" w:color="auto"/>
              <w:right w:val="single" w:sz="4" w:space="0" w:color="auto"/>
            </w:tcBorders>
            <w:shd w:val="clear" w:color="auto" w:fill="auto"/>
            <w:noWrap/>
            <w:vAlign w:val="bottom"/>
          </w:tcPr>
          <w:p w14:paraId="7A57D362"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64" w:type="dxa"/>
            <w:tcBorders>
              <w:top w:val="nil"/>
              <w:left w:val="nil"/>
              <w:bottom w:val="single" w:sz="4" w:space="0" w:color="auto"/>
              <w:right w:val="single" w:sz="4" w:space="0" w:color="auto"/>
            </w:tcBorders>
            <w:shd w:val="clear" w:color="auto" w:fill="auto"/>
            <w:noWrap/>
            <w:vAlign w:val="bottom"/>
          </w:tcPr>
          <w:p w14:paraId="16555AEE"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29" w:type="dxa"/>
            <w:tcBorders>
              <w:top w:val="nil"/>
              <w:left w:val="nil"/>
              <w:bottom w:val="single" w:sz="4" w:space="0" w:color="auto"/>
              <w:right w:val="single" w:sz="4" w:space="0" w:color="auto"/>
            </w:tcBorders>
            <w:shd w:val="clear" w:color="auto" w:fill="auto"/>
            <w:noWrap/>
            <w:vAlign w:val="bottom"/>
          </w:tcPr>
          <w:p w14:paraId="638E078B"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29" w:type="dxa"/>
            <w:tcBorders>
              <w:top w:val="nil"/>
              <w:left w:val="nil"/>
              <w:bottom w:val="single" w:sz="4" w:space="0" w:color="auto"/>
              <w:right w:val="single" w:sz="4" w:space="0" w:color="auto"/>
            </w:tcBorders>
            <w:shd w:val="clear" w:color="auto" w:fill="auto"/>
            <w:noWrap/>
            <w:vAlign w:val="bottom"/>
          </w:tcPr>
          <w:p w14:paraId="5AC44A58"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932</w:t>
            </w:r>
          </w:p>
        </w:tc>
        <w:tc>
          <w:tcPr>
            <w:tcW w:w="864" w:type="dxa"/>
            <w:tcBorders>
              <w:top w:val="nil"/>
              <w:left w:val="nil"/>
              <w:bottom w:val="single" w:sz="4" w:space="0" w:color="auto"/>
              <w:right w:val="single" w:sz="4" w:space="0" w:color="auto"/>
            </w:tcBorders>
            <w:shd w:val="clear" w:color="auto" w:fill="auto"/>
            <w:noWrap/>
            <w:vAlign w:val="bottom"/>
          </w:tcPr>
          <w:p w14:paraId="3764EC8F"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1,031</w:t>
            </w:r>
          </w:p>
        </w:tc>
        <w:tc>
          <w:tcPr>
            <w:tcW w:w="923" w:type="dxa"/>
            <w:tcBorders>
              <w:top w:val="nil"/>
              <w:left w:val="nil"/>
              <w:bottom w:val="single" w:sz="4" w:space="0" w:color="auto"/>
              <w:right w:val="single" w:sz="4" w:space="0" w:color="auto"/>
            </w:tcBorders>
            <w:shd w:val="clear" w:color="auto" w:fill="auto"/>
            <w:noWrap/>
            <w:vAlign w:val="bottom"/>
          </w:tcPr>
          <w:p w14:paraId="35D3F494"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728</w:t>
            </w:r>
          </w:p>
        </w:tc>
        <w:tc>
          <w:tcPr>
            <w:tcW w:w="962" w:type="dxa"/>
            <w:tcBorders>
              <w:top w:val="nil"/>
              <w:left w:val="nil"/>
              <w:bottom w:val="single" w:sz="4" w:space="0" w:color="auto"/>
              <w:right w:val="single" w:sz="4" w:space="0" w:color="auto"/>
            </w:tcBorders>
            <w:shd w:val="clear" w:color="auto" w:fill="auto"/>
            <w:noWrap/>
            <w:vAlign w:val="bottom"/>
          </w:tcPr>
          <w:p w14:paraId="1F5AA84F"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2,691</w:t>
            </w:r>
          </w:p>
        </w:tc>
      </w:tr>
      <w:tr w:rsidR="00DA61E8" w:rsidRPr="00DA61E8" w14:paraId="2DC47A30" w14:textId="77777777" w:rsidTr="004A0752">
        <w:trPr>
          <w:trHeight w:val="248"/>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00418563" w14:textId="77777777" w:rsidR="00DA61E8" w:rsidRPr="00DA61E8" w:rsidRDefault="00DA61E8" w:rsidP="00DA61E8">
            <w:pPr>
              <w:spacing w:after="0"/>
              <w:rPr>
                <w:rFonts w:ascii="Calibri" w:eastAsia="Times New Roman" w:hAnsi="Calibri" w:cs="Calibri"/>
                <w:color w:val="000000"/>
                <w:sz w:val="22"/>
                <w:szCs w:val="22"/>
              </w:rPr>
            </w:pPr>
            <w:r w:rsidRPr="00DA61E8">
              <w:rPr>
                <w:rFonts w:ascii="Calibri" w:eastAsia="Times New Roman" w:hAnsi="Calibri" w:cs="Calibri"/>
                <w:color w:val="000000"/>
                <w:sz w:val="22"/>
                <w:szCs w:val="22"/>
              </w:rPr>
              <w:t>GEFITINIB</w:t>
            </w:r>
          </w:p>
        </w:tc>
        <w:tc>
          <w:tcPr>
            <w:tcW w:w="982" w:type="dxa"/>
            <w:tcBorders>
              <w:top w:val="nil"/>
              <w:left w:val="nil"/>
              <w:bottom w:val="single" w:sz="4" w:space="0" w:color="auto"/>
              <w:right w:val="single" w:sz="4" w:space="0" w:color="auto"/>
            </w:tcBorders>
            <w:shd w:val="clear" w:color="auto" w:fill="auto"/>
            <w:noWrap/>
            <w:vAlign w:val="bottom"/>
          </w:tcPr>
          <w:p w14:paraId="6CA6E4C7"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360</w:t>
            </w:r>
          </w:p>
        </w:tc>
        <w:tc>
          <w:tcPr>
            <w:tcW w:w="962" w:type="dxa"/>
            <w:tcBorders>
              <w:top w:val="nil"/>
              <w:left w:val="nil"/>
              <w:bottom w:val="single" w:sz="4" w:space="0" w:color="auto"/>
              <w:right w:val="single" w:sz="4" w:space="0" w:color="auto"/>
            </w:tcBorders>
            <w:shd w:val="clear" w:color="auto" w:fill="auto"/>
            <w:noWrap/>
            <w:vAlign w:val="bottom"/>
          </w:tcPr>
          <w:p w14:paraId="59A3A0E0"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398</w:t>
            </w:r>
          </w:p>
        </w:tc>
        <w:tc>
          <w:tcPr>
            <w:tcW w:w="864" w:type="dxa"/>
            <w:tcBorders>
              <w:top w:val="nil"/>
              <w:left w:val="nil"/>
              <w:bottom w:val="single" w:sz="4" w:space="0" w:color="auto"/>
              <w:right w:val="single" w:sz="4" w:space="0" w:color="auto"/>
            </w:tcBorders>
            <w:shd w:val="clear" w:color="auto" w:fill="auto"/>
            <w:noWrap/>
            <w:vAlign w:val="bottom"/>
          </w:tcPr>
          <w:p w14:paraId="755F9FE4"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434</w:t>
            </w:r>
          </w:p>
        </w:tc>
        <w:tc>
          <w:tcPr>
            <w:tcW w:w="829" w:type="dxa"/>
            <w:tcBorders>
              <w:top w:val="nil"/>
              <w:left w:val="nil"/>
              <w:bottom w:val="single" w:sz="4" w:space="0" w:color="auto"/>
              <w:right w:val="single" w:sz="4" w:space="0" w:color="auto"/>
            </w:tcBorders>
            <w:shd w:val="clear" w:color="auto" w:fill="auto"/>
            <w:noWrap/>
            <w:vAlign w:val="bottom"/>
          </w:tcPr>
          <w:p w14:paraId="7085EAF5"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440</w:t>
            </w:r>
          </w:p>
        </w:tc>
        <w:tc>
          <w:tcPr>
            <w:tcW w:w="829" w:type="dxa"/>
            <w:tcBorders>
              <w:top w:val="nil"/>
              <w:left w:val="nil"/>
              <w:bottom w:val="single" w:sz="4" w:space="0" w:color="auto"/>
              <w:right w:val="single" w:sz="4" w:space="0" w:color="auto"/>
            </w:tcBorders>
            <w:shd w:val="clear" w:color="auto" w:fill="auto"/>
            <w:noWrap/>
            <w:vAlign w:val="bottom"/>
          </w:tcPr>
          <w:p w14:paraId="5C93A007"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445</w:t>
            </w:r>
          </w:p>
        </w:tc>
        <w:tc>
          <w:tcPr>
            <w:tcW w:w="864" w:type="dxa"/>
            <w:tcBorders>
              <w:top w:val="nil"/>
              <w:left w:val="nil"/>
              <w:bottom w:val="single" w:sz="4" w:space="0" w:color="auto"/>
              <w:right w:val="single" w:sz="4" w:space="0" w:color="auto"/>
            </w:tcBorders>
            <w:shd w:val="clear" w:color="auto" w:fill="auto"/>
            <w:noWrap/>
            <w:vAlign w:val="bottom"/>
          </w:tcPr>
          <w:p w14:paraId="266F2375"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214</w:t>
            </w:r>
          </w:p>
        </w:tc>
        <w:tc>
          <w:tcPr>
            <w:tcW w:w="923" w:type="dxa"/>
            <w:tcBorders>
              <w:top w:val="nil"/>
              <w:left w:val="nil"/>
              <w:bottom w:val="single" w:sz="4" w:space="0" w:color="auto"/>
              <w:right w:val="single" w:sz="4" w:space="0" w:color="auto"/>
            </w:tcBorders>
            <w:shd w:val="clear" w:color="auto" w:fill="auto"/>
            <w:noWrap/>
            <w:vAlign w:val="bottom"/>
          </w:tcPr>
          <w:p w14:paraId="10AFFD19"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105</w:t>
            </w:r>
          </w:p>
        </w:tc>
        <w:tc>
          <w:tcPr>
            <w:tcW w:w="962" w:type="dxa"/>
            <w:tcBorders>
              <w:top w:val="nil"/>
              <w:left w:val="nil"/>
              <w:bottom w:val="single" w:sz="4" w:space="0" w:color="auto"/>
              <w:right w:val="single" w:sz="4" w:space="0" w:color="auto"/>
            </w:tcBorders>
            <w:shd w:val="clear" w:color="auto" w:fill="auto"/>
            <w:noWrap/>
            <w:vAlign w:val="bottom"/>
          </w:tcPr>
          <w:p w14:paraId="4A8D6765"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2,396</w:t>
            </w:r>
          </w:p>
        </w:tc>
      </w:tr>
      <w:tr w:rsidR="00DA61E8" w:rsidRPr="00DA61E8" w14:paraId="5D3E2C4D" w14:textId="77777777" w:rsidTr="004A0752">
        <w:trPr>
          <w:trHeight w:val="248"/>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65905DE0" w14:textId="77777777" w:rsidR="00DA61E8" w:rsidRPr="00DA61E8" w:rsidRDefault="00DA61E8" w:rsidP="00DA61E8">
            <w:pPr>
              <w:spacing w:after="0"/>
              <w:rPr>
                <w:rFonts w:ascii="Calibri" w:eastAsia="Times New Roman" w:hAnsi="Calibri" w:cs="Calibri"/>
                <w:color w:val="000000"/>
                <w:sz w:val="22"/>
                <w:szCs w:val="22"/>
              </w:rPr>
            </w:pPr>
            <w:r w:rsidRPr="00DA61E8">
              <w:rPr>
                <w:rFonts w:ascii="Calibri" w:eastAsia="Times New Roman" w:hAnsi="Calibri" w:cs="Calibri"/>
                <w:color w:val="000000"/>
                <w:sz w:val="22"/>
                <w:szCs w:val="22"/>
              </w:rPr>
              <w:t>ALECTINIB</w:t>
            </w:r>
          </w:p>
        </w:tc>
        <w:tc>
          <w:tcPr>
            <w:tcW w:w="982" w:type="dxa"/>
            <w:tcBorders>
              <w:top w:val="nil"/>
              <w:left w:val="nil"/>
              <w:bottom w:val="single" w:sz="4" w:space="0" w:color="auto"/>
              <w:right w:val="single" w:sz="4" w:space="0" w:color="auto"/>
            </w:tcBorders>
            <w:shd w:val="clear" w:color="auto" w:fill="auto"/>
            <w:noWrap/>
            <w:vAlign w:val="bottom"/>
          </w:tcPr>
          <w:p w14:paraId="6E6E3D6D"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962" w:type="dxa"/>
            <w:tcBorders>
              <w:top w:val="nil"/>
              <w:left w:val="nil"/>
              <w:bottom w:val="single" w:sz="4" w:space="0" w:color="auto"/>
              <w:right w:val="single" w:sz="4" w:space="0" w:color="auto"/>
            </w:tcBorders>
            <w:shd w:val="clear" w:color="auto" w:fill="auto"/>
            <w:noWrap/>
            <w:vAlign w:val="bottom"/>
          </w:tcPr>
          <w:p w14:paraId="163783C0"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64" w:type="dxa"/>
            <w:tcBorders>
              <w:top w:val="nil"/>
              <w:left w:val="nil"/>
              <w:bottom w:val="single" w:sz="4" w:space="0" w:color="auto"/>
              <w:right w:val="single" w:sz="4" w:space="0" w:color="auto"/>
            </w:tcBorders>
            <w:shd w:val="clear" w:color="auto" w:fill="auto"/>
            <w:noWrap/>
            <w:vAlign w:val="bottom"/>
          </w:tcPr>
          <w:p w14:paraId="6AC607AE"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254</w:t>
            </w:r>
          </w:p>
        </w:tc>
        <w:tc>
          <w:tcPr>
            <w:tcW w:w="829" w:type="dxa"/>
            <w:tcBorders>
              <w:top w:val="nil"/>
              <w:left w:val="nil"/>
              <w:bottom w:val="single" w:sz="4" w:space="0" w:color="auto"/>
              <w:right w:val="single" w:sz="4" w:space="0" w:color="auto"/>
            </w:tcBorders>
            <w:shd w:val="clear" w:color="auto" w:fill="auto"/>
            <w:noWrap/>
            <w:vAlign w:val="bottom"/>
          </w:tcPr>
          <w:p w14:paraId="4A21A17C"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322</w:t>
            </w:r>
          </w:p>
        </w:tc>
        <w:tc>
          <w:tcPr>
            <w:tcW w:w="829" w:type="dxa"/>
            <w:tcBorders>
              <w:top w:val="nil"/>
              <w:left w:val="nil"/>
              <w:bottom w:val="single" w:sz="4" w:space="0" w:color="auto"/>
              <w:right w:val="single" w:sz="4" w:space="0" w:color="auto"/>
            </w:tcBorders>
            <w:shd w:val="clear" w:color="auto" w:fill="auto"/>
            <w:noWrap/>
            <w:vAlign w:val="bottom"/>
          </w:tcPr>
          <w:p w14:paraId="073CF4E2"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374</w:t>
            </w:r>
          </w:p>
        </w:tc>
        <w:tc>
          <w:tcPr>
            <w:tcW w:w="864" w:type="dxa"/>
            <w:tcBorders>
              <w:top w:val="nil"/>
              <w:left w:val="nil"/>
              <w:bottom w:val="single" w:sz="4" w:space="0" w:color="auto"/>
              <w:right w:val="single" w:sz="4" w:space="0" w:color="auto"/>
            </w:tcBorders>
            <w:shd w:val="clear" w:color="auto" w:fill="auto"/>
            <w:noWrap/>
            <w:vAlign w:val="bottom"/>
          </w:tcPr>
          <w:p w14:paraId="488B259E"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397</w:t>
            </w:r>
          </w:p>
        </w:tc>
        <w:tc>
          <w:tcPr>
            <w:tcW w:w="923" w:type="dxa"/>
            <w:tcBorders>
              <w:top w:val="nil"/>
              <w:left w:val="nil"/>
              <w:bottom w:val="single" w:sz="4" w:space="0" w:color="auto"/>
              <w:right w:val="single" w:sz="4" w:space="0" w:color="auto"/>
            </w:tcBorders>
            <w:shd w:val="clear" w:color="auto" w:fill="auto"/>
            <w:noWrap/>
            <w:vAlign w:val="bottom"/>
          </w:tcPr>
          <w:p w14:paraId="1D2EFBFC"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401</w:t>
            </w:r>
          </w:p>
        </w:tc>
        <w:tc>
          <w:tcPr>
            <w:tcW w:w="962" w:type="dxa"/>
            <w:tcBorders>
              <w:top w:val="nil"/>
              <w:left w:val="nil"/>
              <w:bottom w:val="single" w:sz="4" w:space="0" w:color="auto"/>
              <w:right w:val="single" w:sz="4" w:space="0" w:color="auto"/>
            </w:tcBorders>
            <w:shd w:val="clear" w:color="auto" w:fill="auto"/>
            <w:noWrap/>
            <w:vAlign w:val="bottom"/>
          </w:tcPr>
          <w:p w14:paraId="2E85C75E"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1,748</w:t>
            </w:r>
          </w:p>
        </w:tc>
      </w:tr>
      <w:tr w:rsidR="00DA61E8" w:rsidRPr="00DA61E8" w14:paraId="5DB77A6B" w14:textId="77777777" w:rsidTr="004A0752">
        <w:trPr>
          <w:trHeight w:val="248"/>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353666EE" w14:textId="77777777" w:rsidR="00DA61E8" w:rsidRPr="00DA61E8" w:rsidRDefault="00DA61E8" w:rsidP="00DA61E8">
            <w:pPr>
              <w:spacing w:after="0"/>
              <w:rPr>
                <w:rFonts w:ascii="Calibri" w:eastAsia="Times New Roman" w:hAnsi="Calibri" w:cs="Calibri"/>
                <w:color w:val="000000"/>
                <w:sz w:val="22"/>
                <w:szCs w:val="22"/>
              </w:rPr>
            </w:pPr>
            <w:r w:rsidRPr="00DA61E8">
              <w:rPr>
                <w:rFonts w:ascii="Calibri" w:eastAsia="Times New Roman" w:hAnsi="Calibri" w:cs="Calibri"/>
                <w:color w:val="000000"/>
                <w:sz w:val="22"/>
                <w:szCs w:val="22"/>
              </w:rPr>
              <w:t>BEVACIZUMAB</w:t>
            </w:r>
          </w:p>
        </w:tc>
        <w:tc>
          <w:tcPr>
            <w:tcW w:w="982" w:type="dxa"/>
            <w:tcBorders>
              <w:top w:val="nil"/>
              <w:left w:val="nil"/>
              <w:bottom w:val="single" w:sz="4" w:space="0" w:color="auto"/>
              <w:right w:val="single" w:sz="4" w:space="0" w:color="auto"/>
            </w:tcBorders>
            <w:shd w:val="clear" w:color="auto" w:fill="auto"/>
            <w:noWrap/>
            <w:vAlign w:val="bottom"/>
          </w:tcPr>
          <w:p w14:paraId="031793F4"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962" w:type="dxa"/>
            <w:tcBorders>
              <w:top w:val="nil"/>
              <w:left w:val="nil"/>
              <w:bottom w:val="single" w:sz="4" w:space="0" w:color="auto"/>
              <w:right w:val="single" w:sz="4" w:space="0" w:color="auto"/>
            </w:tcBorders>
            <w:shd w:val="clear" w:color="auto" w:fill="auto"/>
            <w:noWrap/>
            <w:vAlign w:val="bottom"/>
          </w:tcPr>
          <w:p w14:paraId="3A93A2CD"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64" w:type="dxa"/>
            <w:tcBorders>
              <w:top w:val="nil"/>
              <w:left w:val="nil"/>
              <w:bottom w:val="single" w:sz="4" w:space="0" w:color="auto"/>
              <w:right w:val="single" w:sz="4" w:space="0" w:color="auto"/>
            </w:tcBorders>
            <w:shd w:val="clear" w:color="auto" w:fill="auto"/>
            <w:noWrap/>
            <w:vAlign w:val="bottom"/>
          </w:tcPr>
          <w:p w14:paraId="4CD95DED"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29" w:type="dxa"/>
            <w:tcBorders>
              <w:top w:val="nil"/>
              <w:left w:val="nil"/>
              <w:bottom w:val="single" w:sz="4" w:space="0" w:color="auto"/>
              <w:right w:val="single" w:sz="4" w:space="0" w:color="auto"/>
            </w:tcBorders>
            <w:shd w:val="clear" w:color="auto" w:fill="auto"/>
            <w:noWrap/>
            <w:vAlign w:val="bottom"/>
          </w:tcPr>
          <w:p w14:paraId="49F53A91"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275</w:t>
            </w:r>
          </w:p>
        </w:tc>
        <w:tc>
          <w:tcPr>
            <w:tcW w:w="829" w:type="dxa"/>
            <w:tcBorders>
              <w:top w:val="nil"/>
              <w:left w:val="nil"/>
              <w:bottom w:val="single" w:sz="4" w:space="0" w:color="auto"/>
              <w:right w:val="single" w:sz="4" w:space="0" w:color="auto"/>
            </w:tcBorders>
            <w:shd w:val="clear" w:color="auto" w:fill="auto"/>
            <w:noWrap/>
            <w:vAlign w:val="bottom"/>
          </w:tcPr>
          <w:p w14:paraId="5FD4B4F9"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588</w:t>
            </w:r>
          </w:p>
        </w:tc>
        <w:tc>
          <w:tcPr>
            <w:tcW w:w="864" w:type="dxa"/>
            <w:tcBorders>
              <w:top w:val="nil"/>
              <w:left w:val="nil"/>
              <w:bottom w:val="single" w:sz="4" w:space="0" w:color="auto"/>
              <w:right w:val="single" w:sz="4" w:space="0" w:color="auto"/>
            </w:tcBorders>
            <w:shd w:val="clear" w:color="auto" w:fill="auto"/>
            <w:noWrap/>
            <w:vAlign w:val="bottom"/>
          </w:tcPr>
          <w:p w14:paraId="7E2FAEA9"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322</w:t>
            </w:r>
          </w:p>
        </w:tc>
        <w:tc>
          <w:tcPr>
            <w:tcW w:w="923" w:type="dxa"/>
            <w:tcBorders>
              <w:top w:val="nil"/>
              <w:left w:val="nil"/>
              <w:bottom w:val="single" w:sz="4" w:space="0" w:color="auto"/>
              <w:right w:val="single" w:sz="4" w:space="0" w:color="auto"/>
            </w:tcBorders>
            <w:shd w:val="clear" w:color="auto" w:fill="auto"/>
            <w:noWrap/>
            <w:vAlign w:val="bottom"/>
          </w:tcPr>
          <w:p w14:paraId="064C936B"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962" w:type="dxa"/>
            <w:tcBorders>
              <w:top w:val="nil"/>
              <w:left w:val="nil"/>
              <w:bottom w:val="single" w:sz="4" w:space="0" w:color="auto"/>
              <w:right w:val="single" w:sz="4" w:space="0" w:color="auto"/>
            </w:tcBorders>
            <w:shd w:val="clear" w:color="auto" w:fill="auto"/>
            <w:noWrap/>
            <w:vAlign w:val="bottom"/>
          </w:tcPr>
          <w:p w14:paraId="42C01376"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1,185</w:t>
            </w:r>
          </w:p>
        </w:tc>
      </w:tr>
      <w:tr w:rsidR="00DA61E8" w:rsidRPr="00DA61E8" w14:paraId="0EB07A7A" w14:textId="77777777" w:rsidTr="004A0752">
        <w:trPr>
          <w:trHeight w:val="248"/>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62E051EE" w14:textId="77777777" w:rsidR="00DA61E8" w:rsidRPr="00DA61E8" w:rsidRDefault="00DA61E8" w:rsidP="00DA61E8">
            <w:pPr>
              <w:spacing w:after="0"/>
              <w:rPr>
                <w:rFonts w:ascii="Calibri" w:eastAsia="Times New Roman" w:hAnsi="Calibri" w:cs="Calibri"/>
                <w:color w:val="000000"/>
                <w:sz w:val="22"/>
                <w:szCs w:val="22"/>
              </w:rPr>
            </w:pPr>
            <w:r w:rsidRPr="00DA61E8">
              <w:rPr>
                <w:rFonts w:ascii="Calibri" w:eastAsia="Times New Roman" w:hAnsi="Calibri" w:cs="Calibri"/>
                <w:color w:val="000000"/>
                <w:sz w:val="22"/>
                <w:szCs w:val="22"/>
              </w:rPr>
              <w:t>CRIZOTINIB</w:t>
            </w:r>
          </w:p>
        </w:tc>
        <w:tc>
          <w:tcPr>
            <w:tcW w:w="982" w:type="dxa"/>
            <w:tcBorders>
              <w:top w:val="nil"/>
              <w:left w:val="nil"/>
              <w:bottom w:val="single" w:sz="4" w:space="0" w:color="auto"/>
              <w:right w:val="single" w:sz="4" w:space="0" w:color="auto"/>
            </w:tcBorders>
            <w:shd w:val="clear" w:color="auto" w:fill="auto"/>
            <w:noWrap/>
            <w:vAlign w:val="bottom"/>
          </w:tcPr>
          <w:p w14:paraId="52B4095A"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183</w:t>
            </w:r>
          </w:p>
        </w:tc>
        <w:tc>
          <w:tcPr>
            <w:tcW w:w="962" w:type="dxa"/>
            <w:tcBorders>
              <w:top w:val="nil"/>
              <w:left w:val="nil"/>
              <w:bottom w:val="single" w:sz="4" w:space="0" w:color="auto"/>
              <w:right w:val="single" w:sz="4" w:space="0" w:color="auto"/>
            </w:tcBorders>
            <w:shd w:val="clear" w:color="auto" w:fill="auto"/>
            <w:noWrap/>
            <w:vAlign w:val="bottom"/>
          </w:tcPr>
          <w:p w14:paraId="5FD79F21"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195</w:t>
            </w:r>
          </w:p>
        </w:tc>
        <w:tc>
          <w:tcPr>
            <w:tcW w:w="864" w:type="dxa"/>
            <w:tcBorders>
              <w:top w:val="nil"/>
              <w:left w:val="nil"/>
              <w:bottom w:val="single" w:sz="4" w:space="0" w:color="auto"/>
              <w:right w:val="single" w:sz="4" w:space="0" w:color="auto"/>
            </w:tcBorders>
            <w:shd w:val="clear" w:color="auto" w:fill="auto"/>
            <w:noWrap/>
            <w:vAlign w:val="bottom"/>
          </w:tcPr>
          <w:p w14:paraId="6E00A23B"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116</w:t>
            </w:r>
          </w:p>
        </w:tc>
        <w:tc>
          <w:tcPr>
            <w:tcW w:w="829" w:type="dxa"/>
            <w:tcBorders>
              <w:top w:val="nil"/>
              <w:left w:val="nil"/>
              <w:bottom w:val="single" w:sz="4" w:space="0" w:color="auto"/>
              <w:right w:val="single" w:sz="4" w:space="0" w:color="auto"/>
            </w:tcBorders>
            <w:shd w:val="clear" w:color="auto" w:fill="auto"/>
            <w:noWrap/>
            <w:vAlign w:val="bottom"/>
          </w:tcPr>
          <w:p w14:paraId="295CAB32"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99</w:t>
            </w:r>
          </w:p>
        </w:tc>
        <w:tc>
          <w:tcPr>
            <w:tcW w:w="829" w:type="dxa"/>
            <w:tcBorders>
              <w:top w:val="nil"/>
              <w:left w:val="nil"/>
              <w:bottom w:val="single" w:sz="4" w:space="0" w:color="auto"/>
              <w:right w:val="single" w:sz="4" w:space="0" w:color="auto"/>
            </w:tcBorders>
            <w:shd w:val="clear" w:color="auto" w:fill="auto"/>
            <w:noWrap/>
            <w:vAlign w:val="bottom"/>
          </w:tcPr>
          <w:p w14:paraId="63205715"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84</w:t>
            </w:r>
          </w:p>
        </w:tc>
        <w:tc>
          <w:tcPr>
            <w:tcW w:w="864" w:type="dxa"/>
            <w:tcBorders>
              <w:top w:val="nil"/>
              <w:left w:val="nil"/>
              <w:bottom w:val="single" w:sz="4" w:space="0" w:color="auto"/>
              <w:right w:val="single" w:sz="4" w:space="0" w:color="auto"/>
            </w:tcBorders>
            <w:shd w:val="clear" w:color="auto" w:fill="auto"/>
            <w:noWrap/>
            <w:vAlign w:val="bottom"/>
          </w:tcPr>
          <w:p w14:paraId="6AB9AA20"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65</w:t>
            </w:r>
          </w:p>
        </w:tc>
        <w:tc>
          <w:tcPr>
            <w:tcW w:w="923" w:type="dxa"/>
            <w:tcBorders>
              <w:top w:val="nil"/>
              <w:left w:val="nil"/>
              <w:bottom w:val="single" w:sz="4" w:space="0" w:color="auto"/>
              <w:right w:val="single" w:sz="4" w:space="0" w:color="auto"/>
            </w:tcBorders>
            <w:shd w:val="clear" w:color="auto" w:fill="auto"/>
            <w:noWrap/>
            <w:vAlign w:val="bottom"/>
          </w:tcPr>
          <w:p w14:paraId="6FC0843C"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42</w:t>
            </w:r>
          </w:p>
        </w:tc>
        <w:tc>
          <w:tcPr>
            <w:tcW w:w="962" w:type="dxa"/>
            <w:tcBorders>
              <w:top w:val="nil"/>
              <w:left w:val="nil"/>
              <w:bottom w:val="single" w:sz="4" w:space="0" w:color="auto"/>
              <w:right w:val="single" w:sz="4" w:space="0" w:color="auto"/>
            </w:tcBorders>
            <w:shd w:val="clear" w:color="auto" w:fill="auto"/>
            <w:noWrap/>
            <w:vAlign w:val="bottom"/>
          </w:tcPr>
          <w:p w14:paraId="479DE03E"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784</w:t>
            </w:r>
          </w:p>
        </w:tc>
      </w:tr>
      <w:tr w:rsidR="00DA61E8" w:rsidRPr="00DA61E8" w14:paraId="4C6BF72C" w14:textId="77777777" w:rsidTr="004A0752">
        <w:trPr>
          <w:trHeight w:val="248"/>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23574688" w14:textId="77777777" w:rsidR="00DA61E8" w:rsidRPr="00DA61E8" w:rsidRDefault="00DA61E8" w:rsidP="00DA61E8">
            <w:pPr>
              <w:spacing w:after="0"/>
              <w:rPr>
                <w:rFonts w:ascii="Calibri" w:eastAsia="Times New Roman" w:hAnsi="Calibri" w:cs="Calibri"/>
                <w:color w:val="000000"/>
                <w:sz w:val="22"/>
                <w:szCs w:val="22"/>
              </w:rPr>
            </w:pPr>
            <w:r w:rsidRPr="00DA61E8">
              <w:rPr>
                <w:rFonts w:ascii="Calibri" w:eastAsia="Times New Roman" w:hAnsi="Calibri" w:cs="Calibri"/>
                <w:color w:val="000000"/>
                <w:sz w:val="22"/>
                <w:szCs w:val="22"/>
              </w:rPr>
              <w:t>AFATINIB</w:t>
            </w:r>
          </w:p>
        </w:tc>
        <w:tc>
          <w:tcPr>
            <w:tcW w:w="982" w:type="dxa"/>
            <w:tcBorders>
              <w:top w:val="nil"/>
              <w:left w:val="nil"/>
              <w:bottom w:val="single" w:sz="4" w:space="0" w:color="auto"/>
              <w:right w:val="single" w:sz="4" w:space="0" w:color="auto"/>
            </w:tcBorders>
            <w:shd w:val="clear" w:color="auto" w:fill="auto"/>
            <w:noWrap/>
            <w:vAlign w:val="bottom"/>
          </w:tcPr>
          <w:p w14:paraId="66398953"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962" w:type="dxa"/>
            <w:tcBorders>
              <w:top w:val="nil"/>
              <w:left w:val="nil"/>
              <w:bottom w:val="single" w:sz="4" w:space="0" w:color="auto"/>
              <w:right w:val="single" w:sz="4" w:space="0" w:color="auto"/>
            </w:tcBorders>
            <w:shd w:val="clear" w:color="auto" w:fill="auto"/>
            <w:noWrap/>
            <w:vAlign w:val="bottom"/>
          </w:tcPr>
          <w:p w14:paraId="48561EA7"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64" w:type="dxa"/>
            <w:tcBorders>
              <w:top w:val="nil"/>
              <w:left w:val="nil"/>
              <w:bottom w:val="single" w:sz="4" w:space="0" w:color="auto"/>
              <w:right w:val="single" w:sz="4" w:space="0" w:color="auto"/>
            </w:tcBorders>
            <w:shd w:val="clear" w:color="auto" w:fill="auto"/>
            <w:noWrap/>
            <w:vAlign w:val="bottom"/>
          </w:tcPr>
          <w:p w14:paraId="2AE2BCEB"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83</w:t>
            </w:r>
          </w:p>
        </w:tc>
        <w:tc>
          <w:tcPr>
            <w:tcW w:w="829" w:type="dxa"/>
            <w:tcBorders>
              <w:top w:val="nil"/>
              <w:left w:val="nil"/>
              <w:bottom w:val="single" w:sz="4" w:space="0" w:color="auto"/>
              <w:right w:val="single" w:sz="4" w:space="0" w:color="auto"/>
            </w:tcBorders>
            <w:shd w:val="clear" w:color="auto" w:fill="auto"/>
            <w:noWrap/>
            <w:vAlign w:val="bottom"/>
          </w:tcPr>
          <w:p w14:paraId="57764B73"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192</w:t>
            </w:r>
          </w:p>
        </w:tc>
        <w:tc>
          <w:tcPr>
            <w:tcW w:w="829" w:type="dxa"/>
            <w:tcBorders>
              <w:top w:val="nil"/>
              <w:left w:val="nil"/>
              <w:bottom w:val="single" w:sz="4" w:space="0" w:color="auto"/>
              <w:right w:val="single" w:sz="4" w:space="0" w:color="auto"/>
            </w:tcBorders>
            <w:shd w:val="clear" w:color="auto" w:fill="auto"/>
            <w:noWrap/>
            <w:vAlign w:val="bottom"/>
          </w:tcPr>
          <w:p w14:paraId="703970F0"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202</w:t>
            </w:r>
          </w:p>
        </w:tc>
        <w:tc>
          <w:tcPr>
            <w:tcW w:w="864" w:type="dxa"/>
            <w:tcBorders>
              <w:top w:val="nil"/>
              <w:left w:val="nil"/>
              <w:bottom w:val="single" w:sz="4" w:space="0" w:color="auto"/>
              <w:right w:val="single" w:sz="4" w:space="0" w:color="auto"/>
            </w:tcBorders>
            <w:shd w:val="clear" w:color="auto" w:fill="auto"/>
            <w:noWrap/>
            <w:vAlign w:val="bottom"/>
          </w:tcPr>
          <w:p w14:paraId="66AE922F"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115</w:t>
            </w:r>
          </w:p>
        </w:tc>
        <w:tc>
          <w:tcPr>
            <w:tcW w:w="923" w:type="dxa"/>
            <w:tcBorders>
              <w:top w:val="nil"/>
              <w:left w:val="nil"/>
              <w:bottom w:val="single" w:sz="4" w:space="0" w:color="auto"/>
              <w:right w:val="single" w:sz="4" w:space="0" w:color="auto"/>
            </w:tcBorders>
            <w:shd w:val="clear" w:color="auto" w:fill="auto"/>
            <w:noWrap/>
            <w:vAlign w:val="bottom"/>
          </w:tcPr>
          <w:p w14:paraId="522AFD99"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77</w:t>
            </w:r>
          </w:p>
        </w:tc>
        <w:tc>
          <w:tcPr>
            <w:tcW w:w="962" w:type="dxa"/>
            <w:tcBorders>
              <w:top w:val="nil"/>
              <w:left w:val="nil"/>
              <w:bottom w:val="single" w:sz="4" w:space="0" w:color="auto"/>
              <w:right w:val="single" w:sz="4" w:space="0" w:color="auto"/>
            </w:tcBorders>
            <w:shd w:val="clear" w:color="auto" w:fill="auto"/>
            <w:noWrap/>
            <w:vAlign w:val="bottom"/>
          </w:tcPr>
          <w:p w14:paraId="564FBF55"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669</w:t>
            </w:r>
          </w:p>
        </w:tc>
      </w:tr>
      <w:tr w:rsidR="00DA61E8" w:rsidRPr="00DA61E8" w14:paraId="4B648D19" w14:textId="77777777" w:rsidTr="004A0752">
        <w:trPr>
          <w:trHeight w:val="248"/>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64F61DE9" w14:textId="77777777" w:rsidR="00DA61E8" w:rsidRPr="00DA61E8" w:rsidRDefault="00DA61E8" w:rsidP="00DA61E8">
            <w:pPr>
              <w:spacing w:after="0"/>
              <w:rPr>
                <w:rFonts w:ascii="Calibri" w:eastAsia="Times New Roman" w:hAnsi="Calibri" w:cs="Calibri"/>
                <w:color w:val="000000"/>
                <w:sz w:val="22"/>
                <w:szCs w:val="22"/>
              </w:rPr>
            </w:pPr>
            <w:r w:rsidRPr="00DA61E8">
              <w:rPr>
                <w:rFonts w:ascii="Calibri" w:eastAsia="Times New Roman" w:hAnsi="Calibri" w:cs="Calibri"/>
                <w:color w:val="000000"/>
                <w:sz w:val="22"/>
                <w:szCs w:val="22"/>
              </w:rPr>
              <w:t>IPILIMUMAB</w:t>
            </w:r>
          </w:p>
        </w:tc>
        <w:tc>
          <w:tcPr>
            <w:tcW w:w="982" w:type="dxa"/>
            <w:tcBorders>
              <w:top w:val="nil"/>
              <w:left w:val="nil"/>
              <w:bottom w:val="single" w:sz="4" w:space="0" w:color="auto"/>
              <w:right w:val="single" w:sz="4" w:space="0" w:color="auto"/>
            </w:tcBorders>
            <w:shd w:val="clear" w:color="auto" w:fill="auto"/>
            <w:noWrap/>
            <w:vAlign w:val="bottom"/>
          </w:tcPr>
          <w:p w14:paraId="50E6660F"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962" w:type="dxa"/>
            <w:tcBorders>
              <w:top w:val="nil"/>
              <w:left w:val="nil"/>
              <w:bottom w:val="single" w:sz="4" w:space="0" w:color="auto"/>
              <w:right w:val="single" w:sz="4" w:space="0" w:color="auto"/>
            </w:tcBorders>
            <w:shd w:val="clear" w:color="auto" w:fill="auto"/>
            <w:noWrap/>
            <w:vAlign w:val="bottom"/>
          </w:tcPr>
          <w:p w14:paraId="31E6354D"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64" w:type="dxa"/>
            <w:tcBorders>
              <w:top w:val="nil"/>
              <w:left w:val="nil"/>
              <w:bottom w:val="single" w:sz="4" w:space="0" w:color="auto"/>
              <w:right w:val="single" w:sz="4" w:space="0" w:color="auto"/>
            </w:tcBorders>
            <w:shd w:val="clear" w:color="auto" w:fill="auto"/>
            <w:noWrap/>
            <w:vAlign w:val="bottom"/>
          </w:tcPr>
          <w:p w14:paraId="67979B5E"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29" w:type="dxa"/>
            <w:tcBorders>
              <w:top w:val="nil"/>
              <w:left w:val="nil"/>
              <w:bottom w:val="single" w:sz="4" w:space="0" w:color="auto"/>
              <w:right w:val="single" w:sz="4" w:space="0" w:color="auto"/>
            </w:tcBorders>
            <w:shd w:val="clear" w:color="auto" w:fill="auto"/>
            <w:noWrap/>
            <w:vAlign w:val="bottom"/>
          </w:tcPr>
          <w:p w14:paraId="3E306188"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29" w:type="dxa"/>
            <w:tcBorders>
              <w:top w:val="nil"/>
              <w:left w:val="nil"/>
              <w:bottom w:val="single" w:sz="4" w:space="0" w:color="auto"/>
              <w:right w:val="single" w:sz="4" w:space="0" w:color="auto"/>
            </w:tcBorders>
            <w:shd w:val="clear" w:color="auto" w:fill="auto"/>
            <w:noWrap/>
            <w:vAlign w:val="bottom"/>
          </w:tcPr>
          <w:p w14:paraId="611A65F6"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64" w:type="dxa"/>
            <w:tcBorders>
              <w:top w:val="nil"/>
              <w:left w:val="nil"/>
              <w:bottom w:val="single" w:sz="4" w:space="0" w:color="auto"/>
              <w:right w:val="single" w:sz="4" w:space="0" w:color="auto"/>
            </w:tcBorders>
            <w:shd w:val="clear" w:color="auto" w:fill="auto"/>
            <w:noWrap/>
            <w:vAlign w:val="bottom"/>
          </w:tcPr>
          <w:p w14:paraId="4CC67A1D"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120</w:t>
            </w:r>
          </w:p>
        </w:tc>
        <w:tc>
          <w:tcPr>
            <w:tcW w:w="923" w:type="dxa"/>
            <w:tcBorders>
              <w:top w:val="nil"/>
              <w:left w:val="nil"/>
              <w:bottom w:val="single" w:sz="4" w:space="0" w:color="auto"/>
              <w:right w:val="single" w:sz="4" w:space="0" w:color="auto"/>
            </w:tcBorders>
            <w:shd w:val="clear" w:color="auto" w:fill="auto"/>
            <w:noWrap/>
            <w:vAlign w:val="bottom"/>
          </w:tcPr>
          <w:p w14:paraId="75478C04"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114</w:t>
            </w:r>
          </w:p>
        </w:tc>
        <w:tc>
          <w:tcPr>
            <w:tcW w:w="962" w:type="dxa"/>
            <w:tcBorders>
              <w:top w:val="nil"/>
              <w:left w:val="nil"/>
              <w:bottom w:val="single" w:sz="4" w:space="0" w:color="auto"/>
              <w:right w:val="single" w:sz="4" w:space="0" w:color="auto"/>
            </w:tcBorders>
            <w:shd w:val="clear" w:color="auto" w:fill="auto"/>
            <w:noWrap/>
            <w:vAlign w:val="bottom"/>
          </w:tcPr>
          <w:p w14:paraId="54D35B5B"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234</w:t>
            </w:r>
          </w:p>
        </w:tc>
      </w:tr>
      <w:tr w:rsidR="00DA61E8" w:rsidRPr="00DA61E8" w14:paraId="7919DBAC" w14:textId="77777777" w:rsidTr="004A0752">
        <w:trPr>
          <w:trHeight w:val="248"/>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6B85C628" w14:textId="77777777" w:rsidR="00DA61E8" w:rsidRPr="00DA61E8" w:rsidRDefault="00DA61E8" w:rsidP="00DA61E8">
            <w:pPr>
              <w:spacing w:after="0"/>
              <w:rPr>
                <w:rFonts w:ascii="Calibri" w:eastAsia="Times New Roman" w:hAnsi="Calibri" w:cs="Calibri"/>
                <w:color w:val="000000"/>
                <w:sz w:val="22"/>
                <w:szCs w:val="22"/>
              </w:rPr>
            </w:pPr>
            <w:r w:rsidRPr="00DA61E8">
              <w:rPr>
                <w:rFonts w:ascii="Calibri" w:eastAsia="Times New Roman" w:hAnsi="Calibri" w:cs="Calibri"/>
                <w:color w:val="000000"/>
                <w:sz w:val="22"/>
                <w:szCs w:val="22"/>
              </w:rPr>
              <w:t>LORLATINIB</w:t>
            </w:r>
          </w:p>
        </w:tc>
        <w:tc>
          <w:tcPr>
            <w:tcW w:w="982" w:type="dxa"/>
            <w:tcBorders>
              <w:top w:val="nil"/>
              <w:left w:val="nil"/>
              <w:bottom w:val="single" w:sz="4" w:space="0" w:color="auto"/>
              <w:right w:val="single" w:sz="4" w:space="0" w:color="auto"/>
            </w:tcBorders>
            <w:shd w:val="clear" w:color="auto" w:fill="auto"/>
            <w:noWrap/>
            <w:vAlign w:val="bottom"/>
          </w:tcPr>
          <w:p w14:paraId="060FD0B7"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962" w:type="dxa"/>
            <w:tcBorders>
              <w:top w:val="nil"/>
              <w:left w:val="nil"/>
              <w:bottom w:val="single" w:sz="4" w:space="0" w:color="auto"/>
              <w:right w:val="single" w:sz="4" w:space="0" w:color="auto"/>
            </w:tcBorders>
            <w:shd w:val="clear" w:color="auto" w:fill="auto"/>
            <w:noWrap/>
            <w:vAlign w:val="bottom"/>
          </w:tcPr>
          <w:p w14:paraId="27C6AA6A"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64" w:type="dxa"/>
            <w:tcBorders>
              <w:top w:val="nil"/>
              <w:left w:val="nil"/>
              <w:bottom w:val="single" w:sz="4" w:space="0" w:color="auto"/>
              <w:right w:val="single" w:sz="4" w:space="0" w:color="auto"/>
            </w:tcBorders>
            <w:shd w:val="clear" w:color="auto" w:fill="auto"/>
            <w:noWrap/>
            <w:vAlign w:val="bottom"/>
          </w:tcPr>
          <w:p w14:paraId="0B846540"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29" w:type="dxa"/>
            <w:tcBorders>
              <w:top w:val="nil"/>
              <w:left w:val="nil"/>
              <w:bottom w:val="single" w:sz="4" w:space="0" w:color="auto"/>
              <w:right w:val="single" w:sz="4" w:space="0" w:color="auto"/>
            </w:tcBorders>
            <w:shd w:val="clear" w:color="auto" w:fill="auto"/>
            <w:noWrap/>
            <w:vAlign w:val="bottom"/>
          </w:tcPr>
          <w:p w14:paraId="712CF953"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29" w:type="dxa"/>
            <w:tcBorders>
              <w:top w:val="nil"/>
              <w:left w:val="nil"/>
              <w:bottom w:val="single" w:sz="4" w:space="0" w:color="auto"/>
              <w:right w:val="single" w:sz="4" w:space="0" w:color="auto"/>
            </w:tcBorders>
            <w:shd w:val="clear" w:color="auto" w:fill="auto"/>
            <w:noWrap/>
            <w:vAlign w:val="bottom"/>
          </w:tcPr>
          <w:p w14:paraId="6565E461"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57</w:t>
            </w:r>
          </w:p>
        </w:tc>
        <w:tc>
          <w:tcPr>
            <w:tcW w:w="864" w:type="dxa"/>
            <w:tcBorders>
              <w:top w:val="nil"/>
              <w:left w:val="nil"/>
              <w:bottom w:val="single" w:sz="4" w:space="0" w:color="auto"/>
              <w:right w:val="single" w:sz="4" w:space="0" w:color="auto"/>
            </w:tcBorders>
            <w:shd w:val="clear" w:color="auto" w:fill="auto"/>
            <w:noWrap/>
            <w:vAlign w:val="bottom"/>
          </w:tcPr>
          <w:p w14:paraId="10F74791"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94</w:t>
            </w:r>
          </w:p>
        </w:tc>
        <w:tc>
          <w:tcPr>
            <w:tcW w:w="923" w:type="dxa"/>
            <w:tcBorders>
              <w:top w:val="nil"/>
              <w:left w:val="nil"/>
              <w:bottom w:val="single" w:sz="4" w:space="0" w:color="auto"/>
              <w:right w:val="single" w:sz="4" w:space="0" w:color="auto"/>
            </w:tcBorders>
            <w:shd w:val="clear" w:color="auto" w:fill="auto"/>
            <w:noWrap/>
            <w:vAlign w:val="bottom"/>
          </w:tcPr>
          <w:p w14:paraId="79812F7C"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79</w:t>
            </w:r>
          </w:p>
        </w:tc>
        <w:tc>
          <w:tcPr>
            <w:tcW w:w="962" w:type="dxa"/>
            <w:tcBorders>
              <w:top w:val="nil"/>
              <w:left w:val="nil"/>
              <w:bottom w:val="single" w:sz="4" w:space="0" w:color="auto"/>
              <w:right w:val="single" w:sz="4" w:space="0" w:color="auto"/>
            </w:tcBorders>
            <w:shd w:val="clear" w:color="auto" w:fill="auto"/>
            <w:noWrap/>
            <w:vAlign w:val="bottom"/>
          </w:tcPr>
          <w:p w14:paraId="6C078F85"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230</w:t>
            </w:r>
          </w:p>
        </w:tc>
      </w:tr>
      <w:tr w:rsidR="00DA61E8" w:rsidRPr="00DA61E8" w14:paraId="1DCC5467" w14:textId="77777777" w:rsidTr="004A0752">
        <w:trPr>
          <w:trHeight w:val="248"/>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700D4726" w14:textId="77777777" w:rsidR="00DA61E8" w:rsidRPr="00DA61E8" w:rsidRDefault="00DA61E8" w:rsidP="00DA61E8">
            <w:pPr>
              <w:spacing w:after="0"/>
              <w:rPr>
                <w:rFonts w:ascii="Calibri" w:eastAsia="Times New Roman" w:hAnsi="Calibri" w:cs="Calibri"/>
                <w:color w:val="000000"/>
                <w:sz w:val="22"/>
                <w:szCs w:val="22"/>
              </w:rPr>
            </w:pPr>
            <w:r w:rsidRPr="00DA61E8">
              <w:rPr>
                <w:rFonts w:ascii="Calibri" w:eastAsia="Times New Roman" w:hAnsi="Calibri" w:cs="Calibri"/>
                <w:color w:val="000000"/>
                <w:sz w:val="22"/>
                <w:szCs w:val="22"/>
              </w:rPr>
              <w:t>CERITINIB</w:t>
            </w:r>
          </w:p>
        </w:tc>
        <w:tc>
          <w:tcPr>
            <w:tcW w:w="982" w:type="dxa"/>
            <w:tcBorders>
              <w:top w:val="nil"/>
              <w:left w:val="nil"/>
              <w:bottom w:val="single" w:sz="4" w:space="0" w:color="auto"/>
              <w:right w:val="single" w:sz="4" w:space="0" w:color="auto"/>
            </w:tcBorders>
            <w:shd w:val="clear" w:color="auto" w:fill="auto"/>
            <w:noWrap/>
            <w:vAlign w:val="bottom"/>
          </w:tcPr>
          <w:p w14:paraId="486F6BC6"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962" w:type="dxa"/>
            <w:tcBorders>
              <w:top w:val="nil"/>
              <w:left w:val="nil"/>
              <w:bottom w:val="single" w:sz="4" w:space="0" w:color="auto"/>
              <w:right w:val="single" w:sz="4" w:space="0" w:color="auto"/>
            </w:tcBorders>
            <w:shd w:val="clear" w:color="auto" w:fill="auto"/>
            <w:noWrap/>
            <w:vAlign w:val="bottom"/>
          </w:tcPr>
          <w:p w14:paraId="75866537"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108</w:t>
            </w:r>
          </w:p>
        </w:tc>
        <w:tc>
          <w:tcPr>
            <w:tcW w:w="864" w:type="dxa"/>
            <w:tcBorders>
              <w:top w:val="nil"/>
              <w:left w:val="nil"/>
              <w:bottom w:val="single" w:sz="4" w:space="0" w:color="auto"/>
              <w:right w:val="single" w:sz="4" w:space="0" w:color="auto"/>
            </w:tcBorders>
            <w:shd w:val="clear" w:color="auto" w:fill="auto"/>
            <w:noWrap/>
            <w:vAlign w:val="bottom"/>
          </w:tcPr>
          <w:p w14:paraId="3FE5EA76"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45</w:t>
            </w:r>
          </w:p>
        </w:tc>
        <w:tc>
          <w:tcPr>
            <w:tcW w:w="829" w:type="dxa"/>
            <w:tcBorders>
              <w:top w:val="nil"/>
              <w:left w:val="nil"/>
              <w:bottom w:val="single" w:sz="4" w:space="0" w:color="auto"/>
              <w:right w:val="single" w:sz="4" w:space="0" w:color="auto"/>
            </w:tcBorders>
            <w:shd w:val="clear" w:color="auto" w:fill="auto"/>
            <w:noWrap/>
            <w:vAlign w:val="bottom"/>
          </w:tcPr>
          <w:p w14:paraId="726097E4"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22</w:t>
            </w:r>
          </w:p>
        </w:tc>
        <w:tc>
          <w:tcPr>
            <w:tcW w:w="829" w:type="dxa"/>
            <w:tcBorders>
              <w:top w:val="nil"/>
              <w:left w:val="nil"/>
              <w:bottom w:val="single" w:sz="4" w:space="0" w:color="auto"/>
              <w:right w:val="single" w:sz="4" w:space="0" w:color="auto"/>
            </w:tcBorders>
            <w:shd w:val="clear" w:color="auto" w:fill="auto"/>
            <w:noWrap/>
            <w:vAlign w:val="bottom"/>
          </w:tcPr>
          <w:p w14:paraId="7EAFFCA9"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13</w:t>
            </w:r>
          </w:p>
        </w:tc>
        <w:tc>
          <w:tcPr>
            <w:tcW w:w="864" w:type="dxa"/>
            <w:tcBorders>
              <w:top w:val="nil"/>
              <w:left w:val="nil"/>
              <w:bottom w:val="single" w:sz="4" w:space="0" w:color="auto"/>
              <w:right w:val="single" w:sz="4" w:space="0" w:color="auto"/>
            </w:tcBorders>
            <w:shd w:val="clear" w:color="auto" w:fill="auto"/>
            <w:noWrap/>
            <w:vAlign w:val="bottom"/>
          </w:tcPr>
          <w:p w14:paraId="407CE2E5"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10</w:t>
            </w:r>
          </w:p>
        </w:tc>
        <w:tc>
          <w:tcPr>
            <w:tcW w:w="923" w:type="dxa"/>
            <w:tcBorders>
              <w:top w:val="nil"/>
              <w:left w:val="nil"/>
              <w:bottom w:val="single" w:sz="4" w:space="0" w:color="auto"/>
              <w:right w:val="single" w:sz="4" w:space="0" w:color="auto"/>
            </w:tcBorders>
            <w:shd w:val="clear" w:color="auto" w:fill="auto"/>
            <w:noWrap/>
            <w:vAlign w:val="bottom"/>
          </w:tcPr>
          <w:p w14:paraId="12193CA4" w14:textId="5C90CD93" w:rsidR="00DA61E8" w:rsidRPr="00DA61E8" w:rsidRDefault="00F43DE0" w:rsidP="00DA61E8">
            <w:pPr>
              <w:spacing w:after="0"/>
              <w:jc w:val="center"/>
              <w:rPr>
                <w:rFonts w:ascii="Calibri" w:eastAsia="Times New Roman" w:hAnsi="Calibri" w:cs="Calibri"/>
                <w:color w:val="000000"/>
                <w:sz w:val="22"/>
                <w:szCs w:val="22"/>
              </w:rPr>
            </w:pPr>
            <w:r w:rsidRPr="00F43DE0">
              <w:rPr>
                <w:rFonts w:ascii="Calibri" w:eastAsia="Times New Roman" w:hAnsi="Calibri" w:cs="Calibri"/>
                <w:color w:val="000000"/>
                <w:sz w:val="20"/>
                <w:szCs w:val="20"/>
              </w:rPr>
              <w:t>≤</w:t>
            </w:r>
            <w:r w:rsidRPr="00F43DE0">
              <w:rPr>
                <w:sz w:val="22"/>
                <w:szCs w:val="22"/>
              </w:rPr>
              <w:t>5</w:t>
            </w:r>
          </w:p>
        </w:tc>
        <w:tc>
          <w:tcPr>
            <w:tcW w:w="962" w:type="dxa"/>
            <w:tcBorders>
              <w:top w:val="nil"/>
              <w:left w:val="nil"/>
              <w:bottom w:val="single" w:sz="4" w:space="0" w:color="auto"/>
              <w:right w:val="single" w:sz="4" w:space="0" w:color="auto"/>
            </w:tcBorders>
            <w:shd w:val="clear" w:color="auto" w:fill="auto"/>
            <w:noWrap/>
            <w:vAlign w:val="bottom"/>
          </w:tcPr>
          <w:p w14:paraId="6D38240F" w14:textId="50F066EF"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20</w:t>
            </w:r>
            <w:r w:rsidR="000C52C1">
              <w:rPr>
                <w:rFonts w:ascii="Calibri" w:eastAsia="Times New Roman" w:hAnsi="Calibri" w:cs="Calibri"/>
                <w:color w:val="000000"/>
                <w:sz w:val="22"/>
                <w:szCs w:val="22"/>
              </w:rPr>
              <w:t>3</w:t>
            </w:r>
          </w:p>
        </w:tc>
      </w:tr>
      <w:tr w:rsidR="00DA61E8" w:rsidRPr="00DA61E8" w14:paraId="40DE65DF" w14:textId="77777777" w:rsidTr="004A0752">
        <w:trPr>
          <w:trHeight w:val="248"/>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42CEBE1F" w14:textId="77777777" w:rsidR="00DA61E8" w:rsidRPr="00DA61E8" w:rsidRDefault="00DA61E8" w:rsidP="00DA61E8">
            <w:pPr>
              <w:spacing w:after="0"/>
              <w:rPr>
                <w:rFonts w:ascii="Calibri" w:eastAsia="Times New Roman" w:hAnsi="Calibri" w:cs="Calibri"/>
                <w:color w:val="000000"/>
                <w:sz w:val="22"/>
                <w:szCs w:val="22"/>
              </w:rPr>
            </w:pPr>
            <w:r w:rsidRPr="00DA61E8">
              <w:rPr>
                <w:rFonts w:ascii="Calibri" w:eastAsia="Times New Roman" w:hAnsi="Calibri" w:cs="Calibri"/>
                <w:color w:val="000000"/>
                <w:sz w:val="22"/>
                <w:szCs w:val="22"/>
              </w:rPr>
              <w:t>ENTRECTINIB</w:t>
            </w:r>
          </w:p>
        </w:tc>
        <w:tc>
          <w:tcPr>
            <w:tcW w:w="982" w:type="dxa"/>
            <w:tcBorders>
              <w:top w:val="nil"/>
              <w:left w:val="nil"/>
              <w:bottom w:val="single" w:sz="4" w:space="0" w:color="auto"/>
              <w:right w:val="single" w:sz="4" w:space="0" w:color="auto"/>
            </w:tcBorders>
            <w:shd w:val="clear" w:color="auto" w:fill="auto"/>
            <w:noWrap/>
            <w:vAlign w:val="bottom"/>
          </w:tcPr>
          <w:p w14:paraId="106088C7"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962" w:type="dxa"/>
            <w:tcBorders>
              <w:top w:val="nil"/>
              <w:left w:val="nil"/>
              <w:bottom w:val="single" w:sz="4" w:space="0" w:color="auto"/>
              <w:right w:val="single" w:sz="4" w:space="0" w:color="auto"/>
            </w:tcBorders>
            <w:shd w:val="clear" w:color="auto" w:fill="auto"/>
            <w:noWrap/>
            <w:vAlign w:val="bottom"/>
          </w:tcPr>
          <w:p w14:paraId="626BE1C7"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64" w:type="dxa"/>
            <w:tcBorders>
              <w:top w:val="nil"/>
              <w:left w:val="nil"/>
              <w:bottom w:val="single" w:sz="4" w:space="0" w:color="auto"/>
              <w:right w:val="single" w:sz="4" w:space="0" w:color="auto"/>
            </w:tcBorders>
            <w:shd w:val="clear" w:color="auto" w:fill="auto"/>
            <w:noWrap/>
            <w:vAlign w:val="bottom"/>
          </w:tcPr>
          <w:p w14:paraId="5FC184EE"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29" w:type="dxa"/>
            <w:tcBorders>
              <w:top w:val="nil"/>
              <w:left w:val="nil"/>
              <w:bottom w:val="single" w:sz="4" w:space="0" w:color="auto"/>
              <w:right w:val="single" w:sz="4" w:space="0" w:color="auto"/>
            </w:tcBorders>
            <w:shd w:val="clear" w:color="auto" w:fill="auto"/>
            <w:noWrap/>
            <w:vAlign w:val="bottom"/>
          </w:tcPr>
          <w:p w14:paraId="1E157F0C"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29" w:type="dxa"/>
            <w:tcBorders>
              <w:top w:val="nil"/>
              <w:left w:val="nil"/>
              <w:bottom w:val="single" w:sz="4" w:space="0" w:color="auto"/>
              <w:right w:val="single" w:sz="4" w:space="0" w:color="auto"/>
            </w:tcBorders>
            <w:shd w:val="clear" w:color="auto" w:fill="auto"/>
            <w:noWrap/>
            <w:vAlign w:val="bottom"/>
          </w:tcPr>
          <w:p w14:paraId="39B7A802"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10</w:t>
            </w:r>
          </w:p>
        </w:tc>
        <w:tc>
          <w:tcPr>
            <w:tcW w:w="864" w:type="dxa"/>
            <w:tcBorders>
              <w:top w:val="nil"/>
              <w:left w:val="nil"/>
              <w:bottom w:val="single" w:sz="4" w:space="0" w:color="auto"/>
              <w:right w:val="single" w:sz="4" w:space="0" w:color="auto"/>
            </w:tcBorders>
            <w:shd w:val="clear" w:color="auto" w:fill="auto"/>
            <w:noWrap/>
            <w:vAlign w:val="bottom"/>
          </w:tcPr>
          <w:p w14:paraId="55B5147D"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47</w:t>
            </w:r>
          </w:p>
        </w:tc>
        <w:tc>
          <w:tcPr>
            <w:tcW w:w="923" w:type="dxa"/>
            <w:tcBorders>
              <w:top w:val="nil"/>
              <w:left w:val="nil"/>
              <w:bottom w:val="single" w:sz="4" w:space="0" w:color="auto"/>
              <w:right w:val="single" w:sz="4" w:space="0" w:color="auto"/>
            </w:tcBorders>
            <w:shd w:val="clear" w:color="auto" w:fill="auto"/>
            <w:noWrap/>
            <w:vAlign w:val="bottom"/>
          </w:tcPr>
          <w:p w14:paraId="1EDFEF5B"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48</w:t>
            </w:r>
          </w:p>
        </w:tc>
        <w:tc>
          <w:tcPr>
            <w:tcW w:w="962" w:type="dxa"/>
            <w:tcBorders>
              <w:top w:val="nil"/>
              <w:left w:val="nil"/>
              <w:bottom w:val="single" w:sz="4" w:space="0" w:color="auto"/>
              <w:right w:val="single" w:sz="4" w:space="0" w:color="auto"/>
            </w:tcBorders>
            <w:shd w:val="clear" w:color="auto" w:fill="auto"/>
            <w:noWrap/>
            <w:vAlign w:val="bottom"/>
          </w:tcPr>
          <w:p w14:paraId="0FEE37C6"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105</w:t>
            </w:r>
          </w:p>
        </w:tc>
      </w:tr>
      <w:tr w:rsidR="00DA61E8" w:rsidRPr="00DA61E8" w14:paraId="7B17606F" w14:textId="77777777" w:rsidTr="004A0752">
        <w:trPr>
          <w:trHeight w:val="248"/>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2EF6E5AB" w14:textId="77777777" w:rsidR="00DA61E8" w:rsidRPr="00DA61E8" w:rsidRDefault="00DA61E8" w:rsidP="00DA61E8">
            <w:pPr>
              <w:spacing w:after="0"/>
              <w:rPr>
                <w:rFonts w:ascii="Calibri" w:eastAsia="Times New Roman" w:hAnsi="Calibri" w:cs="Calibri"/>
                <w:color w:val="000000"/>
                <w:sz w:val="22"/>
                <w:szCs w:val="22"/>
              </w:rPr>
            </w:pPr>
            <w:r w:rsidRPr="00DA61E8">
              <w:rPr>
                <w:rFonts w:ascii="Calibri" w:eastAsia="Times New Roman" w:hAnsi="Calibri" w:cs="Calibri"/>
                <w:color w:val="000000"/>
                <w:sz w:val="22"/>
                <w:szCs w:val="22"/>
              </w:rPr>
              <w:t>BRIGATINIB</w:t>
            </w:r>
          </w:p>
        </w:tc>
        <w:tc>
          <w:tcPr>
            <w:tcW w:w="982" w:type="dxa"/>
            <w:tcBorders>
              <w:top w:val="nil"/>
              <w:left w:val="nil"/>
              <w:bottom w:val="single" w:sz="4" w:space="0" w:color="auto"/>
              <w:right w:val="single" w:sz="4" w:space="0" w:color="auto"/>
            </w:tcBorders>
            <w:shd w:val="clear" w:color="auto" w:fill="auto"/>
            <w:noWrap/>
            <w:vAlign w:val="bottom"/>
          </w:tcPr>
          <w:p w14:paraId="50D599CD"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962" w:type="dxa"/>
            <w:tcBorders>
              <w:top w:val="nil"/>
              <w:left w:val="nil"/>
              <w:bottom w:val="single" w:sz="4" w:space="0" w:color="auto"/>
              <w:right w:val="single" w:sz="4" w:space="0" w:color="auto"/>
            </w:tcBorders>
            <w:shd w:val="clear" w:color="auto" w:fill="auto"/>
            <w:noWrap/>
            <w:vAlign w:val="bottom"/>
          </w:tcPr>
          <w:p w14:paraId="2D7A2EA8"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64" w:type="dxa"/>
            <w:tcBorders>
              <w:top w:val="nil"/>
              <w:left w:val="nil"/>
              <w:bottom w:val="single" w:sz="4" w:space="0" w:color="auto"/>
              <w:right w:val="single" w:sz="4" w:space="0" w:color="auto"/>
            </w:tcBorders>
            <w:shd w:val="clear" w:color="auto" w:fill="auto"/>
            <w:noWrap/>
            <w:vAlign w:val="bottom"/>
          </w:tcPr>
          <w:p w14:paraId="435CAD0F"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29" w:type="dxa"/>
            <w:tcBorders>
              <w:top w:val="nil"/>
              <w:left w:val="nil"/>
              <w:bottom w:val="single" w:sz="4" w:space="0" w:color="auto"/>
              <w:right w:val="single" w:sz="4" w:space="0" w:color="auto"/>
            </w:tcBorders>
            <w:shd w:val="clear" w:color="auto" w:fill="auto"/>
            <w:noWrap/>
            <w:vAlign w:val="bottom"/>
          </w:tcPr>
          <w:p w14:paraId="556803F8"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829" w:type="dxa"/>
            <w:tcBorders>
              <w:top w:val="nil"/>
              <w:left w:val="nil"/>
              <w:bottom w:val="single" w:sz="4" w:space="0" w:color="auto"/>
              <w:right w:val="single" w:sz="4" w:space="0" w:color="auto"/>
            </w:tcBorders>
            <w:shd w:val="clear" w:color="auto" w:fill="auto"/>
            <w:noWrap/>
            <w:vAlign w:val="bottom"/>
          </w:tcPr>
          <w:p w14:paraId="126D3409"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25</w:t>
            </w:r>
          </w:p>
        </w:tc>
        <w:tc>
          <w:tcPr>
            <w:tcW w:w="864" w:type="dxa"/>
            <w:tcBorders>
              <w:top w:val="nil"/>
              <w:left w:val="nil"/>
              <w:bottom w:val="single" w:sz="4" w:space="0" w:color="auto"/>
              <w:right w:val="single" w:sz="4" w:space="0" w:color="auto"/>
            </w:tcBorders>
            <w:shd w:val="clear" w:color="auto" w:fill="auto"/>
            <w:noWrap/>
            <w:vAlign w:val="bottom"/>
          </w:tcPr>
          <w:p w14:paraId="0272092D"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32</w:t>
            </w:r>
          </w:p>
        </w:tc>
        <w:tc>
          <w:tcPr>
            <w:tcW w:w="923" w:type="dxa"/>
            <w:tcBorders>
              <w:top w:val="nil"/>
              <w:left w:val="nil"/>
              <w:bottom w:val="single" w:sz="4" w:space="0" w:color="auto"/>
              <w:right w:val="single" w:sz="4" w:space="0" w:color="auto"/>
            </w:tcBorders>
            <w:shd w:val="clear" w:color="auto" w:fill="auto"/>
            <w:noWrap/>
            <w:vAlign w:val="bottom"/>
          </w:tcPr>
          <w:p w14:paraId="6BD6B6E5"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32</w:t>
            </w:r>
          </w:p>
        </w:tc>
        <w:tc>
          <w:tcPr>
            <w:tcW w:w="962" w:type="dxa"/>
            <w:tcBorders>
              <w:top w:val="nil"/>
              <w:left w:val="nil"/>
              <w:bottom w:val="single" w:sz="4" w:space="0" w:color="auto"/>
              <w:right w:val="single" w:sz="4" w:space="0" w:color="auto"/>
            </w:tcBorders>
            <w:shd w:val="clear" w:color="auto" w:fill="auto"/>
            <w:noWrap/>
            <w:vAlign w:val="bottom"/>
          </w:tcPr>
          <w:p w14:paraId="27336E33"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89</w:t>
            </w:r>
          </w:p>
        </w:tc>
      </w:tr>
      <w:tr w:rsidR="00DA61E8" w:rsidRPr="00DA61E8" w14:paraId="739306A9" w14:textId="77777777" w:rsidTr="004A0752">
        <w:trPr>
          <w:trHeight w:val="248"/>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4ADB6E38" w14:textId="78AEB105" w:rsidR="00DA61E8" w:rsidRPr="00DA61E8" w:rsidRDefault="00DA61E8" w:rsidP="00DA61E8">
            <w:pPr>
              <w:spacing w:after="0"/>
              <w:rPr>
                <w:rFonts w:ascii="Calibri" w:eastAsia="Times New Roman" w:hAnsi="Calibri" w:cs="Calibri"/>
                <w:color w:val="000000"/>
                <w:sz w:val="22"/>
                <w:szCs w:val="22"/>
              </w:rPr>
            </w:pPr>
            <w:r w:rsidRPr="00DA61E8">
              <w:rPr>
                <w:rFonts w:ascii="Calibri" w:eastAsia="Times New Roman" w:hAnsi="Calibri" w:cs="Calibri"/>
                <w:color w:val="000000"/>
                <w:sz w:val="22"/>
                <w:szCs w:val="22"/>
              </w:rPr>
              <w:t>Total</w:t>
            </w:r>
          </w:p>
        </w:tc>
        <w:tc>
          <w:tcPr>
            <w:tcW w:w="982" w:type="dxa"/>
            <w:tcBorders>
              <w:top w:val="nil"/>
              <w:left w:val="nil"/>
              <w:bottom w:val="single" w:sz="4" w:space="0" w:color="auto"/>
              <w:right w:val="single" w:sz="4" w:space="0" w:color="auto"/>
            </w:tcBorders>
            <w:shd w:val="clear" w:color="auto" w:fill="auto"/>
            <w:noWrap/>
            <w:vAlign w:val="bottom"/>
          </w:tcPr>
          <w:p w14:paraId="5F2049C3"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1,399</w:t>
            </w:r>
          </w:p>
        </w:tc>
        <w:tc>
          <w:tcPr>
            <w:tcW w:w="962" w:type="dxa"/>
            <w:tcBorders>
              <w:top w:val="nil"/>
              <w:left w:val="nil"/>
              <w:bottom w:val="single" w:sz="4" w:space="0" w:color="auto"/>
              <w:right w:val="single" w:sz="4" w:space="0" w:color="auto"/>
            </w:tcBorders>
            <w:shd w:val="clear" w:color="auto" w:fill="auto"/>
            <w:noWrap/>
            <w:vAlign w:val="bottom"/>
          </w:tcPr>
          <w:p w14:paraId="74BA9B7F"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3,931</w:t>
            </w:r>
          </w:p>
        </w:tc>
        <w:tc>
          <w:tcPr>
            <w:tcW w:w="864" w:type="dxa"/>
            <w:tcBorders>
              <w:top w:val="nil"/>
              <w:left w:val="nil"/>
              <w:bottom w:val="single" w:sz="4" w:space="0" w:color="auto"/>
              <w:right w:val="single" w:sz="4" w:space="0" w:color="auto"/>
            </w:tcBorders>
            <w:shd w:val="clear" w:color="auto" w:fill="auto"/>
            <w:noWrap/>
            <w:vAlign w:val="bottom"/>
          </w:tcPr>
          <w:p w14:paraId="35EC594A"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6,151</w:t>
            </w:r>
          </w:p>
        </w:tc>
        <w:tc>
          <w:tcPr>
            <w:tcW w:w="829" w:type="dxa"/>
            <w:tcBorders>
              <w:top w:val="nil"/>
              <w:left w:val="nil"/>
              <w:bottom w:val="single" w:sz="4" w:space="0" w:color="auto"/>
              <w:right w:val="single" w:sz="4" w:space="0" w:color="auto"/>
            </w:tcBorders>
            <w:shd w:val="clear" w:color="auto" w:fill="auto"/>
            <w:noWrap/>
            <w:vAlign w:val="bottom"/>
          </w:tcPr>
          <w:p w14:paraId="472A32FD"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7,966</w:t>
            </w:r>
          </w:p>
        </w:tc>
        <w:tc>
          <w:tcPr>
            <w:tcW w:w="829" w:type="dxa"/>
            <w:tcBorders>
              <w:top w:val="nil"/>
              <w:left w:val="nil"/>
              <w:bottom w:val="single" w:sz="4" w:space="0" w:color="auto"/>
              <w:right w:val="single" w:sz="4" w:space="0" w:color="auto"/>
            </w:tcBorders>
            <w:shd w:val="clear" w:color="auto" w:fill="auto"/>
            <w:noWrap/>
            <w:vAlign w:val="bottom"/>
          </w:tcPr>
          <w:p w14:paraId="38F2FC36"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10,954</w:t>
            </w:r>
          </w:p>
        </w:tc>
        <w:tc>
          <w:tcPr>
            <w:tcW w:w="864" w:type="dxa"/>
            <w:tcBorders>
              <w:top w:val="nil"/>
              <w:left w:val="nil"/>
              <w:bottom w:val="single" w:sz="4" w:space="0" w:color="auto"/>
              <w:right w:val="single" w:sz="4" w:space="0" w:color="auto"/>
            </w:tcBorders>
            <w:shd w:val="clear" w:color="auto" w:fill="auto"/>
            <w:noWrap/>
            <w:vAlign w:val="bottom"/>
          </w:tcPr>
          <w:p w14:paraId="5CC27776"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11,570</w:t>
            </w:r>
          </w:p>
        </w:tc>
        <w:tc>
          <w:tcPr>
            <w:tcW w:w="923" w:type="dxa"/>
            <w:tcBorders>
              <w:top w:val="nil"/>
              <w:left w:val="nil"/>
              <w:bottom w:val="single" w:sz="4" w:space="0" w:color="auto"/>
              <w:right w:val="single" w:sz="4" w:space="0" w:color="auto"/>
            </w:tcBorders>
            <w:shd w:val="clear" w:color="auto" w:fill="auto"/>
            <w:noWrap/>
            <w:vAlign w:val="bottom"/>
          </w:tcPr>
          <w:p w14:paraId="2B6DCD86" w14:textId="22187C32"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8,22</w:t>
            </w:r>
            <w:r w:rsidR="000C52C1">
              <w:rPr>
                <w:rFonts w:ascii="Calibri" w:eastAsia="Times New Roman" w:hAnsi="Calibri" w:cs="Calibri"/>
                <w:color w:val="000000"/>
                <w:sz w:val="22"/>
                <w:szCs w:val="22"/>
              </w:rPr>
              <w:t>6</w:t>
            </w:r>
          </w:p>
        </w:tc>
        <w:tc>
          <w:tcPr>
            <w:tcW w:w="962" w:type="dxa"/>
            <w:tcBorders>
              <w:top w:val="nil"/>
              <w:left w:val="nil"/>
              <w:bottom w:val="single" w:sz="4" w:space="0" w:color="auto"/>
              <w:right w:val="single" w:sz="4" w:space="0" w:color="auto"/>
            </w:tcBorders>
            <w:shd w:val="clear" w:color="auto" w:fill="auto"/>
            <w:noWrap/>
            <w:vAlign w:val="bottom"/>
          </w:tcPr>
          <w:p w14:paraId="2E72577C"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50,196</w:t>
            </w:r>
          </w:p>
        </w:tc>
      </w:tr>
      <w:tr w:rsidR="00DA61E8" w:rsidRPr="00DA61E8" w14:paraId="0044F387" w14:textId="77777777" w:rsidTr="004A0752">
        <w:trPr>
          <w:trHeight w:val="248"/>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6A7380B2" w14:textId="40AE5F2C" w:rsidR="00DA61E8" w:rsidRPr="00DA61E8" w:rsidRDefault="00DA61E8" w:rsidP="00DA61E8">
            <w:pPr>
              <w:spacing w:after="0"/>
              <w:rPr>
                <w:rFonts w:ascii="Calibri" w:eastAsia="Times New Roman" w:hAnsi="Calibri" w:cs="Calibri"/>
                <w:color w:val="000000"/>
                <w:sz w:val="22"/>
                <w:szCs w:val="22"/>
              </w:rPr>
            </w:pPr>
            <w:r w:rsidRPr="00DA61E8">
              <w:rPr>
                <w:rFonts w:ascii="Calibri" w:eastAsia="Times New Roman" w:hAnsi="Calibri" w:cs="Calibri"/>
                <w:color w:val="000000"/>
                <w:sz w:val="22"/>
                <w:szCs w:val="22"/>
              </w:rPr>
              <w:t xml:space="preserve">Growth </w:t>
            </w:r>
            <w:r w:rsidR="00F43DE0">
              <w:rPr>
                <w:rFonts w:ascii="Calibri" w:eastAsia="Times New Roman" w:hAnsi="Calibri" w:cs="Calibri"/>
                <w:color w:val="000000"/>
                <w:sz w:val="22"/>
                <w:szCs w:val="22"/>
              </w:rPr>
              <w:t xml:space="preserve">from previous year </w:t>
            </w:r>
          </w:p>
        </w:tc>
        <w:tc>
          <w:tcPr>
            <w:tcW w:w="982" w:type="dxa"/>
            <w:tcBorders>
              <w:top w:val="nil"/>
              <w:left w:val="nil"/>
              <w:bottom w:val="single" w:sz="4" w:space="0" w:color="auto"/>
              <w:right w:val="single" w:sz="4" w:space="0" w:color="auto"/>
            </w:tcBorders>
            <w:shd w:val="clear" w:color="auto" w:fill="auto"/>
            <w:noWrap/>
            <w:vAlign w:val="bottom"/>
          </w:tcPr>
          <w:p w14:paraId="6C1D1DE1"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962" w:type="dxa"/>
            <w:tcBorders>
              <w:top w:val="nil"/>
              <w:left w:val="nil"/>
              <w:bottom w:val="single" w:sz="4" w:space="0" w:color="auto"/>
              <w:right w:val="single" w:sz="4" w:space="0" w:color="auto"/>
            </w:tcBorders>
            <w:shd w:val="clear" w:color="auto" w:fill="auto"/>
            <w:noWrap/>
            <w:vAlign w:val="bottom"/>
          </w:tcPr>
          <w:p w14:paraId="34102C30"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181%</w:t>
            </w:r>
          </w:p>
        </w:tc>
        <w:tc>
          <w:tcPr>
            <w:tcW w:w="864" w:type="dxa"/>
            <w:tcBorders>
              <w:top w:val="nil"/>
              <w:left w:val="nil"/>
              <w:bottom w:val="single" w:sz="4" w:space="0" w:color="auto"/>
              <w:right w:val="single" w:sz="4" w:space="0" w:color="auto"/>
            </w:tcBorders>
            <w:shd w:val="clear" w:color="auto" w:fill="auto"/>
            <w:noWrap/>
            <w:vAlign w:val="bottom"/>
          </w:tcPr>
          <w:p w14:paraId="6B7BF332"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56%</w:t>
            </w:r>
          </w:p>
        </w:tc>
        <w:tc>
          <w:tcPr>
            <w:tcW w:w="829" w:type="dxa"/>
            <w:tcBorders>
              <w:top w:val="nil"/>
              <w:left w:val="nil"/>
              <w:bottom w:val="single" w:sz="4" w:space="0" w:color="auto"/>
              <w:right w:val="single" w:sz="4" w:space="0" w:color="auto"/>
            </w:tcBorders>
            <w:shd w:val="clear" w:color="auto" w:fill="auto"/>
            <w:noWrap/>
            <w:vAlign w:val="bottom"/>
          </w:tcPr>
          <w:p w14:paraId="0D2DA321"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30%</w:t>
            </w:r>
          </w:p>
        </w:tc>
        <w:tc>
          <w:tcPr>
            <w:tcW w:w="829" w:type="dxa"/>
            <w:tcBorders>
              <w:top w:val="nil"/>
              <w:left w:val="nil"/>
              <w:bottom w:val="single" w:sz="4" w:space="0" w:color="auto"/>
              <w:right w:val="single" w:sz="4" w:space="0" w:color="auto"/>
            </w:tcBorders>
            <w:shd w:val="clear" w:color="auto" w:fill="auto"/>
            <w:noWrap/>
            <w:vAlign w:val="bottom"/>
          </w:tcPr>
          <w:p w14:paraId="2AD7D413"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38%</w:t>
            </w:r>
          </w:p>
        </w:tc>
        <w:tc>
          <w:tcPr>
            <w:tcW w:w="864" w:type="dxa"/>
            <w:tcBorders>
              <w:top w:val="nil"/>
              <w:left w:val="nil"/>
              <w:bottom w:val="single" w:sz="4" w:space="0" w:color="auto"/>
              <w:right w:val="single" w:sz="4" w:space="0" w:color="auto"/>
            </w:tcBorders>
            <w:shd w:val="clear" w:color="auto" w:fill="auto"/>
            <w:noWrap/>
            <w:vAlign w:val="bottom"/>
          </w:tcPr>
          <w:p w14:paraId="34EFA163"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6%</w:t>
            </w:r>
          </w:p>
        </w:tc>
        <w:tc>
          <w:tcPr>
            <w:tcW w:w="923" w:type="dxa"/>
            <w:tcBorders>
              <w:top w:val="nil"/>
              <w:left w:val="nil"/>
              <w:bottom w:val="single" w:sz="4" w:space="0" w:color="auto"/>
              <w:right w:val="single" w:sz="4" w:space="0" w:color="auto"/>
            </w:tcBorders>
            <w:shd w:val="clear" w:color="auto" w:fill="auto"/>
            <w:noWrap/>
            <w:vAlign w:val="bottom"/>
          </w:tcPr>
          <w:p w14:paraId="680F2D8D"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c>
          <w:tcPr>
            <w:tcW w:w="962" w:type="dxa"/>
            <w:tcBorders>
              <w:top w:val="nil"/>
              <w:left w:val="nil"/>
              <w:bottom w:val="single" w:sz="4" w:space="0" w:color="auto"/>
              <w:right w:val="single" w:sz="4" w:space="0" w:color="auto"/>
            </w:tcBorders>
            <w:shd w:val="clear" w:color="auto" w:fill="auto"/>
            <w:noWrap/>
            <w:vAlign w:val="bottom"/>
          </w:tcPr>
          <w:p w14:paraId="29536B37" w14:textId="77777777" w:rsidR="00DA61E8" w:rsidRPr="00DA61E8" w:rsidRDefault="00DA61E8" w:rsidP="00DA61E8">
            <w:pPr>
              <w:spacing w:after="0"/>
              <w:jc w:val="center"/>
              <w:rPr>
                <w:rFonts w:ascii="Calibri" w:eastAsia="Times New Roman" w:hAnsi="Calibri" w:cs="Calibri"/>
                <w:color w:val="000000"/>
                <w:sz w:val="22"/>
                <w:szCs w:val="22"/>
              </w:rPr>
            </w:pPr>
            <w:r w:rsidRPr="00DA61E8">
              <w:rPr>
                <w:rFonts w:ascii="Calibri" w:eastAsia="Times New Roman" w:hAnsi="Calibri" w:cs="Calibri"/>
                <w:color w:val="000000"/>
                <w:sz w:val="22"/>
                <w:szCs w:val="22"/>
              </w:rPr>
              <w:t> </w:t>
            </w:r>
          </w:p>
        </w:tc>
      </w:tr>
    </w:tbl>
    <w:p w14:paraId="3798C665" w14:textId="49D59985" w:rsidR="00DE013A" w:rsidRDefault="00DE013A" w:rsidP="00DE013A">
      <w:pPr>
        <w:pStyle w:val="Figurecaption"/>
        <w:spacing w:before="0" w:after="0"/>
      </w:pPr>
      <w:r>
        <w:t xml:space="preserve">Notes: </w:t>
      </w:r>
    </w:p>
    <w:p w14:paraId="3854F763" w14:textId="77777777" w:rsidR="00DE013A" w:rsidRDefault="00DE013A" w:rsidP="00FC27E8">
      <w:pPr>
        <w:pStyle w:val="Figurecaption"/>
        <w:numPr>
          <w:ilvl w:val="0"/>
          <w:numId w:val="15"/>
        </w:numPr>
        <w:spacing w:before="0" w:after="0"/>
      </w:pPr>
      <w:r>
        <w:t>2022 figures are year-to-date 30 June.</w:t>
      </w:r>
    </w:p>
    <w:p w14:paraId="38FE147D" w14:textId="4A52B94F" w:rsidR="00DE013A" w:rsidRDefault="00DE013A" w:rsidP="00FC27E8">
      <w:pPr>
        <w:pStyle w:val="Figurecaption"/>
        <w:numPr>
          <w:ilvl w:val="0"/>
          <w:numId w:val="15"/>
        </w:numPr>
        <w:spacing w:before="0" w:after="0"/>
      </w:pPr>
      <w:r>
        <w:t xml:space="preserve">The PBS listing of bevacizumab became unrestricted </w:t>
      </w:r>
      <w:r w:rsidR="008F4037">
        <w:t xml:space="preserve">1 </w:t>
      </w:r>
      <w:r w:rsidR="003A3796">
        <w:t>June</w:t>
      </w:r>
      <w:r>
        <w:t xml:space="preserve"> 2021. </w:t>
      </w:r>
    </w:p>
    <w:p w14:paraId="0719356E" w14:textId="7AE8331F" w:rsidR="00DE013A" w:rsidRPr="004533C2" w:rsidRDefault="00DE013A" w:rsidP="00FC27E8">
      <w:pPr>
        <w:pStyle w:val="Figurecaption"/>
        <w:numPr>
          <w:ilvl w:val="0"/>
          <w:numId w:val="15"/>
        </w:numPr>
        <w:spacing w:before="0" w:after="0"/>
      </w:pPr>
      <w:r>
        <w:t xml:space="preserve">Where the patient count is between 1 and 4 (inclusive), a figure data point is set to </w:t>
      </w:r>
      <w:r w:rsidRPr="00DE013A">
        <w:rPr>
          <w:rFonts w:ascii="Calibri" w:eastAsia="Times New Roman" w:hAnsi="Calibri" w:cs="Calibri"/>
          <w:color w:val="000000"/>
          <w:sz w:val="22"/>
          <w:szCs w:val="22"/>
        </w:rPr>
        <w:t>≤</w:t>
      </w:r>
      <w:r>
        <w:t>5 to protect patient confidentiality.</w:t>
      </w:r>
    </w:p>
    <w:p w14:paraId="6F641247" w14:textId="77777777" w:rsidR="00DE013A" w:rsidRDefault="00DE013A" w:rsidP="00FE645A">
      <w:pPr>
        <w:pStyle w:val="Figurecaption"/>
      </w:pPr>
    </w:p>
    <w:p w14:paraId="121DC522" w14:textId="4E6404DD" w:rsidR="0041065C" w:rsidRDefault="0041065C" w:rsidP="0041065C">
      <w:pPr>
        <w:pStyle w:val="Figurecaption"/>
        <w:spacing w:after="0"/>
        <w:rPr>
          <w:sz w:val="24"/>
          <w:szCs w:val="24"/>
        </w:rPr>
      </w:pPr>
      <w:r w:rsidRPr="00382E43">
        <w:rPr>
          <w:sz w:val="24"/>
          <w:szCs w:val="24"/>
        </w:rPr>
        <w:t>In Table 4,</w:t>
      </w:r>
      <w:r w:rsidR="00382E43">
        <w:rPr>
          <w:sz w:val="24"/>
          <w:szCs w:val="24"/>
        </w:rPr>
        <w:t xml:space="preserve"> </w:t>
      </w:r>
      <w:r w:rsidR="00382E43" w:rsidRPr="00382E43">
        <w:rPr>
          <w:sz w:val="24"/>
          <w:szCs w:val="24"/>
        </w:rPr>
        <w:t>most NSCLC patients were treated with pembrolizumab</w:t>
      </w:r>
      <w:r w:rsidRPr="00382E43">
        <w:rPr>
          <w:sz w:val="24"/>
          <w:szCs w:val="24"/>
        </w:rPr>
        <w:t>. The</w:t>
      </w:r>
      <w:r>
        <w:rPr>
          <w:sz w:val="24"/>
          <w:szCs w:val="24"/>
        </w:rPr>
        <w:t xml:space="preserve"> highest percentage growth in the number of patients treated for NSCLC was observed between 2016 </w:t>
      </w:r>
      <w:r w:rsidR="002410E2">
        <w:rPr>
          <w:sz w:val="24"/>
          <w:szCs w:val="24"/>
        </w:rPr>
        <w:t>and</w:t>
      </w:r>
      <w:r>
        <w:rPr>
          <w:sz w:val="24"/>
          <w:szCs w:val="24"/>
        </w:rPr>
        <w:t xml:space="preserve"> 2017 (1</w:t>
      </w:r>
      <w:r w:rsidR="004A0752">
        <w:rPr>
          <w:sz w:val="24"/>
          <w:szCs w:val="24"/>
        </w:rPr>
        <w:t>81</w:t>
      </w:r>
      <w:r>
        <w:rPr>
          <w:sz w:val="24"/>
          <w:szCs w:val="24"/>
        </w:rPr>
        <w:t xml:space="preserve">%), due to the PBS listings of nivolumab and ceritinib in 2017. </w:t>
      </w:r>
    </w:p>
    <w:p w14:paraId="49659543" w14:textId="14A314C2" w:rsidR="00493E69" w:rsidRDefault="00493E69">
      <w:pPr>
        <w:spacing w:line="276" w:lineRule="auto"/>
        <w:rPr>
          <w:b/>
          <w:i/>
          <w:iCs/>
        </w:rPr>
      </w:pPr>
    </w:p>
    <w:p w14:paraId="3292E581" w14:textId="77777777" w:rsidR="00493E69" w:rsidRDefault="00493E69">
      <w:pPr>
        <w:spacing w:line="276" w:lineRule="auto"/>
        <w:rPr>
          <w:b/>
          <w:i/>
          <w:iCs/>
        </w:rPr>
      </w:pPr>
      <w:r>
        <w:rPr>
          <w:i/>
          <w:iCs/>
        </w:rPr>
        <w:br w:type="page"/>
      </w:r>
    </w:p>
    <w:p w14:paraId="315F606F" w14:textId="01DE3092" w:rsidR="00BE5B19" w:rsidRDefault="00AE669E" w:rsidP="00BE5B19">
      <w:pPr>
        <w:pStyle w:val="Tabletitle"/>
        <w:rPr>
          <w:i/>
          <w:iCs/>
        </w:rPr>
      </w:pPr>
      <w:r>
        <w:rPr>
          <w:i/>
          <w:iCs/>
        </w:rPr>
        <w:lastRenderedPageBreak/>
        <w:t>Utilisation</w:t>
      </w:r>
      <w:r w:rsidR="001A7CD0">
        <w:rPr>
          <w:i/>
          <w:iCs/>
        </w:rPr>
        <w:t xml:space="preserve"> </w:t>
      </w:r>
      <w:r w:rsidR="00BE5B19">
        <w:rPr>
          <w:i/>
          <w:iCs/>
        </w:rPr>
        <w:t xml:space="preserve">by type of </w:t>
      </w:r>
      <w:r>
        <w:rPr>
          <w:i/>
          <w:iCs/>
        </w:rPr>
        <w:t xml:space="preserve">NSCLC therapy </w:t>
      </w:r>
    </w:p>
    <w:p w14:paraId="43FA1021" w14:textId="77777777" w:rsidR="00BE5B19" w:rsidRPr="00BE5B19" w:rsidRDefault="00BE5B19" w:rsidP="00BE5B19"/>
    <w:p w14:paraId="0935EFF6" w14:textId="624542F3" w:rsidR="000F6503" w:rsidRPr="00493E69" w:rsidRDefault="00493E69" w:rsidP="00493E69">
      <w:pPr>
        <w:jc w:val="center"/>
      </w:pPr>
      <w:r w:rsidRPr="00493E69">
        <w:rPr>
          <w:noProof/>
        </w:rPr>
        <w:drawing>
          <wp:inline distT="0" distB="0" distL="0" distR="0" wp14:anchorId="7DA8D453" wp14:editId="09C2EE97">
            <wp:extent cx="4666890" cy="2889849"/>
            <wp:effectExtent l="0" t="0" r="635" b="6350"/>
            <wp:docPr id="13" name="Chart 13">
              <a:extLst xmlns:a="http://schemas.openxmlformats.org/drawingml/2006/main">
                <a:ext uri="{FF2B5EF4-FFF2-40B4-BE49-F238E27FC236}">
                  <a16:creationId xmlns:a16="http://schemas.microsoft.com/office/drawing/2014/main" id="{CA17E681-D40A-48F9-9A11-CCB3F635855E}"/>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30F2078" w14:textId="43437117" w:rsidR="00493E69" w:rsidRDefault="00493E69" w:rsidP="00493E69">
      <w:pPr>
        <w:pStyle w:val="Heading6"/>
        <w:rPr>
          <w:rFonts w:asciiTheme="minorHAnsi" w:hAnsiTheme="minorHAnsi" w:cstheme="minorHAnsi"/>
          <w:b/>
          <w:bCs/>
          <w:color w:val="auto"/>
        </w:rPr>
      </w:pPr>
      <w:r w:rsidRPr="00DE1D85">
        <w:rPr>
          <w:rFonts w:asciiTheme="minorHAnsi" w:hAnsiTheme="minorHAnsi" w:cstheme="minorHAnsi"/>
          <w:b/>
          <w:bCs/>
          <w:color w:val="auto"/>
        </w:rPr>
        <w:t xml:space="preserve">Figure </w:t>
      </w:r>
      <w:r>
        <w:rPr>
          <w:rFonts w:asciiTheme="minorHAnsi" w:hAnsiTheme="minorHAnsi" w:cstheme="minorHAnsi"/>
          <w:b/>
          <w:bCs/>
          <w:color w:val="auto"/>
        </w:rPr>
        <w:t>3</w:t>
      </w:r>
      <w:r w:rsidRPr="00DE1D85">
        <w:rPr>
          <w:rFonts w:asciiTheme="minorHAnsi" w:hAnsiTheme="minorHAnsi" w:cstheme="minorHAnsi"/>
          <w:b/>
          <w:bCs/>
          <w:color w:val="auto"/>
        </w:rPr>
        <w:t>:</w:t>
      </w:r>
      <w:r>
        <w:rPr>
          <w:rFonts w:asciiTheme="minorHAnsi" w:hAnsiTheme="minorHAnsi" w:cstheme="minorHAnsi"/>
          <w:b/>
          <w:bCs/>
          <w:color w:val="auto"/>
        </w:rPr>
        <w:t xml:space="preserve"> </w:t>
      </w:r>
      <w:r w:rsidRPr="00493E69">
        <w:rPr>
          <w:rFonts w:asciiTheme="minorHAnsi" w:hAnsiTheme="minorHAnsi" w:cstheme="minorHAnsi"/>
          <w:b/>
          <w:bCs/>
          <w:color w:val="auto"/>
        </w:rPr>
        <w:t>Number of prescriptions supplied for the treatment for NSCLC by therapy type and supply quarter</w:t>
      </w:r>
    </w:p>
    <w:p w14:paraId="74DE7035" w14:textId="15181DAC" w:rsidR="007F721D" w:rsidRDefault="007F721D" w:rsidP="00493E69"/>
    <w:p w14:paraId="101A9856" w14:textId="58A9BF4A" w:rsidR="007F721D" w:rsidRDefault="007F721D" w:rsidP="00493E69">
      <w:r>
        <w:t xml:space="preserve">As shown in Figure 3, </w:t>
      </w:r>
      <w:r w:rsidR="00382E43">
        <w:t xml:space="preserve">immunotherapies accounted for a greater proportion of prescriptions supplied for the treatment of NSCLC compared to targeted therapies. </w:t>
      </w:r>
    </w:p>
    <w:p w14:paraId="2DAA725A" w14:textId="77777777" w:rsidR="007F721D" w:rsidRPr="00493E69" w:rsidRDefault="007F721D" w:rsidP="00493E69"/>
    <w:p w14:paraId="76B65B74" w14:textId="5880E598" w:rsidR="00493E69" w:rsidRPr="00493E69" w:rsidRDefault="00493E69" w:rsidP="00493E69">
      <w:pPr>
        <w:pStyle w:val="Heading6"/>
        <w:rPr>
          <w:rFonts w:asciiTheme="minorHAnsi" w:hAnsiTheme="minorHAnsi" w:cstheme="minorHAnsi"/>
          <w:b/>
          <w:bCs/>
          <w:color w:val="auto"/>
        </w:rPr>
      </w:pPr>
      <w:r>
        <w:rPr>
          <w:rFonts w:asciiTheme="minorHAnsi" w:hAnsiTheme="minorHAnsi" w:cstheme="minorHAnsi"/>
          <w:b/>
          <w:bCs/>
          <w:color w:val="auto"/>
        </w:rPr>
        <w:t xml:space="preserve">Table 5: Annual growth in the number of prescriptions supplied </w:t>
      </w:r>
      <w:r w:rsidR="007F721D">
        <w:rPr>
          <w:rFonts w:asciiTheme="minorHAnsi" w:hAnsiTheme="minorHAnsi" w:cstheme="minorHAnsi"/>
          <w:b/>
          <w:bCs/>
          <w:color w:val="auto"/>
        </w:rPr>
        <w:t>by</w:t>
      </w:r>
      <w:r>
        <w:rPr>
          <w:rFonts w:asciiTheme="minorHAnsi" w:hAnsiTheme="minorHAnsi" w:cstheme="minorHAnsi"/>
          <w:b/>
          <w:bCs/>
          <w:color w:val="auto"/>
        </w:rPr>
        <w:t xml:space="preserve"> NSCLC therapy type and calendar year</w:t>
      </w:r>
    </w:p>
    <w:tbl>
      <w:tblPr>
        <w:tblW w:w="8926" w:type="dxa"/>
        <w:tblLayout w:type="fixed"/>
        <w:tblLook w:val="04A0" w:firstRow="1" w:lastRow="0" w:firstColumn="1" w:lastColumn="0" w:noHBand="0" w:noVBand="1"/>
      </w:tblPr>
      <w:tblGrid>
        <w:gridCol w:w="1838"/>
        <w:gridCol w:w="1418"/>
        <w:gridCol w:w="1417"/>
        <w:gridCol w:w="1418"/>
        <w:gridCol w:w="1417"/>
        <w:gridCol w:w="1418"/>
      </w:tblGrid>
      <w:tr w:rsidR="00B54107" w:rsidRPr="00B54107" w14:paraId="42F6DDDF" w14:textId="77777777" w:rsidTr="00B54107">
        <w:trPr>
          <w:trHeight w:val="217"/>
        </w:trPr>
        <w:tc>
          <w:tcPr>
            <w:tcW w:w="183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E168BDB" w14:textId="77777777" w:rsidR="00B54107" w:rsidRPr="00B54107" w:rsidRDefault="00B54107" w:rsidP="00B54107">
            <w:pPr>
              <w:spacing w:after="0"/>
              <w:rPr>
                <w:rFonts w:ascii="Calibri" w:eastAsia="Times New Roman" w:hAnsi="Calibri" w:cs="Calibri"/>
                <w:b/>
                <w:bCs/>
                <w:color w:val="000000"/>
                <w:sz w:val="22"/>
                <w:szCs w:val="22"/>
              </w:rPr>
            </w:pPr>
            <w:r w:rsidRPr="00B54107">
              <w:rPr>
                <w:rFonts w:ascii="Calibri" w:eastAsia="Times New Roman" w:hAnsi="Calibri" w:cs="Calibri"/>
                <w:b/>
                <w:bCs/>
                <w:color w:val="000000"/>
                <w:sz w:val="22"/>
                <w:szCs w:val="22"/>
              </w:rPr>
              <w:t> </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8090386" w14:textId="75EC6A76" w:rsidR="00B54107" w:rsidRPr="00B54107" w:rsidRDefault="00B54107" w:rsidP="00F272CD">
            <w:pPr>
              <w:spacing w:after="0"/>
              <w:jc w:val="center"/>
              <w:rPr>
                <w:rFonts w:ascii="Calibri" w:eastAsia="Times New Roman" w:hAnsi="Calibri" w:cs="Calibri"/>
                <w:b/>
                <w:bCs/>
                <w:color w:val="000000"/>
                <w:sz w:val="22"/>
                <w:szCs w:val="22"/>
              </w:rPr>
            </w:pPr>
            <w:r w:rsidRPr="00B54107">
              <w:rPr>
                <w:rFonts w:ascii="Calibri" w:eastAsia="Times New Roman" w:hAnsi="Calibri" w:cs="Calibri"/>
                <w:b/>
                <w:bCs/>
                <w:color w:val="000000"/>
                <w:sz w:val="22"/>
                <w:szCs w:val="22"/>
              </w:rPr>
              <w:t>2017 vs 2016</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CD90DC3" w14:textId="09BD399D" w:rsidR="00B54107" w:rsidRPr="00B54107" w:rsidRDefault="00B54107" w:rsidP="00F272CD">
            <w:pPr>
              <w:spacing w:after="0"/>
              <w:jc w:val="center"/>
              <w:rPr>
                <w:rFonts w:ascii="Calibri" w:eastAsia="Times New Roman" w:hAnsi="Calibri" w:cs="Calibri"/>
                <w:b/>
                <w:bCs/>
                <w:color w:val="000000"/>
                <w:sz w:val="22"/>
                <w:szCs w:val="22"/>
              </w:rPr>
            </w:pPr>
            <w:r w:rsidRPr="00B54107">
              <w:rPr>
                <w:rFonts w:ascii="Calibri" w:eastAsia="Times New Roman" w:hAnsi="Calibri" w:cs="Calibri"/>
                <w:b/>
                <w:bCs/>
                <w:color w:val="000000"/>
                <w:sz w:val="22"/>
                <w:szCs w:val="22"/>
              </w:rPr>
              <w:t>2018 vs 2017</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DF1C2C3" w14:textId="2F034DBC" w:rsidR="00B54107" w:rsidRPr="00B54107" w:rsidRDefault="00B54107" w:rsidP="00F272CD">
            <w:pPr>
              <w:spacing w:after="0"/>
              <w:jc w:val="center"/>
              <w:rPr>
                <w:rFonts w:ascii="Calibri" w:eastAsia="Times New Roman" w:hAnsi="Calibri" w:cs="Calibri"/>
                <w:b/>
                <w:bCs/>
                <w:color w:val="000000"/>
                <w:sz w:val="22"/>
                <w:szCs w:val="22"/>
              </w:rPr>
            </w:pPr>
            <w:r w:rsidRPr="00B54107">
              <w:rPr>
                <w:rFonts w:ascii="Calibri" w:eastAsia="Times New Roman" w:hAnsi="Calibri" w:cs="Calibri"/>
                <w:b/>
                <w:bCs/>
                <w:color w:val="000000"/>
                <w:sz w:val="22"/>
                <w:szCs w:val="22"/>
              </w:rPr>
              <w:t>2019 vs 201</w:t>
            </w:r>
            <w:r w:rsidR="00F43DE0">
              <w:rPr>
                <w:rFonts w:ascii="Calibri" w:eastAsia="Times New Roman" w:hAnsi="Calibri" w:cs="Calibri"/>
                <w:b/>
                <w:bCs/>
                <w:color w:val="000000"/>
                <w:sz w:val="22"/>
                <w:szCs w:val="22"/>
              </w:rPr>
              <w:t>8</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4EC99346" w14:textId="3A66656A" w:rsidR="00B54107" w:rsidRPr="00B54107" w:rsidRDefault="00B54107" w:rsidP="00F272CD">
            <w:pPr>
              <w:spacing w:after="0"/>
              <w:jc w:val="center"/>
              <w:rPr>
                <w:rFonts w:ascii="Calibri" w:eastAsia="Times New Roman" w:hAnsi="Calibri" w:cs="Calibri"/>
                <w:b/>
                <w:bCs/>
                <w:color w:val="000000"/>
                <w:sz w:val="22"/>
                <w:szCs w:val="22"/>
              </w:rPr>
            </w:pPr>
            <w:r w:rsidRPr="00B54107">
              <w:rPr>
                <w:rFonts w:ascii="Calibri" w:eastAsia="Times New Roman" w:hAnsi="Calibri" w:cs="Calibri"/>
                <w:b/>
                <w:bCs/>
                <w:color w:val="000000"/>
                <w:sz w:val="22"/>
                <w:szCs w:val="22"/>
              </w:rPr>
              <w:t>2020 vs 2019</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623B581" w14:textId="77777777" w:rsidR="00B54107" w:rsidRPr="00B54107" w:rsidRDefault="00B54107" w:rsidP="00F272CD">
            <w:pPr>
              <w:spacing w:after="0"/>
              <w:jc w:val="center"/>
              <w:rPr>
                <w:rFonts w:ascii="Calibri" w:eastAsia="Times New Roman" w:hAnsi="Calibri" w:cs="Calibri"/>
                <w:b/>
                <w:bCs/>
                <w:color w:val="000000"/>
                <w:sz w:val="22"/>
                <w:szCs w:val="22"/>
              </w:rPr>
            </w:pPr>
            <w:r w:rsidRPr="00B54107">
              <w:rPr>
                <w:rFonts w:ascii="Calibri" w:eastAsia="Times New Roman" w:hAnsi="Calibri" w:cs="Calibri"/>
                <w:b/>
                <w:bCs/>
                <w:color w:val="000000"/>
                <w:sz w:val="22"/>
                <w:szCs w:val="22"/>
              </w:rPr>
              <w:t>2021 vs 2020</w:t>
            </w:r>
          </w:p>
        </w:tc>
      </w:tr>
      <w:tr w:rsidR="00B54107" w:rsidRPr="00B54107" w14:paraId="00063EEE" w14:textId="77777777" w:rsidTr="00B54107">
        <w:trPr>
          <w:trHeight w:val="217"/>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3AA7CD8" w14:textId="69C0B7FB" w:rsidR="00B54107" w:rsidRPr="00B54107" w:rsidRDefault="00B54107" w:rsidP="00B54107">
            <w:pPr>
              <w:spacing w:after="0"/>
              <w:rPr>
                <w:rFonts w:ascii="Calibri" w:eastAsia="Times New Roman" w:hAnsi="Calibri" w:cs="Calibri"/>
                <w:color w:val="000000"/>
                <w:sz w:val="22"/>
                <w:szCs w:val="22"/>
              </w:rPr>
            </w:pPr>
            <w:r w:rsidRPr="00B54107">
              <w:rPr>
                <w:rFonts w:ascii="Calibri" w:eastAsia="Times New Roman" w:hAnsi="Calibri" w:cs="Calibri"/>
                <w:color w:val="000000"/>
                <w:sz w:val="22"/>
                <w:szCs w:val="22"/>
              </w:rPr>
              <w:t>Immuno</w:t>
            </w:r>
            <w:r>
              <w:rPr>
                <w:rFonts w:ascii="Calibri" w:eastAsia="Times New Roman" w:hAnsi="Calibri" w:cs="Calibri"/>
                <w:color w:val="000000"/>
                <w:sz w:val="22"/>
                <w:szCs w:val="22"/>
              </w:rPr>
              <w:t>therapy</w:t>
            </w:r>
          </w:p>
        </w:tc>
        <w:tc>
          <w:tcPr>
            <w:tcW w:w="1418" w:type="dxa"/>
            <w:tcBorders>
              <w:top w:val="nil"/>
              <w:left w:val="nil"/>
              <w:bottom w:val="single" w:sz="4" w:space="0" w:color="auto"/>
              <w:right w:val="single" w:sz="4" w:space="0" w:color="auto"/>
            </w:tcBorders>
            <w:shd w:val="clear" w:color="auto" w:fill="auto"/>
            <w:noWrap/>
            <w:vAlign w:val="bottom"/>
            <w:hideMark/>
          </w:tcPr>
          <w:p w14:paraId="00ADF9DD" w14:textId="054D61F6" w:rsidR="00B54107" w:rsidRPr="00B54107" w:rsidRDefault="00B54107" w:rsidP="00F272CD">
            <w:pPr>
              <w:spacing w:after="0"/>
              <w:jc w:val="center"/>
              <w:rPr>
                <w:rFonts w:ascii="Calibri" w:eastAsia="Times New Roman" w:hAnsi="Calibri" w:cs="Calibri"/>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bottom"/>
            <w:hideMark/>
          </w:tcPr>
          <w:p w14:paraId="2D5732D5"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181%</w:t>
            </w:r>
          </w:p>
        </w:tc>
        <w:tc>
          <w:tcPr>
            <w:tcW w:w="1418" w:type="dxa"/>
            <w:tcBorders>
              <w:top w:val="nil"/>
              <w:left w:val="nil"/>
              <w:bottom w:val="single" w:sz="4" w:space="0" w:color="auto"/>
              <w:right w:val="single" w:sz="4" w:space="0" w:color="auto"/>
            </w:tcBorders>
            <w:shd w:val="clear" w:color="auto" w:fill="auto"/>
            <w:noWrap/>
            <w:vAlign w:val="bottom"/>
            <w:hideMark/>
          </w:tcPr>
          <w:p w14:paraId="0545DAEB"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13%</w:t>
            </w:r>
          </w:p>
        </w:tc>
        <w:tc>
          <w:tcPr>
            <w:tcW w:w="1417" w:type="dxa"/>
            <w:tcBorders>
              <w:top w:val="nil"/>
              <w:left w:val="nil"/>
              <w:bottom w:val="single" w:sz="4" w:space="0" w:color="auto"/>
              <w:right w:val="single" w:sz="4" w:space="0" w:color="auto"/>
            </w:tcBorders>
            <w:shd w:val="clear" w:color="auto" w:fill="auto"/>
            <w:noWrap/>
            <w:vAlign w:val="bottom"/>
            <w:hideMark/>
          </w:tcPr>
          <w:p w14:paraId="63EC1790"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46%</w:t>
            </w:r>
          </w:p>
        </w:tc>
        <w:tc>
          <w:tcPr>
            <w:tcW w:w="1418" w:type="dxa"/>
            <w:tcBorders>
              <w:top w:val="nil"/>
              <w:left w:val="nil"/>
              <w:bottom w:val="single" w:sz="4" w:space="0" w:color="auto"/>
              <w:right w:val="single" w:sz="4" w:space="0" w:color="auto"/>
            </w:tcBorders>
            <w:shd w:val="clear" w:color="auto" w:fill="auto"/>
            <w:noWrap/>
            <w:vAlign w:val="bottom"/>
            <w:hideMark/>
          </w:tcPr>
          <w:p w14:paraId="7350DB9E"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-3%</w:t>
            </w:r>
          </w:p>
        </w:tc>
      </w:tr>
      <w:tr w:rsidR="00B54107" w:rsidRPr="00B54107" w14:paraId="1FFC0C81" w14:textId="77777777" w:rsidTr="00B54107">
        <w:trPr>
          <w:trHeight w:val="217"/>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AA8CDC3" w14:textId="3981D9AF" w:rsidR="00B54107" w:rsidRPr="00B54107" w:rsidRDefault="00B54107" w:rsidP="00B54107">
            <w:pPr>
              <w:spacing w:after="0"/>
              <w:rPr>
                <w:rFonts w:ascii="Calibri" w:eastAsia="Times New Roman" w:hAnsi="Calibri" w:cs="Calibri"/>
                <w:color w:val="000000"/>
                <w:sz w:val="22"/>
                <w:szCs w:val="22"/>
              </w:rPr>
            </w:pPr>
            <w:r w:rsidRPr="00B54107">
              <w:rPr>
                <w:rFonts w:ascii="Calibri" w:eastAsia="Times New Roman" w:hAnsi="Calibri" w:cs="Calibri"/>
                <w:color w:val="000000"/>
                <w:sz w:val="22"/>
                <w:szCs w:val="22"/>
              </w:rPr>
              <w:t>Targeted</w:t>
            </w:r>
            <w:r>
              <w:rPr>
                <w:rFonts w:ascii="Calibri" w:eastAsia="Times New Roman" w:hAnsi="Calibri" w:cs="Calibri"/>
                <w:color w:val="000000"/>
                <w:sz w:val="22"/>
                <w:szCs w:val="22"/>
              </w:rPr>
              <w:t xml:space="preserve"> therapy </w:t>
            </w:r>
          </w:p>
        </w:tc>
        <w:tc>
          <w:tcPr>
            <w:tcW w:w="1418" w:type="dxa"/>
            <w:tcBorders>
              <w:top w:val="nil"/>
              <w:left w:val="nil"/>
              <w:bottom w:val="single" w:sz="4" w:space="0" w:color="auto"/>
              <w:right w:val="single" w:sz="4" w:space="0" w:color="auto"/>
            </w:tcBorders>
            <w:shd w:val="clear" w:color="auto" w:fill="auto"/>
            <w:noWrap/>
            <w:vAlign w:val="bottom"/>
            <w:hideMark/>
          </w:tcPr>
          <w:p w14:paraId="235D5255"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17%</w:t>
            </w:r>
          </w:p>
        </w:tc>
        <w:tc>
          <w:tcPr>
            <w:tcW w:w="1417" w:type="dxa"/>
            <w:tcBorders>
              <w:top w:val="nil"/>
              <w:left w:val="nil"/>
              <w:bottom w:val="single" w:sz="4" w:space="0" w:color="auto"/>
              <w:right w:val="single" w:sz="4" w:space="0" w:color="auto"/>
            </w:tcBorders>
            <w:shd w:val="clear" w:color="auto" w:fill="auto"/>
            <w:noWrap/>
            <w:vAlign w:val="bottom"/>
            <w:hideMark/>
          </w:tcPr>
          <w:p w14:paraId="4E2C53B3"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16%</w:t>
            </w:r>
          </w:p>
        </w:tc>
        <w:tc>
          <w:tcPr>
            <w:tcW w:w="1418" w:type="dxa"/>
            <w:tcBorders>
              <w:top w:val="nil"/>
              <w:left w:val="nil"/>
              <w:bottom w:val="single" w:sz="4" w:space="0" w:color="auto"/>
              <w:right w:val="single" w:sz="4" w:space="0" w:color="auto"/>
            </w:tcBorders>
            <w:shd w:val="clear" w:color="auto" w:fill="auto"/>
            <w:noWrap/>
            <w:vAlign w:val="bottom"/>
            <w:hideMark/>
          </w:tcPr>
          <w:p w14:paraId="1593D2F8"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36%</w:t>
            </w:r>
          </w:p>
        </w:tc>
        <w:tc>
          <w:tcPr>
            <w:tcW w:w="1417" w:type="dxa"/>
            <w:tcBorders>
              <w:top w:val="nil"/>
              <w:left w:val="nil"/>
              <w:bottom w:val="single" w:sz="4" w:space="0" w:color="auto"/>
              <w:right w:val="single" w:sz="4" w:space="0" w:color="auto"/>
            </w:tcBorders>
            <w:shd w:val="clear" w:color="auto" w:fill="auto"/>
            <w:noWrap/>
            <w:vAlign w:val="bottom"/>
            <w:hideMark/>
          </w:tcPr>
          <w:p w14:paraId="63113EDF"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11%</w:t>
            </w:r>
          </w:p>
        </w:tc>
        <w:tc>
          <w:tcPr>
            <w:tcW w:w="1418" w:type="dxa"/>
            <w:tcBorders>
              <w:top w:val="nil"/>
              <w:left w:val="nil"/>
              <w:bottom w:val="single" w:sz="4" w:space="0" w:color="auto"/>
              <w:right w:val="single" w:sz="4" w:space="0" w:color="auto"/>
            </w:tcBorders>
            <w:shd w:val="clear" w:color="auto" w:fill="auto"/>
            <w:noWrap/>
            <w:vAlign w:val="bottom"/>
            <w:hideMark/>
          </w:tcPr>
          <w:p w14:paraId="27A5D57E"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21%</w:t>
            </w:r>
          </w:p>
        </w:tc>
      </w:tr>
      <w:tr w:rsidR="00B54107" w:rsidRPr="00B54107" w14:paraId="434D3CA1" w14:textId="77777777" w:rsidTr="00B54107">
        <w:trPr>
          <w:trHeight w:val="217"/>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788084" w14:textId="1DEB862A" w:rsidR="00B54107" w:rsidRPr="00B54107" w:rsidRDefault="00B54107" w:rsidP="00B54107">
            <w:pPr>
              <w:spacing w:after="0"/>
              <w:jc w:val="right"/>
              <w:rPr>
                <w:rFonts w:ascii="Calibri" w:eastAsia="Times New Roman" w:hAnsi="Calibri" w:cs="Calibri"/>
                <w:color w:val="000000"/>
                <w:sz w:val="22"/>
                <w:szCs w:val="22"/>
              </w:rPr>
            </w:pPr>
            <w:r w:rsidRPr="00B54107">
              <w:rPr>
                <w:rFonts w:ascii="Calibri" w:eastAsia="Times New Roman" w:hAnsi="Calibri" w:cs="Calibri"/>
                <w:color w:val="000000"/>
                <w:sz w:val="22"/>
                <w:szCs w:val="22"/>
              </w:rPr>
              <w:t>ALK</w:t>
            </w:r>
            <w:r>
              <w:rPr>
                <w:rFonts w:ascii="Calibri" w:eastAsia="Times New Roman" w:hAnsi="Calibri" w:cs="Calibri"/>
                <w:color w:val="000000"/>
                <w:sz w:val="22"/>
                <w:szCs w:val="22"/>
              </w:rPr>
              <w:t xml:space="preserve"> inhibitor </w:t>
            </w:r>
          </w:p>
        </w:tc>
        <w:tc>
          <w:tcPr>
            <w:tcW w:w="1418" w:type="dxa"/>
            <w:tcBorders>
              <w:top w:val="nil"/>
              <w:left w:val="nil"/>
              <w:bottom w:val="single" w:sz="4" w:space="0" w:color="auto"/>
              <w:right w:val="single" w:sz="4" w:space="0" w:color="auto"/>
            </w:tcBorders>
            <w:shd w:val="clear" w:color="auto" w:fill="auto"/>
            <w:noWrap/>
            <w:vAlign w:val="bottom"/>
            <w:hideMark/>
          </w:tcPr>
          <w:p w14:paraId="18C41713"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32%</w:t>
            </w:r>
          </w:p>
        </w:tc>
        <w:tc>
          <w:tcPr>
            <w:tcW w:w="1417" w:type="dxa"/>
            <w:tcBorders>
              <w:top w:val="nil"/>
              <w:left w:val="nil"/>
              <w:bottom w:val="single" w:sz="4" w:space="0" w:color="auto"/>
              <w:right w:val="single" w:sz="4" w:space="0" w:color="auto"/>
            </w:tcBorders>
            <w:shd w:val="clear" w:color="auto" w:fill="auto"/>
            <w:noWrap/>
            <w:vAlign w:val="bottom"/>
            <w:hideMark/>
          </w:tcPr>
          <w:p w14:paraId="35B5F58A"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62%</w:t>
            </w:r>
          </w:p>
        </w:tc>
        <w:tc>
          <w:tcPr>
            <w:tcW w:w="1418" w:type="dxa"/>
            <w:tcBorders>
              <w:top w:val="nil"/>
              <w:left w:val="nil"/>
              <w:bottom w:val="single" w:sz="4" w:space="0" w:color="auto"/>
              <w:right w:val="single" w:sz="4" w:space="0" w:color="auto"/>
            </w:tcBorders>
            <w:shd w:val="clear" w:color="auto" w:fill="auto"/>
            <w:noWrap/>
            <w:vAlign w:val="bottom"/>
            <w:hideMark/>
          </w:tcPr>
          <w:p w14:paraId="20998D78"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14%</w:t>
            </w:r>
          </w:p>
        </w:tc>
        <w:tc>
          <w:tcPr>
            <w:tcW w:w="1417" w:type="dxa"/>
            <w:tcBorders>
              <w:top w:val="nil"/>
              <w:left w:val="nil"/>
              <w:bottom w:val="single" w:sz="4" w:space="0" w:color="auto"/>
              <w:right w:val="single" w:sz="4" w:space="0" w:color="auto"/>
            </w:tcBorders>
            <w:shd w:val="clear" w:color="auto" w:fill="auto"/>
            <w:noWrap/>
            <w:vAlign w:val="bottom"/>
            <w:hideMark/>
          </w:tcPr>
          <w:p w14:paraId="3DD5025F"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28%</w:t>
            </w:r>
          </w:p>
        </w:tc>
        <w:tc>
          <w:tcPr>
            <w:tcW w:w="1418" w:type="dxa"/>
            <w:tcBorders>
              <w:top w:val="nil"/>
              <w:left w:val="nil"/>
              <w:bottom w:val="single" w:sz="4" w:space="0" w:color="auto"/>
              <w:right w:val="single" w:sz="4" w:space="0" w:color="auto"/>
            </w:tcBorders>
            <w:shd w:val="clear" w:color="auto" w:fill="auto"/>
            <w:noWrap/>
            <w:vAlign w:val="bottom"/>
            <w:hideMark/>
          </w:tcPr>
          <w:p w14:paraId="2FC8BED2"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21%</w:t>
            </w:r>
          </w:p>
        </w:tc>
      </w:tr>
      <w:tr w:rsidR="00B54107" w:rsidRPr="00B54107" w14:paraId="395C591E" w14:textId="77777777" w:rsidTr="00B54107">
        <w:trPr>
          <w:trHeight w:val="217"/>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51BCB20" w14:textId="787F1DE4" w:rsidR="00B54107" w:rsidRPr="00B54107" w:rsidRDefault="00B54107" w:rsidP="00B54107">
            <w:pPr>
              <w:spacing w:after="0"/>
              <w:jc w:val="right"/>
              <w:rPr>
                <w:rFonts w:ascii="Calibri" w:eastAsia="Times New Roman" w:hAnsi="Calibri" w:cs="Calibri"/>
                <w:color w:val="000000"/>
                <w:sz w:val="22"/>
                <w:szCs w:val="22"/>
              </w:rPr>
            </w:pPr>
            <w:r w:rsidRPr="00B54107">
              <w:rPr>
                <w:rFonts w:ascii="Calibri" w:eastAsia="Times New Roman" w:hAnsi="Calibri" w:cs="Calibri"/>
                <w:color w:val="000000"/>
                <w:sz w:val="22"/>
                <w:szCs w:val="22"/>
              </w:rPr>
              <w:t>EGFR</w:t>
            </w:r>
            <w:r>
              <w:rPr>
                <w:rFonts w:ascii="Calibri" w:eastAsia="Times New Roman" w:hAnsi="Calibri" w:cs="Calibri"/>
                <w:color w:val="000000"/>
                <w:sz w:val="22"/>
                <w:szCs w:val="22"/>
              </w:rPr>
              <w:t xml:space="preserve"> inhibitor</w:t>
            </w:r>
          </w:p>
        </w:tc>
        <w:tc>
          <w:tcPr>
            <w:tcW w:w="1418" w:type="dxa"/>
            <w:tcBorders>
              <w:top w:val="nil"/>
              <w:left w:val="nil"/>
              <w:bottom w:val="single" w:sz="4" w:space="0" w:color="auto"/>
              <w:right w:val="single" w:sz="4" w:space="0" w:color="auto"/>
            </w:tcBorders>
            <w:shd w:val="clear" w:color="auto" w:fill="auto"/>
            <w:noWrap/>
            <w:vAlign w:val="bottom"/>
            <w:hideMark/>
          </w:tcPr>
          <w:p w14:paraId="0855C1D5"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15%</w:t>
            </w:r>
          </w:p>
        </w:tc>
        <w:tc>
          <w:tcPr>
            <w:tcW w:w="1417" w:type="dxa"/>
            <w:tcBorders>
              <w:top w:val="nil"/>
              <w:left w:val="nil"/>
              <w:bottom w:val="single" w:sz="4" w:space="0" w:color="auto"/>
              <w:right w:val="single" w:sz="4" w:space="0" w:color="auto"/>
            </w:tcBorders>
            <w:shd w:val="clear" w:color="auto" w:fill="auto"/>
            <w:noWrap/>
            <w:vAlign w:val="bottom"/>
            <w:hideMark/>
          </w:tcPr>
          <w:p w14:paraId="5CF9C837"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8%</w:t>
            </w:r>
          </w:p>
        </w:tc>
        <w:tc>
          <w:tcPr>
            <w:tcW w:w="1418" w:type="dxa"/>
            <w:tcBorders>
              <w:top w:val="nil"/>
              <w:left w:val="nil"/>
              <w:bottom w:val="single" w:sz="4" w:space="0" w:color="auto"/>
              <w:right w:val="single" w:sz="4" w:space="0" w:color="auto"/>
            </w:tcBorders>
            <w:shd w:val="clear" w:color="auto" w:fill="auto"/>
            <w:noWrap/>
            <w:vAlign w:val="bottom"/>
            <w:hideMark/>
          </w:tcPr>
          <w:p w14:paraId="7582DCE4"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39%</w:t>
            </w:r>
          </w:p>
        </w:tc>
        <w:tc>
          <w:tcPr>
            <w:tcW w:w="1417" w:type="dxa"/>
            <w:tcBorders>
              <w:top w:val="nil"/>
              <w:left w:val="nil"/>
              <w:bottom w:val="single" w:sz="4" w:space="0" w:color="auto"/>
              <w:right w:val="single" w:sz="4" w:space="0" w:color="auto"/>
            </w:tcBorders>
            <w:shd w:val="clear" w:color="auto" w:fill="auto"/>
            <w:noWrap/>
            <w:vAlign w:val="bottom"/>
            <w:hideMark/>
          </w:tcPr>
          <w:p w14:paraId="3860FAC9"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6%</w:t>
            </w:r>
          </w:p>
        </w:tc>
        <w:tc>
          <w:tcPr>
            <w:tcW w:w="1418" w:type="dxa"/>
            <w:tcBorders>
              <w:top w:val="nil"/>
              <w:left w:val="nil"/>
              <w:bottom w:val="single" w:sz="4" w:space="0" w:color="auto"/>
              <w:right w:val="single" w:sz="4" w:space="0" w:color="auto"/>
            </w:tcBorders>
            <w:shd w:val="clear" w:color="auto" w:fill="auto"/>
            <w:noWrap/>
            <w:vAlign w:val="bottom"/>
            <w:hideMark/>
          </w:tcPr>
          <w:p w14:paraId="7B81B07B"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21%</w:t>
            </w:r>
          </w:p>
        </w:tc>
      </w:tr>
      <w:tr w:rsidR="00B54107" w:rsidRPr="00B54107" w14:paraId="2D4B349A" w14:textId="77777777" w:rsidTr="00B54107">
        <w:trPr>
          <w:trHeight w:val="217"/>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6D3A63F" w14:textId="269DAEF1" w:rsidR="00B54107" w:rsidRPr="00B54107" w:rsidRDefault="00B54107" w:rsidP="00B54107">
            <w:pPr>
              <w:spacing w:after="0"/>
              <w:jc w:val="right"/>
              <w:rPr>
                <w:rFonts w:ascii="Calibri" w:eastAsia="Times New Roman" w:hAnsi="Calibri" w:cs="Calibri"/>
                <w:color w:val="000000"/>
                <w:sz w:val="22"/>
                <w:szCs w:val="22"/>
              </w:rPr>
            </w:pPr>
            <w:r w:rsidRPr="00B54107">
              <w:rPr>
                <w:rFonts w:ascii="Calibri" w:eastAsia="Times New Roman" w:hAnsi="Calibri" w:cs="Calibri"/>
                <w:color w:val="000000"/>
                <w:sz w:val="22"/>
                <w:szCs w:val="22"/>
              </w:rPr>
              <w:t>ROS</w:t>
            </w:r>
            <w:r w:rsidR="00D93D1E">
              <w:rPr>
                <w:rFonts w:ascii="Calibri" w:eastAsia="Times New Roman" w:hAnsi="Calibri" w:cs="Calibri"/>
                <w:color w:val="000000"/>
                <w:sz w:val="22"/>
                <w:szCs w:val="22"/>
              </w:rPr>
              <w:t>1</w:t>
            </w:r>
            <w:r>
              <w:rPr>
                <w:rFonts w:ascii="Calibri" w:eastAsia="Times New Roman" w:hAnsi="Calibri" w:cs="Calibri"/>
                <w:color w:val="000000"/>
                <w:sz w:val="22"/>
                <w:szCs w:val="22"/>
              </w:rPr>
              <w:t xml:space="preserve"> inhibitor</w:t>
            </w:r>
          </w:p>
        </w:tc>
        <w:tc>
          <w:tcPr>
            <w:tcW w:w="1418" w:type="dxa"/>
            <w:tcBorders>
              <w:top w:val="nil"/>
              <w:left w:val="nil"/>
              <w:bottom w:val="single" w:sz="4" w:space="0" w:color="auto"/>
              <w:right w:val="single" w:sz="4" w:space="0" w:color="auto"/>
            </w:tcBorders>
            <w:shd w:val="clear" w:color="auto" w:fill="auto"/>
            <w:noWrap/>
            <w:vAlign w:val="bottom"/>
            <w:hideMark/>
          </w:tcPr>
          <w:p w14:paraId="56CE2233" w14:textId="04B3D4AA" w:rsidR="00B54107" w:rsidRPr="00B54107" w:rsidRDefault="00B54107" w:rsidP="00F272CD">
            <w:pPr>
              <w:spacing w:after="0"/>
              <w:jc w:val="center"/>
              <w:rPr>
                <w:rFonts w:ascii="Calibri" w:eastAsia="Times New Roman" w:hAnsi="Calibri" w:cs="Calibri"/>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bottom"/>
            <w:hideMark/>
          </w:tcPr>
          <w:p w14:paraId="3D02F404" w14:textId="01F23D60" w:rsidR="00B54107" w:rsidRPr="00B54107" w:rsidRDefault="00B54107" w:rsidP="00F272CD">
            <w:pPr>
              <w:spacing w:after="0"/>
              <w:jc w:val="center"/>
              <w:rPr>
                <w:rFonts w:ascii="Calibri" w:eastAsia="Times New Roman" w:hAnsi="Calibri" w:cs="Calibri"/>
                <w:color w:val="000000"/>
                <w:sz w:val="22"/>
                <w:szCs w:val="22"/>
              </w:rPr>
            </w:pPr>
          </w:p>
        </w:tc>
        <w:tc>
          <w:tcPr>
            <w:tcW w:w="1418" w:type="dxa"/>
            <w:tcBorders>
              <w:top w:val="nil"/>
              <w:left w:val="nil"/>
              <w:bottom w:val="single" w:sz="4" w:space="0" w:color="auto"/>
              <w:right w:val="single" w:sz="4" w:space="0" w:color="auto"/>
            </w:tcBorders>
            <w:shd w:val="clear" w:color="auto" w:fill="auto"/>
            <w:noWrap/>
            <w:vAlign w:val="bottom"/>
            <w:hideMark/>
          </w:tcPr>
          <w:p w14:paraId="3558101A" w14:textId="45294785" w:rsidR="00B54107" w:rsidRPr="00B54107" w:rsidRDefault="00B54107" w:rsidP="00F272CD">
            <w:pPr>
              <w:spacing w:after="0"/>
              <w:jc w:val="center"/>
              <w:rPr>
                <w:rFonts w:ascii="Calibri" w:eastAsia="Times New Roman" w:hAnsi="Calibri" w:cs="Calibri"/>
                <w:color w:val="000000"/>
                <w:sz w:val="22"/>
                <w:szCs w:val="22"/>
              </w:rPr>
            </w:pPr>
          </w:p>
        </w:tc>
        <w:tc>
          <w:tcPr>
            <w:tcW w:w="1417" w:type="dxa"/>
            <w:tcBorders>
              <w:top w:val="nil"/>
              <w:left w:val="nil"/>
              <w:bottom w:val="single" w:sz="4" w:space="0" w:color="auto"/>
              <w:right w:val="single" w:sz="4" w:space="0" w:color="auto"/>
            </w:tcBorders>
            <w:shd w:val="clear" w:color="auto" w:fill="auto"/>
            <w:noWrap/>
            <w:vAlign w:val="bottom"/>
            <w:hideMark/>
          </w:tcPr>
          <w:p w14:paraId="0E6E7656"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60%</w:t>
            </w:r>
          </w:p>
        </w:tc>
        <w:tc>
          <w:tcPr>
            <w:tcW w:w="1418" w:type="dxa"/>
            <w:tcBorders>
              <w:top w:val="nil"/>
              <w:left w:val="nil"/>
              <w:bottom w:val="single" w:sz="4" w:space="0" w:color="auto"/>
              <w:right w:val="single" w:sz="4" w:space="0" w:color="auto"/>
            </w:tcBorders>
            <w:shd w:val="clear" w:color="auto" w:fill="auto"/>
            <w:noWrap/>
            <w:vAlign w:val="bottom"/>
            <w:hideMark/>
          </w:tcPr>
          <w:p w14:paraId="3EBE8042" w14:textId="77777777" w:rsidR="00B54107" w:rsidRPr="00B54107" w:rsidRDefault="00B54107" w:rsidP="00F272CD">
            <w:pPr>
              <w:spacing w:after="0"/>
              <w:jc w:val="center"/>
              <w:rPr>
                <w:rFonts w:ascii="Calibri" w:eastAsia="Times New Roman" w:hAnsi="Calibri" w:cs="Calibri"/>
                <w:color w:val="000000"/>
                <w:sz w:val="22"/>
                <w:szCs w:val="22"/>
              </w:rPr>
            </w:pPr>
            <w:r w:rsidRPr="00B54107">
              <w:rPr>
                <w:rFonts w:ascii="Calibri" w:eastAsia="Times New Roman" w:hAnsi="Calibri" w:cs="Calibri"/>
                <w:color w:val="000000"/>
                <w:sz w:val="22"/>
                <w:szCs w:val="22"/>
              </w:rPr>
              <w:t>29%</w:t>
            </w:r>
          </w:p>
        </w:tc>
      </w:tr>
    </w:tbl>
    <w:p w14:paraId="50B0E4DE" w14:textId="66848854" w:rsidR="00B54107" w:rsidRDefault="00B54107" w:rsidP="00316189"/>
    <w:p w14:paraId="056EF50F" w14:textId="3DCF5D88" w:rsidR="00B54107" w:rsidRDefault="00372C96" w:rsidP="00316189">
      <w:r>
        <w:t xml:space="preserve">In Table 5, </w:t>
      </w:r>
      <w:r w:rsidR="00CE5DB5">
        <w:t xml:space="preserve">the highest percentage growth in the number of </w:t>
      </w:r>
      <w:r w:rsidR="008F4037">
        <w:t xml:space="preserve">prescriptions supplied for </w:t>
      </w:r>
      <w:r w:rsidR="00CE5DB5">
        <w:t>immunotherap</w:t>
      </w:r>
      <w:r w:rsidR="008F4037">
        <w:t xml:space="preserve">ies (181%) </w:t>
      </w:r>
      <w:r w:rsidR="00CE5DB5">
        <w:t xml:space="preserve">was observed between 2017 </w:t>
      </w:r>
      <w:r w:rsidR="002410E2">
        <w:t>and</w:t>
      </w:r>
      <w:r w:rsidR="00CE5DB5">
        <w:t xml:space="preserve"> 2018, whereas for targeted therapies</w:t>
      </w:r>
      <w:r w:rsidR="008F4037">
        <w:t xml:space="preserve"> (36%)</w:t>
      </w:r>
      <w:r w:rsidR="00CE5DB5">
        <w:t xml:space="preserve">, this was observed between 2018 and 2019. </w:t>
      </w:r>
    </w:p>
    <w:p w14:paraId="21477FBF" w14:textId="77777777" w:rsidR="00B54107" w:rsidRDefault="00B54107" w:rsidP="00316189"/>
    <w:p w14:paraId="11082ED8" w14:textId="24C66CFD" w:rsidR="00493E69" w:rsidRDefault="00493E69" w:rsidP="00493E69">
      <w:pPr>
        <w:jc w:val="center"/>
      </w:pPr>
      <w:r>
        <w:rPr>
          <w:noProof/>
        </w:rPr>
        <w:lastRenderedPageBreak/>
        <w:drawing>
          <wp:inline distT="0" distB="0" distL="0" distR="0" wp14:anchorId="7E0E36B1" wp14:editId="1647C397">
            <wp:extent cx="5064981" cy="3172570"/>
            <wp:effectExtent l="0" t="0" r="2540" b="8890"/>
            <wp:docPr id="15" name="Chart 15">
              <a:extLst xmlns:a="http://schemas.openxmlformats.org/drawingml/2006/main">
                <a:ext uri="{FF2B5EF4-FFF2-40B4-BE49-F238E27FC236}">
                  <a16:creationId xmlns:a16="http://schemas.microsoft.com/office/drawing/2014/main" id="{38FB692A-AAD8-498B-875A-E0C1E9177712}"/>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085C0EC" w14:textId="492E8B43" w:rsidR="00493E69" w:rsidRDefault="00493E69" w:rsidP="00493E69">
      <w:pPr>
        <w:pStyle w:val="Heading6"/>
        <w:rPr>
          <w:rFonts w:asciiTheme="minorHAnsi" w:hAnsiTheme="minorHAnsi" w:cstheme="minorHAnsi"/>
          <w:b/>
          <w:bCs/>
          <w:color w:val="auto"/>
        </w:rPr>
      </w:pPr>
      <w:r w:rsidRPr="00DE1D85">
        <w:rPr>
          <w:rFonts w:asciiTheme="minorHAnsi" w:hAnsiTheme="minorHAnsi" w:cstheme="minorHAnsi"/>
          <w:b/>
          <w:bCs/>
          <w:color w:val="auto"/>
        </w:rPr>
        <w:t xml:space="preserve">Figure </w:t>
      </w:r>
      <w:r>
        <w:rPr>
          <w:rFonts w:asciiTheme="minorHAnsi" w:hAnsiTheme="minorHAnsi" w:cstheme="minorHAnsi"/>
          <w:b/>
          <w:bCs/>
          <w:color w:val="auto"/>
        </w:rPr>
        <w:t>4</w:t>
      </w:r>
      <w:r w:rsidRPr="00DE1D85">
        <w:rPr>
          <w:rFonts w:asciiTheme="minorHAnsi" w:hAnsiTheme="minorHAnsi" w:cstheme="minorHAnsi"/>
          <w:b/>
          <w:bCs/>
          <w:color w:val="auto"/>
        </w:rPr>
        <w:t>:</w:t>
      </w:r>
      <w:r>
        <w:rPr>
          <w:rFonts w:asciiTheme="minorHAnsi" w:hAnsiTheme="minorHAnsi" w:cstheme="minorHAnsi"/>
          <w:b/>
          <w:bCs/>
          <w:color w:val="auto"/>
        </w:rPr>
        <w:t xml:space="preserve"> </w:t>
      </w:r>
      <w:r w:rsidRPr="00493E69">
        <w:rPr>
          <w:rFonts w:asciiTheme="minorHAnsi" w:hAnsiTheme="minorHAnsi" w:cstheme="minorHAnsi"/>
          <w:b/>
          <w:bCs/>
          <w:color w:val="auto"/>
        </w:rPr>
        <w:t>Number of p</w:t>
      </w:r>
      <w:r>
        <w:rPr>
          <w:rFonts w:asciiTheme="minorHAnsi" w:hAnsiTheme="minorHAnsi" w:cstheme="minorHAnsi"/>
          <w:b/>
          <w:bCs/>
          <w:color w:val="auto"/>
        </w:rPr>
        <w:t xml:space="preserve">atients treated </w:t>
      </w:r>
      <w:r w:rsidRPr="00493E69">
        <w:rPr>
          <w:rFonts w:asciiTheme="minorHAnsi" w:hAnsiTheme="minorHAnsi" w:cstheme="minorHAnsi"/>
          <w:b/>
          <w:bCs/>
          <w:color w:val="auto"/>
        </w:rPr>
        <w:t>for NSCLC by therapy type and supply quarter</w:t>
      </w:r>
    </w:p>
    <w:p w14:paraId="42086189" w14:textId="0F1B9412" w:rsidR="00493E69" w:rsidRDefault="00493E69" w:rsidP="00316189"/>
    <w:p w14:paraId="5FDF742A" w14:textId="144B8B1F" w:rsidR="00F03835" w:rsidRDefault="00F03835" w:rsidP="00F03835">
      <w:r>
        <w:t xml:space="preserve">As shown in Figure 4, </w:t>
      </w:r>
      <w:r w:rsidR="002D21E2">
        <w:t xml:space="preserve">most </w:t>
      </w:r>
      <w:r>
        <w:t>NSCLC patients were treated with immunotherapies compared to targeted therapies. An increase of approximately 2,</w:t>
      </w:r>
      <w:r w:rsidR="004B12E6">
        <w:t>6</w:t>
      </w:r>
      <w:r>
        <w:t>00 to 4,</w:t>
      </w:r>
      <w:r w:rsidR="004B12E6">
        <w:t>8</w:t>
      </w:r>
      <w:r>
        <w:t>00 patients treated</w:t>
      </w:r>
      <w:r w:rsidR="004B12E6">
        <w:t xml:space="preserve"> per supply quarter</w:t>
      </w:r>
      <w:r>
        <w:t xml:space="preserve"> with immunotherapies was observed between 2019</w:t>
      </w:r>
      <w:r w:rsidR="004B12E6">
        <w:t>Q3</w:t>
      </w:r>
      <w:r>
        <w:t xml:space="preserve"> and 2020</w:t>
      </w:r>
      <w:r w:rsidR="004B12E6">
        <w:t>Q2</w:t>
      </w:r>
      <w:r>
        <w:t xml:space="preserve">, which is likely due to </w:t>
      </w:r>
      <w:r w:rsidR="008721F6">
        <w:t xml:space="preserve">extension of pembrolizumab listing from monotherapy to include combination therapy with platinum chemotherapy and pemetrexed (recommended at the </w:t>
      </w:r>
      <w:hyperlink r:id="rId27" w:history="1">
        <w:r w:rsidR="008721F6" w:rsidRPr="008721F6">
          <w:rPr>
            <w:rStyle w:val="Hyperlink"/>
          </w:rPr>
          <w:t>July 2019 PBAC meeting</w:t>
        </w:r>
      </w:hyperlink>
      <w:r w:rsidR="008721F6">
        <w:t xml:space="preserve">). </w:t>
      </w:r>
    </w:p>
    <w:p w14:paraId="300C387A" w14:textId="77777777" w:rsidR="00F03835" w:rsidRPr="00316189" w:rsidRDefault="00F03835" w:rsidP="00316189"/>
    <w:p w14:paraId="38714B30" w14:textId="5EB75545" w:rsidR="00493E69" w:rsidRPr="00493E69" w:rsidRDefault="00493E69" w:rsidP="00493E69">
      <w:pPr>
        <w:pStyle w:val="Heading6"/>
        <w:rPr>
          <w:rFonts w:asciiTheme="minorHAnsi" w:hAnsiTheme="minorHAnsi" w:cstheme="minorHAnsi"/>
          <w:b/>
          <w:bCs/>
          <w:color w:val="auto"/>
        </w:rPr>
      </w:pPr>
      <w:r>
        <w:rPr>
          <w:rFonts w:asciiTheme="minorHAnsi" w:hAnsiTheme="minorHAnsi" w:cstheme="minorHAnsi"/>
          <w:b/>
          <w:bCs/>
          <w:color w:val="auto"/>
        </w:rPr>
        <w:t>Table 6: Annual growth in the number of patients treated for NSCLC therapy type and calendar year</w:t>
      </w:r>
    </w:p>
    <w:tbl>
      <w:tblPr>
        <w:tblW w:w="8868" w:type="dxa"/>
        <w:tblLook w:val="04A0" w:firstRow="1" w:lastRow="0" w:firstColumn="1" w:lastColumn="0" w:noHBand="0" w:noVBand="1"/>
      </w:tblPr>
      <w:tblGrid>
        <w:gridCol w:w="1868"/>
        <w:gridCol w:w="1400"/>
        <w:gridCol w:w="1400"/>
        <w:gridCol w:w="1400"/>
        <w:gridCol w:w="1400"/>
        <w:gridCol w:w="1400"/>
      </w:tblGrid>
      <w:tr w:rsidR="001D7D4A" w:rsidRPr="001D7D4A" w14:paraId="47BB54B8" w14:textId="77777777" w:rsidTr="001D7D4A">
        <w:trPr>
          <w:trHeight w:val="171"/>
        </w:trPr>
        <w:tc>
          <w:tcPr>
            <w:tcW w:w="18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BAECA1D" w14:textId="77777777" w:rsidR="001D7D4A" w:rsidRPr="001D7D4A" w:rsidRDefault="001D7D4A" w:rsidP="001D7D4A">
            <w:pPr>
              <w:spacing w:after="0"/>
              <w:rPr>
                <w:rFonts w:ascii="Calibri" w:eastAsia="Times New Roman" w:hAnsi="Calibri" w:cs="Calibri"/>
                <w:b/>
                <w:bCs/>
                <w:color w:val="000000"/>
                <w:sz w:val="22"/>
                <w:szCs w:val="22"/>
              </w:rPr>
            </w:pPr>
            <w:r w:rsidRPr="001D7D4A">
              <w:rPr>
                <w:rFonts w:ascii="Calibri" w:eastAsia="Times New Roman" w:hAnsi="Calibri" w:cs="Calibri"/>
                <w:b/>
                <w:bCs/>
                <w:color w:val="000000"/>
                <w:sz w:val="22"/>
                <w:szCs w:val="22"/>
              </w:rPr>
              <w:t> </w:t>
            </w:r>
          </w:p>
        </w:tc>
        <w:tc>
          <w:tcPr>
            <w:tcW w:w="14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EFC0C64" w14:textId="5BA98346" w:rsidR="001D7D4A" w:rsidRPr="001D7D4A" w:rsidRDefault="001D7D4A" w:rsidP="00F272CD">
            <w:pPr>
              <w:spacing w:after="0"/>
              <w:jc w:val="center"/>
              <w:rPr>
                <w:rFonts w:ascii="Calibri" w:eastAsia="Times New Roman" w:hAnsi="Calibri" w:cs="Calibri"/>
                <w:b/>
                <w:bCs/>
                <w:color w:val="000000"/>
                <w:sz w:val="22"/>
                <w:szCs w:val="22"/>
              </w:rPr>
            </w:pPr>
            <w:r w:rsidRPr="001D7D4A">
              <w:rPr>
                <w:rFonts w:ascii="Calibri" w:eastAsia="Times New Roman" w:hAnsi="Calibri" w:cs="Calibri"/>
                <w:b/>
                <w:bCs/>
                <w:color w:val="000000"/>
                <w:sz w:val="22"/>
                <w:szCs w:val="22"/>
              </w:rPr>
              <w:t>2017</w:t>
            </w:r>
            <w:r w:rsidR="001A7CD0">
              <w:rPr>
                <w:rFonts w:ascii="Calibri" w:eastAsia="Times New Roman" w:hAnsi="Calibri" w:cs="Calibri"/>
                <w:b/>
                <w:bCs/>
                <w:color w:val="000000"/>
                <w:sz w:val="22"/>
                <w:szCs w:val="22"/>
              </w:rPr>
              <w:t xml:space="preserve"> vs 2016</w:t>
            </w:r>
          </w:p>
        </w:tc>
        <w:tc>
          <w:tcPr>
            <w:tcW w:w="14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067442CE" w14:textId="111DE9A0" w:rsidR="001D7D4A" w:rsidRPr="001D7D4A" w:rsidRDefault="001D7D4A" w:rsidP="00F272CD">
            <w:pPr>
              <w:spacing w:after="0"/>
              <w:jc w:val="center"/>
              <w:rPr>
                <w:rFonts w:ascii="Calibri" w:eastAsia="Times New Roman" w:hAnsi="Calibri" w:cs="Calibri"/>
                <w:b/>
                <w:bCs/>
                <w:color w:val="000000"/>
                <w:sz w:val="22"/>
                <w:szCs w:val="22"/>
              </w:rPr>
            </w:pPr>
            <w:r w:rsidRPr="001D7D4A">
              <w:rPr>
                <w:rFonts w:ascii="Calibri" w:eastAsia="Times New Roman" w:hAnsi="Calibri" w:cs="Calibri"/>
                <w:b/>
                <w:bCs/>
                <w:color w:val="000000"/>
                <w:sz w:val="22"/>
                <w:szCs w:val="22"/>
              </w:rPr>
              <w:t>2018 vs 2017</w:t>
            </w:r>
          </w:p>
        </w:tc>
        <w:tc>
          <w:tcPr>
            <w:tcW w:w="14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5339095" w14:textId="439866C2" w:rsidR="001D7D4A" w:rsidRPr="001D7D4A" w:rsidRDefault="001D7D4A" w:rsidP="00F272CD">
            <w:pPr>
              <w:spacing w:after="0"/>
              <w:jc w:val="center"/>
              <w:rPr>
                <w:rFonts w:ascii="Calibri" w:eastAsia="Times New Roman" w:hAnsi="Calibri" w:cs="Calibri"/>
                <w:b/>
                <w:bCs/>
                <w:color w:val="000000"/>
                <w:sz w:val="22"/>
                <w:szCs w:val="22"/>
              </w:rPr>
            </w:pPr>
            <w:r w:rsidRPr="001D7D4A">
              <w:rPr>
                <w:rFonts w:ascii="Calibri" w:eastAsia="Times New Roman" w:hAnsi="Calibri" w:cs="Calibri"/>
                <w:b/>
                <w:bCs/>
                <w:color w:val="000000"/>
                <w:sz w:val="22"/>
                <w:szCs w:val="22"/>
              </w:rPr>
              <w:t>2019 vs 2018</w:t>
            </w:r>
          </w:p>
        </w:tc>
        <w:tc>
          <w:tcPr>
            <w:tcW w:w="14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163E835E" w14:textId="48AAECD4" w:rsidR="001D7D4A" w:rsidRPr="001D7D4A" w:rsidRDefault="001D7D4A" w:rsidP="00F272CD">
            <w:pPr>
              <w:spacing w:after="0"/>
              <w:jc w:val="center"/>
              <w:rPr>
                <w:rFonts w:ascii="Calibri" w:eastAsia="Times New Roman" w:hAnsi="Calibri" w:cs="Calibri"/>
                <w:b/>
                <w:bCs/>
                <w:color w:val="000000"/>
                <w:sz w:val="22"/>
                <w:szCs w:val="22"/>
              </w:rPr>
            </w:pPr>
            <w:r w:rsidRPr="001D7D4A">
              <w:rPr>
                <w:rFonts w:ascii="Calibri" w:eastAsia="Times New Roman" w:hAnsi="Calibri" w:cs="Calibri"/>
                <w:b/>
                <w:bCs/>
                <w:color w:val="000000"/>
                <w:sz w:val="22"/>
                <w:szCs w:val="22"/>
              </w:rPr>
              <w:t>2020 vs 2019</w:t>
            </w:r>
          </w:p>
        </w:tc>
        <w:tc>
          <w:tcPr>
            <w:tcW w:w="140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7425B73" w14:textId="77777777" w:rsidR="001D7D4A" w:rsidRPr="001D7D4A" w:rsidRDefault="001D7D4A" w:rsidP="00F272CD">
            <w:pPr>
              <w:spacing w:after="0"/>
              <w:jc w:val="center"/>
              <w:rPr>
                <w:rFonts w:ascii="Calibri" w:eastAsia="Times New Roman" w:hAnsi="Calibri" w:cs="Calibri"/>
                <w:b/>
                <w:bCs/>
                <w:color w:val="000000"/>
                <w:sz w:val="22"/>
                <w:szCs w:val="22"/>
              </w:rPr>
            </w:pPr>
            <w:r w:rsidRPr="001D7D4A">
              <w:rPr>
                <w:rFonts w:ascii="Calibri" w:eastAsia="Times New Roman" w:hAnsi="Calibri" w:cs="Calibri"/>
                <w:b/>
                <w:bCs/>
                <w:color w:val="000000"/>
                <w:sz w:val="22"/>
                <w:szCs w:val="22"/>
              </w:rPr>
              <w:t>2021 vs 2020</w:t>
            </w:r>
          </w:p>
        </w:tc>
      </w:tr>
      <w:tr w:rsidR="001D7D4A" w:rsidRPr="001D7D4A" w14:paraId="329812EC" w14:textId="77777777" w:rsidTr="001D7D4A">
        <w:trPr>
          <w:trHeight w:val="171"/>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78AE001D" w14:textId="47A50A7F" w:rsidR="001D7D4A" w:rsidRPr="001D7D4A" w:rsidRDefault="001D7D4A" w:rsidP="001D7D4A">
            <w:pPr>
              <w:spacing w:after="0"/>
              <w:rPr>
                <w:rFonts w:ascii="Calibri" w:eastAsia="Times New Roman" w:hAnsi="Calibri" w:cs="Calibri"/>
                <w:color w:val="000000"/>
                <w:sz w:val="22"/>
                <w:szCs w:val="22"/>
              </w:rPr>
            </w:pPr>
            <w:r w:rsidRPr="001D7D4A">
              <w:rPr>
                <w:rFonts w:ascii="Calibri" w:eastAsia="Times New Roman" w:hAnsi="Calibri" w:cs="Calibri"/>
                <w:color w:val="000000"/>
                <w:sz w:val="22"/>
                <w:szCs w:val="22"/>
              </w:rPr>
              <w:t>Immuno</w:t>
            </w:r>
            <w:r>
              <w:rPr>
                <w:rFonts w:ascii="Calibri" w:eastAsia="Times New Roman" w:hAnsi="Calibri" w:cs="Calibri"/>
                <w:color w:val="000000"/>
                <w:sz w:val="22"/>
                <w:szCs w:val="22"/>
              </w:rPr>
              <w:t>therapy</w:t>
            </w:r>
          </w:p>
        </w:tc>
        <w:tc>
          <w:tcPr>
            <w:tcW w:w="1400" w:type="dxa"/>
            <w:tcBorders>
              <w:top w:val="nil"/>
              <w:left w:val="nil"/>
              <w:bottom w:val="single" w:sz="4" w:space="0" w:color="auto"/>
              <w:right w:val="single" w:sz="4" w:space="0" w:color="auto"/>
            </w:tcBorders>
            <w:shd w:val="clear" w:color="auto" w:fill="auto"/>
            <w:noWrap/>
            <w:vAlign w:val="bottom"/>
            <w:hideMark/>
          </w:tcPr>
          <w:p w14:paraId="3B51EEC1" w14:textId="604C5E60" w:rsidR="001D7D4A" w:rsidRPr="001D7D4A" w:rsidRDefault="001D7D4A" w:rsidP="00F272CD">
            <w:pPr>
              <w:spacing w:after="0"/>
              <w:jc w:val="center"/>
              <w:rPr>
                <w:rFonts w:ascii="Calibri" w:eastAsia="Times New Roman" w:hAnsi="Calibri" w:cs="Calibri"/>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bottom"/>
            <w:hideMark/>
          </w:tcPr>
          <w:p w14:paraId="514130CA"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89%</w:t>
            </w:r>
          </w:p>
        </w:tc>
        <w:tc>
          <w:tcPr>
            <w:tcW w:w="1400" w:type="dxa"/>
            <w:tcBorders>
              <w:top w:val="nil"/>
              <w:left w:val="nil"/>
              <w:bottom w:val="single" w:sz="4" w:space="0" w:color="auto"/>
              <w:right w:val="single" w:sz="4" w:space="0" w:color="auto"/>
            </w:tcBorders>
            <w:shd w:val="clear" w:color="auto" w:fill="auto"/>
            <w:noWrap/>
            <w:vAlign w:val="bottom"/>
            <w:hideMark/>
          </w:tcPr>
          <w:p w14:paraId="4CF98495"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31%</w:t>
            </w:r>
          </w:p>
        </w:tc>
        <w:tc>
          <w:tcPr>
            <w:tcW w:w="1400" w:type="dxa"/>
            <w:tcBorders>
              <w:top w:val="nil"/>
              <w:left w:val="nil"/>
              <w:bottom w:val="single" w:sz="4" w:space="0" w:color="auto"/>
              <w:right w:val="single" w:sz="4" w:space="0" w:color="auto"/>
            </w:tcBorders>
            <w:shd w:val="clear" w:color="auto" w:fill="auto"/>
            <w:noWrap/>
            <w:vAlign w:val="bottom"/>
            <w:hideMark/>
          </w:tcPr>
          <w:p w14:paraId="1B6021BF"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53%</w:t>
            </w:r>
          </w:p>
        </w:tc>
        <w:tc>
          <w:tcPr>
            <w:tcW w:w="1400" w:type="dxa"/>
            <w:tcBorders>
              <w:top w:val="nil"/>
              <w:left w:val="nil"/>
              <w:bottom w:val="single" w:sz="4" w:space="0" w:color="auto"/>
              <w:right w:val="single" w:sz="4" w:space="0" w:color="auto"/>
            </w:tcBorders>
            <w:shd w:val="clear" w:color="auto" w:fill="auto"/>
            <w:noWrap/>
            <w:vAlign w:val="bottom"/>
            <w:hideMark/>
          </w:tcPr>
          <w:p w14:paraId="51FB5927"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0.3%</w:t>
            </w:r>
          </w:p>
        </w:tc>
      </w:tr>
      <w:tr w:rsidR="001D7D4A" w:rsidRPr="001D7D4A" w14:paraId="54F59689" w14:textId="77777777" w:rsidTr="001D7D4A">
        <w:trPr>
          <w:trHeight w:val="171"/>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0F1AB4D7" w14:textId="31519B6A" w:rsidR="001D7D4A" w:rsidRPr="001D7D4A" w:rsidRDefault="001D7D4A" w:rsidP="001D7D4A">
            <w:pPr>
              <w:spacing w:after="0"/>
              <w:rPr>
                <w:rFonts w:ascii="Calibri" w:eastAsia="Times New Roman" w:hAnsi="Calibri" w:cs="Calibri"/>
                <w:color w:val="000000"/>
                <w:sz w:val="22"/>
                <w:szCs w:val="22"/>
              </w:rPr>
            </w:pPr>
            <w:r w:rsidRPr="001D7D4A">
              <w:rPr>
                <w:rFonts w:ascii="Calibri" w:eastAsia="Times New Roman" w:hAnsi="Calibri" w:cs="Calibri"/>
                <w:color w:val="000000"/>
                <w:sz w:val="22"/>
                <w:szCs w:val="22"/>
              </w:rPr>
              <w:t xml:space="preserve">Targeted </w:t>
            </w:r>
            <w:r>
              <w:rPr>
                <w:rFonts w:ascii="Calibri" w:eastAsia="Times New Roman" w:hAnsi="Calibri" w:cs="Calibri"/>
                <w:color w:val="000000"/>
                <w:sz w:val="22"/>
                <w:szCs w:val="22"/>
              </w:rPr>
              <w:t>therapy</w:t>
            </w:r>
          </w:p>
        </w:tc>
        <w:tc>
          <w:tcPr>
            <w:tcW w:w="1400" w:type="dxa"/>
            <w:tcBorders>
              <w:top w:val="nil"/>
              <w:left w:val="nil"/>
              <w:bottom w:val="single" w:sz="4" w:space="0" w:color="auto"/>
              <w:right w:val="single" w:sz="4" w:space="0" w:color="auto"/>
            </w:tcBorders>
            <w:shd w:val="clear" w:color="auto" w:fill="auto"/>
            <w:noWrap/>
            <w:vAlign w:val="bottom"/>
            <w:hideMark/>
          </w:tcPr>
          <w:p w14:paraId="03AABEE2"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20%</w:t>
            </w:r>
          </w:p>
        </w:tc>
        <w:tc>
          <w:tcPr>
            <w:tcW w:w="1400" w:type="dxa"/>
            <w:tcBorders>
              <w:top w:val="nil"/>
              <w:left w:val="nil"/>
              <w:bottom w:val="single" w:sz="4" w:space="0" w:color="auto"/>
              <w:right w:val="single" w:sz="4" w:space="0" w:color="auto"/>
            </w:tcBorders>
            <w:shd w:val="clear" w:color="auto" w:fill="auto"/>
            <w:noWrap/>
            <w:vAlign w:val="bottom"/>
            <w:hideMark/>
          </w:tcPr>
          <w:p w14:paraId="48699900"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12%</w:t>
            </w:r>
          </w:p>
        </w:tc>
        <w:tc>
          <w:tcPr>
            <w:tcW w:w="1400" w:type="dxa"/>
            <w:tcBorders>
              <w:top w:val="nil"/>
              <w:left w:val="nil"/>
              <w:bottom w:val="single" w:sz="4" w:space="0" w:color="auto"/>
              <w:right w:val="single" w:sz="4" w:space="0" w:color="auto"/>
            </w:tcBorders>
            <w:shd w:val="clear" w:color="auto" w:fill="auto"/>
            <w:noWrap/>
            <w:vAlign w:val="bottom"/>
            <w:hideMark/>
          </w:tcPr>
          <w:p w14:paraId="161F77FC"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28%</w:t>
            </w:r>
          </w:p>
        </w:tc>
        <w:tc>
          <w:tcPr>
            <w:tcW w:w="1400" w:type="dxa"/>
            <w:tcBorders>
              <w:top w:val="nil"/>
              <w:left w:val="nil"/>
              <w:bottom w:val="single" w:sz="4" w:space="0" w:color="auto"/>
              <w:right w:val="single" w:sz="4" w:space="0" w:color="auto"/>
            </w:tcBorders>
            <w:shd w:val="clear" w:color="auto" w:fill="auto"/>
            <w:noWrap/>
            <w:vAlign w:val="bottom"/>
            <w:hideMark/>
          </w:tcPr>
          <w:p w14:paraId="504AB000"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5%</w:t>
            </w:r>
          </w:p>
        </w:tc>
        <w:tc>
          <w:tcPr>
            <w:tcW w:w="1400" w:type="dxa"/>
            <w:tcBorders>
              <w:top w:val="nil"/>
              <w:left w:val="nil"/>
              <w:bottom w:val="single" w:sz="4" w:space="0" w:color="auto"/>
              <w:right w:val="single" w:sz="4" w:space="0" w:color="auto"/>
            </w:tcBorders>
            <w:shd w:val="clear" w:color="auto" w:fill="auto"/>
            <w:noWrap/>
            <w:vAlign w:val="bottom"/>
            <w:hideMark/>
          </w:tcPr>
          <w:p w14:paraId="5C4EC558"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22%</w:t>
            </w:r>
          </w:p>
        </w:tc>
      </w:tr>
      <w:tr w:rsidR="001D7D4A" w:rsidRPr="001D7D4A" w14:paraId="0246A895" w14:textId="77777777" w:rsidTr="001D7D4A">
        <w:trPr>
          <w:trHeight w:val="171"/>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6C9CF03E" w14:textId="6A3A808B" w:rsidR="001D7D4A" w:rsidRPr="001D7D4A" w:rsidRDefault="001D7D4A" w:rsidP="001D7D4A">
            <w:pPr>
              <w:spacing w:after="0"/>
              <w:jc w:val="right"/>
              <w:rPr>
                <w:rFonts w:ascii="Calibri" w:eastAsia="Times New Roman" w:hAnsi="Calibri" w:cs="Calibri"/>
                <w:color w:val="000000"/>
                <w:sz w:val="22"/>
                <w:szCs w:val="22"/>
              </w:rPr>
            </w:pPr>
            <w:r w:rsidRPr="001D7D4A">
              <w:rPr>
                <w:rFonts w:ascii="Calibri" w:eastAsia="Times New Roman" w:hAnsi="Calibri" w:cs="Calibri"/>
                <w:color w:val="000000"/>
                <w:sz w:val="22"/>
                <w:szCs w:val="22"/>
              </w:rPr>
              <w:t>ALK</w:t>
            </w:r>
            <w:r>
              <w:rPr>
                <w:rFonts w:ascii="Calibri" w:eastAsia="Times New Roman" w:hAnsi="Calibri" w:cs="Calibri"/>
                <w:color w:val="000000"/>
                <w:sz w:val="22"/>
                <w:szCs w:val="22"/>
              </w:rPr>
              <w:t xml:space="preserve"> inhibitor</w:t>
            </w:r>
          </w:p>
        </w:tc>
        <w:tc>
          <w:tcPr>
            <w:tcW w:w="1400" w:type="dxa"/>
            <w:tcBorders>
              <w:top w:val="nil"/>
              <w:left w:val="nil"/>
              <w:bottom w:val="single" w:sz="4" w:space="0" w:color="auto"/>
              <w:right w:val="single" w:sz="4" w:space="0" w:color="auto"/>
            </w:tcBorders>
            <w:shd w:val="clear" w:color="auto" w:fill="auto"/>
            <w:noWrap/>
            <w:vAlign w:val="bottom"/>
            <w:hideMark/>
          </w:tcPr>
          <w:p w14:paraId="708A1E15"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66%</w:t>
            </w:r>
          </w:p>
        </w:tc>
        <w:tc>
          <w:tcPr>
            <w:tcW w:w="1400" w:type="dxa"/>
            <w:tcBorders>
              <w:top w:val="nil"/>
              <w:left w:val="nil"/>
              <w:bottom w:val="single" w:sz="4" w:space="0" w:color="auto"/>
              <w:right w:val="single" w:sz="4" w:space="0" w:color="auto"/>
            </w:tcBorders>
            <w:shd w:val="clear" w:color="auto" w:fill="auto"/>
            <w:noWrap/>
            <w:vAlign w:val="bottom"/>
            <w:hideMark/>
          </w:tcPr>
          <w:p w14:paraId="7DB106A8"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37%</w:t>
            </w:r>
          </w:p>
        </w:tc>
        <w:tc>
          <w:tcPr>
            <w:tcW w:w="1400" w:type="dxa"/>
            <w:tcBorders>
              <w:top w:val="nil"/>
              <w:left w:val="nil"/>
              <w:bottom w:val="single" w:sz="4" w:space="0" w:color="auto"/>
              <w:right w:val="single" w:sz="4" w:space="0" w:color="auto"/>
            </w:tcBorders>
            <w:shd w:val="clear" w:color="auto" w:fill="auto"/>
            <w:noWrap/>
            <w:vAlign w:val="bottom"/>
            <w:hideMark/>
          </w:tcPr>
          <w:p w14:paraId="0B596521"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-2%</w:t>
            </w:r>
          </w:p>
        </w:tc>
        <w:tc>
          <w:tcPr>
            <w:tcW w:w="1400" w:type="dxa"/>
            <w:tcBorders>
              <w:top w:val="nil"/>
              <w:left w:val="nil"/>
              <w:bottom w:val="single" w:sz="4" w:space="0" w:color="auto"/>
              <w:right w:val="single" w:sz="4" w:space="0" w:color="auto"/>
            </w:tcBorders>
            <w:shd w:val="clear" w:color="auto" w:fill="auto"/>
            <w:noWrap/>
            <w:vAlign w:val="bottom"/>
            <w:hideMark/>
          </w:tcPr>
          <w:p w14:paraId="7F894D78"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26%</w:t>
            </w:r>
          </w:p>
        </w:tc>
        <w:tc>
          <w:tcPr>
            <w:tcW w:w="1400" w:type="dxa"/>
            <w:tcBorders>
              <w:top w:val="nil"/>
              <w:left w:val="nil"/>
              <w:bottom w:val="single" w:sz="4" w:space="0" w:color="auto"/>
              <w:right w:val="single" w:sz="4" w:space="0" w:color="auto"/>
            </w:tcBorders>
            <w:shd w:val="clear" w:color="auto" w:fill="auto"/>
            <w:noWrap/>
            <w:vAlign w:val="bottom"/>
            <w:hideMark/>
          </w:tcPr>
          <w:p w14:paraId="516DF46C"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10%</w:t>
            </w:r>
          </w:p>
        </w:tc>
      </w:tr>
      <w:tr w:rsidR="001D7D4A" w:rsidRPr="001D7D4A" w14:paraId="1A9DDD27" w14:textId="77777777" w:rsidTr="001D7D4A">
        <w:trPr>
          <w:trHeight w:val="171"/>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6BBE0B55" w14:textId="5C62009A" w:rsidR="001D7D4A" w:rsidRPr="001D7D4A" w:rsidRDefault="001D7D4A" w:rsidP="001D7D4A">
            <w:pPr>
              <w:spacing w:after="0"/>
              <w:jc w:val="right"/>
              <w:rPr>
                <w:rFonts w:ascii="Calibri" w:eastAsia="Times New Roman" w:hAnsi="Calibri" w:cs="Calibri"/>
                <w:color w:val="000000"/>
                <w:sz w:val="22"/>
                <w:szCs w:val="22"/>
              </w:rPr>
            </w:pPr>
            <w:r w:rsidRPr="001D7D4A">
              <w:rPr>
                <w:rFonts w:ascii="Calibri" w:eastAsia="Times New Roman" w:hAnsi="Calibri" w:cs="Calibri"/>
                <w:color w:val="000000"/>
                <w:sz w:val="22"/>
                <w:szCs w:val="22"/>
              </w:rPr>
              <w:t>EGFR</w:t>
            </w:r>
            <w:r>
              <w:rPr>
                <w:rFonts w:ascii="Calibri" w:eastAsia="Times New Roman" w:hAnsi="Calibri" w:cs="Calibri"/>
                <w:color w:val="000000"/>
                <w:sz w:val="22"/>
                <w:szCs w:val="22"/>
              </w:rPr>
              <w:t xml:space="preserve"> inhibitor</w:t>
            </w:r>
          </w:p>
        </w:tc>
        <w:tc>
          <w:tcPr>
            <w:tcW w:w="1400" w:type="dxa"/>
            <w:tcBorders>
              <w:top w:val="nil"/>
              <w:left w:val="nil"/>
              <w:bottom w:val="single" w:sz="4" w:space="0" w:color="auto"/>
              <w:right w:val="single" w:sz="4" w:space="0" w:color="auto"/>
            </w:tcBorders>
            <w:shd w:val="clear" w:color="auto" w:fill="auto"/>
            <w:noWrap/>
            <w:vAlign w:val="bottom"/>
            <w:hideMark/>
          </w:tcPr>
          <w:p w14:paraId="5D8BBFCF"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14%</w:t>
            </w:r>
          </w:p>
        </w:tc>
        <w:tc>
          <w:tcPr>
            <w:tcW w:w="1400" w:type="dxa"/>
            <w:tcBorders>
              <w:top w:val="nil"/>
              <w:left w:val="nil"/>
              <w:bottom w:val="single" w:sz="4" w:space="0" w:color="auto"/>
              <w:right w:val="single" w:sz="4" w:space="0" w:color="auto"/>
            </w:tcBorders>
            <w:shd w:val="clear" w:color="auto" w:fill="auto"/>
            <w:noWrap/>
            <w:vAlign w:val="bottom"/>
            <w:hideMark/>
          </w:tcPr>
          <w:p w14:paraId="554A3E71"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7%</w:t>
            </w:r>
          </w:p>
        </w:tc>
        <w:tc>
          <w:tcPr>
            <w:tcW w:w="1400" w:type="dxa"/>
            <w:tcBorders>
              <w:top w:val="nil"/>
              <w:left w:val="nil"/>
              <w:bottom w:val="single" w:sz="4" w:space="0" w:color="auto"/>
              <w:right w:val="single" w:sz="4" w:space="0" w:color="auto"/>
            </w:tcBorders>
            <w:shd w:val="clear" w:color="auto" w:fill="auto"/>
            <w:noWrap/>
            <w:vAlign w:val="bottom"/>
            <w:hideMark/>
          </w:tcPr>
          <w:p w14:paraId="1C4A5184"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33%</w:t>
            </w:r>
          </w:p>
        </w:tc>
        <w:tc>
          <w:tcPr>
            <w:tcW w:w="1400" w:type="dxa"/>
            <w:tcBorders>
              <w:top w:val="nil"/>
              <w:left w:val="nil"/>
              <w:bottom w:val="single" w:sz="4" w:space="0" w:color="auto"/>
              <w:right w:val="single" w:sz="4" w:space="0" w:color="auto"/>
            </w:tcBorders>
            <w:shd w:val="clear" w:color="auto" w:fill="auto"/>
            <w:noWrap/>
            <w:vAlign w:val="bottom"/>
            <w:hideMark/>
          </w:tcPr>
          <w:p w14:paraId="6A25EDF9"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0%</w:t>
            </w:r>
          </w:p>
        </w:tc>
        <w:tc>
          <w:tcPr>
            <w:tcW w:w="1400" w:type="dxa"/>
            <w:tcBorders>
              <w:top w:val="nil"/>
              <w:left w:val="nil"/>
              <w:bottom w:val="single" w:sz="4" w:space="0" w:color="auto"/>
              <w:right w:val="single" w:sz="4" w:space="0" w:color="auto"/>
            </w:tcBorders>
            <w:shd w:val="clear" w:color="auto" w:fill="auto"/>
            <w:noWrap/>
            <w:vAlign w:val="bottom"/>
            <w:hideMark/>
          </w:tcPr>
          <w:p w14:paraId="4C274C10"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24%</w:t>
            </w:r>
          </w:p>
        </w:tc>
      </w:tr>
      <w:tr w:rsidR="001D7D4A" w:rsidRPr="001D7D4A" w14:paraId="59F7C468" w14:textId="77777777" w:rsidTr="001D7D4A">
        <w:trPr>
          <w:trHeight w:val="171"/>
        </w:trPr>
        <w:tc>
          <w:tcPr>
            <w:tcW w:w="1868" w:type="dxa"/>
            <w:tcBorders>
              <w:top w:val="nil"/>
              <w:left w:val="single" w:sz="4" w:space="0" w:color="auto"/>
              <w:bottom w:val="single" w:sz="4" w:space="0" w:color="auto"/>
              <w:right w:val="single" w:sz="4" w:space="0" w:color="auto"/>
            </w:tcBorders>
            <w:shd w:val="clear" w:color="auto" w:fill="auto"/>
            <w:noWrap/>
            <w:vAlign w:val="bottom"/>
            <w:hideMark/>
          </w:tcPr>
          <w:p w14:paraId="3539E4C1" w14:textId="0A4D0EF9" w:rsidR="001D7D4A" w:rsidRPr="001D7D4A" w:rsidRDefault="001D7D4A" w:rsidP="001D7D4A">
            <w:pPr>
              <w:spacing w:after="0"/>
              <w:jc w:val="right"/>
              <w:rPr>
                <w:rFonts w:ascii="Calibri" w:eastAsia="Times New Roman" w:hAnsi="Calibri" w:cs="Calibri"/>
                <w:color w:val="000000"/>
                <w:sz w:val="22"/>
                <w:szCs w:val="22"/>
              </w:rPr>
            </w:pPr>
            <w:r w:rsidRPr="001D7D4A">
              <w:rPr>
                <w:rFonts w:ascii="Calibri" w:eastAsia="Times New Roman" w:hAnsi="Calibri" w:cs="Calibri"/>
                <w:color w:val="000000"/>
                <w:sz w:val="22"/>
                <w:szCs w:val="22"/>
              </w:rPr>
              <w:t>ROS</w:t>
            </w:r>
            <w:r w:rsidR="00D93D1E">
              <w:rPr>
                <w:rFonts w:ascii="Calibri" w:eastAsia="Times New Roman" w:hAnsi="Calibri" w:cs="Calibri"/>
                <w:color w:val="000000"/>
                <w:sz w:val="22"/>
                <w:szCs w:val="22"/>
              </w:rPr>
              <w:t>1</w:t>
            </w:r>
            <w:r>
              <w:rPr>
                <w:rFonts w:ascii="Calibri" w:eastAsia="Times New Roman" w:hAnsi="Calibri" w:cs="Calibri"/>
                <w:color w:val="000000"/>
                <w:sz w:val="22"/>
                <w:szCs w:val="22"/>
              </w:rPr>
              <w:t xml:space="preserve"> inhibitor </w:t>
            </w:r>
          </w:p>
        </w:tc>
        <w:tc>
          <w:tcPr>
            <w:tcW w:w="1400" w:type="dxa"/>
            <w:tcBorders>
              <w:top w:val="nil"/>
              <w:left w:val="nil"/>
              <w:bottom w:val="single" w:sz="4" w:space="0" w:color="auto"/>
              <w:right w:val="single" w:sz="4" w:space="0" w:color="auto"/>
            </w:tcBorders>
            <w:shd w:val="clear" w:color="auto" w:fill="auto"/>
            <w:noWrap/>
            <w:vAlign w:val="bottom"/>
            <w:hideMark/>
          </w:tcPr>
          <w:p w14:paraId="4F7841EB" w14:textId="6CCD6F26" w:rsidR="001D7D4A" w:rsidRPr="001D7D4A" w:rsidRDefault="001D7D4A" w:rsidP="00F272CD">
            <w:pPr>
              <w:spacing w:after="0"/>
              <w:jc w:val="center"/>
              <w:rPr>
                <w:rFonts w:ascii="Calibri" w:eastAsia="Times New Roman" w:hAnsi="Calibri" w:cs="Calibri"/>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bottom"/>
            <w:hideMark/>
          </w:tcPr>
          <w:p w14:paraId="5385A66B" w14:textId="202E02B0" w:rsidR="001D7D4A" w:rsidRPr="001D7D4A" w:rsidRDefault="001D7D4A" w:rsidP="00F272CD">
            <w:pPr>
              <w:spacing w:after="0"/>
              <w:jc w:val="center"/>
              <w:rPr>
                <w:rFonts w:ascii="Calibri" w:eastAsia="Times New Roman" w:hAnsi="Calibri" w:cs="Calibri"/>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bottom"/>
            <w:hideMark/>
          </w:tcPr>
          <w:p w14:paraId="494E2CBD" w14:textId="2029D369" w:rsidR="001D7D4A" w:rsidRPr="001D7D4A" w:rsidRDefault="001D7D4A" w:rsidP="00F272CD">
            <w:pPr>
              <w:spacing w:after="0"/>
              <w:jc w:val="center"/>
              <w:rPr>
                <w:rFonts w:ascii="Calibri" w:eastAsia="Times New Roman" w:hAnsi="Calibri" w:cs="Calibri"/>
                <w:color w:val="000000"/>
                <w:sz w:val="22"/>
                <w:szCs w:val="22"/>
              </w:rPr>
            </w:pPr>
          </w:p>
        </w:tc>
        <w:tc>
          <w:tcPr>
            <w:tcW w:w="1400" w:type="dxa"/>
            <w:tcBorders>
              <w:top w:val="nil"/>
              <w:left w:val="nil"/>
              <w:bottom w:val="single" w:sz="4" w:space="0" w:color="auto"/>
              <w:right w:val="single" w:sz="4" w:space="0" w:color="auto"/>
            </w:tcBorders>
            <w:shd w:val="clear" w:color="auto" w:fill="auto"/>
            <w:noWrap/>
            <w:vAlign w:val="bottom"/>
            <w:hideMark/>
          </w:tcPr>
          <w:p w14:paraId="57172EA4"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39%</w:t>
            </w:r>
          </w:p>
        </w:tc>
        <w:tc>
          <w:tcPr>
            <w:tcW w:w="1400" w:type="dxa"/>
            <w:tcBorders>
              <w:top w:val="nil"/>
              <w:left w:val="nil"/>
              <w:bottom w:val="single" w:sz="4" w:space="0" w:color="auto"/>
              <w:right w:val="single" w:sz="4" w:space="0" w:color="auto"/>
            </w:tcBorders>
            <w:shd w:val="clear" w:color="auto" w:fill="auto"/>
            <w:noWrap/>
            <w:vAlign w:val="bottom"/>
            <w:hideMark/>
          </w:tcPr>
          <w:p w14:paraId="2F653D92" w14:textId="77777777" w:rsidR="001D7D4A" w:rsidRPr="001D7D4A" w:rsidRDefault="001D7D4A" w:rsidP="00F272CD">
            <w:pPr>
              <w:spacing w:after="0"/>
              <w:jc w:val="center"/>
              <w:rPr>
                <w:rFonts w:ascii="Calibri" w:eastAsia="Times New Roman" w:hAnsi="Calibri" w:cs="Calibri"/>
                <w:color w:val="000000"/>
                <w:sz w:val="22"/>
                <w:szCs w:val="22"/>
              </w:rPr>
            </w:pPr>
            <w:r w:rsidRPr="001D7D4A">
              <w:rPr>
                <w:rFonts w:ascii="Calibri" w:eastAsia="Times New Roman" w:hAnsi="Calibri" w:cs="Calibri"/>
                <w:color w:val="000000"/>
                <w:sz w:val="22"/>
                <w:szCs w:val="22"/>
              </w:rPr>
              <w:t>44%</w:t>
            </w:r>
          </w:p>
        </w:tc>
      </w:tr>
    </w:tbl>
    <w:p w14:paraId="71B66C4A" w14:textId="13895BCC" w:rsidR="00AE669E" w:rsidRDefault="00AE669E" w:rsidP="007527EC">
      <w:pPr>
        <w:spacing w:line="276" w:lineRule="auto"/>
        <w:rPr>
          <w:b/>
          <w:i/>
          <w:iCs/>
        </w:rPr>
      </w:pPr>
    </w:p>
    <w:p w14:paraId="222A0875" w14:textId="586EE95E" w:rsidR="00CE5DB5" w:rsidRDefault="00CE5DB5" w:rsidP="00CE5DB5">
      <w:r>
        <w:t>In Table 6, the highest percentage growth in the number of patients treated with immunotherapies</w:t>
      </w:r>
      <w:r w:rsidR="008721F6">
        <w:t xml:space="preserve"> (89%)</w:t>
      </w:r>
      <w:r>
        <w:t xml:space="preserve"> was observed between 2017 to 2018, whereas for targeted therapies</w:t>
      </w:r>
      <w:r w:rsidR="008721F6">
        <w:t xml:space="preserve"> (28%)</w:t>
      </w:r>
      <w:r>
        <w:t xml:space="preserve">, this was observed between 2018 and 2019. </w:t>
      </w:r>
    </w:p>
    <w:p w14:paraId="17934C7F" w14:textId="77777777" w:rsidR="00CE5DB5" w:rsidRPr="007527EC" w:rsidRDefault="00CE5DB5" w:rsidP="007527EC">
      <w:pPr>
        <w:spacing w:line="276" w:lineRule="auto"/>
        <w:rPr>
          <w:b/>
          <w:i/>
          <w:iCs/>
        </w:rPr>
      </w:pPr>
    </w:p>
    <w:p w14:paraId="7045B552" w14:textId="77777777" w:rsidR="007F721D" w:rsidRDefault="007F721D">
      <w:pPr>
        <w:spacing w:line="276" w:lineRule="auto"/>
        <w:rPr>
          <w:b/>
          <w:i/>
          <w:iCs/>
        </w:rPr>
      </w:pPr>
      <w:r>
        <w:rPr>
          <w:i/>
          <w:iCs/>
        </w:rPr>
        <w:br w:type="page"/>
      </w:r>
    </w:p>
    <w:p w14:paraId="3B997706" w14:textId="26359299" w:rsidR="00F44A0D" w:rsidRDefault="002325A4" w:rsidP="009B6712">
      <w:pPr>
        <w:pStyle w:val="Tabletitle"/>
        <w:rPr>
          <w:i/>
          <w:iCs/>
        </w:rPr>
      </w:pPr>
      <w:r>
        <w:rPr>
          <w:i/>
          <w:iCs/>
        </w:rPr>
        <w:lastRenderedPageBreak/>
        <w:t>Utilisation of NSCLC i</w:t>
      </w:r>
      <w:r w:rsidR="00E801B2">
        <w:rPr>
          <w:i/>
          <w:iCs/>
        </w:rPr>
        <w:t xml:space="preserve">mmunotherapies </w:t>
      </w:r>
    </w:p>
    <w:p w14:paraId="2DAB5C7D" w14:textId="5654C58C" w:rsidR="001C0CE3" w:rsidRDefault="001C0CE3" w:rsidP="001C0CE3">
      <w:pPr>
        <w:rPr>
          <w:bCs/>
        </w:rPr>
      </w:pPr>
      <w:r w:rsidRPr="001C0CE3">
        <w:rPr>
          <w:bCs/>
        </w:rPr>
        <w:t xml:space="preserve"> </w:t>
      </w:r>
      <w:r>
        <w:rPr>
          <w:bCs/>
        </w:rPr>
        <w:t xml:space="preserve">The following </w:t>
      </w:r>
      <w:r w:rsidR="00BE5B19">
        <w:rPr>
          <w:bCs/>
        </w:rPr>
        <w:t>immunotherapies</w:t>
      </w:r>
      <w:r w:rsidR="00BE5B19" w:rsidRPr="00EC0B20">
        <w:rPr>
          <w:bCs/>
        </w:rPr>
        <w:t xml:space="preserve"> </w:t>
      </w:r>
      <w:r>
        <w:rPr>
          <w:bCs/>
        </w:rPr>
        <w:t>are</w:t>
      </w:r>
      <w:r w:rsidR="00BE5B19">
        <w:rPr>
          <w:bCs/>
        </w:rPr>
        <w:t xml:space="preserve"> listed</w:t>
      </w:r>
      <w:r>
        <w:rPr>
          <w:bCs/>
        </w:rPr>
        <w:t xml:space="preserve"> </w:t>
      </w:r>
      <w:r w:rsidR="00CE5DB5">
        <w:rPr>
          <w:bCs/>
        </w:rPr>
        <w:t>1L</w:t>
      </w:r>
      <w:r w:rsidRPr="00EC0B20">
        <w:rPr>
          <w:bCs/>
        </w:rPr>
        <w:t xml:space="preserve"> </w:t>
      </w:r>
      <w:r>
        <w:rPr>
          <w:bCs/>
        </w:rPr>
        <w:t>for stage IV (metastatic) NSCLC:</w:t>
      </w:r>
    </w:p>
    <w:p w14:paraId="2207EE12" w14:textId="7B009666" w:rsidR="001C0CE3" w:rsidRDefault="001C0CE3" w:rsidP="00FC27E8">
      <w:pPr>
        <w:pStyle w:val="ListParagraph"/>
        <w:numPr>
          <w:ilvl w:val="0"/>
          <w:numId w:val="14"/>
        </w:numPr>
        <w:rPr>
          <w:bCs/>
        </w:rPr>
      </w:pPr>
      <w:r>
        <w:rPr>
          <w:bCs/>
        </w:rPr>
        <w:t>A</w:t>
      </w:r>
      <w:r w:rsidRPr="00637FA9">
        <w:rPr>
          <w:bCs/>
        </w:rPr>
        <w:t>tezolizumab + bevacizumab (in combin</w:t>
      </w:r>
      <w:r>
        <w:rPr>
          <w:bCs/>
        </w:rPr>
        <w:t>ation with platinum-based chemotherapy)</w:t>
      </w:r>
      <w:r w:rsidRPr="00637FA9">
        <w:rPr>
          <w:bCs/>
        </w:rPr>
        <w:t xml:space="preserve"> </w:t>
      </w:r>
    </w:p>
    <w:p w14:paraId="2544E708" w14:textId="77777777" w:rsidR="001C0CE3" w:rsidRDefault="001C0CE3" w:rsidP="00FC27E8">
      <w:pPr>
        <w:pStyle w:val="ListParagraph"/>
        <w:numPr>
          <w:ilvl w:val="0"/>
          <w:numId w:val="14"/>
        </w:numPr>
        <w:rPr>
          <w:bCs/>
        </w:rPr>
      </w:pPr>
      <w:r>
        <w:rPr>
          <w:bCs/>
        </w:rPr>
        <w:t>N</w:t>
      </w:r>
      <w:r w:rsidRPr="00637FA9">
        <w:rPr>
          <w:bCs/>
        </w:rPr>
        <w:t xml:space="preserve">ivolumab + ipilimumab </w:t>
      </w:r>
      <w:r>
        <w:rPr>
          <w:bCs/>
        </w:rPr>
        <w:t>(in combination with platinum-based chemotherapy for the first two cycles)</w:t>
      </w:r>
    </w:p>
    <w:p w14:paraId="5F5FE41D" w14:textId="77777777" w:rsidR="001C0CE3" w:rsidRPr="00637FA9" w:rsidRDefault="001C0CE3" w:rsidP="00FC27E8">
      <w:pPr>
        <w:pStyle w:val="ListParagraph"/>
        <w:numPr>
          <w:ilvl w:val="0"/>
          <w:numId w:val="14"/>
        </w:numPr>
        <w:rPr>
          <w:bCs/>
        </w:rPr>
      </w:pPr>
      <w:r>
        <w:rPr>
          <w:bCs/>
        </w:rPr>
        <w:t>P</w:t>
      </w:r>
      <w:r w:rsidRPr="00637FA9">
        <w:rPr>
          <w:bCs/>
        </w:rPr>
        <w:t xml:space="preserve">embrolizumab </w:t>
      </w:r>
    </w:p>
    <w:p w14:paraId="588A1BA5" w14:textId="117A6533" w:rsidR="00F44A0D" w:rsidRDefault="001C0CE3" w:rsidP="001C0CE3">
      <w:r>
        <w:t>Atezolizumab</w:t>
      </w:r>
      <w:r w:rsidR="0013093C">
        <w:t xml:space="preserve"> monotherapy</w:t>
      </w:r>
      <w:r>
        <w:t xml:space="preserve"> and nivolumab monotherap</w:t>
      </w:r>
      <w:r w:rsidR="0013093C">
        <w:t>y</w:t>
      </w:r>
      <w:r>
        <w:t xml:space="preserve"> are </w:t>
      </w:r>
      <w:r w:rsidR="00CE5DB5">
        <w:t>2L</w:t>
      </w:r>
      <w:r>
        <w:t xml:space="preserve"> immunotherapies following platinum-based chemotherapy for locally advanced or metastatic NSCLC. </w:t>
      </w:r>
    </w:p>
    <w:p w14:paraId="2D471EB2" w14:textId="3CBF8F71" w:rsidR="00CC1446" w:rsidRDefault="00771E03" w:rsidP="00CC1446">
      <w:pPr>
        <w:jc w:val="center"/>
      </w:pPr>
      <w:r>
        <w:rPr>
          <w:noProof/>
        </w:rPr>
        <w:drawing>
          <wp:inline distT="0" distB="0" distL="0" distR="0" wp14:anchorId="1BEEA650" wp14:editId="5A273C30">
            <wp:extent cx="5127955" cy="2893695"/>
            <wp:effectExtent l="0" t="0" r="15875" b="1905"/>
            <wp:docPr id="12" name="Chart 12">
              <a:extLst xmlns:a="http://schemas.openxmlformats.org/drawingml/2006/main">
                <a:ext uri="{FF2B5EF4-FFF2-40B4-BE49-F238E27FC236}">
                  <a16:creationId xmlns:a16="http://schemas.microsoft.com/office/drawing/2014/main" id="{7EEFC1BA-801F-4F3C-9260-96C33BD56CE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474C514" w14:textId="10A3D8A5" w:rsidR="00CC1446" w:rsidRDefault="00CC1446" w:rsidP="00CC1446">
      <w:pPr>
        <w:pStyle w:val="Heading6"/>
        <w:rPr>
          <w:rFonts w:asciiTheme="minorHAnsi" w:hAnsiTheme="minorHAnsi" w:cstheme="minorHAnsi"/>
          <w:b/>
          <w:bCs/>
          <w:color w:val="auto"/>
        </w:rPr>
      </w:pPr>
      <w:r w:rsidRPr="00DE1D85">
        <w:rPr>
          <w:rFonts w:asciiTheme="minorHAnsi" w:hAnsiTheme="minorHAnsi" w:cstheme="minorHAnsi"/>
          <w:b/>
          <w:bCs/>
          <w:color w:val="auto"/>
        </w:rPr>
        <w:t xml:space="preserve">Figure </w:t>
      </w:r>
      <w:r w:rsidR="003679E4">
        <w:rPr>
          <w:rFonts w:asciiTheme="minorHAnsi" w:hAnsiTheme="minorHAnsi" w:cstheme="minorHAnsi"/>
          <w:b/>
          <w:bCs/>
          <w:color w:val="auto"/>
        </w:rPr>
        <w:t>5</w:t>
      </w:r>
      <w:r w:rsidRPr="00DE1D85">
        <w:rPr>
          <w:rFonts w:asciiTheme="minorHAnsi" w:hAnsiTheme="minorHAnsi" w:cstheme="minorHAnsi"/>
          <w:b/>
          <w:bCs/>
          <w:color w:val="auto"/>
        </w:rPr>
        <w:t>:</w:t>
      </w:r>
      <w:r>
        <w:rPr>
          <w:rFonts w:asciiTheme="minorHAnsi" w:hAnsiTheme="minorHAnsi" w:cstheme="minorHAnsi"/>
          <w:b/>
          <w:bCs/>
          <w:color w:val="auto"/>
        </w:rPr>
        <w:t xml:space="preserve"> Number of NSCLC immunotherapy prescriptions by supply quarter</w:t>
      </w:r>
    </w:p>
    <w:p w14:paraId="58008362" w14:textId="0C65405A" w:rsidR="001C0CE3" w:rsidRDefault="001C0CE3" w:rsidP="009B6712">
      <w:pPr>
        <w:pStyle w:val="Figurecaption"/>
      </w:pPr>
    </w:p>
    <w:p w14:paraId="0310121D" w14:textId="06C45AA0" w:rsidR="00CC1446" w:rsidRDefault="00CC1446" w:rsidP="00CC1446">
      <w:r>
        <w:rPr>
          <w:bCs/>
        </w:rPr>
        <w:t xml:space="preserve">As shown in Figure </w:t>
      </w:r>
      <w:r w:rsidR="0013093C">
        <w:rPr>
          <w:bCs/>
        </w:rPr>
        <w:t>5</w:t>
      </w:r>
      <w:r>
        <w:rPr>
          <w:bCs/>
        </w:rPr>
        <w:t xml:space="preserve"> based on prescription counts, pembrolizumab </w:t>
      </w:r>
      <w:r w:rsidR="00BE5B19">
        <w:rPr>
          <w:bCs/>
        </w:rPr>
        <w:t>wa</w:t>
      </w:r>
      <w:r>
        <w:rPr>
          <w:bCs/>
        </w:rPr>
        <w:t xml:space="preserve">s the most common immunotherapy overall for NSCLC. </w:t>
      </w:r>
      <w:r>
        <w:t>Nivolumab monotherapy was previously the most common immunotherapy, however, its utilisation has decreased following the PBS listing of other immunotherapies. Despite nivolumab monotherapy utilisation decreasing over time, it remains the more commonly u</w:t>
      </w:r>
      <w:r w:rsidR="003D4D24">
        <w:t>tilised</w:t>
      </w:r>
      <w:r>
        <w:t xml:space="preserve"> </w:t>
      </w:r>
      <w:r w:rsidR="003A3796">
        <w:t>2L</w:t>
      </w:r>
      <w:r>
        <w:t xml:space="preserve"> immunotherapy compared to atezolizumab. Durvalumab is the second-most common immunotherapy, overtaking nivolumab monotherapy from 2021 onwards. </w:t>
      </w:r>
    </w:p>
    <w:p w14:paraId="23627112" w14:textId="77777777" w:rsidR="00CC1446" w:rsidRDefault="00CC1446" w:rsidP="009B6712">
      <w:pPr>
        <w:pStyle w:val="Figurecaption"/>
      </w:pPr>
    </w:p>
    <w:p w14:paraId="2DF584A8" w14:textId="1C57A377" w:rsidR="00F77F90" w:rsidRDefault="00983F7D" w:rsidP="00FD5564">
      <w:pPr>
        <w:pStyle w:val="Figurecaption"/>
        <w:jc w:val="center"/>
      </w:pPr>
      <w:r>
        <w:rPr>
          <w:noProof/>
        </w:rPr>
        <w:lastRenderedPageBreak/>
        <w:drawing>
          <wp:inline distT="0" distB="0" distL="0" distR="0" wp14:anchorId="6926CBC4" wp14:editId="2E3CF074">
            <wp:extent cx="5513696" cy="3159456"/>
            <wp:effectExtent l="0" t="0" r="11430" b="3175"/>
            <wp:docPr id="5" name="Chart 5">
              <a:extLst xmlns:a="http://schemas.openxmlformats.org/drawingml/2006/main">
                <a:ext uri="{FF2B5EF4-FFF2-40B4-BE49-F238E27FC236}">
                  <a16:creationId xmlns:a16="http://schemas.microsoft.com/office/drawing/2014/main" id="{93636B1C-B017-46A9-8D1E-35E0D8F7C26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7FBB0C7" w14:textId="336D9DA6" w:rsidR="00E83F55" w:rsidRDefault="00E83F55" w:rsidP="00E83F55">
      <w:pPr>
        <w:pStyle w:val="Heading6"/>
        <w:rPr>
          <w:rFonts w:asciiTheme="minorHAnsi" w:hAnsiTheme="minorHAnsi" w:cstheme="minorHAnsi"/>
          <w:b/>
          <w:bCs/>
          <w:color w:val="auto"/>
        </w:rPr>
      </w:pPr>
      <w:r w:rsidRPr="00DE1D85">
        <w:rPr>
          <w:rFonts w:asciiTheme="minorHAnsi" w:hAnsiTheme="minorHAnsi" w:cstheme="minorHAnsi"/>
          <w:b/>
          <w:bCs/>
          <w:color w:val="auto"/>
        </w:rPr>
        <w:t xml:space="preserve">Figure </w:t>
      </w:r>
      <w:r w:rsidR="003679E4">
        <w:rPr>
          <w:rFonts w:asciiTheme="minorHAnsi" w:hAnsiTheme="minorHAnsi" w:cstheme="minorHAnsi"/>
          <w:b/>
          <w:bCs/>
          <w:color w:val="auto"/>
        </w:rPr>
        <w:t>6</w:t>
      </w:r>
      <w:r w:rsidRPr="00DE1D85">
        <w:rPr>
          <w:rFonts w:asciiTheme="minorHAnsi" w:hAnsiTheme="minorHAnsi" w:cstheme="minorHAnsi"/>
          <w:b/>
          <w:bCs/>
          <w:color w:val="auto"/>
        </w:rPr>
        <w:t>:</w:t>
      </w:r>
      <w:r>
        <w:rPr>
          <w:rFonts w:asciiTheme="minorHAnsi" w:hAnsiTheme="minorHAnsi" w:cstheme="minorHAnsi"/>
          <w:b/>
          <w:bCs/>
          <w:color w:val="auto"/>
        </w:rPr>
        <w:t xml:space="preserve"> Number of patients treated with NSCLC immunotherapies by supply quarter</w:t>
      </w:r>
    </w:p>
    <w:p w14:paraId="2E26401E" w14:textId="77777777" w:rsidR="00F44A0D" w:rsidRDefault="00F44A0D" w:rsidP="00E83F55">
      <w:pPr>
        <w:pStyle w:val="Figurecaption"/>
      </w:pPr>
    </w:p>
    <w:p w14:paraId="410CC771" w14:textId="29172BE2" w:rsidR="00E83F55" w:rsidRPr="00E83F55" w:rsidRDefault="00E83F55" w:rsidP="00A83FA4">
      <w:r>
        <w:rPr>
          <w:bCs/>
        </w:rPr>
        <w:t xml:space="preserve">As shown in Figure </w:t>
      </w:r>
      <w:r w:rsidR="0013093C">
        <w:rPr>
          <w:bCs/>
        </w:rPr>
        <w:t>6</w:t>
      </w:r>
      <w:r>
        <w:rPr>
          <w:bCs/>
        </w:rPr>
        <w:t xml:space="preserve">, pembrolizumab </w:t>
      </w:r>
      <w:r w:rsidR="003A3796">
        <w:rPr>
          <w:bCs/>
        </w:rPr>
        <w:t>wa</w:t>
      </w:r>
      <w:r>
        <w:rPr>
          <w:bCs/>
        </w:rPr>
        <w:t>s the most common immunotherapy for</w:t>
      </w:r>
      <w:r w:rsidR="0013093C">
        <w:rPr>
          <w:bCs/>
        </w:rPr>
        <w:t xml:space="preserve"> </w:t>
      </w:r>
      <w:r>
        <w:rPr>
          <w:bCs/>
        </w:rPr>
        <w:t>NSCLC</w:t>
      </w:r>
      <w:r w:rsidR="00197221">
        <w:rPr>
          <w:bCs/>
        </w:rPr>
        <w:t xml:space="preserve"> patients</w:t>
      </w:r>
      <w:r>
        <w:rPr>
          <w:bCs/>
        </w:rPr>
        <w:t xml:space="preserve">. </w:t>
      </w:r>
      <w:r>
        <w:t xml:space="preserve">Nivolumab monotherapy was previously the most common </w:t>
      </w:r>
      <w:r w:rsidR="001C0CE3">
        <w:t>immunotherapy,</w:t>
      </w:r>
      <w:r>
        <w:t xml:space="preserve"> however, its utilisation has decreased</w:t>
      </w:r>
      <w:r w:rsidR="00637FA9">
        <w:t xml:space="preserve"> following the introduction of other immunotherapies. </w:t>
      </w:r>
      <w:r w:rsidR="001C0CE3">
        <w:t>Despite nivolumab monotherapy utilisation decreasing over time,</w:t>
      </w:r>
      <w:r w:rsidR="003D4D24">
        <w:t xml:space="preserve"> a greater proportion of patients were treated with nivolumab as 2L therapy </w:t>
      </w:r>
      <w:r w:rsidR="001C0CE3">
        <w:t xml:space="preserve">compared to atezolizumab. </w:t>
      </w:r>
      <w:r w:rsidR="00637FA9">
        <w:t xml:space="preserve">In relation to other NSCLC immunotherapies, durvalumab was the third-most common treatment, however </w:t>
      </w:r>
      <w:r w:rsidR="00744AB3">
        <w:t xml:space="preserve">it </w:t>
      </w:r>
      <w:r w:rsidR="00637FA9">
        <w:t xml:space="preserve">appears to have overtaken nivolumab in the most recent supply quarter. </w:t>
      </w:r>
    </w:p>
    <w:p w14:paraId="10CE16BB" w14:textId="02C12654" w:rsidR="001C0CE3" w:rsidRDefault="001C0CE3" w:rsidP="00D16F30"/>
    <w:p w14:paraId="68EDBC6C" w14:textId="4014243B" w:rsidR="00877051" w:rsidRDefault="00877051">
      <w:pPr>
        <w:spacing w:line="276" w:lineRule="auto"/>
        <w:rPr>
          <w:b/>
          <w:i/>
          <w:iCs/>
        </w:rPr>
      </w:pPr>
    </w:p>
    <w:p w14:paraId="3AFEFF6C" w14:textId="77777777" w:rsidR="003679E4" w:rsidRDefault="003679E4">
      <w:pPr>
        <w:spacing w:line="276" w:lineRule="auto"/>
        <w:rPr>
          <w:b/>
          <w:i/>
          <w:iCs/>
        </w:rPr>
      </w:pPr>
      <w:r>
        <w:rPr>
          <w:i/>
          <w:iCs/>
        </w:rPr>
        <w:br w:type="page"/>
      </w:r>
    </w:p>
    <w:p w14:paraId="1106563D" w14:textId="22CA03C2" w:rsidR="00E801B2" w:rsidRPr="00F274D7" w:rsidRDefault="002325A4" w:rsidP="00E801B2">
      <w:pPr>
        <w:pStyle w:val="Tabletitle"/>
      </w:pPr>
      <w:r>
        <w:rPr>
          <w:i/>
          <w:iCs/>
        </w:rPr>
        <w:lastRenderedPageBreak/>
        <w:t>Utilisation of NSCLC t</w:t>
      </w:r>
      <w:r w:rsidR="00E801B2">
        <w:rPr>
          <w:i/>
          <w:iCs/>
        </w:rPr>
        <w:t xml:space="preserve">argeted therapies </w:t>
      </w:r>
    </w:p>
    <w:p w14:paraId="7ECA5AA3" w14:textId="0B141CF4" w:rsidR="007D38BC" w:rsidRDefault="00E801B2" w:rsidP="00B15615">
      <w:pPr>
        <w:pStyle w:val="Heading5"/>
        <w:rPr>
          <w:b/>
          <w:bCs/>
          <w:i/>
          <w:iCs/>
        </w:rPr>
      </w:pPr>
      <w:r>
        <w:rPr>
          <w:b/>
          <w:bCs/>
          <w:i/>
          <w:iCs/>
        </w:rPr>
        <w:t xml:space="preserve">ALK </w:t>
      </w:r>
      <w:r w:rsidR="0036178C">
        <w:rPr>
          <w:b/>
          <w:bCs/>
          <w:i/>
          <w:iCs/>
        </w:rPr>
        <w:t>inhibitors</w:t>
      </w:r>
    </w:p>
    <w:p w14:paraId="5B31C7C8" w14:textId="42A102D7" w:rsidR="00C71832" w:rsidRDefault="00C71832" w:rsidP="00C71832">
      <w:r>
        <w:t xml:space="preserve">Alectinib, brigatinib, ceritinib, crizotinib and lorlatinib are </w:t>
      </w:r>
      <w:r w:rsidR="004E7B5F">
        <w:t xml:space="preserve">PBS </w:t>
      </w:r>
      <w:r>
        <w:t xml:space="preserve">listed for stage IIIB (locally advanced) or stage IV (metastatic) </w:t>
      </w:r>
      <w:r w:rsidR="00DF6951">
        <w:t>NSCLC</w:t>
      </w:r>
      <w:r>
        <w:t xml:space="preserve">. Criteria for treatment include </w:t>
      </w:r>
      <w:r w:rsidR="00982806">
        <w:t xml:space="preserve">the requirements for </w:t>
      </w:r>
      <w:r>
        <w:t xml:space="preserve">monotherapy, non-squamous type NSCLC or not otherwise specified </w:t>
      </w:r>
      <w:r w:rsidR="008661F5">
        <w:t xml:space="preserve">(NOS) </w:t>
      </w:r>
      <w:r>
        <w:t xml:space="preserve">NSCLC, WHO performance </w:t>
      </w:r>
      <w:r w:rsidR="00982806">
        <w:t xml:space="preserve">status </w:t>
      </w:r>
      <w:r>
        <w:t xml:space="preserve">of 2 or less and evidence of ALK gene arrangement in tumour material of 15% or greater positive cells by </w:t>
      </w:r>
      <w:r w:rsidR="004273E1">
        <w:t>fluorescence</w:t>
      </w:r>
      <w:r>
        <w:t xml:space="preserve"> in situ hybridisation (FISH) testing. </w:t>
      </w:r>
    </w:p>
    <w:p w14:paraId="386ABB0C" w14:textId="3134672D" w:rsidR="00C71832" w:rsidRDefault="00C71832" w:rsidP="00C71832">
      <w:r>
        <w:t>Alectinib, brigatinib, ceritinib and crizotinib</w:t>
      </w:r>
      <w:r w:rsidR="00982806">
        <w:t xml:space="preserve"> are line agnostic ALK inhibitors</w:t>
      </w:r>
      <w:r>
        <w:t>. At the time of this review</w:t>
      </w:r>
      <w:r w:rsidR="00982806">
        <w:t xml:space="preserve"> (August 2022)</w:t>
      </w:r>
      <w:r>
        <w:t>, lorla</w:t>
      </w:r>
      <w:r w:rsidR="00197221">
        <w:t>tinib</w:t>
      </w:r>
      <w:r>
        <w:t xml:space="preserve"> is a </w:t>
      </w:r>
      <w:r w:rsidR="003D4D24">
        <w:t xml:space="preserve">2L </w:t>
      </w:r>
      <w:r>
        <w:t xml:space="preserve">treatment </w:t>
      </w:r>
      <w:r w:rsidR="00982806">
        <w:t>with patients required to have progressed treatment with an ALK other than crizotinib. It is noted that PBAC recommended a line agnostic</w:t>
      </w:r>
      <w:r w:rsidR="00197221">
        <w:t xml:space="preserve"> listing</w:t>
      </w:r>
      <w:r w:rsidR="00982806">
        <w:t xml:space="preserve"> for lorlatinib at its </w:t>
      </w:r>
      <w:hyperlink r:id="rId30" w:history="1">
        <w:r w:rsidR="00982806" w:rsidRPr="00197221">
          <w:rPr>
            <w:rStyle w:val="Hyperlink"/>
          </w:rPr>
          <w:t>December 2021 Meeting</w:t>
        </w:r>
      </w:hyperlink>
      <w:r w:rsidR="00982806">
        <w:t xml:space="preserve">. </w:t>
      </w:r>
    </w:p>
    <w:p w14:paraId="4E446B47" w14:textId="44FA86C2" w:rsidR="00B15615" w:rsidRDefault="00982806" w:rsidP="007C69C9">
      <w:r>
        <w:t xml:space="preserve">As shown in Figure </w:t>
      </w:r>
      <w:r w:rsidR="00197221">
        <w:t>7</w:t>
      </w:r>
      <w:r>
        <w:t xml:space="preserve"> and </w:t>
      </w:r>
      <w:r w:rsidR="00197221">
        <w:t>8</w:t>
      </w:r>
      <w:r>
        <w:t xml:space="preserve"> below, alectinib remains the most common ALK inhibitor supplied to patients since its PBS listing</w:t>
      </w:r>
      <w:r w:rsidR="004E7B5F">
        <w:t xml:space="preserve"> (1 January 2018)</w:t>
      </w:r>
      <w:r>
        <w:t xml:space="preserve">. </w:t>
      </w:r>
    </w:p>
    <w:p w14:paraId="377309C8" w14:textId="7E9DB9CF" w:rsidR="007C69C9" w:rsidRPr="007D38BC" w:rsidRDefault="007C69C9" w:rsidP="007D38BC">
      <w:pPr>
        <w:jc w:val="center"/>
      </w:pPr>
      <w:r>
        <w:rPr>
          <w:noProof/>
        </w:rPr>
        <w:drawing>
          <wp:inline distT="0" distB="0" distL="0" distR="0" wp14:anchorId="03EE262D" wp14:editId="72E16502">
            <wp:extent cx="4408227" cy="2073910"/>
            <wp:effectExtent l="0" t="0" r="11430" b="2540"/>
            <wp:docPr id="7" name="Chart 7">
              <a:extLst xmlns:a="http://schemas.openxmlformats.org/drawingml/2006/main">
                <a:ext uri="{FF2B5EF4-FFF2-40B4-BE49-F238E27FC236}">
                  <a16:creationId xmlns:a16="http://schemas.microsoft.com/office/drawing/2014/main" id="{93C37CAD-D05F-430C-92AE-572CF40C2EC0}"/>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BCBE549" w14:textId="028A320C" w:rsidR="00E801B2" w:rsidRPr="007D38BC" w:rsidRDefault="007D38BC" w:rsidP="007D38BC">
      <w:pPr>
        <w:pStyle w:val="Heading6"/>
        <w:rPr>
          <w:rFonts w:asciiTheme="minorHAnsi" w:hAnsiTheme="minorHAnsi" w:cstheme="minorHAnsi"/>
          <w:b/>
          <w:bCs/>
          <w:color w:val="auto"/>
        </w:rPr>
      </w:pPr>
      <w:r w:rsidRPr="00DE1D85">
        <w:rPr>
          <w:rFonts w:asciiTheme="minorHAnsi" w:hAnsiTheme="minorHAnsi" w:cstheme="minorHAnsi"/>
          <w:b/>
          <w:bCs/>
          <w:color w:val="auto"/>
        </w:rPr>
        <w:t xml:space="preserve">Figure </w:t>
      </w:r>
      <w:r w:rsidR="003679E4">
        <w:rPr>
          <w:rFonts w:asciiTheme="minorHAnsi" w:hAnsiTheme="minorHAnsi" w:cstheme="minorHAnsi"/>
          <w:b/>
          <w:bCs/>
          <w:color w:val="auto"/>
        </w:rPr>
        <w:t>7</w:t>
      </w:r>
      <w:r w:rsidRPr="00DE1D85">
        <w:rPr>
          <w:rFonts w:asciiTheme="minorHAnsi" w:hAnsiTheme="minorHAnsi" w:cstheme="minorHAnsi"/>
          <w:b/>
          <w:bCs/>
          <w:color w:val="auto"/>
        </w:rPr>
        <w:t>:</w:t>
      </w:r>
      <w:r>
        <w:rPr>
          <w:rFonts w:asciiTheme="minorHAnsi" w:hAnsiTheme="minorHAnsi" w:cstheme="minorHAnsi"/>
          <w:b/>
          <w:bCs/>
          <w:color w:val="auto"/>
        </w:rPr>
        <w:t xml:space="preserve"> Number of prescriptions supplied for ALK inhibitors </w:t>
      </w:r>
      <w:r w:rsidR="00415E61">
        <w:rPr>
          <w:rFonts w:asciiTheme="minorHAnsi" w:hAnsiTheme="minorHAnsi" w:cstheme="minorHAnsi"/>
          <w:b/>
          <w:bCs/>
          <w:color w:val="auto"/>
        </w:rPr>
        <w:t>by</w:t>
      </w:r>
      <w:r>
        <w:rPr>
          <w:rFonts w:asciiTheme="minorHAnsi" w:hAnsiTheme="minorHAnsi" w:cstheme="minorHAnsi"/>
          <w:b/>
          <w:bCs/>
          <w:color w:val="auto"/>
        </w:rPr>
        <w:t xml:space="preserve"> supply quarter</w:t>
      </w:r>
    </w:p>
    <w:p w14:paraId="1F2897DA" w14:textId="2833C31B" w:rsidR="00BA0B4A" w:rsidRDefault="00BA0B4A" w:rsidP="007C69C9"/>
    <w:p w14:paraId="27DA4401" w14:textId="664B66B8" w:rsidR="007C69C9" w:rsidRDefault="007C69C9" w:rsidP="00BA0B4A">
      <w:pPr>
        <w:jc w:val="center"/>
      </w:pPr>
      <w:r>
        <w:rPr>
          <w:noProof/>
        </w:rPr>
        <w:drawing>
          <wp:inline distT="0" distB="0" distL="0" distR="0" wp14:anchorId="75B0A16B" wp14:editId="4BECF9E2">
            <wp:extent cx="4476465" cy="2128520"/>
            <wp:effectExtent l="0" t="0" r="635" b="5080"/>
            <wp:docPr id="10" name="Chart 10">
              <a:extLst xmlns:a="http://schemas.openxmlformats.org/drawingml/2006/main">
                <a:ext uri="{FF2B5EF4-FFF2-40B4-BE49-F238E27FC236}">
                  <a16:creationId xmlns:a16="http://schemas.microsoft.com/office/drawing/2014/main" id="{F52B4102-2F8A-41E2-8E3D-784BC54DE7F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834ADDF" w14:textId="6B42F691" w:rsidR="00BA0B4A" w:rsidRPr="007D38BC" w:rsidRDefault="00BA0B4A" w:rsidP="00BA0B4A">
      <w:pPr>
        <w:pStyle w:val="Heading6"/>
        <w:rPr>
          <w:rFonts w:asciiTheme="minorHAnsi" w:hAnsiTheme="minorHAnsi" w:cstheme="minorHAnsi"/>
          <w:b/>
          <w:bCs/>
          <w:color w:val="auto"/>
        </w:rPr>
      </w:pPr>
      <w:r w:rsidRPr="00DE1D85">
        <w:rPr>
          <w:rFonts w:asciiTheme="minorHAnsi" w:hAnsiTheme="minorHAnsi" w:cstheme="minorHAnsi"/>
          <w:b/>
          <w:bCs/>
          <w:color w:val="auto"/>
        </w:rPr>
        <w:t xml:space="preserve">Figure </w:t>
      </w:r>
      <w:r w:rsidR="003679E4">
        <w:rPr>
          <w:rFonts w:asciiTheme="minorHAnsi" w:hAnsiTheme="minorHAnsi" w:cstheme="minorHAnsi"/>
          <w:b/>
          <w:bCs/>
          <w:color w:val="auto"/>
        </w:rPr>
        <w:t>8</w:t>
      </w:r>
      <w:r w:rsidRPr="00DE1D85">
        <w:rPr>
          <w:rFonts w:asciiTheme="minorHAnsi" w:hAnsiTheme="minorHAnsi" w:cstheme="minorHAnsi"/>
          <w:b/>
          <w:bCs/>
          <w:color w:val="auto"/>
        </w:rPr>
        <w:t>:</w:t>
      </w:r>
      <w:r>
        <w:rPr>
          <w:rFonts w:asciiTheme="minorHAnsi" w:hAnsiTheme="minorHAnsi" w:cstheme="minorHAnsi"/>
          <w:b/>
          <w:bCs/>
          <w:color w:val="auto"/>
        </w:rPr>
        <w:t xml:space="preserve"> Number of patients treated with ALK inhibitors </w:t>
      </w:r>
      <w:r w:rsidR="00415E61">
        <w:rPr>
          <w:rFonts w:asciiTheme="minorHAnsi" w:hAnsiTheme="minorHAnsi" w:cstheme="minorHAnsi"/>
          <w:b/>
          <w:bCs/>
          <w:color w:val="auto"/>
        </w:rPr>
        <w:t>by</w:t>
      </w:r>
      <w:r>
        <w:rPr>
          <w:rFonts w:asciiTheme="minorHAnsi" w:hAnsiTheme="minorHAnsi" w:cstheme="minorHAnsi"/>
          <w:b/>
          <w:bCs/>
          <w:color w:val="auto"/>
        </w:rPr>
        <w:t xml:space="preserve"> supply quarter</w:t>
      </w:r>
    </w:p>
    <w:p w14:paraId="5A9F8C9F" w14:textId="210CF74D" w:rsidR="00BA0B4A" w:rsidRDefault="00BA0B4A">
      <w:pPr>
        <w:spacing w:line="276" w:lineRule="auto"/>
        <w:rPr>
          <w:rFonts w:eastAsiaTheme="majorEastAsia" w:cstheme="majorBidi"/>
          <w:b/>
          <w:bCs/>
          <w:i/>
          <w:iCs/>
        </w:rPr>
      </w:pPr>
    </w:p>
    <w:p w14:paraId="07F5FA2C" w14:textId="6D21944C" w:rsidR="00B15615" w:rsidRDefault="00E801B2" w:rsidP="000F4E6B">
      <w:pPr>
        <w:pStyle w:val="Heading5"/>
        <w:rPr>
          <w:b/>
          <w:bCs/>
          <w:i/>
          <w:iCs/>
        </w:rPr>
      </w:pPr>
      <w:r>
        <w:rPr>
          <w:b/>
          <w:bCs/>
          <w:i/>
          <w:iCs/>
        </w:rPr>
        <w:lastRenderedPageBreak/>
        <w:t xml:space="preserve">EGFR </w:t>
      </w:r>
      <w:r w:rsidR="0036178C">
        <w:rPr>
          <w:b/>
          <w:bCs/>
          <w:i/>
          <w:iCs/>
        </w:rPr>
        <w:t>inhibitors</w:t>
      </w:r>
    </w:p>
    <w:p w14:paraId="706F06D7" w14:textId="38F1E084" w:rsidR="00107C73" w:rsidRDefault="00107C73" w:rsidP="001B1B97">
      <w:r>
        <w:t xml:space="preserve">Afatinib, erlotinib, gefitinib and osimertinib are PBS listed for stage IIIB (locally advanced) or stage IV (metastatic) NSCLC. Criteria for treatment include the requirements for monotherapy, non-squamous type NSCLC or </w:t>
      </w:r>
      <w:r w:rsidR="008661F5">
        <w:t xml:space="preserve">NOS </w:t>
      </w:r>
      <w:r>
        <w:t xml:space="preserve">NSCLC, </w:t>
      </w:r>
      <w:r w:rsidR="001B1B97">
        <w:t xml:space="preserve">WHO performance status of 2 or less, </w:t>
      </w:r>
      <w:r w:rsidR="006E0BF9" w:rsidRPr="006E0BF9">
        <w:t>evidence of an activating EGFR gene mutation known to confer sensitivity to treatment with EGFR tyrosine kinase inhibitors</w:t>
      </w:r>
      <w:r w:rsidR="005554C1">
        <w:t xml:space="preserve"> (TKI)</w:t>
      </w:r>
      <w:r w:rsidR="006E0BF9" w:rsidRPr="006E0BF9">
        <w:t xml:space="preserve"> in tumour material</w:t>
      </w:r>
      <w:r w:rsidR="001B1B97">
        <w:t xml:space="preserve"> and to be </w:t>
      </w:r>
      <w:r w:rsidR="003D4D24">
        <w:t xml:space="preserve">1L </w:t>
      </w:r>
      <w:r w:rsidR="001B1B97">
        <w:t xml:space="preserve">EGFR TKI therapy or if not have developed an intolerance to another </w:t>
      </w:r>
      <w:r w:rsidR="00197221">
        <w:t>EGFR</w:t>
      </w:r>
      <w:r w:rsidR="001B1B97">
        <w:t xml:space="preserve"> TKI of a severity necessitating permanent treatment withdrawal. </w:t>
      </w:r>
    </w:p>
    <w:p w14:paraId="3C4314EE" w14:textId="76463413" w:rsidR="004E7B5F" w:rsidRDefault="001B1B97" w:rsidP="004E7B5F">
      <w:r>
        <w:t xml:space="preserve">Osimertinib is also listed for </w:t>
      </w:r>
      <w:r w:rsidR="003D4D24">
        <w:t>2L</w:t>
      </w:r>
      <w:r>
        <w:t xml:space="preserve"> EGFR TKI therapy, where patients must have evidence of EGFR T790M mutation in tumour material at the point of progression on or after </w:t>
      </w:r>
      <w:r w:rsidR="003D4D24">
        <w:t>1L</w:t>
      </w:r>
      <w:r>
        <w:t xml:space="preserve"> EGFR TKI treatment. </w:t>
      </w:r>
    </w:p>
    <w:p w14:paraId="5AB3EE66" w14:textId="47AB1285" w:rsidR="007C69C9" w:rsidRDefault="001B1B97" w:rsidP="007C69C9">
      <w:r>
        <w:t xml:space="preserve">As shown in Figure </w:t>
      </w:r>
      <w:r w:rsidR="00197221">
        <w:t>9</w:t>
      </w:r>
      <w:r>
        <w:t xml:space="preserve"> and </w:t>
      </w:r>
      <w:r w:rsidR="00197221">
        <w:t>10</w:t>
      </w:r>
      <w:r>
        <w:t xml:space="preserve"> below, osimertinib </w:t>
      </w:r>
      <w:r w:rsidR="003D4D24">
        <w:t>wa</w:t>
      </w:r>
      <w:r>
        <w:t xml:space="preserve">s the most common treatment for EGFR mutations. </w:t>
      </w:r>
      <w:r w:rsidR="008C1354">
        <w:t xml:space="preserve">On 1 January 2021 (recommended at the </w:t>
      </w:r>
      <w:hyperlink r:id="rId33" w:history="1">
        <w:r w:rsidR="008C1354" w:rsidRPr="008C1354">
          <w:rPr>
            <w:rStyle w:val="Hyperlink"/>
          </w:rPr>
          <w:t>July 2020 PBAC Meeting</w:t>
        </w:r>
      </w:hyperlink>
      <w:r w:rsidR="008C1354">
        <w:t xml:space="preserve">), the listing for osimertinib was extended for </w:t>
      </w:r>
      <w:r w:rsidR="003D4D24">
        <w:t>1L</w:t>
      </w:r>
      <w:r w:rsidR="008C1354">
        <w:t xml:space="preserve"> therapy. </w:t>
      </w:r>
    </w:p>
    <w:p w14:paraId="4622D5BE" w14:textId="13BDFEE6" w:rsidR="007C69C9" w:rsidRDefault="007C69C9" w:rsidP="00122CD1">
      <w:pPr>
        <w:jc w:val="center"/>
      </w:pPr>
      <w:r>
        <w:rPr>
          <w:noProof/>
        </w:rPr>
        <w:drawing>
          <wp:inline distT="0" distB="0" distL="0" distR="0" wp14:anchorId="7AE87D9D" wp14:editId="5D3B2C31">
            <wp:extent cx="4341412" cy="2051437"/>
            <wp:effectExtent l="0" t="0" r="2540" b="6350"/>
            <wp:docPr id="1" name="Chart 1">
              <a:extLst xmlns:a="http://schemas.openxmlformats.org/drawingml/2006/main">
                <a:ext uri="{FF2B5EF4-FFF2-40B4-BE49-F238E27FC236}">
                  <a16:creationId xmlns:a16="http://schemas.microsoft.com/office/drawing/2014/main" id="{CA871379-5580-4BF3-AECD-50E64D90A30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10A507E" w14:textId="4E3D1532" w:rsidR="00BA0B4A" w:rsidRDefault="007D38BC" w:rsidP="001B1B97">
      <w:pPr>
        <w:pStyle w:val="Heading6"/>
        <w:rPr>
          <w:rFonts w:asciiTheme="minorHAnsi" w:hAnsiTheme="minorHAnsi" w:cstheme="minorHAnsi"/>
          <w:b/>
          <w:bCs/>
          <w:color w:val="auto"/>
        </w:rPr>
      </w:pPr>
      <w:r w:rsidRPr="00DE1D85">
        <w:rPr>
          <w:rFonts w:asciiTheme="minorHAnsi" w:hAnsiTheme="minorHAnsi" w:cstheme="minorHAnsi"/>
          <w:b/>
          <w:bCs/>
          <w:color w:val="auto"/>
        </w:rPr>
        <w:t xml:space="preserve">Figure </w:t>
      </w:r>
      <w:r w:rsidR="003679E4">
        <w:rPr>
          <w:rFonts w:asciiTheme="minorHAnsi" w:hAnsiTheme="minorHAnsi" w:cstheme="minorHAnsi"/>
          <w:b/>
          <w:bCs/>
          <w:color w:val="auto"/>
        </w:rPr>
        <w:t>9</w:t>
      </w:r>
      <w:r w:rsidRPr="00DE1D85">
        <w:rPr>
          <w:rFonts w:asciiTheme="minorHAnsi" w:hAnsiTheme="minorHAnsi" w:cstheme="minorHAnsi"/>
          <w:b/>
          <w:bCs/>
          <w:color w:val="auto"/>
        </w:rPr>
        <w:t xml:space="preserve">: </w:t>
      </w:r>
      <w:r>
        <w:rPr>
          <w:rFonts w:asciiTheme="minorHAnsi" w:hAnsiTheme="minorHAnsi" w:cstheme="minorHAnsi"/>
          <w:b/>
          <w:bCs/>
          <w:color w:val="auto"/>
        </w:rPr>
        <w:t xml:space="preserve">Number of prescriptions supplied for EGFR inhibitors </w:t>
      </w:r>
      <w:r w:rsidR="00877051">
        <w:rPr>
          <w:rFonts w:asciiTheme="minorHAnsi" w:hAnsiTheme="minorHAnsi" w:cstheme="minorHAnsi"/>
          <w:b/>
          <w:bCs/>
          <w:color w:val="auto"/>
        </w:rPr>
        <w:t xml:space="preserve">by </w:t>
      </w:r>
      <w:r>
        <w:rPr>
          <w:rFonts w:asciiTheme="minorHAnsi" w:hAnsiTheme="minorHAnsi" w:cstheme="minorHAnsi"/>
          <w:b/>
          <w:bCs/>
          <w:color w:val="auto"/>
        </w:rPr>
        <w:t>supply quarter</w:t>
      </w:r>
    </w:p>
    <w:p w14:paraId="3D4BA8FA" w14:textId="1F354A3F" w:rsidR="00B15615" w:rsidRDefault="00B15615" w:rsidP="00197221"/>
    <w:p w14:paraId="45B3A9B8" w14:textId="35F52AE5" w:rsidR="007C69C9" w:rsidRDefault="007C69C9" w:rsidP="00BA0B4A">
      <w:pPr>
        <w:jc w:val="center"/>
      </w:pPr>
      <w:r>
        <w:rPr>
          <w:noProof/>
        </w:rPr>
        <w:drawing>
          <wp:inline distT="0" distB="0" distL="0" distR="0" wp14:anchorId="197B605F" wp14:editId="421B2C84">
            <wp:extent cx="4412974" cy="2274073"/>
            <wp:effectExtent l="0" t="0" r="6985" b="12065"/>
            <wp:docPr id="16" name="Chart 16">
              <a:extLst xmlns:a="http://schemas.openxmlformats.org/drawingml/2006/main">
                <a:ext uri="{FF2B5EF4-FFF2-40B4-BE49-F238E27FC236}">
                  <a16:creationId xmlns:a16="http://schemas.microsoft.com/office/drawing/2014/main" id="{F3C2ADB0-5714-43C1-8198-8E3308F405F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69A79DB" w14:textId="6919B972" w:rsidR="00BA0B4A" w:rsidRPr="007D38BC" w:rsidRDefault="00BA0B4A" w:rsidP="00BA0B4A">
      <w:pPr>
        <w:pStyle w:val="Heading6"/>
        <w:rPr>
          <w:rFonts w:asciiTheme="minorHAnsi" w:hAnsiTheme="minorHAnsi" w:cstheme="minorHAnsi"/>
          <w:b/>
          <w:bCs/>
          <w:color w:val="auto"/>
        </w:rPr>
      </w:pPr>
      <w:r w:rsidRPr="00DE1D85">
        <w:rPr>
          <w:rFonts w:asciiTheme="minorHAnsi" w:hAnsiTheme="minorHAnsi" w:cstheme="minorHAnsi"/>
          <w:b/>
          <w:bCs/>
          <w:color w:val="auto"/>
        </w:rPr>
        <w:t xml:space="preserve">Figure </w:t>
      </w:r>
      <w:r w:rsidR="003679E4">
        <w:rPr>
          <w:rFonts w:asciiTheme="minorHAnsi" w:hAnsiTheme="minorHAnsi" w:cstheme="minorHAnsi"/>
          <w:b/>
          <w:bCs/>
          <w:color w:val="auto"/>
        </w:rPr>
        <w:t>10</w:t>
      </w:r>
      <w:r w:rsidRPr="00DE1D85">
        <w:rPr>
          <w:rFonts w:asciiTheme="minorHAnsi" w:hAnsiTheme="minorHAnsi" w:cstheme="minorHAnsi"/>
          <w:b/>
          <w:bCs/>
          <w:color w:val="auto"/>
        </w:rPr>
        <w:t>:</w:t>
      </w:r>
      <w:r>
        <w:rPr>
          <w:rFonts w:asciiTheme="minorHAnsi" w:hAnsiTheme="minorHAnsi" w:cstheme="minorHAnsi"/>
          <w:b/>
          <w:bCs/>
          <w:color w:val="auto"/>
        </w:rPr>
        <w:t xml:space="preserve"> Number of patients treated with EGFR inhibitors </w:t>
      </w:r>
      <w:r w:rsidR="00877051">
        <w:rPr>
          <w:rFonts w:asciiTheme="minorHAnsi" w:hAnsiTheme="minorHAnsi" w:cstheme="minorHAnsi"/>
          <w:b/>
          <w:bCs/>
          <w:color w:val="auto"/>
        </w:rPr>
        <w:t>by</w:t>
      </w:r>
      <w:r>
        <w:rPr>
          <w:rFonts w:asciiTheme="minorHAnsi" w:hAnsiTheme="minorHAnsi" w:cstheme="minorHAnsi"/>
          <w:b/>
          <w:bCs/>
          <w:color w:val="auto"/>
        </w:rPr>
        <w:t xml:space="preserve"> supply quarter</w:t>
      </w:r>
    </w:p>
    <w:p w14:paraId="3EBC833F" w14:textId="77777777" w:rsidR="00BA0B4A" w:rsidRPr="00E801B2" w:rsidRDefault="00BA0B4A" w:rsidP="00BA0B4A">
      <w:pPr>
        <w:jc w:val="center"/>
      </w:pPr>
    </w:p>
    <w:p w14:paraId="605A2E42" w14:textId="07C4DEA2" w:rsidR="00E801B2" w:rsidRDefault="00E801B2" w:rsidP="00E801B2">
      <w:pPr>
        <w:pStyle w:val="Heading5"/>
        <w:rPr>
          <w:b/>
          <w:bCs/>
          <w:i/>
          <w:iCs/>
        </w:rPr>
      </w:pPr>
      <w:r>
        <w:rPr>
          <w:b/>
          <w:bCs/>
          <w:i/>
          <w:iCs/>
        </w:rPr>
        <w:lastRenderedPageBreak/>
        <w:t>ROS</w:t>
      </w:r>
      <w:r w:rsidR="00D93D1E">
        <w:rPr>
          <w:b/>
          <w:bCs/>
          <w:i/>
          <w:iCs/>
        </w:rPr>
        <w:t>1</w:t>
      </w:r>
      <w:r w:rsidR="0036178C">
        <w:rPr>
          <w:b/>
          <w:bCs/>
          <w:i/>
          <w:iCs/>
        </w:rPr>
        <w:t xml:space="preserve"> inhibitors</w:t>
      </w:r>
    </w:p>
    <w:p w14:paraId="4376AF4E" w14:textId="028D237F" w:rsidR="003A0611" w:rsidRDefault="004273E1" w:rsidP="004273E1">
      <w:r>
        <w:t xml:space="preserve">Crizotinib and entrectinib are PBS listed for stage IIIB (locally advanced) or stage IV (metastatic) NSCLC. Criteria for treatment include the requirements for monotherapy, non-squamous type NSCLC or </w:t>
      </w:r>
      <w:r w:rsidR="008661F5">
        <w:t xml:space="preserve">NOS </w:t>
      </w:r>
      <w:r>
        <w:t xml:space="preserve">NSCLC, WHO performance status of 2 or less, evidence of ROS1 gene arrangement in tumour material of 15% or greater positive cells by FISH testing and intolerance to ROS1 receptor </w:t>
      </w:r>
      <w:r w:rsidR="005554C1">
        <w:t>TKI</w:t>
      </w:r>
      <w:r>
        <w:t xml:space="preserve"> necessitating permanent treatment withdrawal.</w:t>
      </w:r>
    </w:p>
    <w:p w14:paraId="4085B164" w14:textId="6F69D583" w:rsidR="003A0611" w:rsidRDefault="003A0611" w:rsidP="004273E1">
      <w:r>
        <w:t xml:space="preserve">As shown in Figure 11 and 12 below, </w:t>
      </w:r>
      <w:r w:rsidR="00E441F2">
        <w:t xml:space="preserve">prior to 2021Q4, </w:t>
      </w:r>
      <w:r w:rsidR="00700655">
        <w:t xml:space="preserve">crizotinib accounted for a greater proportion of utilisation in the ROS1 inhibitor market. From 2021Q4 onwards, a greater number of patients were treated with entrectinib compared to crizotinib. </w:t>
      </w:r>
    </w:p>
    <w:p w14:paraId="60B6A3D1" w14:textId="0189FB8D" w:rsidR="00E801B2" w:rsidRDefault="00AE385C" w:rsidP="00122CD1">
      <w:pPr>
        <w:pStyle w:val="Figurecaption"/>
        <w:jc w:val="center"/>
      </w:pPr>
      <w:r>
        <w:rPr>
          <w:noProof/>
        </w:rPr>
        <w:drawing>
          <wp:inline distT="0" distB="0" distL="0" distR="0" wp14:anchorId="25841323" wp14:editId="2787A031">
            <wp:extent cx="4285753" cy="2250219"/>
            <wp:effectExtent l="0" t="0" r="635" b="17145"/>
            <wp:docPr id="17" name="Chart 17">
              <a:extLst xmlns:a="http://schemas.openxmlformats.org/drawingml/2006/main">
                <a:ext uri="{FF2B5EF4-FFF2-40B4-BE49-F238E27FC236}">
                  <a16:creationId xmlns:a16="http://schemas.microsoft.com/office/drawing/2014/main" id="{6C2E6D0D-0F1E-4302-BDBF-27A20310FF5A}"/>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F16B2FB" w14:textId="46BAF416" w:rsidR="00122CD1" w:rsidRDefault="00122CD1" w:rsidP="00122CD1">
      <w:pPr>
        <w:pStyle w:val="Heading6"/>
        <w:rPr>
          <w:rFonts w:asciiTheme="minorHAnsi" w:hAnsiTheme="minorHAnsi" w:cstheme="minorHAnsi"/>
          <w:b/>
          <w:bCs/>
          <w:color w:val="auto"/>
        </w:rPr>
      </w:pPr>
      <w:r w:rsidRPr="00DE1D85">
        <w:rPr>
          <w:rFonts w:asciiTheme="minorHAnsi" w:hAnsiTheme="minorHAnsi" w:cstheme="minorHAnsi"/>
          <w:b/>
          <w:bCs/>
          <w:color w:val="auto"/>
        </w:rPr>
        <w:t xml:space="preserve">Figure </w:t>
      </w:r>
      <w:r w:rsidR="003679E4">
        <w:rPr>
          <w:rFonts w:asciiTheme="minorHAnsi" w:hAnsiTheme="minorHAnsi" w:cstheme="minorHAnsi"/>
          <w:b/>
          <w:bCs/>
          <w:color w:val="auto"/>
        </w:rPr>
        <w:t>11</w:t>
      </w:r>
      <w:r w:rsidRPr="00DE1D85">
        <w:rPr>
          <w:rFonts w:asciiTheme="minorHAnsi" w:hAnsiTheme="minorHAnsi" w:cstheme="minorHAnsi"/>
          <w:b/>
          <w:bCs/>
          <w:color w:val="auto"/>
        </w:rPr>
        <w:t xml:space="preserve">: </w:t>
      </w:r>
      <w:r>
        <w:rPr>
          <w:rFonts w:asciiTheme="minorHAnsi" w:hAnsiTheme="minorHAnsi" w:cstheme="minorHAnsi"/>
          <w:b/>
          <w:bCs/>
          <w:color w:val="auto"/>
        </w:rPr>
        <w:t>Number of prescriptions supplied for ROS</w:t>
      </w:r>
      <w:r w:rsidR="004273E1">
        <w:rPr>
          <w:rFonts w:asciiTheme="minorHAnsi" w:hAnsiTheme="minorHAnsi" w:cstheme="minorHAnsi"/>
          <w:b/>
          <w:bCs/>
          <w:color w:val="auto"/>
        </w:rPr>
        <w:t>1</w:t>
      </w:r>
      <w:r>
        <w:rPr>
          <w:rFonts w:asciiTheme="minorHAnsi" w:hAnsiTheme="minorHAnsi" w:cstheme="minorHAnsi"/>
          <w:b/>
          <w:bCs/>
          <w:color w:val="auto"/>
        </w:rPr>
        <w:t xml:space="preserve"> inhibitors </w:t>
      </w:r>
      <w:r w:rsidR="00415E61">
        <w:rPr>
          <w:rFonts w:asciiTheme="minorHAnsi" w:hAnsiTheme="minorHAnsi" w:cstheme="minorHAnsi"/>
          <w:b/>
          <w:bCs/>
          <w:color w:val="auto"/>
        </w:rPr>
        <w:t>by</w:t>
      </w:r>
      <w:r>
        <w:rPr>
          <w:rFonts w:asciiTheme="minorHAnsi" w:hAnsiTheme="minorHAnsi" w:cstheme="minorHAnsi"/>
          <w:b/>
          <w:bCs/>
          <w:color w:val="auto"/>
        </w:rPr>
        <w:t xml:space="preserve"> supply quarter</w:t>
      </w:r>
    </w:p>
    <w:p w14:paraId="04B7FD2A" w14:textId="52696C1F" w:rsidR="00BA0B4A" w:rsidRDefault="00BA0B4A" w:rsidP="00BA0B4A"/>
    <w:p w14:paraId="3165C837" w14:textId="494BA8B6" w:rsidR="00BA0B4A" w:rsidRDefault="00D93D1E" w:rsidP="00BA0B4A">
      <w:pPr>
        <w:jc w:val="center"/>
      </w:pPr>
      <w:r>
        <w:rPr>
          <w:noProof/>
        </w:rPr>
        <w:drawing>
          <wp:inline distT="0" distB="0" distL="0" distR="0" wp14:anchorId="76943AAF" wp14:editId="19194248">
            <wp:extent cx="4389120" cy="2266121"/>
            <wp:effectExtent l="0" t="0" r="11430" b="1270"/>
            <wp:docPr id="2" name="Chart 2">
              <a:extLst xmlns:a="http://schemas.openxmlformats.org/drawingml/2006/main">
                <a:ext uri="{FF2B5EF4-FFF2-40B4-BE49-F238E27FC236}">
                  <a16:creationId xmlns:a16="http://schemas.microsoft.com/office/drawing/2014/main" id="{93CCA918-84BD-4780-AD07-9FF8A6C41F6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38421EF" w14:textId="6E87584B" w:rsidR="00122CD1" w:rsidRDefault="00BA0B4A" w:rsidP="00D16F30">
      <w:pPr>
        <w:pStyle w:val="Heading6"/>
        <w:rPr>
          <w:rFonts w:asciiTheme="minorHAnsi" w:hAnsiTheme="minorHAnsi" w:cstheme="minorHAnsi"/>
          <w:b/>
          <w:bCs/>
          <w:color w:val="auto"/>
        </w:rPr>
      </w:pPr>
      <w:r w:rsidRPr="00DE1D85">
        <w:rPr>
          <w:rFonts w:asciiTheme="minorHAnsi" w:hAnsiTheme="minorHAnsi" w:cstheme="minorHAnsi"/>
          <w:b/>
          <w:bCs/>
          <w:color w:val="auto"/>
        </w:rPr>
        <w:t xml:space="preserve">Figure </w:t>
      </w:r>
      <w:r w:rsidR="00AB2BC6">
        <w:rPr>
          <w:rFonts w:asciiTheme="minorHAnsi" w:hAnsiTheme="minorHAnsi" w:cstheme="minorHAnsi"/>
          <w:b/>
          <w:bCs/>
          <w:color w:val="auto"/>
        </w:rPr>
        <w:t>1</w:t>
      </w:r>
      <w:r w:rsidR="003679E4">
        <w:rPr>
          <w:rFonts w:asciiTheme="minorHAnsi" w:hAnsiTheme="minorHAnsi" w:cstheme="minorHAnsi"/>
          <w:b/>
          <w:bCs/>
          <w:color w:val="auto"/>
        </w:rPr>
        <w:t>2</w:t>
      </w:r>
      <w:r w:rsidRPr="00DE1D85">
        <w:rPr>
          <w:rFonts w:asciiTheme="minorHAnsi" w:hAnsiTheme="minorHAnsi" w:cstheme="minorHAnsi"/>
          <w:b/>
          <w:bCs/>
          <w:color w:val="auto"/>
        </w:rPr>
        <w:t xml:space="preserve">: </w:t>
      </w:r>
      <w:r>
        <w:rPr>
          <w:rFonts w:asciiTheme="minorHAnsi" w:hAnsiTheme="minorHAnsi" w:cstheme="minorHAnsi"/>
          <w:b/>
          <w:bCs/>
          <w:color w:val="auto"/>
        </w:rPr>
        <w:t>Number of patients treated with ROS</w:t>
      </w:r>
      <w:r w:rsidR="004273E1">
        <w:rPr>
          <w:rFonts w:asciiTheme="minorHAnsi" w:hAnsiTheme="minorHAnsi" w:cstheme="minorHAnsi"/>
          <w:b/>
          <w:bCs/>
          <w:color w:val="auto"/>
        </w:rPr>
        <w:t>1</w:t>
      </w:r>
      <w:r>
        <w:rPr>
          <w:rFonts w:asciiTheme="minorHAnsi" w:hAnsiTheme="minorHAnsi" w:cstheme="minorHAnsi"/>
          <w:b/>
          <w:bCs/>
          <w:color w:val="auto"/>
        </w:rPr>
        <w:t xml:space="preserve"> inhibitors </w:t>
      </w:r>
      <w:r w:rsidR="00415E61">
        <w:rPr>
          <w:rFonts w:asciiTheme="minorHAnsi" w:hAnsiTheme="minorHAnsi" w:cstheme="minorHAnsi"/>
          <w:b/>
          <w:bCs/>
          <w:color w:val="auto"/>
        </w:rPr>
        <w:t>by</w:t>
      </w:r>
      <w:r>
        <w:rPr>
          <w:rFonts w:asciiTheme="minorHAnsi" w:hAnsiTheme="minorHAnsi" w:cstheme="minorHAnsi"/>
          <w:b/>
          <w:bCs/>
          <w:color w:val="auto"/>
        </w:rPr>
        <w:t xml:space="preserve"> supply quarter</w:t>
      </w:r>
    </w:p>
    <w:p w14:paraId="36A79E3A" w14:textId="77777777" w:rsidR="00931050" w:rsidRPr="00931050" w:rsidRDefault="00931050" w:rsidP="00931050"/>
    <w:p w14:paraId="51DD3194" w14:textId="4A30F53B" w:rsidR="003A0611" w:rsidRDefault="003A0611">
      <w:pPr>
        <w:spacing w:line="276" w:lineRule="auto"/>
        <w:rPr>
          <w:b/>
          <w:i/>
          <w:szCs w:val="28"/>
        </w:rPr>
      </w:pPr>
    </w:p>
    <w:p w14:paraId="533CAEFA" w14:textId="77777777" w:rsidR="00700655" w:rsidRDefault="00700655">
      <w:pPr>
        <w:spacing w:line="276" w:lineRule="auto"/>
        <w:rPr>
          <w:b/>
          <w:i/>
          <w:szCs w:val="28"/>
        </w:rPr>
      </w:pPr>
    </w:p>
    <w:p w14:paraId="463DC152" w14:textId="6DA98C96" w:rsidR="00AE385C" w:rsidRPr="00AE385C" w:rsidRDefault="00D16F30" w:rsidP="00B7407B">
      <w:pPr>
        <w:pStyle w:val="Heading3"/>
      </w:pPr>
      <w:r w:rsidRPr="005E22C2">
        <w:lastRenderedPageBreak/>
        <w:t>Utilisation by relevant sub-populations/regions or patient level analysis</w:t>
      </w:r>
    </w:p>
    <w:p w14:paraId="390F3B7F" w14:textId="066A24FD" w:rsidR="00AE385C" w:rsidRDefault="00AE385C" w:rsidP="00E52A64">
      <w:pPr>
        <w:spacing w:line="276" w:lineRule="auto"/>
        <w:jc w:val="center"/>
      </w:pPr>
      <w:r>
        <w:rPr>
          <w:noProof/>
        </w:rPr>
        <w:drawing>
          <wp:inline distT="0" distB="0" distL="0" distR="0" wp14:anchorId="3119C0D3" wp14:editId="79108CC2">
            <wp:extent cx="3880236" cy="2226365"/>
            <wp:effectExtent l="0" t="0" r="6350" b="2540"/>
            <wp:docPr id="19" name="Chart 19">
              <a:extLst xmlns:a="http://schemas.openxmlformats.org/drawingml/2006/main">
                <a:ext uri="{FF2B5EF4-FFF2-40B4-BE49-F238E27FC236}">
                  <a16:creationId xmlns:a16="http://schemas.microsoft.com/office/drawing/2014/main" id="{0CF3F274-9306-4708-97EE-3F4209274F8C}"/>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9343E07" w14:textId="6522B1F5" w:rsidR="00EF62BD" w:rsidRDefault="00EF62BD" w:rsidP="00EF62BD">
      <w:pPr>
        <w:pStyle w:val="Tabletitle"/>
      </w:pPr>
      <w:r w:rsidRPr="00E801B2">
        <w:t xml:space="preserve">Figure </w:t>
      </w:r>
      <w:r w:rsidR="00AB2BC6">
        <w:t>1</w:t>
      </w:r>
      <w:r w:rsidR="003679E4">
        <w:t>3</w:t>
      </w:r>
      <w:r>
        <w:t xml:space="preserve">: </w:t>
      </w:r>
      <w:r w:rsidRPr="00EF62BD">
        <w:t xml:space="preserve">Number of </w:t>
      </w:r>
      <w:r w:rsidRPr="00EF62BD">
        <w:rPr>
          <w:rFonts w:cstheme="minorHAnsi"/>
        </w:rPr>
        <w:t xml:space="preserve">initiating and prevalent durvalumab patients </w:t>
      </w:r>
      <w:r w:rsidR="00415E61">
        <w:rPr>
          <w:rFonts w:cstheme="minorHAnsi"/>
        </w:rPr>
        <w:t>by</w:t>
      </w:r>
      <w:r w:rsidRPr="00EF62BD">
        <w:rPr>
          <w:rFonts w:cstheme="minorHAnsi"/>
        </w:rPr>
        <w:t xml:space="preserve"> supply quarter</w:t>
      </w:r>
    </w:p>
    <w:p w14:paraId="16B6CDC2" w14:textId="77777777" w:rsidR="00415E61" w:rsidRDefault="00415E61" w:rsidP="00CE38D1"/>
    <w:p w14:paraId="5986A03A" w14:textId="5DDA38A2" w:rsidR="00CE38D1" w:rsidRPr="00CE38D1" w:rsidRDefault="00CE38D1" w:rsidP="00CE38D1">
      <w:r>
        <w:t xml:space="preserve">Figure </w:t>
      </w:r>
      <w:r w:rsidR="00AB2BC6">
        <w:t>1</w:t>
      </w:r>
      <w:r w:rsidR="00B7407B">
        <w:t>3</w:t>
      </w:r>
      <w:r>
        <w:t xml:space="preserve"> shows the number of initiating and prevalent durvalumab patients. From 2020</w:t>
      </w:r>
      <w:r w:rsidR="003D4D24">
        <w:t>Q3</w:t>
      </w:r>
      <w:r>
        <w:t xml:space="preserve"> onwards, the number of initiating and prevalent patients have remained relatively </w:t>
      </w:r>
      <w:r w:rsidR="00700655">
        <w:t>stable</w:t>
      </w:r>
      <w:r>
        <w:t xml:space="preserve">, with approximately </w:t>
      </w:r>
      <w:r w:rsidR="00B7407B">
        <w:t>150</w:t>
      </w:r>
      <w:r>
        <w:t xml:space="preserve"> initiating patients and </w:t>
      </w:r>
      <w:r w:rsidR="00B7407B">
        <w:t>580</w:t>
      </w:r>
      <w:r>
        <w:t xml:space="preserve"> prevalent patients per supply quarter. </w:t>
      </w:r>
    </w:p>
    <w:p w14:paraId="43ACF9EE" w14:textId="53DBCAAA" w:rsidR="00E801B2" w:rsidRDefault="00E801B2" w:rsidP="00AE385C"/>
    <w:p w14:paraId="0DC82F55" w14:textId="6A149E89" w:rsidR="00AE385C" w:rsidRDefault="00AE385C" w:rsidP="005073D8">
      <w:pPr>
        <w:jc w:val="center"/>
      </w:pPr>
      <w:r>
        <w:rPr>
          <w:noProof/>
        </w:rPr>
        <w:drawing>
          <wp:inline distT="0" distB="0" distL="0" distR="0" wp14:anchorId="3412CCB4" wp14:editId="0AF4EF0F">
            <wp:extent cx="4047214" cy="2321781"/>
            <wp:effectExtent l="0" t="0" r="10795" b="2540"/>
            <wp:docPr id="22" name="Chart 22">
              <a:extLst xmlns:a="http://schemas.openxmlformats.org/drawingml/2006/main">
                <a:ext uri="{FF2B5EF4-FFF2-40B4-BE49-F238E27FC236}">
                  <a16:creationId xmlns:a16="http://schemas.microsoft.com/office/drawing/2014/main" id="{B4F81D43-E6CD-4C6E-86F7-FA50EA25111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40DF081" w14:textId="6EF0B12D" w:rsidR="00EF62BD" w:rsidRPr="00EF62BD" w:rsidRDefault="00EF62BD" w:rsidP="00EF62BD">
      <w:pPr>
        <w:pStyle w:val="Tabletitle"/>
      </w:pPr>
      <w:r w:rsidRPr="00E801B2">
        <w:t xml:space="preserve">Figure </w:t>
      </w:r>
      <w:r w:rsidR="00AB2BC6">
        <w:t>1</w:t>
      </w:r>
      <w:r w:rsidR="003679E4">
        <w:t>4</w:t>
      </w:r>
      <w:r w:rsidRPr="00E801B2">
        <w:t xml:space="preserve">: </w:t>
      </w:r>
      <w:r w:rsidRPr="00EF62BD">
        <w:rPr>
          <w:rFonts w:cstheme="minorHAnsi"/>
        </w:rPr>
        <w:t>Age and gender distribution of initiating durvalumab patients</w:t>
      </w:r>
    </w:p>
    <w:p w14:paraId="36CB7EA6" w14:textId="77777777" w:rsidR="00EF62BD" w:rsidRDefault="00EF62BD" w:rsidP="00A35800">
      <w:pPr>
        <w:rPr>
          <w:rFonts w:cstheme="minorHAnsi"/>
          <w:b/>
          <w:bCs/>
        </w:rPr>
      </w:pPr>
    </w:p>
    <w:p w14:paraId="06B2CBCF" w14:textId="09DB60D5" w:rsidR="005073D8" w:rsidRDefault="00D67D4C" w:rsidP="00A35800">
      <w:pPr>
        <w:rPr>
          <w:rFonts w:cstheme="minorHAnsi"/>
        </w:rPr>
      </w:pPr>
      <w:r>
        <w:rPr>
          <w:rFonts w:cstheme="minorHAnsi"/>
        </w:rPr>
        <w:t xml:space="preserve">Figure </w:t>
      </w:r>
      <w:r w:rsidR="00AB2BC6">
        <w:rPr>
          <w:rFonts w:cstheme="minorHAnsi"/>
        </w:rPr>
        <w:t>1</w:t>
      </w:r>
      <w:r w:rsidR="00B7407B">
        <w:rPr>
          <w:rFonts w:cstheme="minorHAnsi"/>
        </w:rPr>
        <w:t>4</w:t>
      </w:r>
      <w:r>
        <w:rPr>
          <w:rFonts w:cstheme="minorHAnsi"/>
        </w:rPr>
        <w:t xml:space="preserve"> shows the age and gender distribution of patients initiating treatment with dur</w:t>
      </w:r>
      <w:r w:rsidR="00637FE9">
        <w:rPr>
          <w:rFonts w:cstheme="minorHAnsi"/>
        </w:rPr>
        <w:t>va</w:t>
      </w:r>
      <w:r>
        <w:rPr>
          <w:rFonts w:cstheme="minorHAnsi"/>
        </w:rPr>
        <w:t>l</w:t>
      </w:r>
      <w:r w:rsidR="00637FE9">
        <w:rPr>
          <w:rFonts w:cstheme="minorHAnsi"/>
        </w:rPr>
        <w:t>u</w:t>
      </w:r>
      <w:r>
        <w:rPr>
          <w:rFonts w:cstheme="minorHAnsi"/>
        </w:rPr>
        <w:t>m</w:t>
      </w:r>
      <w:r w:rsidR="00637FE9">
        <w:rPr>
          <w:rFonts w:cstheme="minorHAnsi"/>
        </w:rPr>
        <w:t>a</w:t>
      </w:r>
      <w:r>
        <w:rPr>
          <w:rFonts w:cstheme="minorHAnsi"/>
        </w:rPr>
        <w:t xml:space="preserve">b. </w:t>
      </w:r>
      <w:r w:rsidR="00280DD9">
        <w:rPr>
          <w:rFonts w:cstheme="minorHAnsi"/>
        </w:rPr>
        <w:t xml:space="preserve">The most common age group for both female and male </w:t>
      </w:r>
      <w:r w:rsidR="00B7407B">
        <w:rPr>
          <w:rFonts w:cstheme="minorHAnsi"/>
        </w:rPr>
        <w:t>was</w:t>
      </w:r>
      <w:r w:rsidR="00280DD9">
        <w:rPr>
          <w:rFonts w:cstheme="minorHAnsi"/>
        </w:rPr>
        <w:t xml:space="preserve"> 70-74 years. Overall, t</w:t>
      </w:r>
      <w:r>
        <w:rPr>
          <w:rFonts w:cstheme="minorHAnsi"/>
        </w:rPr>
        <w:t>he mean and median age was 6</w:t>
      </w:r>
      <w:r w:rsidR="00280DD9">
        <w:rPr>
          <w:rFonts w:cstheme="minorHAnsi"/>
        </w:rPr>
        <w:t>7</w:t>
      </w:r>
      <w:r>
        <w:rPr>
          <w:rFonts w:cstheme="minorHAnsi"/>
        </w:rPr>
        <w:t xml:space="preserve"> and 69 years, respectively. The </w:t>
      </w:r>
      <w:r w:rsidR="00700655">
        <w:rPr>
          <w:rFonts w:cstheme="minorHAnsi"/>
        </w:rPr>
        <w:t xml:space="preserve">age </w:t>
      </w:r>
      <w:r>
        <w:rPr>
          <w:rFonts w:cstheme="minorHAnsi"/>
        </w:rPr>
        <w:t xml:space="preserve">range </w:t>
      </w:r>
      <w:r w:rsidR="00700655">
        <w:rPr>
          <w:rFonts w:cstheme="minorHAnsi"/>
        </w:rPr>
        <w:t xml:space="preserve">of patients </w:t>
      </w:r>
      <w:r>
        <w:rPr>
          <w:rFonts w:cstheme="minorHAnsi"/>
        </w:rPr>
        <w:t xml:space="preserve">was between 36 to 93 years old. </w:t>
      </w:r>
    </w:p>
    <w:p w14:paraId="2FC8EA38" w14:textId="49CE291B" w:rsidR="00D36935" w:rsidRDefault="00D36935" w:rsidP="00A35800">
      <w:pPr>
        <w:rPr>
          <w:rFonts w:cstheme="minorHAnsi"/>
        </w:rPr>
      </w:pPr>
    </w:p>
    <w:p w14:paraId="1F459D1F" w14:textId="055E70EC" w:rsidR="00EF62BD" w:rsidRPr="00EF62BD" w:rsidRDefault="0017525D" w:rsidP="00EF62BD">
      <w:pPr>
        <w:jc w:val="center"/>
        <w:rPr>
          <w:rFonts w:cstheme="minorHAnsi"/>
        </w:rPr>
      </w:pPr>
      <w:r>
        <w:rPr>
          <w:noProof/>
        </w:rPr>
        <w:lastRenderedPageBreak/>
        <w:drawing>
          <wp:inline distT="0" distB="0" distL="0" distR="0" wp14:anchorId="43950AB4" wp14:editId="7183BA3C">
            <wp:extent cx="3862317" cy="1733265"/>
            <wp:effectExtent l="0" t="0" r="5080" b="635"/>
            <wp:docPr id="21" name="Chart 21">
              <a:extLst xmlns:a="http://schemas.openxmlformats.org/drawingml/2006/main">
                <a:ext uri="{FF2B5EF4-FFF2-40B4-BE49-F238E27FC236}">
                  <a16:creationId xmlns:a16="http://schemas.microsoft.com/office/drawing/2014/main" id="{A2EC71DB-131B-4931-8414-BC79DB46C567}"/>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F5D1422" w14:textId="239CADD3" w:rsidR="00EF62BD" w:rsidRPr="00EF62BD" w:rsidRDefault="00EF62BD" w:rsidP="003D4D24">
      <w:pPr>
        <w:pStyle w:val="Tabletitle"/>
      </w:pPr>
      <w:r w:rsidRPr="00E801B2">
        <w:t xml:space="preserve">Figure </w:t>
      </w:r>
      <w:r w:rsidR="00AB2BC6">
        <w:t>1</w:t>
      </w:r>
      <w:r w:rsidR="00EF4C15">
        <w:t>5</w:t>
      </w:r>
      <w:r w:rsidRPr="00E801B2">
        <w:t xml:space="preserve">: </w:t>
      </w:r>
      <w:r>
        <w:rPr>
          <w:rFonts w:cstheme="minorHAnsi"/>
        </w:rPr>
        <w:t xml:space="preserve">Time to resupply durvalumab prescriptions </w:t>
      </w:r>
    </w:p>
    <w:p w14:paraId="7106A97A" w14:textId="77777777" w:rsidR="002B672E" w:rsidRDefault="002B672E" w:rsidP="00A35800">
      <w:pPr>
        <w:rPr>
          <w:rFonts w:cstheme="minorHAnsi"/>
        </w:rPr>
      </w:pPr>
    </w:p>
    <w:p w14:paraId="75A8779B" w14:textId="1F894AC8" w:rsidR="003D4D24" w:rsidRDefault="0017525D" w:rsidP="00A35800">
      <w:pPr>
        <w:rPr>
          <w:rFonts w:cstheme="minorHAnsi"/>
        </w:rPr>
      </w:pPr>
      <w:r>
        <w:rPr>
          <w:rFonts w:cstheme="minorHAnsi"/>
        </w:rPr>
        <w:t xml:space="preserve">From Figure </w:t>
      </w:r>
      <w:r w:rsidR="00EF4C15">
        <w:rPr>
          <w:rFonts w:cstheme="minorHAnsi"/>
        </w:rPr>
        <w:t>15</w:t>
      </w:r>
      <w:r>
        <w:rPr>
          <w:rFonts w:cstheme="minorHAnsi"/>
        </w:rPr>
        <w:t xml:space="preserve">, the most common resupply time between durvalumab prescriptions was 14 days. This </w:t>
      </w:r>
      <w:r w:rsidR="00700655">
        <w:rPr>
          <w:rFonts w:cstheme="minorHAnsi"/>
        </w:rPr>
        <w:t>is consistent</w:t>
      </w:r>
      <w:r>
        <w:rPr>
          <w:rFonts w:cstheme="minorHAnsi"/>
        </w:rPr>
        <w:t xml:space="preserve"> with the recommended dosage interval in the </w:t>
      </w:r>
      <w:r w:rsidR="006A49AF">
        <w:rPr>
          <w:rFonts w:cstheme="minorHAnsi"/>
        </w:rPr>
        <w:t>P</w:t>
      </w:r>
      <w:r>
        <w:rPr>
          <w:rFonts w:cstheme="minorHAnsi"/>
        </w:rPr>
        <w:t xml:space="preserve">roduct </w:t>
      </w:r>
      <w:r w:rsidR="006A49AF">
        <w:rPr>
          <w:rFonts w:cstheme="minorHAnsi"/>
        </w:rPr>
        <w:t>I</w:t>
      </w:r>
      <w:r>
        <w:rPr>
          <w:rFonts w:cstheme="minorHAnsi"/>
        </w:rPr>
        <w:t xml:space="preserve">nformation, which recommended a dosage of 10 mg/kg infused every </w:t>
      </w:r>
      <w:r w:rsidR="00EF4C15">
        <w:rPr>
          <w:rFonts w:cstheme="minorHAnsi"/>
        </w:rPr>
        <w:t>two</w:t>
      </w:r>
      <w:r>
        <w:rPr>
          <w:rFonts w:cstheme="minorHAnsi"/>
        </w:rPr>
        <w:t xml:space="preserve"> weeks. </w:t>
      </w:r>
    </w:p>
    <w:p w14:paraId="473A24AF" w14:textId="31F8F913" w:rsidR="00EA2374" w:rsidRPr="00EA2374" w:rsidRDefault="00EA2374" w:rsidP="00EA2374">
      <w:pPr>
        <w:pStyle w:val="Tabletitle"/>
      </w:pPr>
      <w:r>
        <w:t xml:space="preserve">Table </w:t>
      </w:r>
      <w:r w:rsidR="00EF4C15">
        <w:t>7</w:t>
      </w:r>
      <w:r>
        <w:t xml:space="preserve">: Estimated length of treatment from Kaplan Meier </w:t>
      </w:r>
      <w:r w:rsidR="00072EE6">
        <w:t>analysis</w:t>
      </w:r>
      <w:r>
        <w:t xml:space="preserve"> in patients who initiated durvalumab treatment from 1 June 2020 to </w:t>
      </w:r>
      <w:r w:rsidR="00072EE6" w:rsidRPr="00072EE6">
        <w:t>30 November 2020</w:t>
      </w:r>
      <w:r w:rsidR="00072EE6">
        <w:t xml:space="preserve"> and followed up to 30 June 2022</w:t>
      </w:r>
    </w:p>
    <w:tbl>
      <w:tblPr>
        <w:tblStyle w:val="TableGrid"/>
        <w:tblW w:w="0" w:type="auto"/>
        <w:tblLook w:val="04A0" w:firstRow="1" w:lastRow="0" w:firstColumn="1" w:lastColumn="0" w:noHBand="0" w:noVBand="1"/>
      </w:tblPr>
      <w:tblGrid>
        <w:gridCol w:w="1189"/>
        <w:gridCol w:w="1190"/>
        <w:gridCol w:w="1190"/>
        <w:gridCol w:w="1190"/>
        <w:gridCol w:w="1190"/>
        <w:gridCol w:w="1499"/>
        <w:gridCol w:w="1499"/>
      </w:tblGrid>
      <w:tr w:rsidR="00072EE6" w:rsidRPr="00EA2374" w14:paraId="70898413" w14:textId="77777777" w:rsidTr="00072EE6">
        <w:trPr>
          <w:trHeight w:val="256"/>
        </w:trPr>
        <w:tc>
          <w:tcPr>
            <w:tcW w:w="1189" w:type="dxa"/>
            <w:vMerge w:val="restart"/>
            <w:shd w:val="clear" w:color="auto" w:fill="BFBFBF" w:themeFill="background1" w:themeFillShade="BF"/>
          </w:tcPr>
          <w:p w14:paraId="735BCD7F" w14:textId="50EBBC29" w:rsidR="00EA2374" w:rsidRPr="00EA2374" w:rsidRDefault="00EA2374" w:rsidP="00072EE6">
            <w:pPr>
              <w:jc w:val="center"/>
              <w:rPr>
                <w:rFonts w:cstheme="minorHAnsi"/>
                <w:b/>
                <w:bCs/>
                <w:sz w:val="20"/>
                <w:szCs w:val="20"/>
              </w:rPr>
            </w:pPr>
            <w:r w:rsidRPr="00EA2374">
              <w:rPr>
                <w:rFonts w:cstheme="minorHAnsi"/>
                <w:b/>
                <w:bCs/>
                <w:sz w:val="20"/>
                <w:szCs w:val="20"/>
              </w:rPr>
              <w:t>Number of patients</w:t>
            </w:r>
          </w:p>
        </w:tc>
        <w:tc>
          <w:tcPr>
            <w:tcW w:w="1190" w:type="dxa"/>
            <w:vMerge w:val="restart"/>
            <w:shd w:val="clear" w:color="auto" w:fill="BFBFBF" w:themeFill="background1" w:themeFillShade="BF"/>
          </w:tcPr>
          <w:p w14:paraId="23E77727" w14:textId="7E9E6315" w:rsidR="00EA2374" w:rsidRPr="00EA2374" w:rsidRDefault="00EA2374" w:rsidP="00072EE6">
            <w:pPr>
              <w:jc w:val="center"/>
              <w:rPr>
                <w:rFonts w:cstheme="minorHAnsi"/>
                <w:b/>
                <w:bCs/>
                <w:sz w:val="20"/>
                <w:szCs w:val="20"/>
              </w:rPr>
            </w:pPr>
            <w:r w:rsidRPr="00EA2374">
              <w:rPr>
                <w:rFonts w:cstheme="minorHAnsi"/>
                <w:b/>
                <w:bCs/>
                <w:sz w:val="20"/>
                <w:szCs w:val="20"/>
              </w:rPr>
              <w:t>Censored</w:t>
            </w:r>
          </w:p>
        </w:tc>
        <w:tc>
          <w:tcPr>
            <w:tcW w:w="1190" w:type="dxa"/>
            <w:vMerge w:val="restart"/>
            <w:shd w:val="clear" w:color="auto" w:fill="BFBFBF" w:themeFill="background1" w:themeFillShade="BF"/>
          </w:tcPr>
          <w:p w14:paraId="21DB4361" w14:textId="77777777" w:rsidR="00072EE6" w:rsidRDefault="00EA2374" w:rsidP="00072EE6">
            <w:pPr>
              <w:jc w:val="center"/>
              <w:rPr>
                <w:rFonts w:cstheme="minorHAnsi"/>
                <w:b/>
                <w:bCs/>
                <w:sz w:val="20"/>
                <w:szCs w:val="20"/>
              </w:rPr>
            </w:pPr>
            <w:r w:rsidRPr="00EA2374">
              <w:rPr>
                <w:rFonts w:cstheme="minorHAnsi"/>
                <w:b/>
                <w:bCs/>
                <w:sz w:val="20"/>
                <w:szCs w:val="20"/>
              </w:rPr>
              <w:t>Median</w:t>
            </w:r>
          </w:p>
          <w:p w14:paraId="01D2C9F2" w14:textId="1D4C15F1" w:rsidR="00EA2374" w:rsidRPr="00EA2374" w:rsidRDefault="00072EE6" w:rsidP="00072EE6">
            <w:pPr>
              <w:jc w:val="center"/>
              <w:rPr>
                <w:rFonts w:cstheme="minorHAnsi"/>
                <w:b/>
                <w:bCs/>
                <w:sz w:val="20"/>
                <w:szCs w:val="20"/>
              </w:rPr>
            </w:pPr>
            <w:r>
              <w:rPr>
                <w:rFonts w:cstheme="minorHAnsi"/>
                <w:b/>
                <w:bCs/>
                <w:sz w:val="20"/>
                <w:szCs w:val="20"/>
              </w:rPr>
              <w:t>(weeks)</w:t>
            </w:r>
          </w:p>
        </w:tc>
        <w:tc>
          <w:tcPr>
            <w:tcW w:w="1190" w:type="dxa"/>
            <w:vMerge w:val="restart"/>
            <w:shd w:val="clear" w:color="auto" w:fill="BFBFBF" w:themeFill="background1" w:themeFillShade="BF"/>
          </w:tcPr>
          <w:p w14:paraId="75483A79" w14:textId="0AF27507" w:rsidR="00072EE6" w:rsidRDefault="00EA2374" w:rsidP="00072EE6">
            <w:pPr>
              <w:jc w:val="center"/>
              <w:rPr>
                <w:rFonts w:cstheme="minorHAnsi"/>
                <w:b/>
                <w:bCs/>
                <w:sz w:val="20"/>
                <w:szCs w:val="20"/>
              </w:rPr>
            </w:pPr>
            <w:r w:rsidRPr="00EA2374">
              <w:rPr>
                <w:rFonts w:cstheme="minorHAnsi"/>
                <w:b/>
                <w:bCs/>
                <w:sz w:val="20"/>
                <w:szCs w:val="20"/>
              </w:rPr>
              <w:t>Mean</w:t>
            </w:r>
          </w:p>
          <w:p w14:paraId="0E99F3ED" w14:textId="40961459" w:rsidR="00EA2374" w:rsidRPr="00EA2374" w:rsidRDefault="00EA2374" w:rsidP="00072EE6">
            <w:pPr>
              <w:jc w:val="center"/>
              <w:rPr>
                <w:rFonts w:cstheme="minorHAnsi"/>
                <w:b/>
                <w:bCs/>
                <w:sz w:val="20"/>
                <w:szCs w:val="20"/>
              </w:rPr>
            </w:pPr>
            <w:r w:rsidRPr="00EA2374">
              <w:rPr>
                <w:rFonts w:cstheme="minorHAnsi"/>
                <w:b/>
                <w:bCs/>
                <w:sz w:val="20"/>
                <w:szCs w:val="20"/>
              </w:rPr>
              <w:t>(</w:t>
            </w:r>
            <w:r w:rsidR="00072EE6" w:rsidRPr="00EA2374">
              <w:rPr>
                <w:rFonts w:cstheme="minorHAnsi"/>
                <w:b/>
                <w:bCs/>
                <w:sz w:val="20"/>
                <w:szCs w:val="20"/>
              </w:rPr>
              <w:t>weeks)</w:t>
            </w:r>
          </w:p>
        </w:tc>
        <w:tc>
          <w:tcPr>
            <w:tcW w:w="1190" w:type="dxa"/>
            <w:vMerge w:val="restart"/>
            <w:shd w:val="clear" w:color="auto" w:fill="BFBFBF" w:themeFill="background1" w:themeFillShade="BF"/>
          </w:tcPr>
          <w:p w14:paraId="432F889E" w14:textId="1280430B" w:rsidR="00EA2374" w:rsidRPr="00EA2374" w:rsidRDefault="00EA2374" w:rsidP="00072EE6">
            <w:pPr>
              <w:jc w:val="center"/>
              <w:rPr>
                <w:rFonts w:cstheme="minorHAnsi"/>
                <w:b/>
                <w:bCs/>
                <w:sz w:val="20"/>
                <w:szCs w:val="20"/>
              </w:rPr>
            </w:pPr>
            <w:r w:rsidRPr="00EA2374">
              <w:rPr>
                <w:rFonts w:cstheme="minorHAnsi"/>
                <w:b/>
                <w:bCs/>
                <w:sz w:val="20"/>
                <w:szCs w:val="20"/>
              </w:rPr>
              <w:t>Standard error</w:t>
            </w:r>
          </w:p>
        </w:tc>
        <w:tc>
          <w:tcPr>
            <w:tcW w:w="2998" w:type="dxa"/>
            <w:gridSpan w:val="2"/>
            <w:shd w:val="clear" w:color="auto" w:fill="BFBFBF" w:themeFill="background1" w:themeFillShade="BF"/>
          </w:tcPr>
          <w:p w14:paraId="318C5AF0" w14:textId="01A26DF7" w:rsidR="00EA2374" w:rsidRPr="00EA2374" w:rsidRDefault="00EA2374" w:rsidP="00072EE6">
            <w:pPr>
              <w:jc w:val="center"/>
              <w:rPr>
                <w:rFonts w:cstheme="minorHAnsi"/>
                <w:b/>
                <w:bCs/>
                <w:sz w:val="20"/>
                <w:szCs w:val="20"/>
              </w:rPr>
            </w:pPr>
            <w:r w:rsidRPr="00EA2374">
              <w:rPr>
                <w:rFonts w:cstheme="minorHAnsi"/>
                <w:b/>
                <w:bCs/>
                <w:sz w:val="20"/>
                <w:szCs w:val="20"/>
              </w:rPr>
              <w:t>95% confidence interval (weeks)</w:t>
            </w:r>
          </w:p>
        </w:tc>
      </w:tr>
      <w:tr w:rsidR="00072EE6" w:rsidRPr="00EA2374" w14:paraId="79E3F532" w14:textId="77777777" w:rsidTr="00072EE6">
        <w:tc>
          <w:tcPr>
            <w:tcW w:w="1189" w:type="dxa"/>
            <w:vMerge/>
            <w:shd w:val="clear" w:color="auto" w:fill="BFBFBF" w:themeFill="background1" w:themeFillShade="BF"/>
          </w:tcPr>
          <w:p w14:paraId="669CB367" w14:textId="77777777" w:rsidR="00EA2374" w:rsidRPr="00EA2374" w:rsidRDefault="00EA2374" w:rsidP="00072EE6">
            <w:pPr>
              <w:jc w:val="center"/>
              <w:rPr>
                <w:rFonts w:cstheme="minorHAnsi"/>
                <w:b/>
                <w:bCs/>
                <w:sz w:val="20"/>
                <w:szCs w:val="20"/>
              </w:rPr>
            </w:pPr>
          </w:p>
        </w:tc>
        <w:tc>
          <w:tcPr>
            <w:tcW w:w="1190" w:type="dxa"/>
            <w:vMerge/>
            <w:shd w:val="clear" w:color="auto" w:fill="BFBFBF" w:themeFill="background1" w:themeFillShade="BF"/>
          </w:tcPr>
          <w:p w14:paraId="249B62D7" w14:textId="77777777" w:rsidR="00EA2374" w:rsidRPr="00EA2374" w:rsidRDefault="00EA2374" w:rsidP="00072EE6">
            <w:pPr>
              <w:jc w:val="center"/>
              <w:rPr>
                <w:rFonts w:cstheme="minorHAnsi"/>
                <w:b/>
                <w:bCs/>
                <w:sz w:val="20"/>
                <w:szCs w:val="20"/>
              </w:rPr>
            </w:pPr>
          </w:p>
        </w:tc>
        <w:tc>
          <w:tcPr>
            <w:tcW w:w="1190" w:type="dxa"/>
            <w:vMerge/>
            <w:shd w:val="clear" w:color="auto" w:fill="BFBFBF" w:themeFill="background1" w:themeFillShade="BF"/>
          </w:tcPr>
          <w:p w14:paraId="782BA593" w14:textId="77777777" w:rsidR="00EA2374" w:rsidRPr="00EA2374" w:rsidRDefault="00EA2374" w:rsidP="00072EE6">
            <w:pPr>
              <w:jc w:val="center"/>
              <w:rPr>
                <w:rFonts w:cstheme="minorHAnsi"/>
                <w:b/>
                <w:bCs/>
                <w:sz w:val="20"/>
                <w:szCs w:val="20"/>
              </w:rPr>
            </w:pPr>
          </w:p>
        </w:tc>
        <w:tc>
          <w:tcPr>
            <w:tcW w:w="1190" w:type="dxa"/>
            <w:vMerge/>
            <w:shd w:val="clear" w:color="auto" w:fill="BFBFBF" w:themeFill="background1" w:themeFillShade="BF"/>
          </w:tcPr>
          <w:p w14:paraId="3D7BDF94" w14:textId="77777777" w:rsidR="00EA2374" w:rsidRPr="00EA2374" w:rsidRDefault="00EA2374" w:rsidP="00072EE6">
            <w:pPr>
              <w:jc w:val="center"/>
              <w:rPr>
                <w:rFonts w:cstheme="minorHAnsi"/>
                <w:b/>
                <w:bCs/>
                <w:sz w:val="20"/>
                <w:szCs w:val="20"/>
              </w:rPr>
            </w:pPr>
          </w:p>
        </w:tc>
        <w:tc>
          <w:tcPr>
            <w:tcW w:w="1190" w:type="dxa"/>
            <w:vMerge/>
            <w:shd w:val="clear" w:color="auto" w:fill="BFBFBF" w:themeFill="background1" w:themeFillShade="BF"/>
          </w:tcPr>
          <w:p w14:paraId="543D0F40" w14:textId="77777777" w:rsidR="00EA2374" w:rsidRPr="00EA2374" w:rsidRDefault="00EA2374" w:rsidP="00072EE6">
            <w:pPr>
              <w:jc w:val="center"/>
              <w:rPr>
                <w:rFonts w:cstheme="minorHAnsi"/>
                <w:b/>
                <w:bCs/>
                <w:sz w:val="20"/>
                <w:szCs w:val="20"/>
              </w:rPr>
            </w:pPr>
          </w:p>
        </w:tc>
        <w:tc>
          <w:tcPr>
            <w:tcW w:w="1499" w:type="dxa"/>
            <w:shd w:val="clear" w:color="auto" w:fill="BFBFBF" w:themeFill="background1" w:themeFillShade="BF"/>
          </w:tcPr>
          <w:p w14:paraId="457EE5F6" w14:textId="5D98CAFF" w:rsidR="00EA2374" w:rsidRPr="00EA2374" w:rsidRDefault="00EA2374" w:rsidP="00072EE6">
            <w:pPr>
              <w:jc w:val="center"/>
              <w:rPr>
                <w:rFonts w:cstheme="minorHAnsi"/>
                <w:b/>
                <w:bCs/>
                <w:sz w:val="20"/>
                <w:szCs w:val="20"/>
              </w:rPr>
            </w:pPr>
            <w:r w:rsidRPr="00EA2374">
              <w:rPr>
                <w:rFonts w:cstheme="minorHAnsi"/>
                <w:b/>
                <w:bCs/>
                <w:sz w:val="20"/>
                <w:szCs w:val="20"/>
              </w:rPr>
              <w:t>Lower limit</w:t>
            </w:r>
          </w:p>
        </w:tc>
        <w:tc>
          <w:tcPr>
            <w:tcW w:w="1499" w:type="dxa"/>
            <w:shd w:val="clear" w:color="auto" w:fill="BFBFBF" w:themeFill="background1" w:themeFillShade="BF"/>
          </w:tcPr>
          <w:p w14:paraId="3048F4CC" w14:textId="49B075D9" w:rsidR="00EA2374" w:rsidRPr="00EA2374" w:rsidRDefault="00EA2374" w:rsidP="00072EE6">
            <w:pPr>
              <w:jc w:val="center"/>
              <w:rPr>
                <w:rFonts w:cstheme="minorHAnsi"/>
                <w:b/>
                <w:bCs/>
                <w:sz w:val="20"/>
                <w:szCs w:val="20"/>
              </w:rPr>
            </w:pPr>
            <w:r w:rsidRPr="00EA2374">
              <w:rPr>
                <w:rFonts w:cstheme="minorHAnsi"/>
                <w:b/>
                <w:bCs/>
                <w:sz w:val="20"/>
                <w:szCs w:val="20"/>
              </w:rPr>
              <w:t>Upper limit</w:t>
            </w:r>
          </w:p>
        </w:tc>
      </w:tr>
      <w:tr w:rsidR="00072EE6" w:rsidRPr="00EA2374" w14:paraId="7DF11E93" w14:textId="77777777" w:rsidTr="00072EE6">
        <w:tc>
          <w:tcPr>
            <w:tcW w:w="1189" w:type="dxa"/>
          </w:tcPr>
          <w:p w14:paraId="39427D1F" w14:textId="6A3F35B7" w:rsidR="00EA2374" w:rsidRPr="00EA2374" w:rsidRDefault="00072EE6" w:rsidP="00072EE6">
            <w:pPr>
              <w:jc w:val="center"/>
              <w:rPr>
                <w:rFonts w:cstheme="minorHAnsi"/>
                <w:sz w:val="20"/>
                <w:szCs w:val="20"/>
              </w:rPr>
            </w:pPr>
            <w:r>
              <w:rPr>
                <w:rFonts w:cstheme="minorHAnsi"/>
                <w:sz w:val="20"/>
                <w:szCs w:val="20"/>
              </w:rPr>
              <w:t>318</w:t>
            </w:r>
          </w:p>
        </w:tc>
        <w:tc>
          <w:tcPr>
            <w:tcW w:w="1190" w:type="dxa"/>
          </w:tcPr>
          <w:p w14:paraId="46C6CEC6" w14:textId="14DBD79F" w:rsidR="00EA2374" w:rsidRPr="00EA2374" w:rsidRDefault="00072EE6" w:rsidP="00072EE6">
            <w:pPr>
              <w:jc w:val="center"/>
              <w:rPr>
                <w:rFonts w:cstheme="minorHAnsi"/>
                <w:sz w:val="20"/>
                <w:szCs w:val="20"/>
              </w:rPr>
            </w:pPr>
            <w:r>
              <w:rPr>
                <w:rFonts w:cstheme="minorHAnsi"/>
                <w:sz w:val="20"/>
                <w:szCs w:val="20"/>
              </w:rPr>
              <w:t>0</w:t>
            </w:r>
          </w:p>
        </w:tc>
        <w:tc>
          <w:tcPr>
            <w:tcW w:w="1190" w:type="dxa"/>
          </w:tcPr>
          <w:p w14:paraId="53F76AD4" w14:textId="004A98C6" w:rsidR="00EA2374" w:rsidRPr="00EA2374" w:rsidRDefault="00072EE6" w:rsidP="00072EE6">
            <w:pPr>
              <w:jc w:val="center"/>
              <w:rPr>
                <w:rFonts w:cstheme="minorHAnsi"/>
                <w:sz w:val="20"/>
                <w:szCs w:val="20"/>
              </w:rPr>
            </w:pPr>
            <w:r>
              <w:rPr>
                <w:rFonts w:cstheme="minorHAnsi"/>
                <w:sz w:val="20"/>
                <w:szCs w:val="20"/>
              </w:rPr>
              <w:t>47.14</w:t>
            </w:r>
          </w:p>
        </w:tc>
        <w:tc>
          <w:tcPr>
            <w:tcW w:w="1190" w:type="dxa"/>
          </w:tcPr>
          <w:p w14:paraId="55CA2C3E" w14:textId="718F98D1" w:rsidR="00EA2374" w:rsidRPr="00EA2374" w:rsidRDefault="00072EE6" w:rsidP="00072EE6">
            <w:pPr>
              <w:jc w:val="center"/>
              <w:rPr>
                <w:rFonts w:cstheme="minorHAnsi"/>
                <w:sz w:val="20"/>
                <w:szCs w:val="20"/>
              </w:rPr>
            </w:pPr>
            <w:r>
              <w:rPr>
                <w:rFonts w:cstheme="minorHAnsi"/>
                <w:sz w:val="20"/>
                <w:szCs w:val="20"/>
              </w:rPr>
              <w:t>37.06</w:t>
            </w:r>
          </w:p>
        </w:tc>
        <w:tc>
          <w:tcPr>
            <w:tcW w:w="1190" w:type="dxa"/>
          </w:tcPr>
          <w:p w14:paraId="48102F93" w14:textId="5E615E6E" w:rsidR="00EA2374" w:rsidRPr="00EA2374" w:rsidRDefault="00072EE6" w:rsidP="00072EE6">
            <w:pPr>
              <w:jc w:val="center"/>
              <w:rPr>
                <w:rFonts w:cstheme="minorHAnsi"/>
                <w:sz w:val="20"/>
                <w:szCs w:val="20"/>
              </w:rPr>
            </w:pPr>
            <w:r>
              <w:rPr>
                <w:rFonts w:cstheme="minorHAnsi"/>
                <w:sz w:val="20"/>
                <w:szCs w:val="20"/>
              </w:rPr>
              <w:t>1.14</w:t>
            </w:r>
          </w:p>
        </w:tc>
        <w:tc>
          <w:tcPr>
            <w:tcW w:w="1499" w:type="dxa"/>
          </w:tcPr>
          <w:p w14:paraId="2FFDE735" w14:textId="4AD10F7C" w:rsidR="00EA2374" w:rsidRPr="00EA2374" w:rsidRDefault="00072EE6" w:rsidP="00072EE6">
            <w:pPr>
              <w:jc w:val="center"/>
              <w:rPr>
                <w:rFonts w:cstheme="minorHAnsi"/>
                <w:sz w:val="20"/>
                <w:szCs w:val="20"/>
              </w:rPr>
            </w:pPr>
            <w:r>
              <w:rPr>
                <w:rFonts w:cstheme="minorHAnsi"/>
                <w:sz w:val="20"/>
                <w:szCs w:val="20"/>
              </w:rPr>
              <w:t>34.83</w:t>
            </w:r>
          </w:p>
        </w:tc>
        <w:tc>
          <w:tcPr>
            <w:tcW w:w="1499" w:type="dxa"/>
          </w:tcPr>
          <w:p w14:paraId="3A9B96B3" w14:textId="6635ED1F" w:rsidR="00EA2374" w:rsidRPr="00EA2374" w:rsidRDefault="00072EE6" w:rsidP="00072EE6">
            <w:pPr>
              <w:jc w:val="center"/>
              <w:rPr>
                <w:rFonts w:cstheme="minorHAnsi"/>
                <w:sz w:val="20"/>
                <w:szCs w:val="20"/>
              </w:rPr>
            </w:pPr>
            <w:r>
              <w:rPr>
                <w:rFonts w:cstheme="minorHAnsi"/>
                <w:sz w:val="20"/>
                <w:szCs w:val="20"/>
              </w:rPr>
              <w:t>39.30</w:t>
            </w:r>
          </w:p>
        </w:tc>
      </w:tr>
    </w:tbl>
    <w:p w14:paraId="203179DF" w14:textId="77777777" w:rsidR="00EA2374" w:rsidRDefault="00EA2374" w:rsidP="00A35800">
      <w:pPr>
        <w:rPr>
          <w:rFonts w:cstheme="minorHAnsi"/>
        </w:rPr>
      </w:pPr>
    </w:p>
    <w:p w14:paraId="0C45B612" w14:textId="1583CA60" w:rsidR="00D36935" w:rsidRDefault="000165EB" w:rsidP="00474234">
      <w:pPr>
        <w:jc w:val="center"/>
        <w:rPr>
          <w:rFonts w:cstheme="minorHAnsi"/>
        </w:rPr>
      </w:pPr>
      <w:r>
        <w:rPr>
          <w:noProof/>
        </w:rPr>
        <w:drawing>
          <wp:inline distT="0" distB="0" distL="0" distR="0" wp14:anchorId="7BF780BD" wp14:editId="658C7AF1">
            <wp:extent cx="3466531" cy="2599996"/>
            <wp:effectExtent l="0" t="0" r="635" b="0"/>
            <wp:docPr id="26" name="Graphic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a:extLst>
                        <a:ext uri="{C183D7F6-B498-43B3-948B-1728B52AA6E4}">
                          <adec:decorative xmlns:adec="http://schemas.microsoft.com/office/drawing/2017/decorative" val="1"/>
                        </a:ext>
                      </a:extLst>
                    </pic:cNvPr>
                    <pic:cNvPicPr/>
                  </pic:nvPicPr>
                  <pic:blipFill>
                    <a:blip r:embed="rId41">
                      <a:extLst>
                        <a:ext uri="{96DAC541-7B7A-43D3-8B79-37D633B846F1}">
                          <asvg:svgBlip xmlns:asvg="http://schemas.microsoft.com/office/drawing/2016/SVG/main" r:embed="rId42"/>
                        </a:ext>
                      </a:extLst>
                    </a:blip>
                    <a:stretch>
                      <a:fillRect/>
                    </a:stretch>
                  </pic:blipFill>
                  <pic:spPr>
                    <a:xfrm>
                      <a:off x="0" y="0"/>
                      <a:ext cx="3531686" cy="2648864"/>
                    </a:xfrm>
                    <a:prstGeom prst="rect">
                      <a:avLst/>
                    </a:prstGeom>
                  </pic:spPr>
                </pic:pic>
              </a:graphicData>
            </a:graphic>
          </wp:inline>
        </w:drawing>
      </w:r>
    </w:p>
    <w:p w14:paraId="431737F3" w14:textId="6CCA2FE7" w:rsidR="003D4D24" w:rsidRPr="003D4D24" w:rsidRDefault="00B22958" w:rsidP="003D4D24">
      <w:pPr>
        <w:pStyle w:val="Tabletitle"/>
        <w:rPr>
          <w:rFonts w:cstheme="minorHAnsi"/>
        </w:rPr>
      </w:pPr>
      <w:r w:rsidRPr="00E801B2">
        <w:t xml:space="preserve">Figure </w:t>
      </w:r>
      <w:r>
        <w:t>1</w:t>
      </w:r>
      <w:r w:rsidR="00EF4C15">
        <w:t>6</w:t>
      </w:r>
      <w:r w:rsidRPr="00E801B2">
        <w:t xml:space="preserve">: </w:t>
      </w:r>
      <w:r w:rsidRPr="00B22958">
        <w:rPr>
          <w:rFonts w:cstheme="minorHAnsi"/>
        </w:rPr>
        <w:t xml:space="preserve">Treatment duration for patients who initiated durvalumab treatment for NSCLC between </w:t>
      </w:r>
      <w:r w:rsidRPr="00B22958">
        <w:t xml:space="preserve">1 June 2020 to 30 November 2020 </w:t>
      </w:r>
      <w:r w:rsidRPr="00B22958">
        <w:rPr>
          <w:rFonts w:cstheme="minorHAnsi"/>
        </w:rPr>
        <w:t>and followed up to 30 June 2022</w:t>
      </w:r>
    </w:p>
    <w:p w14:paraId="790A06A0" w14:textId="77777777" w:rsidR="00E34781" w:rsidRDefault="00E34781" w:rsidP="00AB7ABA"/>
    <w:p w14:paraId="7A8247AF" w14:textId="2DD9655C" w:rsidR="007B3829" w:rsidRDefault="00FE3EE6" w:rsidP="00AB7ABA">
      <w:r>
        <w:t>As shown in Table 7 and Figure 16 above,</w:t>
      </w:r>
      <w:r w:rsidR="00E34781">
        <w:t xml:space="preserve"> </w:t>
      </w:r>
      <w:r w:rsidR="007731E8">
        <w:t>patients who initiated durvalumab treatment between 1 June 2020 to 30 November 2020,</w:t>
      </w:r>
      <w:r>
        <w:t xml:space="preserve"> the mean and median length of treatment was 37.06 and 47.14 weeks, respectively. </w:t>
      </w:r>
      <w:r w:rsidR="007731E8">
        <w:t xml:space="preserve">At the analysis end date of 30 June 2022, nil patients </w:t>
      </w:r>
      <w:r w:rsidR="007731E8">
        <w:lastRenderedPageBreak/>
        <w:t xml:space="preserve">were censored and considered to be continuing treatment. </w:t>
      </w:r>
      <w:r>
        <w:t>Of the 318 patients who initiated treatment with durvalumab, 19 patients died. Between the date of last supply of durvalumab and date</w:t>
      </w:r>
      <w:r w:rsidR="003A3796">
        <w:t xml:space="preserve"> of death</w:t>
      </w:r>
      <w:r>
        <w:t xml:space="preserve">, there was a median of 33 days and a mean of 50 days. </w:t>
      </w:r>
    </w:p>
    <w:p w14:paraId="38C8953B" w14:textId="3494F75E" w:rsidR="007C0D33" w:rsidRPr="00EA2374" w:rsidRDefault="007C0D33" w:rsidP="007C0D33">
      <w:pPr>
        <w:pStyle w:val="Tabletitle"/>
      </w:pPr>
      <w:r>
        <w:t xml:space="preserve">Table </w:t>
      </w:r>
      <w:r w:rsidR="00B22B81">
        <w:t>8</w:t>
      </w:r>
      <w:r>
        <w:t xml:space="preserve">: Estimated length of treatment from Kaplan Meier analysis in patients who initiated durvalumab treatment from 1 June 2020 to </w:t>
      </w:r>
      <w:r w:rsidRPr="00072EE6">
        <w:t>30 November 2020</w:t>
      </w:r>
      <w:r>
        <w:t xml:space="preserve"> and followed up to 30 June 2022, accounting for breaks </w:t>
      </w:r>
    </w:p>
    <w:tbl>
      <w:tblPr>
        <w:tblStyle w:val="TableGrid"/>
        <w:tblW w:w="0" w:type="auto"/>
        <w:tblLook w:val="04A0" w:firstRow="1" w:lastRow="0" w:firstColumn="1" w:lastColumn="0" w:noHBand="0" w:noVBand="1"/>
      </w:tblPr>
      <w:tblGrid>
        <w:gridCol w:w="1189"/>
        <w:gridCol w:w="1190"/>
        <w:gridCol w:w="1190"/>
        <w:gridCol w:w="1190"/>
        <w:gridCol w:w="1190"/>
        <w:gridCol w:w="1499"/>
        <w:gridCol w:w="1499"/>
      </w:tblGrid>
      <w:tr w:rsidR="007C0D33" w:rsidRPr="00EA2374" w14:paraId="51216DB5" w14:textId="77777777" w:rsidTr="00CA7904">
        <w:trPr>
          <w:trHeight w:val="256"/>
        </w:trPr>
        <w:tc>
          <w:tcPr>
            <w:tcW w:w="1189" w:type="dxa"/>
            <w:vMerge w:val="restart"/>
            <w:shd w:val="clear" w:color="auto" w:fill="BFBFBF" w:themeFill="background1" w:themeFillShade="BF"/>
          </w:tcPr>
          <w:p w14:paraId="63ECD41A" w14:textId="77777777" w:rsidR="007C0D33" w:rsidRPr="00EA2374" w:rsidRDefault="007C0D33" w:rsidP="00CA7904">
            <w:pPr>
              <w:jc w:val="center"/>
              <w:rPr>
                <w:rFonts w:cstheme="minorHAnsi"/>
                <w:b/>
                <w:bCs/>
                <w:sz w:val="20"/>
                <w:szCs w:val="20"/>
              </w:rPr>
            </w:pPr>
            <w:r w:rsidRPr="00EA2374">
              <w:rPr>
                <w:rFonts w:cstheme="minorHAnsi"/>
                <w:b/>
                <w:bCs/>
                <w:sz w:val="20"/>
                <w:szCs w:val="20"/>
              </w:rPr>
              <w:t>Number of patients</w:t>
            </w:r>
          </w:p>
        </w:tc>
        <w:tc>
          <w:tcPr>
            <w:tcW w:w="1190" w:type="dxa"/>
            <w:vMerge w:val="restart"/>
            <w:shd w:val="clear" w:color="auto" w:fill="BFBFBF" w:themeFill="background1" w:themeFillShade="BF"/>
          </w:tcPr>
          <w:p w14:paraId="0F91D771" w14:textId="77777777" w:rsidR="007C0D33" w:rsidRPr="00EA2374" w:rsidRDefault="007C0D33" w:rsidP="00CA7904">
            <w:pPr>
              <w:jc w:val="center"/>
              <w:rPr>
                <w:rFonts w:cstheme="minorHAnsi"/>
                <w:b/>
                <w:bCs/>
                <w:sz w:val="20"/>
                <w:szCs w:val="20"/>
              </w:rPr>
            </w:pPr>
            <w:r w:rsidRPr="00EA2374">
              <w:rPr>
                <w:rFonts w:cstheme="minorHAnsi"/>
                <w:b/>
                <w:bCs/>
                <w:sz w:val="20"/>
                <w:szCs w:val="20"/>
              </w:rPr>
              <w:t>Censored</w:t>
            </w:r>
          </w:p>
        </w:tc>
        <w:tc>
          <w:tcPr>
            <w:tcW w:w="1190" w:type="dxa"/>
            <w:vMerge w:val="restart"/>
            <w:shd w:val="clear" w:color="auto" w:fill="BFBFBF" w:themeFill="background1" w:themeFillShade="BF"/>
          </w:tcPr>
          <w:p w14:paraId="6902D667" w14:textId="77777777" w:rsidR="007C0D33" w:rsidRDefault="007C0D33" w:rsidP="00CA7904">
            <w:pPr>
              <w:jc w:val="center"/>
              <w:rPr>
                <w:rFonts w:cstheme="minorHAnsi"/>
                <w:b/>
                <w:bCs/>
                <w:sz w:val="20"/>
                <w:szCs w:val="20"/>
              </w:rPr>
            </w:pPr>
            <w:r w:rsidRPr="00EA2374">
              <w:rPr>
                <w:rFonts w:cstheme="minorHAnsi"/>
                <w:b/>
                <w:bCs/>
                <w:sz w:val="20"/>
                <w:szCs w:val="20"/>
              </w:rPr>
              <w:t>Median</w:t>
            </w:r>
          </w:p>
          <w:p w14:paraId="2CE80AC8" w14:textId="77777777" w:rsidR="007C0D33" w:rsidRPr="00EA2374" w:rsidRDefault="007C0D33" w:rsidP="00CA7904">
            <w:pPr>
              <w:jc w:val="center"/>
              <w:rPr>
                <w:rFonts w:cstheme="minorHAnsi"/>
                <w:b/>
                <w:bCs/>
                <w:sz w:val="20"/>
                <w:szCs w:val="20"/>
              </w:rPr>
            </w:pPr>
            <w:r>
              <w:rPr>
                <w:rFonts w:cstheme="minorHAnsi"/>
                <w:b/>
                <w:bCs/>
                <w:sz w:val="20"/>
                <w:szCs w:val="20"/>
              </w:rPr>
              <w:t>(weeks)</w:t>
            </w:r>
          </w:p>
        </w:tc>
        <w:tc>
          <w:tcPr>
            <w:tcW w:w="1190" w:type="dxa"/>
            <w:vMerge w:val="restart"/>
            <w:shd w:val="clear" w:color="auto" w:fill="BFBFBF" w:themeFill="background1" w:themeFillShade="BF"/>
          </w:tcPr>
          <w:p w14:paraId="5CF25A92" w14:textId="77777777" w:rsidR="007C0D33" w:rsidRDefault="007C0D33" w:rsidP="00CA7904">
            <w:pPr>
              <w:jc w:val="center"/>
              <w:rPr>
                <w:rFonts w:cstheme="minorHAnsi"/>
                <w:b/>
                <w:bCs/>
                <w:sz w:val="20"/>
                <w:szCs w:val="20"/>
              </w:rPr>
            </w:pPr>
            <w:r w:rsidRPr="00EA2374">
              <w:rPr>
                <w:rFonts w:cstheme="minorHAnsi"/>
                <w:b/>
                <w:bCs/>
                <w:sz w:val="20"/>
                <w:szCs w:val="20"/>
              </w:rPr>
              <w:t>Mean</w:t>
            </w:r>
          </w:p>
          <w:p w14:paraId="58896A8E" w14:textId="77777777" w:rsidR="007C0D33" w:rsidRPr="00EA2374" w:rsidRDefault="007C0D33" w:rsidP="00CA7904">
            <w:pPr>
              <w:jc w:val="center"/>
              <w:rPr>
                <w:rFonts w:cstheme="minorHAnsi"/>
                <w:b/>
                <w:bCs/>
                <w:sz w:val="20"/>
                <w:szCs w:val="20"/>
              </w:rPr>
            </w:pPr>
            <w:r w:rsidRPr="00EA2374">
              <w:rPr>
                <w:rFonts w:cstheme="minorHAnsi"/>
                <w:b/>
                <w:bCs/>
                <w:sz w:val="20"/>
                <w:szCs w:val="20"/>
              </w:rPr>
              <w:t>(weeks)</w:t>
            </w:r>
          </w:p>
        </w:tc>
        <w:tc>
          <w:tcPr>
            <w:tcW w:w="1190" w:type="dxa"/>
            <w:vMerge w:val="restart"/>
            <w:shd w:val="clear" w:color="auto" w:fill="BFBFBF" w:themeFill="background1" w:themeFillShade="BF"/>
          </w:tcPr>
          <w:p w14:paraId="2AC9A96C" w14:textId="77777777" w:rsidR="007C0D33" w:rsidRPr="00EA2374" w:rsidRDefault="007C0D33" w:rsidP="00CA7904">
            <w:pPr>
              <w:jc w:val="center"/>
              <w:rPr>
                <w:rFonts w:cstheme="minorHAnsi"/>
                <w:b/>
                <w:bCs/>
                <w:sz w:val="20"/>
                <w:szCs w:val="20"/>
              </w:rPr>
            </w:pPr>
            <w:r w:rsidRPr="00EA2374">
              <w:rPr>
                <w:rFonts w:cstheme="minorHAnsi"/>
                <w:b/>
                <w:bCs/>
                <w:sz w:val="20"/>
                <w:szCs w:val="20"/>
              </w:rPr>
              <w:t>Standard error</w:t>
            </w:r>
          </w:p>
        </w:tc>
        <w:tc>
          <w:tcPr>
            <w:tcW w:w="2998" w:type="dxa"/>
            <w:gridSpan w:val="2"/>
            <w:shd w:val="clear" w:color="auto" w:fill="BFBFBF" w:themeFill="background1" w:themeFillShade="BF"/>
          </w:tcPr>
          <w:p w14:paraId="157553ED" w14:textId="77777777" w:rsidR="007C0D33" w:rsidRPr="00EA2374" w:rsidRDefault="007C0D33" w:rsidP="00CA7904">
            <w:pPr>
              <w:jc w:val="center"/>
              <w:rPr>
                <w:rFonts w:cstheme="minorHAnsi"/>
                <w:b/>
                <w:bCs/>
                <w:sz w:val="20"/>
                <w:szCs w:val="20"/>
              </w:rPr>
            </w:pPr>
            <w:r w:rsidRPr="00EA2374">
              <w:rPr>
                <w:rFonts w:cstheme="minorHAnsi"/>
                <w:b/>
                <w:bCs/>
                <w:sz w:val="20"/>
                <w:szCs w:val="20"/>
              </w:rPr>
              <w:t>95% confidence interval (weeks)</w:t>
            </w:r>
          </w:p>
        </w:tc>
      </w:tr>
      <w:tr w:rsidR="007C0D33" w:rsidRPr="00EA2374" w14:paraId="0687EA3E" w14:textId="77777777" w:rsidTr="00CA7904">
        <w:tc>
          <w:tcPr>
            <w:tcW w:w="1189" w:type="dxa"/>
            <w:vMerge/>
            <w:shd w:val="clear" w:color="auto" w:fill="BFBFBF" w:themeFill="background1" w:themeFillShade="BF"/>
          </w:tcPr>
          <w:p w14:paraId="0A7AA4F4" w14:textId="77777777" w:rsidR="007C0D33" w:rsidRPr="00EA2374" w:rsidRDefault="007C0D33" w:rsidP="00CA7904">
            <w:pPr>
              <w:jc w:val="center"/>
              <w:rPr>
                <w:rFonts w:cstheme="minorHAnsi"/>
                <w:b/>
                <w:bCs/>
                <w:sz w:val="20"/>
                <w:szCs w:val="20"/>
              </w:rPr>
            </w:pPr>
          </w:p>
        </w:tc>
        <w:tc>
          <w:tcPr>
            <w:tcW w:w="1190" w:type="dxa"/>
            <w:vMerge/>
            <w:shd w:val="clear" w:color="auto" w:fill="BFBFBF" w:themeFill="background1" w:themeFillShade="BF"/>
          </w:tcPr>
          <w:p w14:paraId="1E16E335" w14:textId="77777777" w:rsidR="007C0D33" w:rsidRPr="00EA2374" w:rsidRDefault="007C0D33" w:rsidP="00CA7904">
            <w:pPr>
              <w:jc w:val="center"/>
              <w:rPr>
                <w:rFonts w:cstheme="minorHAnsi"/>
                <w:b/>
                <w:bCs/>
                <w:sz w:val="20"/>
                <w:szCs w:val="20"/>
              </w:rPr>
            </w:pPr>
          </w:p>
        </w:tc>
        <w:tc>
          <w:tcPr>
            <w:tcW w:w="1190" w:type="dxa"/>
            <w:vMerge/>
            <w:shd w:val="clear" w:color="auto" w:fill="BFBFBF" w:themeFill="background1" w:themeFillShade="BF"/>
          </w:tcPr>
          <w:p w14:paraId="6F17356D" w14:textId="77777777" w:rsidR="007C0D33" w:rsidRPr="00EA2374" w:rsidRDefault="007C0D33" w:rsidP="00CA7904">
            <w:pPr>
              <w:jc w:val="center"/>
              <w:rPr>
                <w:rFonts w:cstheme="minorHAnsi"/>
                <w:b/>
                <w:bCs/>
                <w:sz w:val="20"/>
                <w:szCs w:val="20"/>
              </w:rPr>
            </w:pPr>
          </w:p>
        </w:tc>
        <w:tc>
          <w:tcPr>
            <w:tcW w:w="1190" w:type="dxa"/>
            <w:vMerge/>
            <w:shd w:val="clear" w:color="auto" w:fill="BFBFBF" w:themeFill="background1" w:themeFillShade="BF"/>
          </w:tcPr>
          <w:p w14:paraId="68699A3F" w14:textId="77777777" w:rsidR="007C0D33" w:rsidRPr="00EA2374" w:rsidRDefault="007C0D33" w:rsidP="00CA7904">
            <w:pPr>
              <w:jc w:val="center"/>
              <w:rPr>
                <w:rFonts w:cstheme="minorHAnsi"/>
                <w:b/>
                <w:bCs/>
                <w:sz w:val="20"/>
                <w:szCs w:val="20"/>
              </w:rPr>
            </w:pPr>
          </w:p>
        </w:tc>
        <w:tc>
          <w:tcPr>
            <w:tcW w:w="1190" w:type="dxa"/>
            <w:vMerge/>
            <w:shd w:val="clear" w:color="auto" w:fill="BFBFBF" w:themeFill="background1" w:themeFillShade="BF"/>
          </w:tcPr>
          <w:p w14:paraId="364F4245" w14:textId="77777777" w:rsidR="007C0D33" w:rsidRPr="00EA2374" w:rsidRDefault="007C0D33" w:rsidP="00CA7904">
            <w:pPr>
              <w:jc w:val="center"/>
              <w:rPr>
                <w:rFonts w:cstheme="minorHAnsi"/>
                <w:b/>
                <w:bCs/>
                <w:sz w:val="20"/>
                <w:szCs w:val="20"/>
              </w:rPr>
            </w:pPr>
          </w:p>
        </w:tc>
        <w:tc>
          <w:tcPr>
            <w:tcW w:w="1499" w:type="dxa"/>
            <w:shd w:val="clear" w:color="auto" w:fill="BFBFBF" w:themeFill="background1" w:themeFillShade="BF"/>
          </w:tcPr>
          <w:p w14:paraId="19AE33AD" w14:textId="77777777" w:rsidR="007C0D33" w:rsidRPr="00EA2374" w:rsidRDefault="007C0D33" w:rsidP="00CA7904">
            <w:pPr>
              <w:jc w:val="center"/>
              <w:rPr>
                <w:rFonts w:cstheme="minorHAnsi"/>
                <w:b/>
                <w:bCs/>
                <w:sz w:val="20"/>
                <w:szCs w:val="20"/>
              </w:rPr>
            </w:pPr>
            <w:r w:rsidRPr="00EA2374">
              <w:rPr>
                <w:rFonts w:cstheme="minorHAnsi"/>
                <w:b/>
                <w:bCs/>
                <w:sz w:val="20"/>
                <w:szCs w:val="20"/>
              </w:rPr>
              <w:t>Lower limit</w:t>
            </w:r>
          </w:p>
        </w:tc>
        <w:tc>
          <w:tcPr>
            <w:tcW w:w="1499" w:type="dxa"/>
            <w:shd w:val="clear" w:color="auto" w:fill="BFBFBF" w:themeFill="background1" w:themeFillShade="BF"/>
          </w:tcPr>
          <w:p w14:paraId="4B0128D2" w14:textId="77777777" w:rsidR="007C0D33" w:rsidRPr="00EA2374" w:rsidRDefault="007C0D33" w:rsidP="00CA7904">
            <w:pPr>
              <w:jc w:val="center"/>
              <w:rPr>
                <w:rFonts w:cstheme="minorHAnsi"/>
                <w:b/>
                <w:bCs/>
                <w:sz w:val="20"/>
                <w:szCs w:val="20"/>
              </w:rPr>
            </w:pPr>
            <w:r w:rsidRPr="00EA2374">
              <w:rPr>
                <w:rFonts w:cstheme="minorHAnsi"/>
                <w:b/>
                <w:bCs/>
                <w:sz w:val="20"/>
                <w:szCs w:val="20"/>
              </w:rPr>
              <w:t>Upper limit</w:t>
            </w:r>
          </w:p>
        </w:tc>
      </w:tr>
      <w:tr w:rsidR="007C0D33" w:rsidRPr="00EA2374" w14:paraId="7404C9B5" w14:textId="77777777" w:rsidTr="00CA7904">
        <w:tc>
          <w:tcPr>
            <w:tcW w:w="1189" w:type="dxa"/>
          </w:tcPr>
          <w:p w14:paraId="2731F9DB" w14:textId="49614FDC" w:rsidR="007C0D33" w:rsidRPr="00EA2374" w:rsidRDefault="00491CC6" w:rsidP="00CA7904">
            <w:pPr>
              <w:jc w:val="center"/>
              <w:rPr>
                <w:rFonts w:cstheme="minorHAnsi"/>
                <w:sz w:val="20"/>
                <w:szCs w:val="20"/>
              </w:rPr>
            </w:pPr>
            <w:r>
              <w:rPr>
                <w:rFonts w:cstheme="minorHAnsi"/>
                <w:sz w:val="20"/>
                <w:szCs w:val="20"/>
              </w:rPr>
              <w:t>318</w:t>
            </w:r>
          </w:p>
        </w:tc>
        <w:tc>
          <w:tcPr>
            <w:tcW w:w="1190" w:type="dxa"/>
          </w:tcPr>
          <w:p w14:paraId="434B1C47" w14:textId="7580911B" w:rsidR="007C0D33" w:rsidRPr="00EA2374" w:rsidRDefault="00DE49C4" w:rsidP="00CA7904">
            <w:pPr>
              <w:jc w:val="center"/>
              <w:rPr>
                <w:rFonts w:cstheme="minorHAnsi"/>
                <w:sz w:val="20"/>
                <w:szCs w:val="20"/>
              </w:rPr>
            </w:pPr>
            <w:r>
              <w:rPr>
                <w:rFonts w:cstheme="minorHAnsi"/>
                <w:sz w:val="20"/>
                <w:szCs w:val="20"/>
              </w:rPr>
              <w:t>0</w:t>
            </w:r>
          </w:p>
        </w:tc>
        <w:tc>
          <w:tcPr>
            <w:tcW w:w="1190" w:type="dxa"/>
          </w:tcPr>
          <w:p w14:paraId="3388A1D7" w14:textId="64DCF30B" w:rsidR="007C0D33" w:rsidRPr="00EA2374" w:rsidRDefault="00DE49C4" w:rsidP="00CA7904">
            <w:pPr>
              <w:jc w:val="center"/>
              <w:rPr>
                <w:rFonts w:cstheme="minorHAnsi"/>
                <w:sz w:val="20"/>
                <w:szCs w:val="20"/>
              </w:rPr>
            </w:pPr>
            <w:r>
              <w:rPr>
                <w:rFonts w:cstheme="minorHAnsi"/>
                <w:sz w:val="20"/>
                <w:szCs w:val="20"/>
              </w:rPr>
              <w:t>43.36</w:t>
            </w:r>
          </w:p>
        </w:tc>
        <w:tc>
          <w:tcPr>
            <w:tcW w:w="1190" w:type="dxa"/>
          </w:tcPr>
          <w:p w14:paraId="1BB58AFA" w14:textId="7C6D6BC2" w:rsidR="007C0D33" w:rsidRPr="00EA2374" w:rsidRDefault="00611830" w:rsidP="00CA7904">
            <w:pPr>
              <w:jc w:val="center"/>
              <w:rPr>
                <w:rFonts w:cstheme="minorHAnsi"/>
                <w:sz w:val="20"/>
                <w:szCs w:val="20"/>
              </w:rPr>
            </w:pPr>
            <w:r>
              <w:rPr>
                <w:rFonts w:cstheme="minorHAnsi"/>
                <w:sz w:val="20"/>
                <w:szCs w:val="20"/>
              </w:rPr>
              <w:t>34.64</w:t>
            </w:r>
          </w:p>
        </w:tc>
        <w:tc>
          <w:tcPr>
            <w:tcW w:w="1190" w:type="dxa"/>
          </w:tcPr>
          <w:p w14:paraId="1EA15271" w14:textId="469C4E9C" w:rsidR="007C0D33" w:rsidRPr="00EA2374" w:rsidRDefault="00DE49C4" w:rsidP="00CA7904">
            <w:pPr>
              <w:jc w:val="center"/>
              <w:rPr>
                <w:rFonts w:cstheme="minorHAnsi"/>
                <w:sz w:val="20"/>
                <w:szCs w:val="20"/>
              </w:rPr>
            </w:pPr>
            <w:r>
              <w:rPr>
                <w:rFonts w:cstheme="minorHAnsi"/>
                <w:sz w:val="20"/>
                <w:szCs w:val="20"/>
              </w:rPr>
              <w:t>1.05</w:t>
            </w:r>
          </w:p>
        </w:tc>
        <w:tc>
          <w:tcPr>
            <w:tcW w:w="1499" w:type="dxa"/>
          </w:tcPr>
          <w:p w14:paraId="2DE486AE" w14:textId="1D02A3C3" w:rsidR="007C0D33" w:rsidRPr="00EA2374" w:rsidRDefault="00611830" w:rsidP="00CA7904">
            <w:pPr>
              <w:jc w:val="center"/>
              <w:rPr>
                <w:rFonts w:cstheme="minorHAnsi"/>
                <w:sz w:val="20"/>
                <w:szCs w:val="20"/>
              </w:rPr>
            </w:pPr>
            <w:r>
              <w:rPr>
                <w:rFonts w:cstheme="minorHAnsi"/>
                <w:sz w:val="20"/>
                <w:szCs w:val="20"/>
              </w:rPr>
              <w:t>32.56</w:t>
            </w:r>
          </w:p>
        </w:tc>
        <w:tc>
          <w:tcPr>
            <w:tcW w:w="1499" w:type="dxa"/>
          </w:tcPr>
          <w:p w14:paraId="330F7B95" w14:textId="5FA69BA7" w:rsidR="007C0D33" w:rsidRPr="00EA2374" w:rsidRDefault="00611830" w:rsidP="00CA7904">
            <w:pPr>
              <w:jc w:val="center"/>
              <w:rPr>
                <w:rFonts w:cstheme="minorHAnsi"/>
                <w:sz w:val="20"/>
                <w:szCs w:val="20"/>
              </w:rPr>
            </w:pPr>
            <w:r>
              <w:rPr>
                <w:rFonts w:cstheme="minorHAnsi"/>
                <w:sz w:val="20"/>
                <w:szCs w:val="20"/>
              </w:rPr>
              <w:t>36.71</w:t>
            </w:r>
          </w:p>
        </w:tc>
      </w:tr>
    </w:tbl>
    <w:p w14:paraId="0888099A" w14:textId="77777777" w:rsidR="00EA2374" w:rsidRDefault="00EA2374" w:rsidP="00AB7ABA"/>
    <w:p w14:paraId="3037E647" w14:textId="1364F725" w:rsidR="00405EF5" w:rsidRDefault="007C0D33" w:rsidP="007C0D33">
      <w:pPr>
        <w:jc w:val="center"/>
      </w:pPr>
      <w:r>
        <w:rPr>
          <w:noProof/>
        </w:rPr>
        <w:drawing>
          <wp:inline distT="0" distB="0" distL="0" distR="0" wp14:anchorId="123DF4A6" wp14:editId="59556629">
            <wp:extent cx="3616656" cy="2712594"/>
            <wp:effectExtent l="0" t="0" r="3175" b="0"/>
            <wp:docPr id="27" name="Graphic 2">
              <a:extLst xmlns:a="http://schemas.openxmlformats.org/drawingml/2006/main">
                <a:ext uri="{FF2B5EF4-FFF2-40B4-BE49-F238E27FC236}">
                  <a16:creationId xmlns:a16="http://schemas.microsoft.com/office/drawing/2014/main" id="{AFE00883-4868-4B7F-8A2F-597E8B7D4DD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phic 2">
                      <a:extLst>
                        <a:ext uri="{FF2B5EF4-FFF2-40B4-BE49-F238E27FC236}">
                          <a16:creationId xmlns:a16="http://schemas.microsoft.com/office/drawing/2014/main" id="{AFE00883-4868-4B7F-8A2F-597E8B7D4DD9}"/>
                        </a:ext>
                        <a:ext uri="{C183D7F6-B498-43B3-948B-1728B52AA6E4}">
                          <adec:decorative xmlns:adec="http://schemas.microsoft.com/office/drawing/2017/decorative" val="1"/>
                        </a:ext>
                      </a:extLst>
                    </pic:cNvPr>
                    <pic:cNvPicPr>
                      <a:picLocks noChangeAspect="1"/>
                    </pic:cNvPicPr>
                  </pic:nvPicPr>
                  <pic:blipFill>
                    <a:blip r:embed="rId43">
                      <a:extLst>
                        <a:ext uri="{96DAC541-7B7A-43D3-8B79-37D633B846F1}">
                          <asvg:svgBlip xmlns:asvg="http://schemas.microsoft.com/office/drawing/2016/SVG/main" r:embed="rId44"/>
                        </a:ext>
                      </a:extLst>
                    </a:blip>
                    <a:stretch>
                      <a:fillRect/>
                    </a:stretch>
                  </pic:blipFill>
                  <pic:spPr>
                    <a:xfrm>
                      <a:off x="0" y="0"/>
                      <a:ext cx="3641392" cy="2731146"/>
                    </a:xfrm>
                    <a:prstGeom prst="rect">
                      <a:avLst/>
                    </a:prstGeom>
                  </pic:spPr>
                </pic:pic>
              </a:graphicData>
            </a:graphic>
          </wp:inline>
        </w:drawing>
      </w:r>
    </w:p>
    <w:p w14:paraId="56A39E8D" w14:textId="6455A408" w:rsidR="00B22958" w:rsidRDefault="00B22958" w:rsidP="00B22958">
      <w:pPr>
        <w:pStyle w:val="Tabletitle"/>
        <w:rPr>
          <w:rFonts w:cstheme="minorHAnsi"/>
          <w:b w:val="0"/>
          <w:bCs/>
        </w:rPr>
      </w:pPr>
      <w:r w:rsidRPr="00E801B2">
        <w:t xml:space="preserve">Figure </w:t>
      </w:r>
      <w:r>
        <w:t>1</w:t>
      </w:r>
      <w:r w:rsidR="00EF4C15">
        <w:t>7</w:t>
      </w:r>
      <w:r w:rsidRPr="00E801B2">
        <w:t xml:space="preserve">: </w:t>
      </w:r>
      <w:r w:rsidRPr="00B22958">
        <w:rPr>
          <w:rFonts w:cstheme="minorHAnsi"/>
        </w:rPr>
        <w:t xml:space="preserve">Treatment duration for patients who initiated durvalumab treatment for NSCLC between </w:t>
      </w:r>
      <w:r w:rsidRPr="00B22958">
        <w:t xml:space="preserve">1 June 2020 to 30 November 2020 </w:t>
      </w:r>
      <w:r w:rsidRPr="00B22958">
        <w:rPr>
          <w:rFonts w:cstheme="minorHAnsi"/>
        </w:rPr>
        <w:t>and followed up to 30 June 2022</w:t>
      </w:r>
      <w:r>
        <w:rPr>
          <w:rFonts w:cstheme="minorHAnsi"/>
        </w:rPr>
        <w:t>, accounting for breaks</w:t>
      </w:r>
    </w:p>
    <w:p w14:paraId="67269805" w14:textId="77777777" w:rsidR="00FE3EE6" w:rsidRDefault="00FE3EE6" w:rsidP="00FE3EE6"/>
    <w:p w14:paraId="2ADC4961" w14:textId="5FF7C815" w:rsidR="00FE3EE6" w:rsidRDefault="00FE3EE6" w:rsidP="00AB7ABA">
      <w:r>
        <w:t xml:space="preserve">As shown in Table 8 and Figure 17, accounting for breaks in treatment reduced the estimated mean length of treatment from 37.06 to 34.64 weeks and the median length of treatment from 47.14 to 43.36 weeks. </w:t>
      </w:r>
    </w:p>
    <w:p w14:paraId="281123B4" w14:textId="77777777" w:rsidR="00405EF5" w:rsidRPr="00474234" w:rsidRDefault="00405EF5" w:rsidP="00AB7ABA"/>
    <w:p w14:paraId="137454B4" w14:textId="77777777" w:rsidR="00C2578C" w:rsidRDefault="00C2578C">
      <w:pPr>
        <w:spacing w:line="276" w:lineRule="auto"/>
        <w:rPr>
          <w:b/>
          <w:i/>
          <w:szCs w:val="28"/>
        </w:rPr>
      </w:pPr>
      <w:r>
        <w:br w:type="page"/>
      </w:r>
    </w:p>
    <w:p w14:paraId="0FD827A6" w14:textId="6FE731F4" w:rsidR="000E73D5" w:rsidRDefault="00DC49E9" w:rsidP="00E469E5">
      <w:pPr>
        <w:pStyle w:val="Heading3"/>
      </w:pPr>
      <w:r w:rsidRPr="005E22C2">
        <w:lastRenderedPageBreak/>
        <w:t>Changes in the use of other drugs</w:t>
      </w:r>
    </w:p>
    <w:p w14:paraId="05DF73D7" w14:textId="113B3C52" w:rsidR="007901E3" w:rsidRPr="0068011A" w:rsidRDefault="00F77F90" w:rsidP="0068011A">
      <w:pPr>
        <w:pStyle w:val="Tabletitle"/>
      </w:pPr>
      <w:r>
        <w:t xml:space="preserve">Table </w:t>
      </w:r>
      <w:r w:rsidR="00B22B81">
        <w:t>9</w:t>
      </w:r>
      <w:r>
        <w:t>: Sequence analysis between immunotherapies for NSCLC</w:t>
      </w:r>
      <w:r w:rsidR="00683F4B">
        <w:t xml:space="preserve"> since PBS listing of durvalumab (March 2020 to June 2022)</w:t>
      </w:r>
      <w:r>
        <w:t xml:space="preserve"> </w:t>
      </w:r>
      <w:r w:rsidR="003D4D24">
        <w:rPr>
          <w:iCs/>
          <w:sz w:val="20"/>
          <w:szCs w:val="20"/>
        </w:rPr>
        <w:t xml:space="preserve"> </w:t>
      </w:r>
    </w:p>
    <w:tbl>
      <w:tblPr>
        <w:tblW w:w="8899" w:type="dxa"/>
        <w:tblLook w:val="04A0" w:firstRow="1" w:lastRow="0" w:firstColumn="1" w:lastColumn="0" w:noHBand="0" w:noVBand="1"/>
      </w:tblPr>
      <w:tblGrid>
        <w:gridCol w:w="7358"/>
        <w:gridCol w:w="1541"/>
      </w:tblGrid>
      <w:tr w:rsidR="0068011A" w:rsidRPr="0068011A" w14:paraId="37E9FE7D" w14:textId="77777777" w:rsidTr="0068011A">
        <w:trPr>
          <w:trHeight w:val="252"/>
        </w:trPr>
        <w:tc>
          <w:tcPr>
            <w:tcW w:w="7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29EEBA2" w14:textId="03FCCD05" w:rsidR="0068011A" w:rsidRPr="0068011A" w:rsidRDefault="0068011A" w:rsidP="0068011A">
            <w:pPr>
              <w:spacing w:after="0"/>
              <w:rPr>
                <w:rFonts w:ascii="Calibri" w:eastAsia="Times New Roman" w:hAnsi="Calibri" w:cs="Calibri"/>
                <w:b/>
                <w:bCs/>
                <w:color w:val="000000"/>
                <w:sz w:val="22"/>
                <w:szCs w:val="22"/>
              </w:rPr>
            </w:pPr>
            <w:r w:rsidRPr="0068011A">
              <w:rPr>
                <w:rFonts w:ascii="Calibri" w:eastAsia="Times New Roman" w:hAnsi="Calibri" w:cs="Calibri"/>
                <w:b/>
                <w:bCs/>
                <w:color w:val="000000"/>
                <w:sz w:val="22"/>
                <w:szCs w:val="22"/>
              </w:rPr>
              <w:t>Sequence</w:t>
            </w:r>
          </w:p>
        </w:tc>
        <w:tc>
          <w:tcPr>
            <w:tcW w:w="1541"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7F332A0" w14:textId="33FC46EC" w:rsidR="0068011A" w:rsidRPr="0068011A" w:rsidRDefault="0068011A" w:rsidP="0068011A">
            <w:pPr>
              <w:spacing w:after="0"/>
              <w:jc w:val="right"/>
              <w:rPr>
                <w:rFonts w:ascii="Calibri" w:eastAsia="Times New Roman" w:hAnsi="Calibri" w:cs="Calibri"/>
                <w:b/>
                <w:bCs/>
                <w:color w:val="000000"/>
                <w:sz w:val="22"/>
                <w:szCs w:val="22"/>
              </w:rPr>
            </w:pPr>
            <w:r w:rsidRPr="0068011A">
              <w:rPr>
                <w:rFonts w:ascii="Calibri" w:eastAsia="Times New Roman" w:hAnsi="Calibri" w:cs="Calibri"/>
                <w:b/>
                <w:bCs/>
                <w:color w:val="000000"/>
                <w:sz w:val="22"/>
                <w:szCs w:val="22"/>
              </w:rPr>
              <w:t>Percent</w:t>
            </w:r>
          </w:p>
        </w:tc>
      </w:tr>
      <w:tr w:rsidR="0068011A" w:rsidRPr="0068011A" w14:paraId="6C674D4B" w14:textId="77777777" w:rsidTr="0068011A">
        <w:trPr>
          <w:trHeight w:val="252"/>
        </w:trPr>
        <w:tc>
          <w:tcPr>
            <w:tcW w:w="7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78CF4" w14:textId="77777777" w:rsidR="0068011A" w:rsidRPr="0068011A" w:rsidRDefault="0068011A" w:rsidP="0068011A">
            <w:pPr>
              <w:spacing w:after="0"/>
              <w:rPr>
                <w:rFonts w:ascii="Calibri" w:eastAsia="Times New Roman" w:hAnsi="Calibri" w:cs="Calibri"/>
                <w:color w:val="000000"/>
                <w:sz w:val="22"/>
                <w:szCs w:val="22"/>
              </w:rPr>
            </w:pPr>
            <w:r w:rsidRPr="0068011A">
              <w:rPr>
                <w:rFonts w:ascii="Calibri" w:eastAsia="Times New Roman" w:hAnsi="Calibri" w:cs="Calibri"/>
                <w:color w:val="000000"/>
                <w:sz w:val="22"/>
                <w:szCs w:val="22"/>
              </w:rPr>
              <w:t>PEMBROLIZUMAB</w:t>
            </w:r>
          </w:p>
        </w:tc>
        <w:tc>
          <w:tcPr>
            <w:tcW w:w="1541" w:type="dxa"/>
            <w:tcBorders>
              <w:top w:val="single" w:sz="4" w:space="0" w:color="auto"/>
              <w:left w:val="nil"/>
              <w:bottom w:val="single" w:sz="4" w:space="0" w:color="auto"/>
              <w:right w:val="single" w:sz="4" w:space="0" w:color="auto"/>
            </w:tcBorders>
            <w:shd w:val="clear" w:color="auto" w:fill="auto"/>
            <w:noWrap/>
            <w:vAlign w:val="bottom"/>
            <w:hideMark/>
          </w:tcPr>
          <w:p w14:paraId="111EF9F1" w14:textId="77777777" w:rsidR="0068011A" w:rsidRPr="0068011A" w:rsidRDefault="0068011A" w:rsidP="0068011A">
            <w:pPr>
              <w:spacing w:after="0"/>
              <w:jc w:val="right"/>
              <w:rPr>
                <w:rFonts w:ascii="Calibri" w:eastAsia="Times New Roman" w:hAnsi="Calibri" w:cs="Calibri"/>
                <w:color w:val="000000"/>
                <w:sz w:val="22"/>
                <w:szCs w:val="22"/>
              </w:rPr>
            </w:pPr>
            <w:r w:rsidRPr="0068011A">
              <w:rPr>
                <w:rFonts w:ascii="Calibri" w:eastAsia="Times New Roman" w:hAnsi="Calibri" w:cs="Calibri"/>
                <w:color w:val="000000"/>
                <w:sz w:val="22"/>
                <w:szCs w:val="22"/>
              </w:rPr>
              <w:t>60.7%</w:t>
            </w:r>
          </w:p>
        </w:tc>
      </w:tr>
      <w:tr w:rsidR="0068011A" w:rsidRPr="0068011A" w14:paraId="0B695019" w14:textId="77777777" w:rsidTr="0068011A">
        <w:trPr>
          <w:trHeight w:val="252"/>
        </w:trPr>
        <w:tc>
          <w:tcPr>
            <w:tcW w:w="7358" w:type="dxa"/>
            <w:tcBorders>
              <w:top w:val="nil"/>
              <w:left w:val="single" w:sz="4" w:space="0" w:color="auto"/>
              <w:bottom w:val="single" w:sz="4" w:space="0" w:color="auto"/>
              <w:right w:val="single" w:sz="4" w:space="0" w:color="auto"/>
            </w:tcBorders>
            <w:shd w:val="clear" w:color="auto" w:fill="auto"/>
            <w:noWrap/>
            <w:vAlign w:val="bottom"/>
            <w:hideMark/>
          </w:tcPr>
          <w:p w14:paraId="520D1FAB" w14:textId="77777777" w:rsidR="0068011A" w:rsidRPr="0068011A" w:rsidRDefault="0068011A" w:rsidP="0068011A">
            <w:pPr>
              <w:spacing w:after="0"/>
              <w:rPr>
                <w:rFonts w:ascii="Calibri" w:eastAsia="Times New Roman" w:hAnsi="Calibri" w:cs="Calibri"/>
                <w:color w:val="000000"/>
                <w:sz w:val="22"/>
                <w:szCs w:val="22"/>
              </w:rPr>
            </w:pPr>
            <w:r w:rsidRPr="0068011A">
              <w:rPr>
                <w:rFonts w:ascii="Calibri" w:eastAsia="Times New Roman" w:hAnsi="Calibri" w:cs="Calibri"/>
                <w:color w:val="000000"/>
                <w:sz w:val="22"/>
                <w:szCs w:val="22"/>
              </w:rPr>
              <w:t>DURVALUMAB</w:t>
            </w:r>
          </w:p>
        </w:tc>
        <w:tc>
          <w:tcPr>
            <w:tcW w:w="1541" w:type="dxa"/>
            <w:tcBorders>
              <w:top w:val="nil"/>
              <w:left w:val="nil"/>
              <w:bottom w:val="single" w:sz="4" w:space="0" w:color="auto"/>
              <w:right w:val="single" w:sz="4" w:space="0" w:color="auto"/>
            </w:tcBorders>
            <w:shd w:val="clear" w:color="auto" w:fill="auto"/>
            <w:noWrap/>
            <w:vAlign w:val="bottom"/>
            <w:hideMark/>
          </w:tcPr>
          <w:p w14:paraId="6E995546" w14:textId="77777777" w:rsidR="0068011A" w:rsidRPr="0068011A" w:rsidRDefault="0068011A" w:rsidP="0068011A">
            <w:pPr>
              <w:spacing w:after="0"/>
              <w:jc w:val="right"/>
              <w:rPr>
                <w:rFonts w:ascii="Calibri" w:eastAsia="Times New Roman" w:hAnsi="Calibri" w:cs="Calibri"/>
                <w:color w:val="000000"/>
                <w:sz w:val="22"/>
                <w:szCs w:val="22"/>
              </w:rPr>
            </w:pPr>
            <w:r w:rsidRPr="0068011A">
              <w:rPr>
                <w:rFonts w:ascii="Calibri" w:eastAsia="Times New Roman" w:hAnsi="Calibri" w:cs="Calibri"/>
                <w:color w:val="000000"/>
                <w:sz w:val="22"/>
                <w:szCs w:val="22"/>
              </w:rPr>
              <w:t>13.0%</w:t>
            </w:r>
          </w:p>
        </w:tc>
      </w:tr>
      <w:tr w:rsidR="0068011A" w:rsidRPr="0068011A" w14:paraId="2916D993" w14:textId="77777777" w:rsidTr="0068011A">
        <w:trPr>
          <w:trHeight w:val="252"/>
        </w:trPr>
        <w:tc>
          <w:tcPr>
            <w:tcW w:w="7358" w:type="dxa"/>
            <w:tcBorders>
              <w:top w:val="nil"/>
              <w:left w:val="single" w:sz="4" w:space="0" w:color="auto"/>
              <w:bottom w:val="single" w:sz="4" w:space="0" w:color="auto"/>
              <w:right w:val="single" w:sz="4" w:space="0" w:color="auto"/>
            </w:tcBorders>
            <w:shd w:val="clear" w:color="auto" w:fill="auto"/>
            <w:noWrap/>
            <w:vAlign w:val="bottom"/>
            <w:hideMark/>
          </w:tcPr>
          <w:p w14:paraId="623297B0" w14:textId="77777777" w:rsidR="0068011A" w:rsidRPr="0068011A" w:rsidRDefault="0068011A" w:rsidP="0068011A">
            <w:pPr>
              <w:spacing w:after="0"/>
              <w:rPr>
                <w:rFonts w:ascii="Calibri" w:eastAsia="Times New Roman" w:hAnsi="Calibri" w:cs="Calibri"/>
                <w:color w:val="000000"/>
                <w:sz w:val="22"/>
                <w:szCs w:val="22"/>
              </w:rPr>
            </w:pPr>
            <w:r w:rsidRPr="0068011A">
              <w:rPr>
                <w:rFonts w:ascii="Calibri" w:eastAsia="Times New Roman" w:hAnsi="Calibri" w:cs="Calibri"/>
                <w:color w:val="000000"/>
                <w:sz w:val="22"/>
                <w:szCs w:val="22"/>
              </w:rPr>
              <w:t>NIVOLUMAB</w:t>
            </w:r>
          </w:p>
        </w:tc>
        <w:tc>
          <w:tcPr>
            <w:tcW w:w="1541" w:type="dxa"/>
            <w:tcBorders>
              <w:top w:val="nil"/>
              <w:left w:val="nil"/>
              <w:bottom w:val="single" w:sz="4" w:space="0" w:color="auto"/>
              <w:right w:val="single" w:sz="4" w:space="0" w:color="auto"/>
            </w:tcBorders>
            <w:shd w:val="clear" w:color="auto" w:fill="auto"/>
            <w:noWrap/>
            <w:vAlign w:val="bottom"/>
            <w:hideMark/>
          </w:tcPr>
          <w:p w14:paraId="67224751" w14:textId="77777777" w:rsidR="0068011A" w:rsidRPr="0068011A" w:rsidRDefault="0068011A" w:rsidP="0068011A">
            <w:pPr>
              <w:spacing w:after="0"/>
              <w:jc w:val="right"/>
              <w:rPr>
                <w:rFonts w:ascii="Calibri" w:eastAsia="Times New Roman" w:hAnsi="Calibri" w:cs="Calibri"/>
                <w:color w:val="000000"/>
                <w:sz w:val="22"/>
                <w:szCs w:val="22"/>
              </w:rPr>
            </w:pPr>
            <w:r w:rsidRPr="0068011A">
              <w:rPr>
                <w:rFonts w:ascii="Calibri" w:eastAsia="Times New Roman" w:hAnsi="Calibri" w:cs="Calibri"/>
                <w:color w:val="000000"/>
                <w:sz w:val="22"/>
                <w:szCs w:val="22"/>
              </w:rPr>
              <w:t>12.3%</w:t>
            </w:r>
          </w:p>
        </w:tc>
      </w:tr>
      <w:tr w:rsidR="0068011A" w:rsidRPr="0068011A" w14:paraId="5C238073" w14:textId="77777777" w:rsidTr="0068011A">
        <w:trPr>
          <w:trHeight w:val="252"/>
        </w:trPr>
        <w:tc>
          <w:tcPr>
            <w:tcW w:w="7358" w:type="dxa"/>
            <w:tcBorders>
              <w:top w:val="nil"/>
              <w:left w:val="single" w:sz="4" w:space="0" w:color="auto"/>
              <w:bottom w:val="single" w:sz="4" w:space="0" w:color="auto"/>
              <w:right w:val="single" w:sz="4" w:space="0" w:color="auto"/>
            </w:tcBorders>
            <w:shd w:val="clear" w:color="auto" w:fill="auto"/>
            <w:noWrap/>
            <w:vAlign w:val="bottom"/>
            <w:hideMark/>
          </w:tcPr>
          <w:p w14:paraId="6CA5AC80" w14:textId="77777777" w:rsidR="0068011A" w:rsidRPr="0068011A" w:rsidRDefault="0068011A" w:rsidP="0068011A">
            <w:pPr>
              <w:spacing w:after="0"/>
              <w:rPr>
                <w:rFonts w:ascii="Calibri" w:eastAsia="Times New Roman" w:hAnsi="Calibri" w:cs="Calibri"/>
                <w:color w:val="000000"/>
                <w:sz w:val="22"/>
                <w:szCs w:val="22"/>
              </w:rPr>
            </w:pPr>
            <w:r w:rsidRPr="0068011A">
              <w:rPr>
                <w:rFonts w:ascii="Calibri" w:eastAsia="Times New Roman" w:hAnsi="Calibri" w:cs="Calibri"/>
                <w:color w:val="000000"/>
                <w:sz w:val="22"/>
                <w:szCs w:val="22"/>
              </w:rPr>
              <w:t>ATEZOLIZUMAB</w:t>
            </w:r>
          </w:p>
        </w:tc>
        <w:tc>
          <w:tcPr>
            <w:tcW w:w="1541" w:type="dxa"/>
            <w:tcBorders>
              <w:top w:val="nil"/>
              <w:left w:val="nil"/>
              <w:bottom w:val="single" w:sz="4" w:space="0" w:color="auto"/>
              <w:right w:val="single" w:sz="4" w:space="0" w:color="auto"/>
            </w:tcBorders>
            <w:shd w:val="clear" w:color="auto" w:fill="auto"/>
            <w:noWrap/>
            <w:vAlign w:val="bottom"/>
            <w:hideMark/>
          </w:tcPr>
          <w:p w14:paraId="29FCA3C5" w14:textId="77777777" w:rsidR="0068011A" w:rsidRPr="0068011A" w:rsidRDefault="0068011A" w:rsidP="0068011A">
            <w:pPr>
              <w:spacing w:after="0"/>
              <w:jc w:val="right"/>
              <w:rPr>
                <w:rFonts w:ascii="Calibri" w:eastAsia="Times New Roman" w:hAnsi="Calibri" w:cs="Calibri"/>
                <w:color w:val="000000"/>
                <w:sz w:val="22"/>
                <w:szCs w:val="22"/>
              </w:rPr>
            </w:pPr>
            <w:r w:rsidRPr="0068011A">
              <w:rPr>
                <w:rFonts w:ascii="Calibri" w:eastAsia="Times New Roman" w:hAnsi="Calibri" w:cs="Calibri"/>
                <w:color w:val="000000"/>
                <w:sz w:val="22"/>
                <w:szCs w:val="22"/>
              </w:rPr>
              <w:t>7.3%</w:t>
            </w:r>
          </w:p>
        </w:tc>
      </w:tr>
      <w:tr w:rsidR="0068011A" w:rsidRPr="0068011A" w14:paraId="55CF7290" w14:textId="77777777" w:rsidTr="0068011A">
        <w:trPr>
          <w:trHeight w:val="252"/>
        </w:trPr>
        <w:tc>
          <w:tcPr>
            <w:tcW w:w="7358" w:type="dxa"/>
            <w:tcBorders>
              <w:top w:val="nil"/>
              <w:left w:val="single" w:sz="4" w:space="0" w:color="auto"/>
              <w:bottom w:val="single" w:sz="4" w:space="0" w:color="auto"/>
              <w:right w:val="single" w:sz="4" w:space="0" w:color="auto"/>
            </w:tcBorders>
            <w:shd w:val="clear" w:color="auto" w:fill="auto"/>
            <w:noWrap/>
            <w:vAlign w:val="bottom"/>
            <w:hideMark/>
          </w:tcPr>
          <w:p w14:paraId="5903AB58" w14:textId="77777777" w:rsidR="0068011A" w:rsidRPr="0068011A" w:rsidRDefault="0068011A" w:rsidP="0068011A">
            <w:pPr>
              <w:spacing w:after="0"/>
              <w:rPr>
                <w:rFonts w:ascii="Calibri" w:eastAsia="Times New Roman" w:hAnsi="Calibri" w:cs="Calibri"/>
                <w:color w:val="000000"/>
                <w:sz w:val="22"/>
                <w:szCs w:val="22"/>
              </w:rPr>
            </w:pPr>
            <w:r w:rsidRPr="0068011A">
              <w:rPr>
                <w:rFonts w:ascii="Calibri" w:eastAsia="Times New Roman" w:hAnsi="Calibri" w:cs="Calibri"/>
                <w:color w:val="000000"/>
                <w:sz w:val="22"/>
                <w:szCs w:val="22"/>
              </w:rPr>
              <w:t>ATEZOLIZUMAB+BEVACIZUMAB</w:t>
            </w:r>
          </w:p>
        </w:tc>
        <w:tc>
          <w:tcPr>
            <w:tcW w:w="1541" w:type="dxa"/>
            <w:tcBorders>
              <w:top w:val="nil"/>
              <w:left w:val="nil"/>
              <w:bottom w:val="single" w:sz="4" w:space="0" w:color="auto"/>
              <w:right w:val="single" w:sz="4" w:space="0" w:color="auto"/>
            </w:tcBorders>
            <w:shd w:val="clear" w:color="auto" w:fill="auto"/>
            <w:noWrap/>
            <w:vAlign w:val="bottom"/>
            <w:hideMark/>
          </w:tcPr>
          <w:p w14:paraId="01C0A03A" w14:textId="77777777" w:rsidR="0068011A" w:rsidRPr="0068011A" w:rsidRDefault="0068011A" w:rsidP="0068011A">
            <w:pPr>
              <w:spacing w:after="0"/>
              <w:jc w:val="right"/>
              <w:rPr>
                <w:rFonts w:ascii="Calibri" w:eastAsia="Times New Roman" w:hAnsi="Calibri" w:cs="Calibri"/>
                <w:color w:val="000000"/>
                <w:sz w:val="22"/>
                <w:szCs w:val="22"/>
              </w:rPr>
            </w:pPr>
            <w:r w:rsidRPr="0068011A">
              <w:rPr>
                <w:rFonts w:ascii="Calibri" w:eastAsia="Times New Roman" w:hAnsi="Calibri" w:cs="Calibri"/>
                <w:color w:val="000000"/>
                <w:sz w:val="22"/>
                <w:szCs w:val="22"/>
              </w:rPr>
              <w:t>3.9%</w:t>
            </w:r>
          </w:p>
        </w:tc>
      </w:tr>
      <w:tr w:rsidR="0068011A" w:rsidRPr="0068011A" w14:paraId="2C3AECDF" w14:textId="77777777" w:rsidTr="0068011A">
        <w:trPr>
          <w:trHeight w:val="252"/>
        </w:trPr>
        <w:tc>
          <w:tcPr>
            <w:tcW w:w="7358" w:type="dxa"/>
            <w:tcBorders>
              <w:top w:val="nil"/>
              <w:left w:val="single" w:sz="4" w:space="0" w:color="auto"/>
              <w:bottom w:val="single" w:sz="4" w:space="0" w:color="auto"/>
              <w:right w:val="single" w:sz="4" w:space="0" w:color="auto"/>
            </w:tcBorders>
            <w:shd w:val="clear" w:color="auto" w:fill="auto"/>
            <w:noWrap/>
            <w:vAlign w:val="bottom"/>
            <w:hideMark/>
          </w:tcPr>
          <w:p w14:paraId="126ADF93" w14:textId="77777777" w:rsidR="0068011A" w:rsidRPr="0068011A" w:rsidRDefault="0068011A" w:rsidP="0068011A">
            <w:pPr>
              <w:spacing w:after="0"/>
              <w:rPr>
                <w:rFonts w:ascii="Calibri" w:eastAsia="Times New Roman" w:hAnsi="Calibri" w:cs="Calibri"/>
                <w:color w:val="000000"/>
                <w:sz w:val="22"/>
                <w:szCs w:val="22"/>
              </w:rPr>
            </w:pPr>
            <w:r w:rsidRPr="0068011A">
              <w:rPr>
                <w:rFonts w:ascii="Calibri" w:eastAsia="Times New Roman" w:hAnsi="Calibri" w:cs="Calibri"/>
                <w:color w:val="000000"/>
                <w:sz w:val="22"/>
                <w:szCs w:val="22"/>
              </w:rPr>
              <w:t>NIVOLUMAB+IPILIMUMAB</w:t>
            </w:r>
          </w:p>
        </w:tc>
        <w:tc>
          <w:tcPr>
            <w:tcW w:w="1541" w:type="dxa"/>
            <w:tcBorders>
              <w:top w:val="nil"/>
              <w:left w:val="nil"/>
              <w:bottom w:val="single" w:sz="4" w:space="0" w:color="auto"/>
              <w:right w:val="single" w:sz="4" w:space="0" w:color="auto"/>
            </w:tcBorders>
            <w:shd w:val="clear" w:color="auto" w:fill="auto"/>
            <w:noWrap/>
            <w:vAlign w:val="bottom"/>
            <w:hideMark/>
          </w:tcPr>
          <w:p w14:paraId="5E1379F7" w14:textId="77777777" w:rsidR="0068011A" w:rsidRPr="0068011A" w:rsidRDefault="0068011A" w:rsidP="0068011A">
            <w:pPr>
              <w:spacing w:after="0"/>
              <w:jc w:val="right"/>
              <w:rPr>
                <w:rFonts w:ascii="Calibri" w:eastAsia="Times New Roman" w:hAnsi="Calibri" w:cs="Calibri"/>
                <w:color w:val="000000"/>
                <w:sz w:val="22"/>
                <w:szCs w:val="22"/>
              </w:rPr>
            </w:pPr>
            <w:r w:rsidRPr="0068011A">
              <w:rPr>
                <w:rFonts w:ascii="Calibri" w:eastAsia="Times New Roman" w:hAnsi="Calibri" w:cs="Calibri"/>
                <w:color w:val="000000"/>
                <w:sz w:val="22"/>
                <w:szCs w:val="22"/>
              </w:rPr>
              <w:t>1.2%</w:t>
            </w:r>
          </w:p>
        </w:tc>
      </w:tr>
      <w:tr w:rsidR="0068011A" w:rsidRPr="0068011A" w14:paraId="48DA4069" w14:textId="77777777" w:rsidTr="0068011A">
        <w:trPr>
          <w:trHeight w:val="252"/>
        </w:trPr>
        <w:tc>
          <w:tcPr>
            <w:tcW w:w="7358" w:type="dxa"/>
            <w:tcBorders>
              <w:top w:val="nil"/>
              <w:left w:val="single" w:sz="4" w:space="0" w:color="auto"/>
              <w:bottom w:val="single" w:sz="4" w:space="0" w:color="auto"/>
              <w:right w:val="single" w:sz="4" w:space="0" w:color="auto"/>
            </w:tcBorders>
            <w:shd w:val="clear" w:color="auto" w:fill="auto"/>
            <w:noWrap/>
            <w:vAlign w:val="bottom"/>
            <w:hideMark/>
          </w:tcPr>
          <w:p w14:paraId="6B9DEF51" w14:textId="77777777" w:rsidR="0068011A" w:rsidRPr="0068011A" w:rsidRDefault="0068011A" w:rsidP="0068011A">
            <w:pPr>
              <w:spacing w:after="0"/>
              <w:rPr>
                <w:rFonts w:ascii="Calibri" w:eastAsia="Times New Roman" w:hAnsi="Calibri" w:cs="Calibri"/>
                <w:color w:val="000000"/>
                <w:sz w:val="22"/>
                <w:szCs w:val="22"/>
              </w:rPr>
            </w:pPr>
            <w:r w:rsidRPr="0068011A">
              <w:rPr>
                <w:rFonts w:ascii="Calibri" w:eastAsia="Times New Roman" w:hAnsi="Calibri" w:cs="Calibri"/>
                <w:color w:val="000000"/>
                <w:sz w:val="22"/>
                <w:szCs w:val="22"/>
              </w:rPr>
              <w:t>BEVACIZUMAB</w:t>
            </w:r>
          </w:p>
        </w:tc>
        <w:tc>
          <w:tcPr>
            <w:tcW w:w="1541" w:type="dxa"/>
            <w:tcBorders>
              <w:top w:val="nil"/>
              <w:left w:val="nil"/>
              <w:bottom w:val="single" w:sz="4" w:space="0" w:color="auto"/>
              <w:right w:val="single" w:sz="4" w:space="0" w:color="auto"/>
            </w:tcBorders>
            <w:shd w:val="clear" w:color="auto" w:fill="auto"/>
            <w:noWrap/>
            <w:vAlign w:val="bottom"/>
            <w:hideMark/>
          </w:tcPr>
          <w:p w14:paraId="13CD5FA0" w14:textId="77777777" w:rsidR="0068011A" w:rsidRPr="0068011A" w:rsidRDefault="0068011A" w:rsidP="0068011A">
            <w:pPr>
              <w:spacing w:after="0"/>
              <w:jc w:val="right"/>
              <w:rPr>
                <w:rFonts w:ascii="Calibri" w:eastAsia="Times New Roman" w:hAnsi="Calibri" w:cs="Calibri"/>
                <w:color w:val="000000"/>
                <w:sz w:val="22"/>
                <w:szCs w:val="22"/>
              </w:rPr>
            </w:pPr>
            <w:r w:rsidRPr="0068011A">
              <w:rPr>
                <w:rFonts w:ascii="Calibri" w:eastAsia="Times New Roman" w:hAnsi="Calibri" w:cs="Calibri"/>
                <w:color w:val="000000"/>
                <w:sz w:val="22"/>
                <w:szCs w:val="22"/>
              </w:rPr>
              <w:t>0.6%</w:t>
            </w:r>
          </w:p>
        </w:tc>
      </w:tr>
      <w:tr w:rsidR="0068011A" w:rsidRPr="0068011A" w14:paraId="2AD57549" w14:textId="77777777" w:rsidTr="0068011A">
        <w:trPr>
          <w:trHeight w:val="252"/>
        </w:trPr>
        <w:tc>
          <w:tcPr>
            <w:tcW w:w="7358" w:type="dxa"/>
            <w:tcBorders>
              <w:top w:val="nil"/>
              <w:left w:val="single" w:sz="4" w:space="0" w:color="auto"/>
              <w:bottom w:val="single" w:sz="4" w:space="0" w:color="auto"/>
              <w:right w:val="single" w:sz="4" w:space="0" w:color="auto"/>
            </w:tcBorders>
            <w:shd w:val="clear" w:color="auto" w:fill="auto"/>
            <w:noWrap/>
            <w:vAlign w:val="bottom"/>
            <w:hideMark/>
          </w:tcPr>
          <w:p w14:paraId="77E5DA54" w14:textId="77777777" w:rsidR="0068011A" w:rsidRPr="0068011A" w:rsidRDefault="0068011A" w:rsidP="0068011A">
            <w:pPr>
              <w:spacing w:after="0"/>
              <w:rPr>
                <w:rFonts w:ascii="Calibri" w:eastAsia="Times New Roman" w:hAnsi="Calibri" w:cs="Calibri"/>
                <w:color w:val="000000"/>
                <w:sz w:val="22"/>
                <w:szCs w:val="22"/>
              </w:rPr>
            </w:pPr>
            <w:r w:rsidRPr="0068011A">
              <w:rPr>
                <w:rFonts w:ascii="Calibri" w:eastAsia="Times New Roman" w:hAnsi="Calibri" w:cs="Calibri"/>
                <w:color w:val="000000"/>
                <w:sz w:val="22"/>
                <w:szCs w:val="22"/>
              </w:rPr>
              <w:t>DURVALUMAB&gt;PEMBROLIZUMAB</w:t>
            </w:r>
          </w:p>
        </w:tc>
        <w:tc>
          <w:tcPr>
            <w:tcW w:w="1541" w:type="dxa"/>
            <w:tcBorders>
              <w:top w:val="nil"/>
              <w:left w:val="nil"/>
              <w:bottom w:val="single" w:sz="4" w:space="0" w:color="auto"/>
              <w:right w:val="single" w:sz="4" w:space="0" w:color="auto"/>
            </w:tcBorders>
            <w:shd w:val="clear" w:color="auto" w:fill="auto"/>
            <w:noWrap/>
            <w:vAlign w:val="bottom"/>
            <w:hideMark/>
          </w:tcPr>
          <w:p w14:paraId="373C9964" w14:textId="77777777" w:rsidR="0068011A" w:rsidRPr="0068011A" w:rsidRDefault="0068011A" w:rsidP="0068011A">
            <w:pPr>
              <w:spacing w:after="0"/>
              <w:jc w:val="right"/>
              <w:rPr>
                <w:rFonts w:ascii="Calibri" w:eastAsia="Times New Roman" w:hAnsi="Calibri" w:cs="Calibri"/>
                <w:color w:val="000000"/>
                <w:sz w:val="22"/>
                <w:szCs w:val="22"/>
              </w:rPr>
            </w:pPr>
            <w:r w:rsidRPr="0068011A">
              <w:rPr>
                <w:rFonts w:ascii="Calibri" w:eastAsia="Times New Roman" w:hAnsi="Calibri" w:cs="Calibri"/>
                <w:color w:val="000000"/>
                <w:sz w:val="22"/>
                <w:szCs w:val="22"/>
              </w:rPr>
              <w:t>0.3%</w:t>
            </w:r>
          </w:p>
        </w:tc>
      </w:tr>
      <w:tr w:rsidR="0068011A" w:rsidRPr="0068011A" w14:paraId="7860ACB1" w14:textId="77777777" w:rsidTr="0068011A">
        <w:trPr>
          <w:trHeight w:val="252"/>
        </w:trPr>
        <w:tc>
          <w:tcPr>
            <w:tcW w:w="7358" w:type="dxa"/>
            <w:tcBorders>
              <w:top w:val="nil"/>
              <w:left w:val="single" w:sz="4" w:space="0" w:color="auto"/>
              <w:bottom w:val="single" w:sz="4" w:space="0" w:color="auto"/>
              <w:right w:val="single" w:sz="4" w:space="0" w:color="auto"/>
            </w:tcBorders>
            <w:shd w:val="clear" w:color="auto" w:fill="auto"/>
            <w:noWrap/>
            <w:vAlign w:val="bottom"/>
            <w:hideMark/>
          </w:tcPr>
          <w:p w14:paraId="5A0130D5" w14:textId="77777777" w:rsidR="0068011A" w:rsidRPr="0068011A" w:rsidRDefault="0068011A" w:rsidP="0068011A">
            <w:pPr>
              <w:spacing w:after="0"/>
              <w:rPr>
                <w:rFonts w:ascii="Calibri" w:eastAsia="Times New Roman" w:hAnsi="Calibri" w:cs="Calibri"/>
                <w:color w:val="000000"/>
                <w:sz w:val="22"/>
                <w:szCs w:val="22"/>
              </w:rPr>
            </w:pPr>
            <w:r w:rsidRPr="0068011A">
              <w:rPr>
                <w:rFonts w:ascii="Calibri" w:eastAsia="Times New Roman" w:hAnsi="Calibri" w:cs="Calibri"/>
                <w:color w:val="000000"/>
                <w:sz w:val="22"/>
                <w:szCs w:val="22"/>
              </w:rPr>
              <w:t>DURVALUMAB&gt;NIVOLUMAB</w:t>
            </w:r>
          </w:p>
        </w:tc>
        <w:tc>
          <w:tcPr>
            <w:tcW w:w="1541" w:type="dxa"/>
            <w:tcBorders>
              <w:top w:val="nil"/>
              <w:left w:val="nil"/>
              <w:bottom w:val="single" w:sz="4" w:space="0" w:color="auto"/>
              <w:right w:val="single" w:sz="4" w:space="0" w:color="auto"/>
            </w:tcBorders>
            <w:shd w:val="clear" w:color="auto" w:fill="auto"/>
            <w:noWrap/>
            <w:vAlign w:val="bottom"/>
            <w:hideMark/>
          </w:tcPr>
          <w:p w14:paraId="7DC136CF" w14:textId="77777777" w:rsidR="0068011A" w:rsidRPr="0068011A" w:rsidRDefault="0068011A" w:rsidP="0068011A">
            <w:pPr>
              <w:spacing w:after="0"/>
              <w:jc w:val="right"/>
              <w:rPr>
                <w:rFonts w:ascii="Calibri" w:eastAsia="Times New Roman" w:hAnsi="Calibri" w:cs="Calibri"/>
                <w:color w:val="000000"/>
                <w:sz w:val="22"/>
                <w:szCs w:val="22"/>
              </w:rPr>
            </w:pPr>
            <w:r w:rsidRPr="0068011A">
              <w:rPr>
                <w:rFonts w:ascii="Calibri" w:eastAsia="Times New Roman" w:hAnsi="Calibri" w:cs="Calibri"/>
                <w:color w:val="000000"/>
                <w:sz w:val="22"/>
                <w:szCs w:val="22"/>
              </w:rPr>
              <w:t>0.1%</w:t>
            </w:r>
          </w:p>
        </w:tc>
      </w:tr>
      <w:tr w:rsidR="0068011A" w:rsidRPr="0068011A" w14:paraId="38D332A3" w14:textId="77777777" w:rsidTr="0068011A">
        <w:trPr>
          <w:trHeight w:val="252"/>
        </w:trPr>
        <w:tc>
          <w:tcPr>
            <w:tcW w:w="7358" w:type="dxa"/>
            <w:tcBorders>
              <w:top w:val="nil"/>
              <w:left w:val="single" w:sz="4" w:space="0" w:color="auto"/>
              <w:bottom w:val="single" w:sz="4" w:space="0" w:color="auto"/>
              <w:right w:val="single" w:sz="4" w:space="0" w:color="auto"/>
            </w:tcBorders>
            <w:shd w:val="clear" w:color="auto" w:fill="auto"/>
            <w:noWrap/>
            <w:vAlign w:val="bottom"/>
            <w:hideMark/>
          </w:tcPr>
          <w:p w14:paraId="2FCDE821" w14:textId="77777777" w:rsidR="0068011A" w:rsidRPr="0068011A" w:rsidRDefault="0068011A" w:rsidP="0068011A">
            <w:pPr>
              <w:spacing w:after="0"/>
              <w:rPr>
                <w:rFonts w:ascii="Calibri" w:eastAsia="Times New Roman" w:hAnsi="Calibri" w:cs="Calibri"/>
                <w:color w:val="000000"/>
                <w:sz w:val="22"/>
                <w:szCs w:val="22"/>
              </w:rPr>
            </w:pPr>
            <w:r w:rsidRPr="0068011A">
              <w:rPr>
                <w:rFonts w:ascii="Calibri" w:eastAsia="Times New Roman" w:hAnsi="Calibri" w:cs="Calibri"/>
                <w:color w:val="000000"/>
                <w:sz w:val="22"/>
                <w:szCs w:val="22"/>
              </w:rPr>
              <w:t>IPILIMUMAB</w:t>
            </w:r>
          </w:p>
        </w:tc>
        <w:tc>
          <w:tcPr>
            <w:tcW w:w="1541" w:type="dxa"/>
            <w:tcBorders>
              <w:top w:val="nil"/>
              <w:left w:val="nil"/>
              <w:bottom w:val="single" w:sz="4" w:space="0" w:color="auto"/>
              <w:right w:val="single" w:sz="4" w:space="0" w:color="auto"/>
            </w:tcBorders>
            <w:shd w:val="clear" w:color="auto" w:fill="auto"/>
            <w:noWrap/>
            <w:vAlign w:val="bottom"/>
            <w:hideMark/>
          </w:tcPr>
          <w:p w14:paraId="38DE0784" w14:textId="77777777" w:rsidR="0068011A" w:rsidRPr="0068011A" w:rsidRDefault="0068011A" w:rsidP="0068011A">
            <w:pPr>
              <w:spacing w:after="0"/>
              <w:jc w:val="right"/>
              <w:rPr>
                <w:rFonts w:ascii="Calibri" w:eastAsia="Times New Roman" w:hAnsi="Calibri" w:cs="Calibri"/>
                <w:color w:val="000000"/>
                <w:sz w:val="22"/>
                <w:szCs w:val="22"/>
              </w:rPr>
            </w:pPr>
            <w:r w:rsidRPr="0068011A">
              <w:rPr>
                <w:rFonts w:ascii="Calibri" w:eastAsia="Times New Roman" w:hAnsi="Calibri" w:cs="Calibri"/>
                <w:color w:val="000000"/>
                <w:sz w:val="22"/>
                <w:szCs w:val="22"/>
              </w:rPr>
              <w:t>0.1%</w:t>
            </w:r>
          </w:p>
        </w:tc>
      </w:tr>
      <w:tr w:rsidR="0068011A" w:rsidRPr="0068011A" w14:paraId="07A32C37" w14:textId="77777777" w:rsidTr="0068011A">
        <w:trPr>
          <w:trHeight w:val="252"/>
        </w:trPr>
        <w:tc>
          <w:tcPr>
            <w:tcW w:w="7358" w:type="dxa"/>
            <w:tcBorders>
              <w:top w:val="nil"/>
              <w:left w:val="single" w:sz="4" w:space="0" w:color="auto"/>
              <w:bottom w:val="single" w:sz="4" w:space="0" w:color="auto"/>
              <w:right w:val="single" w:sz="4" w:space="0" w:color="auto"/>
            </w:tcBorders>
            <w:shd w:val="clear" w:color="auto" w:fill="auto"/>
            <w:noWrap/>
            <w:vAlign w:val="bottom"/>
            <w:hideMark/>
          </w:tcPr>
          <w:p w14:paraId="194A6F55" w14:textId="77777777" w:rsidR="0068011A" w:rsidRPr="0068011A" w:rsidRDefault="0068011A" w:rsidP="0068011A">
            <w:pPr>
              <w:spacing w:after="0"/>
              <w:rPr>
                <w:rFonts w:ascii="Calibri" w:eastAsia="Times New Roman" w:hAnsi="Calibri" w:cs="Calibri"/>
                <w:color w:val="000000"/>
                <w:sz w:val="22"/>
                <w:szCs w:val="22"/>
              </w:rPr>
            </w:pPr>
            <w:r w:rsidRPr="0068011A">
              <w:rPr>
                <w:rFonts w:ascii="Calibri" w:eastAsia="Times New Roman" w:hAnsi="Calibri" w:cs="Calibri"/>
                <w:color w:val="000000"/>
                <w:sz w:val="22"/>
                <w:szCs w:val="22"/>
              </w:rPr>
              <w:t>NIVOLUMAB&gt;PEMBROLIZUMAB</w:t>
            </w:r>
          </w:p>
        </w:tc>
        <w:tc>
          <w:tcPr>
            <w:tcW w:w="1541" w:type="dxa"/>
            <w:tcBorders>
              <w:top w:val="nil"/>
              <w:left w:val="nil"/>
              <w:bottom w:val="single" w:sz="4" w:space="0" w:color="auto"/>
              <w:right w:val="single" w:sz="4" w:space="0" w:color="auto"/>
            </w:tcBorders>
            <w:shd w:val="clear" w:color="auto" w:fill="auto"/>
            <w:noWrap/>
            <w:vAlign w:val="bottom"/>
            <w:hideMark/>
          </w:tcPr>
          <w:p w14:paraId="5DDD2361" w14:textId="77777777" w:rsidR="0068011A" w:rsidRPr="0068011A" w:rsidRDefault="0068011A" w:rsidP="0068011A">
            <w:pPr>
              <w:spacing w:after="0"/>
              <w:jc w:val="right"/>
              <w:rPr>
                <w:rFonts w:ascii="Calibri" w:eastAsia="Times New Roman" w:hAnsi="Calibri" w:cs="Calibri"/>
                <w:color w:val="000000"/>
                <w:sz w:val="22"/>
                <w:szCs w:val="22"/>
              </w:rPr>
            </w:pPr>
            <w:r w:rsidRPr="0068011A">
              <w:rPr>
                <w:rFonts w:ascii="Calibri" w:eastAsia="Times New Roman" w:hAnsi="Calibri" w:cs="Calibri"/>
                <w:color w:val="000000"/>
                <w:sz w:val="22"/>
                <w:szCs w:val="22"/>
              </w:rPr>
              <w:t>0.1%</w:t>
            </w:r>
          </w:p>
        </w:tc>
      </w:tr>
      <w:tr w:rsidR="0068011A" w:rsidRPr="0068011A" w14:paraId="6C863C52" w14:textId="77777777" w:rsidTr="0068011A">
        <w:trPr>
          <w:trHeight w:val="252"/>
        </w:trPr>
        <w:tc>
          <w:tcPr>
            <w:tcW w:w="7358" w:type="dxa"/>
            <w:tcBorders>
              <w:top w:val="nil"/>
              <w:left w:val="single" w:sz="4" w:space="0" w:color="auto"/>
              <w:bottom w:val="single" w:sz="4" w:space="0" w:color="auto"/>
              <w:right w:val="single" w:sz="4" w:space="0" w:color="auto"/>
            </w:tcBorders>
            <w:shd w:val="clear" w:color="auto" w:fill="auto"/>
            <w:noWrap/>
            <w:vAlign w:val="bottom"/>
            <w:hideMark/>
          </w:tcPr>
          <w:p w14:paraId="19E3E3A5" w14:textId="77777777" w:rsidR="0068011A" w:rsidRPr="0068011A" w:rsidRDefault="0068011A" w:rsidP="0068011A">
            <w:pPr>
              <w:spacing w:after="0"/>
              <w:rPr>
                <w:rFonts w:ascii="Calibri" w:eastAsia="Times New Roman" w:hAnsi="Calibri" w:cs="Calibri"/>
                <w:color w:val="000000"/>
                <w:sz w:val="22"/>
                <w:szCs w:val="22"/>
              </w:rPr>
            </w:pPr>
            <w:r w:rsidRPr="0068011A">
              <w:rPr>
                <w:rFonts w:ascii="Calibri" w:eastAsia="Times New Roman" w:hAnsi="Calibri" w:cs="Calibri"/>
                <w:color w:val="000000"/>
                <w:sz w:val="22"/>
                <w:szCs w:val="22"/>
              </w:rPr>
              <w:t>DURVALUMAB&gt;NIVOLUMAB+IPILIMUMAB</w:t>
            </w:r>
          </w:p>
        </w:tc>
        <w:tc>
          <w:tcPr>
            <w:tcW w:w="1541" w:type="dxa"/>
            <w:tcBorders>
              <w:top w:val="nil"/>
              <w:left w:val="nil"/>
              <w:bottom w:val="single" w:sz="4" w:space="0" w:color="auto"/>
              <w:right w:val="single" w:sz="4" w:space="0" w:color="auto"/>
            </w:tcBorders>
            <w:shd w:val="clear" w:color="auto" w:fill="auto"/>
            <w:noWrap/>
            <w:vAlign w:val="bottom"/>
            <w:hideMark/>
          </w:tcPr>
          <w:p w14:paraId="755C2F0F" w14:textId="6C4A8897" w:rsidR="0068011A" w:rsidRPr="0068011A" w:rsidRDefault="0068011A" w:rsidP="0068011A">
            <w:pPr>
              <w:spacing w:after="0"/>
              <w:jc w:val="right"/>
              <w:rPr>
                <w:rFonts w:ascii="Calibri" w:eastAsia="Times New Roman" w:hAnsi="Calibri" w:cs="Calibri"/>
                <w:color w:val="000000"/>
                <w:sz w:val="22"/>
                <w:szCs w:val="22"/>
              </w:rPr>
            </w:pPr>
            <w:r>
              <w:rPr>
                <w:rFonts w:ascii="Calibri" w:eastAsia="Times New Roman" w:hAnsi="Calibri" w:cs="Calibri"/>
                <w:color w:val="000000"/>
                <w:sz w:val="22"/>
                <w:szCs w:val="22"/>
              </w:rPr>
              <w:t>&lt;</w:t>
            </w:r>
            <w:r w:rsidRPr="0068011A">
              <w:rPr>
                <w:rFonts w:ascii="Calibri" w:eastAsia="Times New Roman" w:hAnsi="Calibri" w:cs="Calibri"/>
                <w:color w:val="000000"/>
                <w:sz w:val="22"/>
                <w:szCs w:val="22"/>
              </w:rPr>
              <w:t>0.</w:t>
            </w:r>
            <w:r>
              <w:rPr>
                <w:rFonts w:ascii="Calibri" w:eastAsia="Times New Roman" w:hAnsi="Calibri" w:cs="Calibri"/>
                <w:color w:val="000000"/>
                <w:sz w:val="22"/>
                <w:szCs w:val="22"/>
              </w:rPr>
              <w:t>1</w:t>
            </w:r>
            <w:r w:rsidRPr="0068011A">
              <w:rPr>
                <w:rFonts w:ascii="Calibri" w:eastAsia="Times New Roman" w:hAnsi="Calibri" w:cs="Calibri"/>
                <w:color w:val="000000"/>
                <w:sz w:val="22"/>
                <w:szCs w:val="22"/>
              </w:rPr>
              <w:t>%</w:t>
            </w:r>
          </w:p>
        </w:tc>
      </w:tr>
      <w:tr w:rsidR="0068011A" w:rsidRPr="0068011A" w14:paraId="4FF9E00A" w14:textId="77777777" w:rsidTr="0068011A">
        <w:trPr>
          <w:trHeight w:val="252"/>
        </w:trPr>
        <w:tc>
          <w:tcPr>
            <w:tcW w:w="7358" w:type="dxa"/>
            <w:tcBorders>
              <w:top w:val="nil"/>
              <w:left w:val="single" w:sz="4" w:space="0" w:color="auto"/>
              <w:bottom w:val="single" w:sz="4" w:space="0" w:color="auto"/>
              <w:right w:val="single" w:sz="4" w:space="0" w:color="auto"/>
            </w:tcBorders>
            <w:shd w:val="clear" w:color="auto" w:fill="auto"/>
            <w:noWrap/>
            <w:vAlign w:val="bottom"/>
            <w:hideMark/>
          </w:tcPr>
          <w:p w14:paraId="74C508F3" w14:textId="77777777" w:rsidR="0068011A" w:rsidRPr="0068011A" w:rsidRDefault="0068011A" w:rsidP="0068011A">
            <w:pPr>
              <w:spacing w:after="0"/>
              <w:rPr>
                <w:rFonts w:ascii="Calibri" w:eastAsia="Times New Roman" w:hAnsi="Calibri" w:cs="Calibri"/>
                <w:color w:val="000000"/>
                <w:sz w:val="22"/>
                <w:szCs w:val="22"/>
              </w:rPr>
            </w:pPr>
            <w:r w:rsidRPr="0068011A">
              <w:rPr>
                <w:rFonts w:ascii="Calibri" w:eastAsia="Times New Roman" w:hAnsi="Calibri" w:cs="Calibri"/>
                <w:color w:val="000000"/>
                <w:sz w:val="22"/>
                <w:szCs w:val="22"/>
              </w:rPr>
              <w:t>ATEZOLIZUMAB+BEVACIZUMAB&gt;PEMBROLIZUMAB</w:t>
            </w:r>
          </w:p>
        </w:tc>
        <w:tc>
          <w:tcPr>
            <w:tcW w:w="1541" w:type="dxa"/>
            <w:tcBorders>
              <w:top w:val="nil"/>
              <w:left w:val="nil"/>
              <w:bottom w:val="single" w:sz="4" w:space="0" w:color="auto"/>
              <w:right w:val="single" w:sz="4" w:space="0" w:color="auto"/>
            </w:tcBorders>
            <w:shd w:val="clear" w:color="auto" w:fill="auto"/>
            <w:noWrap/>
            <w:vAlign w:val="bottom"/>
            <w:hideMark/>
          </w:tcPr>
          <w:p w14:paraId="70783E45" w14:textId="441D3F75" w:rsidR="0068011A" w:rsidRPr="0068011A" w:rsidRDefault="0068011A" w:rsidP="0068011A">
            <w:pPr>
              <w:spacing w:after="0"/>
              <w:jc w:val="right"/>
              <w:rPr>
                <w:rFonts w:ascii="Calibri" w:eastAsia="Times New Roman" w:hAnsi="Calibri" w:cs="Calibri"/>
                <w:color w:val="000000"/>
                <w:sz w:val="22"/>
                <w:szCs w:val="22"/>
              </w:rPr>
            </w:pPr>
            <w:r>
              <w:rPr>
                <w:rFonts w:ascii="Calibri" w:eastAsia="Times New Roman" w:hAnsi="Calibri" w:cs="Calibri"/>
                <w:color w:val="000000"/>
                <w:sz w:val="22"/>
                <w:szCs w:val="22"/>
              </w:rPr>
              <w:t>&lt;</w:t>
            </w:r>
            <w:r w:rsidRPr="0068011A">
              <w:rPr>
                <w:rFonts w:ascii="Calibri" w:eastAsia="Times New Roman" w:hAnsi="Calibri" w:cs="Calibri"/>
                <w:color w:val="000000"/>
                <w:sz w:val="22"/>
                <w:szCs w:val="22"/>
              </w:rPr>
              <w:t>0.</w:t>
            </w:r>
            <w:r>
              <w:rPr>
                <w:rFonts w:ascii="Calibri" w:eastAsia="Times New Roman" w:hAnsi="Calibri" w:cs="Calibri"/>
                <w:color w:val="000000"/>
                <w:sz w:val="22"/>
                <w:szCs w:val="22"/>
              </w:rPr>
              <w:t>1</w:t>
            </w:r>
            <w:r w:rsidRPr="0068011A">
              <w:rPr>
                <w:rFonts w:ascii="Calibri" w:eastAsia="Times New Roman" w:hAnsi="Calibri" w:cs="Calibri"/>
                <w:color w:val="000000"/>
                <w:sz w:val="22"/>
                <w:szCs w:val="22"/>
              </w:rPr>
              <w:t>%</w:t>
            </w:r>
          </w:p>
        </w:tc>
      </w:tr>
      <w:tr w:rsidR="0068011A" w:rsidRPr="0068011A" w14:paraId="2BB7D7C2" w14:textId="77777777" w:rsidTr="0068011A">
        <w:trPr>
          <w:trHeight w:val="252"/>
        </w:trPr>
        <w:tc>
          <w:tcPr>
            <w:tcW w:w="7358" w:type="dxa"/>
            <w:tcBorders>
              <w:top w:val="nil"/>
              <w:left w:val="single" w:sz="4" w:space="0" w:color="auto"/>
              <w:bottom w:val="single" w:sz="4" w:space="0" w:color="auto"/>
              <w:right w:val="single" w:sz="4" w:space="0" w:color="auto"/>
            </w:tcBorders>
            <w:shd w:val="clear" w:color="auto" w:fill="auto"/>
            <w:noWrap/>
            <w:vAlign w:val="bottom"/>
            <w:hideMark/>
          </w:tcPr>
          <w:p w14:paraId="4014CCF4" w14:textId="77777777" w:rsidR="0068011A" w:rsidRPr="0068011A" w:rsidRDefault="0068011A" w:rsidP="0068011A">
            <w:pPr>
              <w:spacing w:after="0"/>
              <w:rPr>
                <w:rFonts w:ascii="Calibri" w:eastAsia="Times New Roman" w:hAnsi="Calibri" w:cs="Calibri"/>
                <w:color w:val="000000"/>
                <w:sz w:val="22"/>
                <w:szCs w:val="22"/>
              </w:rPr>
            </w:pPr>
            <w:r w:rsidRPr="0068011A">
              <w:rPr>
                <w:rFonts w:ascii="Calibri" w:eastAsia="Times New Roman" w:hAnsi="Calibri" w:cs="Calibri"/>
                <w:color w:val="000000"/>
                <w:sz w:val="22"/>
                <w:szCs w:val="22"/>
              </w:rPr>
              <w:t>PEMBROLIZUMAB&gt;DURVALUMAB</w:t>
            </w:r>
          </w:p>
        </w:tc>
        <w:tc>
          <w:tcPr>
            <w:tcW w:w="1541" w:type="dxa"/>
            <w:tcBorders>
              <w:top w:val="nil"/>
              <w:left w:val="nil"/>
              <w:bottom w:val="single" w:sz="4" w:space="0" w:color="auto"/>
              <w:right w:val="single" w:sz="4" w:space="0" w:color="auto"/>
            </w:tcBorders>
            <w:shd w:val="clear" w:color="auto" w:fill="auto"/>
            <w:noWrap/>
            <w:vAlign w:val="bottom"/>
            <w:hideMark/>
          </w:tcPr>
          <w:p w14:paraId="30D30D74" w14:textId="35B80D0D" w:rsidR="0068011A" w:rsidRPr="0068011A" w:rsidRDefault="0068011A" w:rsidP="0068011A">
            <w:pPr>
              <w:spacing w:after="0"/>
              <w:jc w:val="right"/>
              <w:rPr>
                <w:rFonts w:ascii="Calibri" w:eastAsia="Times New Roman" w:hAnsi="Calibri" w:cs="Calibri"/>
                <w:color w:val="000000"/>
                <w:sz w:val="22"/>
                <w:szCs w:val="22"/>
              </w:rPr>
            </w:pPr>
            <w:r>
              <w:rPr>
                <w:rFonts w:ascii="Calibri" w:eastAsia="Times New Roman" w:hAnsi="Calibri" w:cs="Calibri"/>
                <w:color w:val="000000"/>
                <w:sz w:val="22"/>
                <w:szCs w:val="22"/>
              </w:rPr>
              <w:t>&lt;</w:t>
            </w:r>
            <w:r w:rsidRPr="0068011A">
              <w:rPr>
                <w:rFonts w:ascii="Calibri" w:eastAsia="Times New Roman" w:hAnsi="Calibri" w:cs="Calibri"/>
                <w:color w:val="000000"/>
                <w:sz w:val="22"/>
                <w:szCs w:val="22"/>
              </w:rPr>
              <w:t>0.</w:t>
            </w:r>
            <w:r>
              <w:rPr>
                <w:rFonts w:ascii="Calibri" w:eastAsia="Times New Roman" w:hAnsi="Calibri" w:cs="Calibri"/>
                <w:color w:val="000000"/>
                <w:sz w:val="22"/>
                <w:szCs w:val="22"/>
              </w:rPr>
              <w:t>1</w:t>
            </w:r>
            <w:r w:rsidRPr="0068011A">
              <w:rPr>
                <w:rFonts w:ascii="Calibri" w:eastAsia="Times New Roman" w:hAnsi="Calibri" w:cs="Calibri"/>
                <w:color w:val="000000"/>
                <w:sz w:val="22"/>
                <w:szCs w:val="22"/>
              </w:rPr>
              <w:t>%</w:t>
            </w:r>
          </w:p>
        </w:tc>
      </w:tr>
      <w:tr w:rsidR="0068011A" w:rsidRPr="0068011A" w14:paraId="60EC32B5" w14:textId="77777777" w:rsidTr="0068011A">
        <w:trPr>
          <w:trHeight w:val="252"/>
        </w:trPr>
        <w:tc>
          <w:tcPr>
            <w:tcW w:w="7358" w:type="dxa"/>
            <w:tcBorders>
              <w:top w:val="nil"/>
              <w:left w:val="single" w:sz="4" w:space="0" w:color="auto"/>
              <w:bottom w:val="single" w:sz="4" w:space="0" w:color="auto"/>
              <w:right w:val="single" w:sz="4" w:space="0" w:color="auto"/>
            </w:tcBorders>
            <w:shd w:val="clear" w:color="auto" w:fill="auto"/>
            <w:noWrap/>
            <w:vAlign w:val="bottom"/>
            <w:hideMark/>
          </w:tcPr>
          <w:p w14:paraId="46DD054B" w14:textId="77777777" w:rsidR="0068011A" w:rsidRPr="0068011A" w:rsidRDefault="0068011A" w:rsidP="0068011A">
            <w:pPr>
              <w:spacing w:after="0"/>
              <w:rPr>
                <w:rFonts w:ascii="Calibri" w:eastAsia="Times New Roman" w:hAnsi="Calibri" w:cs="Calibri"/>
                <w:color w:val="000000"/>
                <w:sz w:val="22"/>
                <w:szCs w:val="22"/>
              </w:rPr>
            </w:pPr>
            <w:r w:rsidRPr="0068011A">
              <w:rPr>
                <w:rFonts w:ascii="Calibri" w:eastAsia="Times New Roman" w:hAnsi="Calibri" w:cs="Calibri"/>
                <w:color w:val="000000"/>
                <w:sz w:val="22"/>
                <w:szCs w:val="22"/>
              </w:rPr>
              <w:t>PEMBROLIZUMAB&gt;ATEZOLIZUMAB</w:t>
            </w:r>
          </w:p>
        </w:tc>
        <w:tc>
          <w:tcPr>
            <w:tcW w:w="1541" w:type="dxa"/>
            <w:tcBorders>
              <w:top w:val="nil"/>
              <w:left w:val="nil"/>
              <w:bottom w:val="single" w:sz="4" w:space="0" w:color="auto"/>
              <w:right w:val="single" w:sz="4" w:space="0" w:color="auto"/>
            </w:tcBorders>
            <w:shd w:val="clear" w:color="auto" w:fill="auto"/>
            <w:noWrap/>
            <w:vAlign w:val="bottom"/>
            <w:hideMark/>
          </w:tcPr>
          <w:p w14:paraId="10C7ED6D" w14:textId="711B4446" w:rsidR="0068011A" w:rsidRPr="0068011A" w:rsidRDefault="0068011A" w:rsidP="0068011A">
            <w:pPr>
              <w:spacing w:after="0"/>
              <w:jc w:val="right"/>
              <w:rPr>
                <w:rFonts w:ascii="Calibri" w:eastAsia="Times New Roman" w:hAnsi="Calibri" w:cs="Calibri"/>
                <w:color w:val="000000"/>
                <w:sz w:val="22"/>
                <w:szCs w:val="22"/>
              </w:rPr>
            </w:pPr>
            <w:r>
              <w:rPr>
                <w:rFonts w:ascii="Calibri" w:eastAsia="Times New Roman" w:hAnsi="Calibri" w:cs="Calibri"/>
                <w:color w:val="000000"/>
                <w:sz w:val="22"/>
                <w:szCs w:val="22"/>
              </w:rPr>
              <w:t>&lt;</w:t>
            </w:r>
            <w:r w:rsidRPr="0068011A">
              <w:rPr>
                <w:rFonts w:ascii="Calibri" w:eastAsia="Times New Roman" w:hAnsi="Calibri" w:cs="Calibri"/>
                <w:color w:val="000000"/>
                <w:sz w:val="22"/>
                <w:szCs w:val="22"/>
              </w:rPr>
              <w:t>0.</w:t>
            </w:r>
            <w:r>
              <w:rPr>
                <w:rFonts w:ascii="Calibri" w:eastAsia="Times New Roman" w:hAnsi="Calibri" w:cs="Calibri"/>
                <w:color w:val="000000"/>
                <w:sz w:val="22"/>
                <w:szCs w:val="22"/>
              </w:rPr>
              <w:t>1</w:t>
            </w:r>
            <w:r w:rsidRPr="0068011A">
              <w:rPr>
                <w:rFonts w:ascii="Calibri" w:eastAsia="Times New Roman" w:hAnsi="Calibri" w:cs="Calibri"/>
                <w:color w:val="000000"/>
                <w:sz w:val="22"/>
                <w:szCs w:val="22"/>
              </w:rPr>
              <w:t>%</w:t>
            </w:r>
          </w:p>
        </w:tc>
      </w:tr>
      <w:tr w:rsidR="0068011A" w:rsidRPr="0068011A" w14:paraId="551FCA14" w14:textId="77777777" w:rsidTr="0068011A">
        <w:trPr>
          <w:trHeight w:val="252"/>
        </w:trPr>
        <w:tc>
          <w:tcPr>
            <w:tcW w:w="7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C3878" w14:textId="5BCD9083" w:rsidR="0068011A" w:rsidRPr="0068011A" w:rsidRDefault="0068011A" w:rsidP="0068011A">
            <w:pPr>
              <w:spacing w:after="0"/>
              <w:rPr>
                <w:rFonts w:ascii="Calibri" w:eastAsia="Times New Roman" w:hAnsi="Calibri" w:cs="Calibri"/>
                <w:color w:val="000000"/>
                <w:sz w:val="22"/>
                <w:szCs w:val="22"/>
              </w:rPr>
            </w:pPr>
            <w:r>
              <w:rPr>
                <w:rFonts w:ascii="Calibri" w:eastAsia="Times New Roman" w:hAnsi="Calibri" w:cs="Calibri"/>
                <w:color w:val="000000"/>
                <w:sz w:val="22"/>
                <w:szCs w:val="22"/>
              </w:rPr>
              <w:t xml:space="preserve">Other sequences </w:t>
            </w:r>
          </w:p>
        </w:tc>
        <w:tc>
          <w:tcPr>
            <w:tcW w:w="1541" w:type="dxa"/>
            <w:tcBorders>
              <w:top w:val="single" w:sz="4" w:space="0" w:color="auto"/>
              <w:left w:val="nil"/>
              <w:bottom w:val="single" w:sz="4" w:space="0" w:color="auto"/>
              <w:right w:val="single" w:sz="4" w:space="0" w:color="auto"/>
            </w:tcBorders>
            <w:shd w:val="clear" w:color="auto" w:fill="auto"/>
            <w:noWrap/>
            <w:vAlign w:val="bottom"/>
          </w:tcPr>
          <w:p w14:paraId="460F543F" w14:textId="563E0D85" w:rsidR="0068011A" w:rsidRDefault="0068011A" w:rsidP="0068011A">
            <w:pPr>
              <w:spacing w:after="0"/>
              <w:jc w:val="right"/>
              <w:rPr>
                <w:rFonts w:ascii="Calibri" w:eastAsia="Times New Roman" w:hAnsi="Calibri" w:cs="Calibri"/>
                <w:color w:val="000000"/>
                <w:sz w:val="22"/>
                <w:szCs w:val="22"/>
              </w:rPr>
            </w:pPr>
            <w:r>
              <w:rPr>
                <w:rFonts w:ascii="Calibri" w:eastAsia="Times New Roman" w:hAnsi="Calibri" w:cs="Calibri"/>
                <w:color w:val="000000"/>
                <w:sz w:val="22"/>
                <w:szCs w:val="22"/>
              </w:rPr>
              <w:t>0.3%</w:t>
            </w:r>
          </w:p>
        </w:tc>
      </w:tr>
    </w:tbl>
    <w:p w14:paraId="742E7CDC" w14:textId="77777777" w:rsidR="0068011A" w:rsidRPr="00B1133C" w:rsidRDefault="0068011A" w:rsidP="00DE49C4">
      <w:pPr>
        <w:rPr>
          <w:iCs/>
          <w:sz w:val="20"/>
          <w:szCs w:val="20"/>
        </w:rPr>
      </w:pPr>
    </w:p>
    <w:p w14:paraId="6FFF10AF" w14:textId="5CC3F4AC" w:rsidR="007901E3" w:rsidRDefault="007901E3" w:rsidP="00DE49C4">
      <w:pPr>
        <w:rPr>
          <w:iCs/>
        </w:rPr>
      </w:pPr>
      <w:r>
        <w:rPr>
          <w:iCs/>
        </w:rPr>
        <w:t xml:space="preserve">In Table </w:t>
      </w:r>
      <w:r w:rsidR="00B4007E">
        <w:rPr>
          <w:iCs/>
        </w:rPr>
        <w:t>9</w:t>
      </w:r>
      <w:r>
        <w:rPr>
          <w:iCs/>
        </w:rPr>
        <w:t xml:space="preserve"> above, 99.1% of patients who were treated with an immunotherapy for NSCLC did not switch to another immunotherapy between March 2020 and June 2022. Less than one percent of patients who were treated with durvalumab switched to another immunotherapy during this period. </w:t>
      </w:r>
    </w:p>
    <w:p w14:paraId="6740E858" w14:textId="77777777" w:rsidR="009465B0" w:rsidRDefault="009465B0">
      <w:pPr>
        <w:spacing w:line="276" w:lineRule="auto"/>
        <w:rPr>
          <w:b/>
          <w:sz w:val="28"/>
        </w:rPr>
      </w:pPr>
      <w:r>
        <w:br w:type="page"/>
      </w:r>
    </w:p>
    <w:p w14:paraId="5F22B4D8" w14:textId="7B78E046" w:rsidR="00736041" w:rsidRDefault="00D151EB" w:rsidP="00F73113">
      <w:pPr>
        <w:pStyle w:val="Heading2"/>
      </w:pPr>
      <w:r>
        <w:lastRenderedPageBreak/>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r w:rsidR="00017E14">
        <w:t xml:space="preserve"> of durvalumab</w:t>
      </w:r>
    </w:p>
    <w:p w14:paraId="4E91D7B7" w14:textId="646A4D7F" w:rsidR="004E65F6" w:rsidRPr="004E65F6" w:rsidRDefault="004E65F6" w:rsidP="004E65F6">
      <w:pPr>
        <w:pStyle w:val="Heading3"/>
        <w:rPr>
          <w:i w:val="0"/>
          <w:iCs/>
        </w:rPr>
      </w:pPr>
      <w:r w:rsidRPr="004E65F6">
        <w:rPr>
          <w:i w:val="0"/>
          <w:iCs/>
        </w:rPr>
        <w:t xml:space="preserve">Approach taken to estimate utilisation </w:t>
      </w:r>
    </w:p>
    <w:p w14:paraId="1EAF8833" w14:textId="7FC6BB44" w:rsidR="00375DD4" w:rsidRDefault="009B1003" w:rsidP="00375DD4">
      <w:r>
        <w:t>A</w:t>
      </w:r>
      <w:r w:rsidR="00375DD4">
        <w:t>n epidemiological approach</w:t>
      </w:r>
      <w:r>
        <w:t xml:space="preserve"> was used</w:t>
      </w:r>
      <w:r w:rsidR="00375DD4">
        <w:t xml:space="preserve"> to estimate durvalumab utilisation. </w:t>
      </w:r>
    </w:p>
    <w:p w14:paraId="6207AC4B" w14:textId="0CF774F7" w:rsidR="006E542A" w:rsidRPr="003E1B7B" w:rsidRDefault="006E542A" w:rsidP="006E542A">
      <w:pPr>
        <w:pStyle w:val="Tabletitle"/>
        <w:rPr>
          <w:rStyle w:val="CommentReference"/>
          <w:sz w:val="24"/>
          <w:szCs w:val="24"/>
        </w:rPr>
      </w:pPr>
      <w:r>
        <w:t xml:space="preserve">Table </w:t>
      </w:r>
      <w:r w:rsidR="00B22B81">
        <w:t>10</w:t>
      </w:r>
      <w:r w:rsidRPr="004F057D">
        <w:t>:</w:t>
      </w:r>
      <w:r>
        <w:t xml:space="preserve"> Revised financial estimates for durvalumab</w:t>
      </w:r>
      <w:r w:rsidR="00DA106C">
        <w:t xml:space="preserve"> considered at the November 2019 PBAC Meeting</w:t>
      </w:r>
    </w:p>
    <w:tbl>
      <w:tblPr>
        <w:tblStyle w:val="TableGrid"/>
        <w:tblW w:w="5000" w:type="pct"/>
        <w:tblLook w:val="04A0" w:firstRow="1" w:lastRow="0" w:firstColumn="1" w:lastColumn="0" w:noHBand="0" w:noVBand="1"/>
      </w:tblPr>
      <w:tblGrid>
        <w:gridCol w:w="2223"/>
        <w:gridCol w:w="1120"/>
        <w:gridCol w:w="1120"/>
        <w:gridCol w:w="1120"/>
        <w:gridCol w:w="1120"/>
        <w:gridCol w:w="1120"/>
        <w:gridCol w:w="1124"/>
      </w:tblGrid>
      <w:tr w:rsidR="006E542A" w:rsidRPr="005F4582" w14:paraId="20D3CA11" w14:textId="77777777" w:rsidTr="007C5486">
        <w:tc>
          <w:tcPr>
            <w:tcW w:w="1242" w:type="pct"/>
            <w:shd w:val="clear" w:color="auto" w:fill="BFBFBF" w:themeFill="background1" w:themeFillShade="BF"/>
          </w:tcPr>
          <w:p w14:paraId="5B69A7B0" w14:textId="77777777" w:rsidR="006E542A" w:rsidRPr="005F4582" w:rsidRDefault="006E542A" w:rsidP="00FF5760">
            <w:pPr>
              <w:rPr>
                <w:rFonts w:ascii="Arial Narrow" w:hAnsi="Arial Narrow"/>
                <w:sz w:val="20"/>
                <w:szCs w:val="20"/>
              </w:rPr>
            </w:pPr>
          </w:p>
        </w:tc>
        <w:tc>
          <w:tcPr>
            <w:tcW w:w="626" w:type="pct"/>
            <w:shd w:val="clear" w:color="auto" w:fill="BFBFBF" w:themeFill="background1" w:themeFillShade="BF"/>
          </w:tcPr>
          <w:p w14:paraId="7F530119" w14:textId="77777777" w:rsidR="006E542A" w:rsidRPr="005F4582" w:rsidRDefault="006E542A" w:rsidP="00FF5760">
            <w:pPr>
              <w:jc w:val="center"/>
              <w:rPr>
                <w:rFonts w:ascii="Arial Narrow" w:hAnsi="Arial Narrow"/>
                <w:b/>
                <w:sz w:val="20"/>
                <w:szCs w:val="20"/>
              </w:rPr>
            </w:pPr>
            <w:r w:rsidRPr="005F4582">
              <w:rPr>
                <w:rFonts w:ascii="Arial Narrow" w:hAnsi="Arial Narrow"/>
                <w:b/>
                <w:sz w:val="20"/>
                <w:szCs w:val="20"/>
              </w:rPr>
              <w:t>Year 1</w:t>
            </w:r>
          </w:p>
        </w:tc>
        <w:tc>
          <w:tcPr>
            <w:tcW w:w="626" w:type="pct"/>
            <w:shd w:val="clear" w:color="auto" w:fill="BFBFBF" w:themeFill="background1" w:themeFillShade="BF"/>
          </w:tcPr>
          <w:p w14:paraId="2E5E0715" w14:textId="77777777" w:rsidR="006E542A" w:rsidRPr="005F4582" w:rsidRDefault="006E542A" w:rsidP="00FF5760">
            <w:pPr>
              <w:jc w:val="center"/>
              <w:rPr>
                <w:rFonts w:ascii="Arial Narrow" w:hAnsi="Arial Narrow"/>
                <w:b/>
                <w:sz w:val="20"/>
                <w:szCs w:val="20"/>
              </w:rPr>
            </w:pPr>
            <w:r w:rsidRPr="005F4582">
              <w:rPr>
                <w:rFonts w:ascii="Arial Narrow" w:hAnsi="Arial Narrow"/>
                <w:b/>
                <w:sz w:val="20"/>
                <w:szCs w:val="20"/>
              </w:rPr>
              <w:t>Year 2</w:t>
            </w:r>
          </w:p>
        </w:tc>
        <w:tc>
          <w:tcPr>
            <w:tcW w:w="626" w:type="pct"/>
            <w:shd w:val="clear" w:color="auto" w:fill="BFBFBF" w:themeFill="background1" w:themeFillShade="BF"/>
          </w:tcPr>
          <w:p w14:paraId="684272CA" w14:textId="77777777" w:rsidR="006E542A" w:rsidRPr="005F4582" w:rsidRDefault="006E542A" w:rsidP="00FF5760">
            <w:pPr>
              <w:jc w:val="center"/>
              <w:rPr>
                <w:rFonts w:ascii="Arial Narrow" w:hAnsi="Arial Narrow"/>
                <w:b/>
                <w:sz w:val="20"/>
                <w:szCs w:val="20"/>
              </w:rPr>
            </w:pPr>
            <w:r w:rsidRPr="005F4582">
              <w:rPr>
                <w:rFonts w:ascii="Arial Narrow" w:hAnsi="Arial Narrow"/>
                <w:b/>
                <w:sz w:val="20"/>
                <w:szCs w:val="20"/>
              </w:rPr>
              <w:t>Year 3</w:t>
            </w:r>
          </w:p>
        </w:tc>
        <w:tc>
          <w:tcPr>
            <w:tcW w:w="626" w:type="pct"/>
            <w:shd w:val="clear" w:color="auto" w:fill="BFBFBF" w:themeFill="background1" w:themeFillShade="BF"/>
          </w:tcPr>
          <w:p w14:paraId="583A9822" w14:textId="77777777" w:rsidR="006E542A" w:rsidRPr="005F4582" w:rsidRDefault="006E542A" w:rsidP="00FF5760">
            <w:pPr>
              <w:jc w:val="center"/>
              <w:rPr>
                <w:rFonts w:ascii="Arial Narrow" w:hAnsi="Arial Narrow"/>
                <w:b/>
                <w:sz w:val="20"/>
                <w:szCs w:val="20"/>
              </w:rPr>
            </w:pPr>
            <w:r w:rsidRPr="005F4582">
              <w:rPr>
                <w:rFonts w:ascii="Arial Narrow" w:hAnsi="Arial Narrow"/>
                <w:b/>
                <w:sz w:val="20"/>
                <w:szCs w:val="20"/>
              </w:rPr>
              <w:t>Year 4</w:t>
            </w:r>
          </w:p>
        </w:tc>
        <w:tc>
          <w:tcPr>
            <w:tcW w:w="626" w:type="pct"/>
            <w:shd w:val="clear" w:color="auto" w:fill="BFBFBF" w:themeFill="background1" w:themeFillShade="BF"/>
          </w:tcPr>
          <w:p w14:paraId="5AEB27A4" w14:textId="77777777" w:rsidR="006E542A" w:rsidRPr="005F4582" w:rsidRDefault="006E542A" w:rsidP="00FF5760">
            <w:pPr>
              <w:jc w:val="center"/>
              <w:rPr>
                <w:rFonts w:ascii="Arial Narrow" w:hAnsi="Arial Narrow"/>
                <w:b/>
                <w:sz w:val="20"/>
                <w:szCs w:val="20"/>
              </w:rPr>
            </w:pPr>
            <w:r w:rsidRPr="005F4582">
              <w:rPr>
                <w:rFonts w:ascii="Arial Narrow" w:hAnsi="Arial Narrow"/>
                <w:b/>
                <w:sz w:val="20"/>
                <w:szCs w:val="20"/>
              </w:rPr>
              <w:t>Year 5</w:t>
            </w:r>
          </w:p>
        </w:tc>
        <w:tc>
          <w:tcPr>
            <w:tcW w:w="627" w:type="pct"/>
            <w:shd w:val="clear" w:color="auto" w:fill="BFBFBF" w:themeFill="background1" w:themeFillShade="BF"/>
          </w:tcPr>
          <w:p w14:paraId="0A5CAFE0" w14:textId="77777777" w:rsidR="006E542A" w:rsidRPr="005F4582" w:rsidRDefault="006E542A" w:rsidP="00FF5760">
            <w:pPr>
              <w:jc w:val="center"/>
              <w:rPr>
                <w:rFonts w:ascii="Arial Narrow" w:hAnsi="Arial Narrow"/>
                <w:b/>
                <w:sz w:val="20"/>
                <w:szCs w:val="20"/>
              </w:rPr>
            </w:pPr>
            <w:r w:rsidRPr="005F4582">
              <w:rPr>
                <w:rFonts w:ascii="Arial Narrow" w:hAnsi="Arial Narrow"/>
                <w:b/>
                <w:sz w:val="20"/>
                <w:szCs w:val="20"/>
              </w:rPr>
              <w:t>Year 6</w:t>
            </w:r>
          </w:p>
        </w:tc>
      </w:tr>
      <w:tr w:rsidR="006E542A" w:rsidRPr="005F4582" w14:paraId="0D8EDD29" w14:textId="77777777" w:rsidTr="00FF5760">
        <w:tc>
          <w:tcPr>
            <w:tcW w:w="5000" w:type="pct"/>
            <w:gridSpan w:val="7"/>
          </w:tcPr>
          <w:p w14:paraId="77FBAFA9" w14:textId="77777777" w:rsidR="006E542A" w:rsidRPr="003E1B7B" w:rsidRDefault="006E542A" w:rsidP="00FF5760">
            <w:pPr>
              <w:rPr>
                <w:rFonts w:ascii="Arial Narrow" w:hAnsi="Arial Narrow"/>
                <w:b/>
                <w:iCs/>
                <w:sz w:val="20"/>
                <w:szCs w:val="20"/>
              </w:rPr>
            </w:pPr>
            <w:r w:rsidRPr="003E1B7B">
              <w:rPr>
                <w:rFonts w:ascii="Arial Narrow" w:hAnsi="Arial Narrow"/>
                <w:b/>
                <w:iCs/>
                <w:sz w:val="20"/>
                <w:szCs w:val="20"/>
              </w:rPr>
              <w:t>Estimated extent of use</w:t>
            </w:r>
          </w:p>
        </w:tc>
      </w:tr>
      <w:tr w:rsidR="00AA2599" w:rsidRPr="005F4582" w14:paraId="0702750C" w14:textId="77777777" w:rsidTr="008D2DE7">
        <w:tc>
          <w:tcPr>
            <w:tcW w:w="1242" w:type="pct"/>
          </w:tcPr>
          <w:p w14:paraId="3CC71DA0" w14:textId="77777777" w:rsidR="006E542A" w:rsidRPr="003E1B7B" w:rsidRDefault="006E542A" w:rsidP="00FF5760">
            <w:pPr>
              <w:rPr>
                <w:rFonts w:ascii="Arial Narrow" w:hAnsi="Arial Narrow"/>
                <w:iCs/>
                <w:sz w:val="20"/>
                <w:szCs w:val="20"/>
              </w:rPr>
            </w:pPr>
            <w:r w:rsidRPr="003E1B7B">
              <w:rPr>
                <w:rFonts w:ascii="Arial Narrow" w:hAnsi="Arial Narrow"/>
                <w:iCs/>
                <w:sz w:val="20"/>
                <w:szCs w:val="20"/>
              </w:rPr>
              <w:t>Number of durvalumab treated patients</w:t>
            </w:r>
          </w:p>
        </w:tc>
        <w:tc>
          <w:tcPr>
            <w:tcW w:w="626" w:type="pct"/>
            <w:tcBorders>
              <w:bottom w:val="single" w:sz="4" w:space="0" w:color="auto"/>
            </w:tcBorders>
            <w:shd w:val="solid" w:color="000000" w:fill="000000"/>
          </w:tcPr>
          <w:p w14:paraId="3DC851A6" w14:textId="0EF518D8" w:rsidR="006E542A" w:rsidRPr="003E1B7B" w:rsidRDefault="001F4071" w:rsidP="00FF5760">
            <w:pPr>
              <w:jc w:val="center"/>
              <w:rPr>
                <w:rFonts w:ascii="Arial Narrow" w:hAnsi="Arial Narrow"/>
                <w:iCs/>
                <w:sz w:val="20"/>
                <w:szCs w:val="20"/>
              </w:rPr>
            </w:pPr>
            <w:r w:rsidRPr="001F4071">
              <w:rPr>
                <w:rFonts w:ascii="Arial Narrow" w:hAnsi="Arial Narrow" w:hint="eastAsia"/>
                <w:iCs/>
                <w:color w:val="000000"/>
                <w:w w:val="16"/>
                <w:sz w:val="20"/>
                <w:szCs w:val="20"/>
                <w:fitText w:val="75" w:id="-1459877376"/>
                <w14:textFill>
                  <w14:solidFill>
                    <w14:srgbClr w14:val="000000">
                      <w14:alpha w14:val="100000"/>
                    </w14:srgbClr>
                  </w14:solidFill>
                </w14:textFill>
              </w:rPr>
              <w:t xml:space="preserve">　</w:t>
            </w:r>
            <w:r w:rsidRPr="001F4071">
              <w:rPr>
                <w:rFonts w:ascii="Arial Narrow" w:hAnsi="Arial Narrow"/>
                <w:iCs/>
                <w:color w:val="000000"/>
                <w:w w:val="16"/>
                <w:sz w:val="20"/>
                <w:szCs w:val="20"/>
                <w:fitText w:val="75" w:id="-1459877376"/>
                <w14:textFill>
                  <w14:solidFill>
                    <w14:srgbClr w14:val="000000">
                      <w14:alpha w14:val="100000"/>
                    </w14:srgbClr>
                  </w14:solidFill>
                </w14:textFill>
              </w:rPr>
              <w:t>|</w:t>
            </w:r>
            <w:r w:rsidRPr="001F4071">
              <w:rPr>
                <w:rFonts w:ascii="Arial Narrow" w:hAnsi="Arial Narrow" w:hint="eastAsia"/>
                <w:iCs/>
                <w:color w:val="000000"/>
                <w:w w:val="16"/>
                <w:sz w:val="20"/>
                <w:szCs w:val="20"/>
                <w:fitText w:val="75" w:id="-1459877376"/>
                <w14:textFill>
                  <w14:solidFill>
                    <w14:srgbClr w14:val="000000">
                      <w14:alpha w14:val="100000"/>
                    </w14:srgbClr>
                  </w14:solidFill>
                </w14:textFill>
              </w:rPr>
              <w:t xml:space="preserve">　</w:t>
            </w:r>
          </w:p>
        </w:tc>
        <w:tc>
          <w:tcPr>
            <w:tcW w:w="626" w:type="pct"/>
            <w:tcBorders>
              <w:bottom w:val="single" w:sz="4" w:space="0" w:color="auto"/>
            </w:tcBorders>
            <w:shd w:val="solid" w:color="000000" w:fill="000000"/>
          </w:tcPr>
          <w:p w14:paraId="48F134EE" w14:textId="6E404FA7" w:rsidR="006E542A" w:rsidRPr="003E1B7B" w:rsidRDefault="001F4071" w:rsidP="00FF5760">
            <w:pPr>
              <w:jc w:val="center"/>
              <w:rPr>
                <w:rFonts w:ascii="Arial Narrow" w:hAnsi="Arial Narrow"/>
                <w:iCs/>
                <w:sz w:val="20"/>
                <w:szCs w:val="20"/>
              </w:rPr>
            </w:pPr>
            <w:r w:rsidRPr="001F4071">
              <w:rPr>
                <w:rFonts w:ascii="Arial Narrow" w:hAnsi="Arial Narrow" w:hint="eastAsia"/>
                <w:iCs/>
                <w:color w:val="000000"/>
                <w:w w:val="16"/>
                <w:sz w:val="20"/>
                <w:szCs w:val="20"/>
                <w:fitText w:val="75" w:id="-1459877375"/>
                <w14:textFill>
                  <w14:solidFill>
                    <w14:srgbClr w14:val="000000">
                      <w14:alpha w14:val="100000"/>
                    </w14:srgbClr>
                  </w14:solidFill>
                </w14:textFill>
              </w:rPr>
              <w:t xml:space="preserve">　</w:t>
            </w:r>
            <w:r w:rsidRPr="001F4071">
              <w:rPr>
                <w:rFonts w:ascii="Arial Narrow" w:hAnsi="Arial Narrow"/>
                <w:iCs/>
                <w:color w:val="000000"/>
                <w:w w:val="16"/>
                <w:sz w:val="20"/>
                <w:szCs w:val="20"/>
                <w:fitText w:val="75" w:id="-1459877375"/>
                <w14:textFill>
                  <w14:solidFill>
                    <w14:srgbClr w14:val="000000">
                      <w14:alpha w14:val="100000"/>
                    </w14:srgbClr>
                  </w14:solidFill>
                </w14:textFill>
              </w:rPr>
              <w:t>|</w:t>
            </w:r>
            <w:r w:rsidRPr="001F4071">
              <w:rPr>
                <w:rFonts w:ascii="Arial Narrow" w:hAnsi="Arial Narrow" w:hint="eastAsia"/>
                <w:iCs/>
                <w:color w:val="000000"/>
                <w:w w:val="16"/>
                <w:sz w:val="20"/>
                <w:szCs w:val="20"/>
                <w:fitText w:val="75" w:id="-1459877375"/>
                <w14:textFill>
                  <w14:solidFill>
                    <w14:srgbClr w14:val="000000">
                      <w14:alpha w14:val="100000"/>
                    </w14:srgbClr>
                  </w14:solidFill>
                </w14:textFill>
              </w:rPr>
              <w:t xml:space="preserve">　</w:t>
            </w:r>
          </w:p>
        </w:tc>
        <w:tc>
          <w:tcPr>
            <w:tcW w:w="626" w:type="pct"/>
            <w:tcBorders>
              <w:bottom w:val="single" w:sz="4" w:space="0" w:color="auto"/>
            </w:tcBorders>
            <w:shd w:val="solid" w:color="000000" w:fill="000000"/>
          </w:tcPr>
          <w:p w14:paraId="68887051" w14:textId="24A27B65" w:rsidR="006E542A" w:rsidRPr="003E1B7B" w:rsidRDefault="001F4071" w:rsidP="00FF5760">
            <w:pPr>
              <w:jc w:val="center"/>
              <w:rPr>
                <w:rFonts w:ascii="Arial Narrow" w:hAnsi="Arial Narrow"/>
                <w:iCs/>
                <w:sz w:val="20"/>
                <w:szCs w:val="20"/>
              </w:rPr>
            </w:pPr>
            <w:r w:rsidRPr="001F4071">
              <w:rPr>
                <w:rFonts w:ascii="Arial Narrow" w:hAnsi="Arial Narrow" w:hint="eastAsia"/>
                <w:iCs/>
                <w:color w:val="000000"/>
                <w:w w:val="16"/>
                <w:sz w:val="20"/>
                <w:szCs w:val="20"/>
                <w:fitText w:val="75" w:id="-1459877120"/>
                <w14:textFill>
                  <w14:solidFill>
                    <w14:srgbClr w14:val="000000">
                      <w14:alpha w14:val="100000"/>
                    </w14:srgbClr>
                  </w14:solidFill>
                </w14:textFill>
              </w:rPr>
              <w:t xml:space="preserve">　</w:t>
            </w:r>
            <w:r w:rsidRPr="001F4071">
              <w:rPr>
                <w:rFonts w:ascii="Arial Narrow" w:hAnsi="Arial Narrow"/>
                <w:iCs/>
                <w:color w:val="000000"/>
                <w:w w:val="16"/>
                <w:sz w:val="20"/>
                <w:szCs w:val="20"/>
                <w:fitText w:val="75" w:id="-1459877120"/>
                <w14:textFill>
                  <w14:solidFill>
                    <w14:srgbClr w14:val="000000">
                      <w14:alpha w14:val="100000"/>
                    </w14:srgbClr>
                  </w14:solidFill>
                </w14:textFill>
              </w:rPr>
              <w:t>|</w:t>
            </w:r>
            <w:r w:rsidRPr="001F4071">
              <w:rPr>
                <w:rFonts w:ascii="Arial Narrow" w:hAnsi="Arial Narrow" w:hint="eastAsia"/>
                <w:iCs/>
                <w:color w:val="000000"/>
                <w:w w:val="16"/>
                <w:sz w:val="20"/>
                <w:szCs w:val="20"/>
                <w:fitText w:val="75" w:id="-1459877120"/>
                <w14:textFill>
                  <w14:solidFill>
                    <w14:srgbClr w14:val="000000">
                      <w14:alpha w14:val="100000"/>
                    </w14:srgbClr>
                  </w14:solidFill>
                </w14:textFill>
              </w:rPr>
              <w:t xml:space="preserve">　</w:t>
            </w:r>
          </w:p>
        </w:tc>
        <w:tc>
          <w:tcPr>
            <w:tcW w:w="626" w:type="pct"/>
            <w:tcBorders>
              <w:bottom w:val="single" w:sz="4" w:space="0" w:color="auto"/>
            </w:tcBorders>
            <w:shd w:val="solid" w:color="000000" w:fill="000000"/>
          </w:tcPr>
          <w:p w14:paraId="5549B5CE" w14:textId="6F3FAE51" w:rsidR="006E542A" w:rsidRPr="003E1B7B" w:rsidRDefault="001F4071" w:rsidP="00FF5760">
            <w:pPr>
              <w:jc w:val="center"/>
              <w:rPr>
                <w:rFonts w:ascii="Arial Narrow" w:hAnsi="Arial Narrow"/>
                <w:iCs/>
                <w:sz w:val="20"/>
                <w:szCs w:val="20"/>
              </w:rPr>
            </w:pPr>
            <w:r w:rsidRPr="001F4071">
              <w:rPr>
                <w:rFonts w:ascii="Arial Narrow" w:hAnsi="Arial Narrow" w:hint="eastAsia"/>
                <w:iCs/>
                <w:color w:val="000000"/>
                <w:w w:val="16"/>
                <w:sz w:val="20"/>
                <w:szCs w:val="20"/>
                <w:fitText w:val="75" w:id="-1459877119"/>
                <w14:textFill>
                  <w14:solidFill>
                    <w14:srgbClr w14:val="000000">
                      <w14:alpha w14:val="100000"/>
                    </w14:srgbClr>
                  </w14:solidFill>
                </w14:textFill>
              </w:rPr>
              <w:t xml:space="preserve">　</w:t>
            </w:r>
            <w:r w:rsidRPr="001F4071">
              <w:rPr>
                <w:rFonts w:ascii="Arial Narrow" w:hAnsi="Arial Narrow"/>
                <w:iCs/>
                <w:color w:val="000000"/>
                <w:w w:val="16"/>
                <w:sz w:val="20"/>
                <w:szCs w:val="20"/>
                <w:fitText w:val="75" w:id="-1459877119"/>
                <w14:textFill>
                  <w14:solidFill>
                    <w14:srgbClr w14:val="000000">
                      <w14:alpha w14:val="100000"/>
                    </w14:srgbClr>
                  </w14:solidFill>
                </w14:textFill>
              </w:rPr>
              <w:t>|</w:t>
            </w:r>
            <w:r w:rsidRPr="001F4071">
              <w:rPr>
                <w:rFonts w:ascii="Arial Narrow" w:hAnsi="Arial Narrow" w:hint="eastAsia"/>
                <w:iCs/>
                <w:color w:val="000000"/>
                <w:w w:val="16"/>
                <w:sz w:val="20"/>
                <w:szCs w:val="20"/>
                <w:fitText w:val="75" w:id="-1459877119"/>
                <w14:textFill>
                  <w14:solidFill>
                    <w14:srgbClr w14:val="000000">
                      <w14:alpha w14:val="100000"/>
                    </w14:srgbClr>
                  </w14:solidFill>
                </w14:textFill>
              </w:rPr>
              <w:t xml:space="preserve">　</w:t>
            </w:r>
          </w:p>
        </w:tc>
        <w:tc>
          <w:tcPr>
            <w:tcW w:w="626" w:type="pct"/>
            <w:tcBorders>
              <w:bottom w:val="single" w:sz="4" w:space="0" w:color="auto"/>
            </w:tcBorders>
            <w:shd w:val="solid" w:color="000000" w:fill="000000"/>
          </w:tcPr>
          <w:p w14:paraId="07D08CA3" w14:textId="3CEB1C98" w:rsidR="006E542A" w:rsidRPr="003E1B7B" w:rsidRDefault="001F4071" w:rsidP="00FF5760">
            <w:pPr>
              <w:jc w:val="center"/>
              <w:rPr>
                <w:rFonts w:ascii="Arial Narrow" w:hAnsi="Arial Narrow"/>
                <w:iCs/>
                <w:sz w:val="20"/>
                <w:szCs w:val="20"/>
              </w:rPr>
            </w:pPr>
            <w:r w:rsidRPr="001F4071">
              <w:rPr>
                <w:rFonts w:ascii="Arial Narrow" w:hAnsi="Arial Narrow" w:hint="eastAsia"/>
                <w:iCs/>
                <w:color w:val="000000"/>
                <w:w w:val="16"/>
                <w:sz w:val="20"/>
                <w:szCs w:val="20"/>
                <w:fitText w:val="75" w:id="-1459877118"/>
                <w14:textFill>
                  <w14:solidFill>
                    <w14:srgbClr w14:val="000000">
                      <w14:alpha w14:val="100000"/>
                    </w14:srgbClr>
                  </w14:solidFill>
                </w14:textFill>
              </w:rPr>
              <w:t xml:space="preserve">　</w:t>
            </w:r>
            <w:r w:rsidRPr="001F4071">
              <w:rPr>
                <w:rFonts w:ascii="Arial Narrow" w:hAnsi="Arial Narrow"/>
                <w:iCs/>
                <w:color w:val="000000"/>
                <w:w w:val="16"/>
                <w:sz w:val="20"/>
                <w:szCs w:val="20"/>
                <w:fitText w:val="75" w:id="-1459877118"/>
                <w14:textFill>
                  <w14:solidFill>
                    <w14:srgbClr w14:val="000000">
                      <w14:alpha w14:val="100000"/>
                    </w14:srgbClr>
                  </w14:solidFill>
                </w14:textFill>
              </w:rPr>
              <w:t>|</w:t>
            </w:r>
            <w:r w:rsidRPr="001F4071">
              <w:rPr>
                <w:rFonts w:ascii="Arial Narrow" w:hAnsi="Arial Narrow" w:hint="eastAsia"/>
                <w:iCs/>
                <w:color w:val="000000"/>
                <w:w w:val="16"/>
                <w:sz w:val="20"/>
                <w:szCs w:val="20"/>
                <w:fitText w:val="75" w:id="-1459877118"/>
                <w14:textFill>
                  <w14:solidFill>
                    <w14:srgbClr w14:val="000000">
                      <w14:alpha w14:val="100000"/>
                    </w14:srgbClr>
                  </w14:solidFill>
                </w14:textFill>
              </w:rPr>
              <w:t xml:space="preserve">　</w:t>
            </w:r>
          </w:p>
        </w:tc>
        <w:tc>
          <w:tcPr>
            <w:tcW w:w="627" w:type="pct"/>
            <w:tcBorders>
              <w:bottom w:val="single" w:sz="4" w:space="0" w:color="auto"/>
            </w:tcBorders>
            <w:shd w:val="solid" w:color="000000" w:fill="000000"/>
          </w:tcPr>
          <w:p w14:paraId="66AFF2CC" w14:textId="105D0930" w:rsidR="006E542A" w:rsidRPr="003E1B7B" w:rsidRDefault="008D2DE7" w:rsidP="00FF5760">
            <w:pPr>
              <w:jc w:val="center"/>
              <w:rPr>
                <w:rFonts w:ascii="Arial Narrow" w:hAnsi="Arial Narrow"/>
                <w:iCs/>
                <w:sz w:val="20"/>
                <w:szCs w:val="20"/>
              </w:rPr>
            </w:pPr>
            <w:r w:rsidRPr="008D2DE7">
              <w:rPr>
                <w:rFonts w:ascii="Arial Narrow" w:hAnsi="Arial Narrow" w:hint="eastAsia"/>
                <w:iCs/>
                <w:color w:val="000000"/>
                <w:w w:val="16"/>
                <w:sz w:val="20"/>
                <w:szCs w:val="20"/>
                <w:fitText w:val="75" w:id="-1459876352"/>
                <w14:textFill>
                  <w14:solidFill>
                    <w14:srgbClr w14:val="000000">
                      <w14:alpha w14:val="100000"/>
                    </w14:srgbClr>
                  </w14:solidFill>
                </w14:textFill>
              </w:rPr>
              <w:t xml:space="preserve">　</w:t>
            </w:r>
            <w:r w:rsidRPr="008D2DE7">
              <w:rPr>
                <w:rFonts w:ascii="Arial Narrow" w:hAnsi="Arial Narrow"/>
                <w:iCs/>
                <w:color w:val="000000"/>
                <w:w w:val="16"/>
                <w:sz w:val="20"/>
                <w:szCs w:val="20"/>
                <w:fitText w:val="75" w:id="-1459876352"/>
                <w14:textFill>
                  <w14:solidFill>
                    <w14:srgbClr w14:val="000000">
                      <w14:alpha w14:val="100000"/>
                    </w14:srgbClr>
                  </w14:solidFill>
                </w14:textFill>
              </w:rPr>
              <w:t>|</w:t>
            </w:r>
            <w:r w:rsidRPr="008D2DE7">
              <w:rPr>
                <w:rFonts w:ascii="Arial Narrow" w:hAnsi="Arial Narrow" w:hint="eastAsia"/>
                <w:iCs/>
                <w:color w:val="000000"/>
                <w:w w:val="16"/>
                <w:sz w:val="20"/>
                <w:szCs w:val="20"/>
                <w:fitText w:val="75" w:id="-1459876352"/>
                <w14:textFill>
                  <w14:solidFill>
                    <w14:srgbClr w14:val="000000">
                      <w14:alpha w14:val="100000"/>
                    </w14:srgbClr>
                  </w14:solidFill>
                </w14:textFill>
              </w:rPr>
              <w:t xml:space="preserve">　</w:t>
            </w:r>
          </w:p>
        </w:tc>
      </w:tr>
      <w:tr w:rsidR="006E542A" w:rsidRPr="005F4582" w14:paraId="1C1B605A" w14:textId="77777777" w:rsidTr="008D2DE7">
        <w:tc>
          <w:tcPr>
            <w:tcW w:w="1242" w:type="pct"/>
          </w:tcPr>
          <w:p w14:paraId="04510748" w14:textId="77777777" w:rsidR="006E542A" w:rsidRPr="003E1B7B" w:rsidRDefault="006E542A" w:rsidP="00FF5760">
            <w:pPr>
              <w:rPr>
                <w:rFonts w:ascii="Arial Narrow" w:hAnsi="Arial Narrow"/>
                <w:iCs/>
                <w:sz w:val="20"/>
                <w:szCs w:val="20"/>
              </w:rPr>
            </w:pPr>
            <w:r w:rsidRPr="003E1B7B">
              <w:rPr>
                <w:rFonts w:ascii="Arial Narrow" w:hAnsi="Arial Narrow"/>
                <w:iCs/>
                <w:sz w:val="20"/>
                <w:szCs w:val="20"/>
              </w:rPr>
              <w:t>Number of nivolumab patients with cost offsets (70%)</w:t>
            </w:r>
          </w:p>
        </w:tc>
        <w:tc>
          <w:tcPr>
            <w:tcW w:w="626" w:type="pct"/>
            <w:shd w:val="solid" w:color="000000" w:fill="000000"/>
          </w:tcPr>
          <w:p w14:paraId="3391184B" w14:textId="159C66CB" w:rsidR="006E542A" w:rsidRPr="003E1B7B" w:rsidRDefault="001F4071" w:rsidP="00FF5760">
            <w:pPr>
              <w:jc w:val="center"/>
              <w:rPr>
                <w:rFonts w:ascii="Arial Narrow" w:hAnsi="Arial Narrow"/>
                <w:iCs/>
                <w:sz w:val="20"/>
                <w:szCs w:val="20"/>
              </w:rPr>
            </w:pPr>
            <w:r w:rsidRPr="001F4071">
              <w:rPr>
                <w:rFonts w:ascii="Arial Narrow" w:hAnsi="Arial Narrow" w:hint="eastAsia"/>
                <w:iCs/>
                <w:color w:val="000000"/>
                <w:w w:val="16"/>
                <w:sz w:val="20"/>
                <w:szCs w:val="20"/>
                <w:fitText w:val="75" w:id="-1459876864"/>
                <w14:textFill>
                  <w14:solidFill>
                    <w14:srgbClr w14:val="000000">
                      <w14:alpha w14:val="100000"/>
                    </w14:srgbClr>
                  </w14:solidFill>
                </w14:textFill>
              </w:rPr>
              <w:t xml:space="preserve">　</w:t>
            </w:r>
            <w:r w:rsidRPr="001F4071">
              <w:rPr>
                <w:rFonts w:ascii="Arial Narrow" w:hAnsi="Arial Narrow"/>
                <w:iCs/>
                <w:color w:val="000000"/>
                <w:w w:val="16"/>
                <w:sz w:val="20"/>
                <w:szCs w:val="20"/>
                <w:fitText w:val="75" w:id="-1459876864"/>
                <w14:textFill>
                  <w14:solidFill>
                    <w14:srgbClr w14:val="000000">
                      <w14:alpha w14:val="100000"/>
                    </w14:srgbClr>
                  </w14:solidFill>
                </w14:textFill>
              </w:rPr>
              <w:t>|</w:t>
            </w:r>
            <w:r w:rsidRPr="001F4071">
              <w:rPr>
                <w:rFonts w:ascii="Arial Narrow" w:hAnsi="Arial Narrow" w:hint="eastAsia"/>
                <w:iCs/>
                <w:color w:val="000000"/>
                <w:w w:val="16"/>
                <w:sz w:val="20"/>
                <w:szCs w:val="20"/>
                <w:fitText w:val="75" w:id="-1459876864"/>
                <w14:textFill>
                  <w14:solidFill>
                    <w14:srgbClr w14:val="000000">
                      <w14:alpha w14:val="100000"/>
                    </w14:srgbClr>
                  </w14:solidFill>
                </w14:textFill>
              </w:rPr>
              <w:t xml:space="preserve">　</w:t>
            </w:r>
          </w:p>
        </w:tc>
        <w:tc>
          <w:tcPr>
            <w:tcW w:w="626" w:type="pct"/>
            <w:shd w:val="solid" w:color="000000" w:fill="000000"/>
          </w:tcPr>
          <w:p w14:paraId="605DC57E" w14:textId="5A9AAF19" w:rsidR="006E542A" w:rsidRPr="003E1B7B" w:rsidRDefault="001F4071" w:rsidP="00FF5760">
            <w:pPr>
              <w:jc w:val="center"/>
              <w:rPr>
                <w:rFonts w:ascii="Arial Narrow" w:hAnsi="Arial Narrow"/>
                <w:iCs/>
                <w:sz w:val="20"/>
                <w:szCs w:val="20"/>
              </w:rPr>
            </w:pPr>
            <w:r w:rsidRPr="001F4071">
              <w:rPr>
                <w:rFonts w:ascii="Arial Narrow" w:hAnsi="Arial Narrow"/>
                <w:iCs/>
                <w:color w:val="000000"/>
                <w:sz w:val="20"/>
                <w:szCs w:val="20"/>
                <w14:textFill>
                  <w14:solidFill>
                    <w14:srgbClr w14:val="000000">
                      <w14:alpha w14:val="100000"/>
                    </w14:srgbClr>
                  </w14:solidFill>
                </w14:textFill>
              </w:rPr>
              <w:t>|</w:t>
            </w:r>
          </w:p>
        </w:tc>
        <w:tc>
          <w:tcPr>
            <w:tcW w:w="626" w:type="pct"/>
            <w:shd w:val="solid" w:color="000000" w:fill="000000"/>
          </w:tcPr>
          <w:p w14:paraId="086E6139" w14:textId="25739DD9" w:rsidR="006E542A" w:rsidRPr="003E1B7B" w:rsidRDefault="001F4071" w:rsidP="00FF5760">
            <w:pPr>
              <w:jc w:val="center"/>
              <w:rPr>
                <w:rFonts w:ascii="Arial Narrow" w:hAnsi="Arial Narrow"/>
                <w:iCs/>
                <w:sz w:val="20"/>
                <w:szCs w:val="20"/>
              </w:rPr>
            </w:pPr>
            <w:r w:rsidRPr="001F4071">
              <w:rPr>
                <w:rFonts w:ascii="Arial Narrow" w:hAnsi="Arial Narrow"/>
                <w:iCs/>
                <w:color w:val="000000"/>
                <w:sz w:val="20"/>
                <w:szCs w:val="20"/>
                <w14:textFill>
                  <w14:solidFill>
                    <w14:srgbClr w14:val="000000">
                      <w14:alpha w14:val="100000"/>
                    </w14:srgbClr>
                  </w14:solidFill>
                </w14:textFill>
              </w:rPr>
              <w:t>|</w:t>
            </w:r>
          </w:p>
        </w:tc>
        <w:tc>
          <w:tcPr>
            <w:tcW w:w="626" w:type="pct"/>
            <w:shd w:val="solid" w:color="000000" w:fill="000000"/>
          </w:tcPr>
          <w:p w14:paraId="0D947125" w14:textId="533195D7" w:rsidR="006E542A" w:rsidRPr="003E1B7B" w:rsidRDefault="008D2DE7" w:rsidP="00FF5760">
            <w:pPr>
              <w:jc w:val="center"/>
              <w:rPr>
                <w:rFonts w:ascii="Arial Narrow" w:hAnsi="Arial Narrow"/>
                <w:iCs/>
                <w:sz w:val="20"/>
                <w:szCs w:val="20"/>
              </w:rPr>
            </w:pPr>
            <w:r w:rsidRPr="008D2DE7">
              <w:rPr>
                <w:rFonts w:ascii="Arial Narrow" w:hAnsi="Arial Narrow"/>
                <w:iCs/>
                <w:color w:val="000000"/>
                <w:sz w:val="20"/>
                <w:szCs w:val="20"/>
                <w14:textFill>
                  <w14:solidFill>
                    <w14:srgbClr w14:val="000000">
                      <w14:alpha w14:val="100000"/>
                    </w14:srgbClr>
                  </w14:solidFill>
                </w14:textFill>
              </w:rPr>
              <w:t>|</w:t>
            </w:r>
          </w:p>
        </w:tc>
        <w:tc>
          <w:tcPr>
            <w:tcW w:w="626" w:type="pct"/>
            <w:shd w:val="solid" w:color="000000" w:fill="000000"/>
          </w:tcPr>
          <w:p w14:paraId="12C55D14" w14:textId="15F1793E" w:rsidR="006E542A" w:rsidRPr="003E1B7B" w:rsidRDefault="008D2DE7" w:rsidP="00FF5760">
            <w:pPr>
              <w:jc w:val="center"/>
              <w:rPr>
                <w:rFonts w:ascii="Arial Narrow" w:hAnsi="Arial Narrow"/>
                <w:iCs/>
                <w:sz w:val="20"/>
                <w:szCs w:val="20"/>
              </w:rPr>
            </w:pPr>
            <w:r w:rsidRPr="008D2DE7">
              <w:rPr>
                <w:rFonts w:ascii="Arial Narrow" w:hAnsi="Arial Narrow"/>
                <w:iCs/>
                <w:color w:val="000000"/>
                <w:sz w:val="20"/>
                <w:szCs w:val="20"/>
                <w14:textFill>
                  <w14:solidFill>
                    <w14:srgbClr w14:val="000000">
                      <w14:alpha w14:val="100000"/>
                    </w14:srgbClr>
                  </w14:solidFill>
                </w14:textFill>
              </w:rPr>
              <w:t>|</w:t>
            </w:r>
          </w:p>
        </w:tc>
        <w:tc>
          <w:tcPr>
            <w:tcW w:w="627" w:type="pct"/>
            <w:shd w:val="solid" w:color="000000" w:fill="000000"/>
          </w:tcPr>
          <w:p w14:paraId="38908A6E" w14:textId="28DA30AA" w:rsidR="006E542A" w:rsidRPr="003E1B7B" w:rsidRDefault="008D2DE7" w:rsidP="00FF5760">
            <w:pPr>
              <w:jc w:val="center"/>
              <w:rPr>
                <w:rFonts w:ascii="Arial Narrow" w:hAnsi="Arial Narrow"/>
                <w:iCs/>
                <w:sz w:val="20"/>
                <w:szCs w:val="20"/>
              </w:rPr>
            </w:pPr>
            <w:r w:rsidRPr="008D2DE7">
              <w:rPr>
                <w:rFonts w:ascii="Arial Narrow" w:hAnsi="Arial Narrow"/>
                <w:iCs/>
                <w:color w:val="000000"/>
                <w:sz w:val="20"/>
                <w:szCs w:val="20"/>
                <w14:textFill>
                  <w14:solidFill>
                    <w14:srgbClr w14:val="000000">
                      <w14:alpha w14:val="100000"/>
                    </w14:srgbClr>
                  </w14:solidFill>
                </w14:textFill>
              </w:rPr>
              <w:t>|</w:t>
            </w:r>
          </w:p>
        </w:tc>
      </w:tr>
      <w:tr w:rsidR="006E542A" w:rsidRPr="005F4582" w14:paraId="3DB37E0E" w14:textId="77777777" w:rsidTr="00FF5760">
        <w:tc>
          <w:tcPr>
            <w:tcW w:w="5000" w:type="pct"/>
            <w:gridSpan w:val="7"/>
          </w:tcPr>
          <w:p w14:paraId="614C0D9F" w14:textId="77777777" w:rsidR="006E542A" w:rsidRPr="003E1B7B" w:rsidRDefault="006E542A" w:rsidP="00FF5760">
            <w:pPr>
              <w:rPr>
                <w:rFonts w:ascii="Arial Narrow" w:hAnsi="Arial Narrow"/>
                <w:b/>
                <w:iCs/>
                <w:sz w:val="20"/>
                <w:szCs w:val="20"/>
              </w:rPr>
            </w:pPr>
            <w:r w:rsidRPr="003E1B7B">
              <w:rPr>
                <w:rFonts w:ascii="Arial Narrow" w:hAnsi="Arial Narrow"/>
                <w:b/>
                <w:iCs/>
                <w:sz w:val="20"/>
                <w:szCs w:val="20"/>
              </w:rPr>
              <w:t>Estimated financial implications of durvalumab</w:t>
            </w:r>
          </w:p>
        </w:tc>
      </w:tr>
      <w:tr w:rsidR="006E542A" w:rsidRPr="005F4582" w14:paraId="358F3212" w14:textId="77777777" w:rsidTr="00AA2599">
        <w:tc>
          <w:tcPr>
            <w:tcW w:w="1242" w:type="pct"/>
            <w:shd w:val="clear" w:color="auto" w:fill="FFFFFF" w:themeFill="background1"/>
          </w:tcPr>
          <w:p w14:paraId="29F7AB24" w14:textId="77777777" w:rsidR="006E542A" w:rsidRPr="003E1B7B" w:rsidRDefault="006E542A" w:rsidP="00FF5760">
            <w:pPr>
              <w:rPr>
                <w:rFonts w:ascii="Arial Narrow" w:hAnsi="Arial Narrow"/>
                <w:iCs/>
                <w:sz w:val="20"/>
                <w:szCs w:val="20"/>
              </w:rPr>
            </w:pPr>
            <w:r w:rsidRPr="003E1B7B">
              <w:rPr>
                <w:rFonts w:ascii="Arial Narrow" w:hAnsi="Arial Narrow"/>
                <w:iCs/>
                <w:sz w:val="20"/>
                <w:szCs w:val="20"/>
              </w:rPr>
              <w:t>Net cost to PBS/RPBS (effective price minus co</w:t>
            </w:r>
            <w:r w:rsidRPr="003E1B7B">
              <w:rPr>
                <w:rFonts w:ascii="Arial Narrow" w:hAnsi="Arial Narrow"/>
                <w:iCs/>
                <w:sz w:val="20"/>
                <w:szCs w:val="20"/>
              </w:rPr>
              <w:noBreakHyphen/>
              <w:t>payments)</w:t>
            </w:r>
          </w:p>
        </w:tc>
        <w:tc>
          <w:tcPr>
            <w:tcW w:w="626" w:type="pct"/>
            <w:shd w:val="solid" w:color="000000" w:fill="000000"/>
          </w:tcPr>
          <w:p w14:paraId="1D6D4591" w14:textId="5B5C3AC8" w:rsidR="006E542A" w:rsidRPr="003E1B7B" w:rsidRDefault="008D2DE7" w:rsidP="00FF5760">
            <w:pPr>
              <w:jc w:val="center"/>
              <w:rPr>
                <w:rFonts w:ascii="Arial Narrow" w:hAnsi="Arial Narrow"/>
                <w:iCs/>
                <w:sz w:val="20"/>
                <w:szCs w:val="20"/>
              </w:rPr>
            </w:pPr>
            <w:r w:rsidRPr="008D2DE7">
              <w:rPr>
                <w:rFonts w:ascii="Arial Narrow" w:hAnsi="Arial Narrow"/>
                <w:iCs/>
                <w:color w:val="000000"/>
                <w:spacing w:val="27"/>
                <w:sz w:val="20"/>
                <w:szCs w:val="20"/>
                <w:fitText w:val="814" w:id="-1459876351"/>
                <w14:textFill>
                  <w14:solidFill>
                    <w14:srgbClr w14:val="000000">
                      <w14:alpha w14:val="100000"/>
                    </w14:srgbClr>
                  </w14:solidFill>
                </w14:textFill>
              </w:rPr>
              <w:t>|||||||||||</w:t>
            </w:r>
            <w:r w:rsidRPr="008D2DE7">
              <w:rPr>
                <w:rFonts w:ascii="Arial Narrow" w:hAnsi="Arial Narrow"/>
                <w:iCs/>
                <w:color w:val="000000"/>
                <w:spacing w:val="7"/>
                <w:sz w:val="20"/>
                <w:szCs w:val="20"/>
                <w:fitText w:val="814" w:id="-1459876351"/>
                <w14:textFill>
                  <w14:solidFill>
                    <w14:srgbClr w14:val="000000">
                      <w14:alpha w14:val="100000"/>
                    </w14:srgbClr>
                  </w14:solidFill>
                </w14:textFill>
              </w:rPr>
              <w:t>|</w:t>
            </w:r>
          </w:p>
        </w:tc>
        <w:tc>
          <w:tcPr>
            <w:tcW w:w="626" w:type="pct"/>
            <w:shd w:val="solid" w:color="000000" w:fill="000000"/>
          </w:tcPr>
          <w:p w14:paraId="04129C14" w14:textId="547921D0" w:rsidR="006E542A" w:rsidRPr="003E1B7B" w:rsidRDefault="008D2DE7" w:rsidP="00FF5760">
            <w:pPr>
              <w:jc w:val="center"/>
              <w:rPr>
                <w:rFonts w:ascii="Arial Narrow" w:hAnsi="Arial Narrow"/>
                <w:iCs/>
                <w:sz w:val="20"/>
                <w:szCs w:val="20"/>
              </w:rPr>
            </w:pPr>
            <w:r w:rsidRPr="008D2DE7">
              <w:rPr>
                <w:rFonts w:ascii="Arial Narrow" w:hAnsi="Arial Narrow"/>
                <w:iCs/>
                <w:color w:val="000000"/>
                <w:spacing w:val="27"/>
                <w:sz w:val="20"/>
                <w:szCs w:val="20"/>
                <w:fitText w:val="814" w:id="-1459876350"/>
                <w14:textFill>
                  <w14:solidFill>
                    <w14:srgbClr w14:val="000000">
                      <w14:alpha w14:val="100000"/>
                    </w14:srgbClr>
                  </w14:solidFill>
                </w14:textFill>
              </w:rPr>
              <w:t>|||||||||||</w:t>
            </w:r>
            <w:r w:rsidRPr="008D2DE7">
              <w:rPr>
                <w:rFonts w:ascii="Arial Narrow" w:hAnsi="Arial Narrow"/>
                <w:iCs/>
                <w:color w:val="000000"/>
                <w:spacing w:val="7"/>
                <w:sz w:val="20"/>
                <w:szCs w:val="20"/>
                <w:fitText w:val="814" w:id="-1459876350"/>
                <w14:textFill>
                  <w14:solidFill>
                    <w14:srgbClr w14:val="000000">
                      <w14:alpha w14:val="100000"/>
                    </w14:srgbClr>
                  </w14:solidFill>
                </w14:textFill>
              </w:rPr>
              <w:t>|</w:t>
            </w:r>
          </w:p>
        </w:tc>
        <w:tc>
          <w:tcPr>
            <w:tcW w:w="626" w:type="pct"/>
            <w:shd w:val="solid" w:color="000000" w:fill="000000"/>
          </w:tcPr>
          <w:p w14:paraId="58FA5AEB" w14:textId="04C6C8E4" w:rsidR="006E542A" w:rsidRPr="003E1B7B" w:rsidRDefault="008D2DE7" w:rsidP="00FF5760">
            <w:pPr>
              <w:jc w:val="center"/>
              <w:rPr>
                <w:rFonts w:ascii="Arial Narrow" w:hAnsi="Arial Narrow"/>
                <w:iCs/>
                <w:sz w:val="20"/>
                <w:szCs w:val="20"/>
              </w:rPr>
            </w:pPr>
            <w:r w:rsidRPr="008D2DE7">
              <w:rPr>
                <w:rFonts w:ascii="Arial Narrow" w:hAnsi="Arial Narrow"/>
                <w:iCs/>
                <w:color w:val="000000"/>
                <w:spacing w:val="27"/>
                <w:sz w:val="20"/>
                <w:szCs w:val="20"/>
                <w:fitText w:val="814" w:id="-1459875584"/>
                <w14:textFill>
                  <w14:solidFill>
                    <w14:srgbClr w14:val="000000">
                      <w14:alpha w14:val="100000"/>
                    </w14:srgbClr>
                  </w14:solidFill>
                </w14:textFill>
              </w:rPr>
              <w:t>|||||||||||</w:t>
            </w:r>
            <w:r w:rsidRPr="008D2DE7">
              <w:rPr>
                <w:rFonts w:ascii="Arial Narrow" w:hAnsi="Arial Narrow"/>
                <w:iCs/>
                <w:color w:val="000000"/>
                <w:spacing w:val="7"/>
                <w:sz w:val="20"/>
                <w:szCs w:val="20"/>
                <w:fitText w:val="814" w:id="-1459875584"/>
                <w14:textFill>
                  <w14:solidFill>
                    <w14:srgbClr w14:val="000000">
                      <w14:alpha w14:val="100000"/>
                    </w14:srgbClr>
                  </w14:solidFill>
                </w14:textFill>
              </w:rPr>
              <w:t>|</w:t>
            </w:r>
          </w:p>
        </w:tc>
        <w:tc>
          <w:tcPr>
            <w:tcW w:w="626" w:type="pct"/>
            <w:shd w:val="clear" w:color="auto" w:fill="000000" w:themeFill="text1"/>
          </w:tcPr>
          <w:p w14:paraId="05F8346D" w14:textId="36096681" w:rsidR="008D2DE7" w:rsidRDefault="008D2DE7" w:rsidP="00FF5760">
            <w:pPr>
              <w:jc w:val="center"/>
              <w:rPr>
                <w:rFonts w:ascii="Arial Narrow" w:hAnsi="Arial Narrow"/>
                <w:iCs/>
                <w:sz w:val="20"/>
                <w:szCs w:val="20"/>
              </w:rPr>
            </w:pPr>
            <w:r w:rsidRPr="00AA2599">
              <w:rPr>
                <w:rFonts w:ascii="Arial Narrow" w:hAnsi="Arial Narrow"/>
                <w:iCs/>
                <w:color w:val="000000"/>
                <w:spacing w:val="27"/>
                <w:sz w:val="20"/>
                <w:szCs w:val="20"/>
                <w:shd w:val="solid" w:color="000000" w:fill="000000"/>
                <w:fitText w:val="814" w:id="-1459874304"/>
                <w14:textFill>
                  <w14:solidFill>
                    <w14:srgbClr w14:val="000000">
                      <w14:alpha w14:val="100000"/>
                    </w14:srgbClr>
                  </w14:solidFill>
                </w14:textFill>
              </w:rPr>
              <w:t>|||||||||||</w:t>
            </w:r>
            <w:r w:rsidRPr="00AA2599">
              <w:rPr>
                <w:rFonts w:ascii="Arial Narrow" w:hAnsi="Arial Narrow"/>
                <w:iCs/>
                <w:color w:val="000000"/>
                <w:spacing w:val="7"/>
                <w:sz w:val="20"/>
                <w:szCs w:val="20"/>
                <w:shd w:val="solid" w:color="000000" w:fill="000000"/>
                <w:fitText w:val="814" w:id="-1459874304"/>
                <w14:textFill>
                  <w14:solidFill>
                    <w14:srgbClr w14:val="000000">
                      <w14:alpha w14:val="100000"/>
                    </w14:srgbClr>
                  </w14:solidFill>
                </w14:textFill>
              </w:rPr>
              <w:t>|</w:t>
            </w:r>
          </w:p>
          <w:p w14:paraId="177ED74B" w14:textId="2783CA64" w:rsidR="006E542A" w:rsidRPr="003E1B7B" w:rsidRDefault="006E542A" w:rsidP="00FF5760">
            <w:pPr>
              <w:jc w:val="center"/>
              <w:rPr>
                <w:rFonts w:ascii="Arial Narrow" w:hAnsi="Arial Narrow"/>
                <w:iCs/>
                <w:sz w:val="20"/>
                <w:szCs w:val="20"/>
              </w:rPr>
            </w:pPr>
          </w:p>
        </w:tc>
        <w:tc>
          <w:tcPr>
            <w:tcW w:w="626" w:type="pct"/>
            <w:shd w:val="clear" w:color="auto" w:fill="000000" w:themeFill="text1"/>
          </w:tcPr>
          <w:p w14:paraId="78161DA0" w14:textId="7E914ECA" w:rsidR="006E542A" w:rsidRPr="003E1B7B" w:rsidRDefault="006E542A" w:rsidP="00FF5760">
            <w:pPr>
              <w:jc w:val="center"/>
              <w:rPr>
                <w:rFonts w:ascii="Arial Narrow" w:hAnsi="Arial Narrow"/>
                <w:iCs/>
                <w:sz w:val="20"/>
                <w:szCs w:val="20"/>
              </w:rPr>
            </w:pPr>
          </w:p>
        </w:tc>
        <w:tc>
          <w:tcPr>
            <w:tcW w:w="627" w:type="pct"/>
            <w:shd w:val="clear" w:color="auto" w:fill="000000" w:themeFill="text1"/>
          </w:tcPr>
          <w:p w14:paraId="037B8AF9" w14:textId="730E16E5" w:rsidR="006E542A" w:rsidRPr="003E1B7B" w:rsidRDefault="006E542A" w:rsidP="00FF5760">
            <w:pPr>
              <w:jc w:val="center"/>
              <w:rPr>
                <w:rFonts w:ascii="Arial Narrow" w:hAnsi="Arial Narrow"/>
                <w:iCs/>
                <w:sz w:val="20"/>
                <w:szCs w:val="20"/>
              </w:rPr>
            </w:pPr>
          </w:p>
        </w:tc>
      </w:tr>
      <w:tr w:rsidR="006E542A" w:rsidRPr="005F4582" w14:paraId="531ACAD0" w14:textId="77777777" w:rsidTr="00FF5760">
        <w:tc>
          <w:tcPr>
            <w:tcW w:w="5000" w:type="pct"/>
            <w:gridSpan w:val="7"/>
          </w:tcPr>
          <w:p w14:paraId="5180BE8B" w14:textId="7AC529A3" w:rsidR="006E542A" w:rsidRPr="003E1B7B" w:rsidRDefault="006E542A" w:rsidP="00FF5760">
            <w:pPr>
              <w:rPr>
                <w:rFonts w:ascii="Arial Narrow" w:hAnsi="Arial Narrow"/>
                <w:b/>
                <w:iCs/>
                <w:sz w:val="20"/>
                <w:szCs w:val="20"/>
              </w:rPr>
            </w:pPr>
            <w:r w:rsidRPr="003E1B7B">
              <w:rPr>
                <w:rFonts w:ascii="Arial Narrow" w:hAnsi="Arial Narrow"/>
                <w:b/>
                <w:iCs/>
                <w:sz w:val="20"/>
                <w:szCs w:val="20"/>
              </w:rPr>
              <w:t>Net reduction in cost of PD</w:t>
            </w:r>
            <w:r w:rsidRPr="003E1B7B">
              <w:rPr>
                <w:rFonts w:ascii="Arial Narrow" w:hAnsi="Arial Narrow"/>
                <w:b/>
                <w:iCs/>
                <w:sz w:val="20"/>
                <w:szCs w:val="20"/>
              </w:rPr>
              <w:noBreakHyphen/>
              <w:t xml:space="preserve">L1 medicines (at nivolumab rebate of </w:t>
            </w:r>
            <w:r w:rsidR="00AA2599" w:rsidRPr="00AA2599">
              <w:rPr>
                <w:rFonts w:ascii="Arial Narrow" w:hAnsi="Arial Narrow" w:hint="eastAsia"/>
                <w:b/>
                <w:iCs/>
                <w:color w:val="000000"/>
                <w:w w:val="19"/>
                <w:sz w:val="20"/>
                <w:szCs w:val="20"/>
                <w:shd w:val="solid" w:color="000000" w:fill="000000"/>
                <w:fitText w:val="88" w:id="-1459872512"/>
                <w14:textFill>
                  <w14:solidFill>
                    <w14:srgbClr w14:val="000000">
                      <w14:alpha w14:val="100000"/>
                    </w14:srgbClr>
                  </w14:solidFill>
                </w14:textFill>
              </w:rPr>
              <w:t xml:space="preserve">　</w:t>
            </w:r>
            <w:r w:rsidR="00AA2599" w:rsidRPr="00AA2599">
              <w:rPr>
                <w:rFonts w:ascii="Arial Narrow" w:hAnsi="Arial Narrow"/>
                <w:b/>
                <w:iCs/>
                <w:color w:val="000000"/>
                <w:w w:val="19"/>
                <w:sz w:val="20"/>
                <w:szCs w:val="20"/>
                <w:shd w:val="solid" w:color="000000" w:fill="000000"/>
                <w:fitText w:val="88" w:id="-1459872512"/>
                <w14:textFill>
                  <w14:solidFill>
                    <w14:srgbClr w14:val="000000">
                      <w14:alpha w14:val="100000"/>
                    </w14:srgbClr>
                  </w14:solidFill>
                </w14:textFill>
              </w:rPr>
              <w:t>|</w:t>
            </w:r>
            <w:r w:rsidR="00AA2599" w:rsidRPr="00AA2599">
              <w:rPr>
                <w:rFonts w:ascii="Arial Narrow" w:hAnsi="Arial Narrow" w:hint="eastAsia"/>
                <w:b/>
                <w:iCs/>
                <w:color w:val="000000"/>
                <w:w w:val="19"/>
                <w:sz w:val="20"/>
                <w:szCs w:val="20"/>
                <w:shd w:val="solid" w:color="000000" w:fill="000000"/>
                <w:fitText w:val="88" w:id="-1459872512"/>
                <w14:textFill>
                  <w14:solidFill>
                    <w14:srgbClr w14:val="000000">
                      <w14:alpha w14:val="100000"/>
                    </w14:srgbClr>
                  </w14:solidFill>
                </w14:textFill>
              </w:rPr>
              <w:t xml:space="preserve">　</w:t>
            </w:r>
            <w:r w:rsidRPr="003E1B7B">
              <w:rPr>
                <w:rFonts w:ascii="Arial Narrow" w:hAnsi="Arial Narrow"/>
                <w:b/>
                <w:iCs/>
                <w:sz w:val="20"/>
                <w:szCs w:val="20"/>
              </w:rPr>
              <w:t>%)</w:t>
            </w:r>
          </w:p>
        </w:tc>
      </w:tr>
      <w:tr w:rsidR="006E542A" w:rsidRPr="005F4582" w14:paraId="62C209DB" w14:textId="77777777" w:rsidTr="00AA2599">
        <w:tc>
          <w:tcPr>
            <w:tcW w:w="1242" w:type="pct"/>
          </w:tcPr>
          <w:p w14:paraId="45E3721E" w14:textId="77777777" w:rsidR="006E542A" w:rsidRPr="003E1B7B" w:rsidRDefault="006E542A" w:rsidP="00FF5760">
            <w:pPr>
              <w:rPr>
                <w:rFonts w:ascii="Arial Narrow" w:hAnsi="Arial Narrow"/>
                <w:iCs/>
                <w:sz w:val="20"/>
                <w:szCs w:val="20"/>
              </w:rPr>
            </w:pPr>
            <w:r w:rsidRPr="003E1B7B">
              <w:rPr>
                <w:rFonts w:ascii="Arial Narrow" w:hAnsi="Arial Narrow"/>
                <w:iCs/>
                <w:sz w:val="20"/>
                <w:szCs w:val="20"/>
              </w:rPr>
              <w:t>Net cost to PBS/RPBS (effective price)</w:t>
            </w:r>
          </w:p>
        </w:tc>
        <w:tc>
          <w:tcPr>
            <w:tcW w:w="626" w:type="pct"/>
            <w:shd w:val="clear" w:color="auto" w:fill="000000" w:themeFill="text1"/>
          </w:tcPr>
          <w:p w14:paraId="419DB999" w14:textId="6FC60A48" w:rsidR="006E542A" w:rsidRPr="003E1B7B" w:rsidRDefault="006E542A" w:rsidP="00FF5760">
            <w:pPr>
              <w:jc w:val="center"/>
              <w:rPr>
                <w:rFonts w:ascii="Arial Narrow" w:hAnsi="Arial Narrow"/>
                <w:iCs/>
                <w:sz w:val="20"/>
                <w:szCs w:val="20"/>
              </w:rPr>
            </w:pPr>
          </w:p>
        </w:tc>
        <w:tc>
          <w:tcPr>
            <w:tcW w:w="626" w:type="pct"/>
            <w:shd w:val="clear" w:color="auto" w:fill="000000" w:themeFill="text1"/>
          </w:tcPr>
          <w:p w14:paraId="5AE5EE1C" w14:textId="3AD09A8E" w:rsidR="006E542A" w:rsidRPr="003E1B7B" w:rsidRDefault="006E542A" w:rsidP="00FF5760">
            <w:pPr>
              <w:jc w:val="center"/>
              <w:rPr>
                <w:rFonts w:ascii="Arial Narrow" w:hAnsi="Arial Narrow"/>
                <w:iCs/>
                <w:sz w:val="20"/>
                <w:szCs w:val="20"/>
              </w:rPr>
            </w:pPr>
          </w:p>
        </w:tc>
        <w:tc>
          <w:tcPr>
            <w:tcW w:w="626" w:type="pct"/>
            <w:shd w:val="clear" w:color="auto" w:fill="000000" w:themeFill="text1"/>
          </w:tcPr>
          <w:p w14:paraId="41EC859C" w14:textId="506B2E00" w:rsidR="006E542A" w:rsidRPr="003E1B7B" w:rsidRDefault="006E542A" w:rsidP="00FF5760">
            <w:pPr>
              <w:jc w:val="center"/>
              <w:rPr>
                <w:rFonts w:ascii="Arial Narrow" w:hAnsi="Arial Narrow"/>
                <w:iCs/>
                <w:sz w:val="20"/>
                <w:szCs w:val="20"/>
              </w:rPr>
            </w:pPr>
          </w:p>
        </w:tc>
        <w:tc>
          <w:tcPr>
            <w:tcW w:w="626" w:type="pct"/>
            <w:shd w:val="clear" w:color="auto" w:fill="000000" w:themeFill="text1"/>
          </w:tcPr>
          <w:p w14:paraId="29CE788E" w14:textId="62401B7B" w:rsidR="006E542A" w:rsidRPr="003E1B7B" w:rsidRDefault="006E542A" w:rsidP="00FF5760">
            <w:pPr>
              <w:jc w:val="center"/>
              <w:rPr>
                <w:rFonts w:ascii="Arial Narrow" w:hAnsi="Arial Narrow"/>
                <w:iCs/>
                <w:sz w:val="20"/>
                <w:szCs w:val="20"/>
              </w:rPr>
            </w:pPr>
          </w:p>
        </w:tc>
        <w:tc>
          <w:tcPr>
            <w:tcW w:w="626" w:type="pct"/>
            <w:shd w:val="clear" w:color="auto" w:fill="000000" w:themeFill="text1"/>
          </w:tcPr>
          <w:p w14:paraId="70F3B2FA" w14:textId="6EDE53C2" w:rsidR="006E542A" w:rsidRPr="003E1B7B" w:rsidRDefault="006E542A" w:rsidP="00FF5760">
            <w:pPr>
              <w:jc w:val="center"/>
              <w:rPr>
                <w:rFonts w:ascii="Arial Narrow" w:hAnsi="Arial Narrow"/>
                <w:iCs/>
                <w:sz w:val="20"/>
                <w:szCs w:val="20"/>
              </w:rPr>
            </w:pPr>
          </w:p>
        </w:tc>
        <w:tc>
          <w:tcPr>
            <w:tcW w:w="627" w:type="pct"/>
            <w:shd w:val="clear" w:color="auto" w:fill="000000" w:themeFill="text1"/>
          </w:tcPr>
          <w:p w14:paraId="50262764" w14:textId="57FBB868" w:rsidR="006E542A" w:rsidRPr="003E1B7B" w:rsidRDefault="006E542A" w:rsidP="00FF5760">
            <w:pPr>
              <w:jc w:val="center"/>
              <w:rPr>
                <w:rFonts w:ascii="Arial Narrow" w:hAnsi="Arial Narrow"/>
                <w:iCs/>
                <w:sz w:val="20"/>
                <w:szCs w:val="20"/>
              </w:rPr>
            </w:pPr>
          </w:p>
        </w:tc>
      </w:tr>
      <w:tr w:rsidR="006E542A" w:rsidRPr="005F4582" w14:paraId="490131F4" w14:textId="77777777" w:rsidTr="00FF5760">
        <w:tc>
          <w:tcPr>
            <w:tcW w:w="5000" w:type="pct"/>
            <w:gridSpan w:val="7"/>
          </w:tcPr>
          <w:p w14:paraId="4901114A" w14:textId="77777777" w:rsidR="006E542A" w:rsidRPr="003E1B7B" w:rsidRDefault="006E542A" w:rsidP="00FF5760">
            <w:pPr>
              <w:rPr>
                <w:rFonts w:ascii="Arial Narrow" w:hAnsi="Arial Narrow"/>
                <w:b/>
                <w:iCs/>
                <w:sz w:val="20"/>
                <w:szCs w:val="20"/>
              </w:rPr>
            </w:pPr>
            <w:r w:rsidRPr="003E1B7B">
              <w:rPr>
                <w:rFonts w:ascii="Arial Narrow" w:hAnsi="Arial Narrow"/>
                <w:b/>
                <w:iCs/>
                <w:sz w:val="20"/>
                <w:szCs w:val="20"/>
              </w:rPr>
              <w:t>Net financial implications</w:t>
            </w:r>
          </w:p>
        </w:tc>
      </w:tr>
      <w:tr w:rsidR="006E542A" w:rsidRPr="005F4582" w14:paraId="371DEB30" w14:textId="77777777" w:rsidTr="00AA2599">
        <w:tc>
          <w:tcPr>
            <w:tcW w:w="1242" w:type="pct"/>
          </w:tcPr>
          <w:p w14:paraId="4DE630F6" w14:textId="77777777" w:rsidR="006E542A" w:rsidRPr="003E1B7B" w:rsidRDefault="006E542A" w:rsidP="00FF5760">
            <w:pPr>
              <w:rPr>
                <w:rFonts w:ascii="Arial Narrow" w:hAnsi="Arial Narrow"/>
                <w:iCs/>
                <w:sz w:val="20"/>
                <w:szCs w:val="20"/>
              </w:rPr>
            </w:pPr>
            <w:r w:rsidRPr="003E1B7B">
              <w:rPr>
                <w:rFonts w:ascii="Arial Narrow" w:hAnsi="Arial Narrow"/>
                <w:iCs/>
                <w:sz w:val="20"/>
                <w:szCs w:val="20"/>
              </w:rPr>
              <w:t>Net cost to PBS/RPBS (effective price)</w:t>
            </w:r>
          </w:p>
        </w:tc>
        <w:tc>
          <w:tcPr>
            <w:tcW w:w="626" w:type="pct"/>
            <w:shd w:val="clear" w:color="auto" w:fill="000000" w:themeFill="text1"/>
          </w:tcPr>
          <w:p w14:paraId="12F1269C" w14:textId="16E9DD22" w:rsidR="006E542A" w:rsidRPr="00AA2599" w:rsidRDefault="006E542A" w:rsidP="00FF5760">
            <w:pPr>
              <w:jc w:val="center"/>
              <w:rPr>
                <w:rFonts w:ascii="Arial Narrow" w:hAnsi="Arial Narrow"/>
                <w:iCs/>
                <w:sz w:val="20"/>
                <w:szCs w:val="20"/>
              </w:rPr>
            </w:pPr>
          </w:p>
        </w:tc>
        <w:tc>
          <w:tcPr>
            <w:tcW w:w="626" w:type="pct"/>
            <w:shd w:val="clear" w:color="auto" w:fill="000000" w:themeFill="text1"/>
          </w:tcPr>
          <w:p w14:paraId="4862EEF6" w14:textId="01117CB5" w:rsidR="006E542A" w:rsidRPr="00AA2599" w:rsidRDefault="006E542A" w:rsidP="00FF5760">
            <w:pPr>
              <w:jc w:val="center"/>
              <w:rPr>
                <w:rFonts w:ascii="Arial Narrow" w:hAnsi="Arial Narrow"/>
                <w:iCs/>
                <w:sz w:val="20"/>
                <w:szCs w:val="20"/>
              </w:rPr>
            </w:pPr>
          </w:p>
        </w:tc>
        <w:tc>
          <w:tcPr>
            <w:tcW w:w="626" w:type="pct"/>
            <w:shd w:val="clear" w:color="auto" w:fill="000000" w:themeFill="text1"/>
          </w:tcPr>
          <w:p w14:paraId="1676275D" w14:textId="24D52FBB" w:rsidR="006E542A" w:rsidRPr="00AA2599" w:rsidRDefault="006E542A" w:rsidP="00FF5760">
            <w:pPr>
              <w:jc w:val="center"/>
              <w:rPr>
                <w:rFonts w:ascii="Arial Narrow" w:hAnsi="Arial Narrow"/>
                <w:iCs/>
                <w:sz w:val="20"/>
                <w:szCs w:val="20"/>
              </w:rPr>
            </w:pPr>
          </w:p>
        </w:tc>
        <w:tc>
          <w:tcPr>
            <w:tcW w:w="626" w:type="pct"/>
            <w:shd w:val="clear" w:color="auto" w:fill="000000" w:themeFill="text1"/>
          </w:tcPr>
          <w:p w14:paraId="4DD0E603" w14:textId="2194D7C3" w:rsidR="006E542A" w:rsidRPr="00AA2599" w:rsidRDefault="006E542A" w:rsidP="00FF5760">
            <w:pPr>
              <w:jc w:val="center"/>
              <w:rPr>
                <w:rFonts w:ascii="Arial Narrow" w:hAnsi="Arial Narrow"/>
                <w:iCs/>
                <w:sz w:val="20"/>
                <w:szCs w:val="20"/>
              </w:rPr>
            </w:pPr>
          </w:p>
        </w:tc>
        <w:tc>
          <w:tcPr>
            <w:tcW w:w="626" w:type="pct"/>
            <w:shd w:val="clear" w:color="auto" w:fill="000000" w:themeFill="text1"/>
          </w:tcPr>
          <w:p w14:paraId="6214E903" w14:textId="66262639" w:rsidR="006E542A" w:rsidRPr="00AA2599" w:rsidRDefault="006E542A" w:rsidP="00FF5760">
            <w:pPr>
              <w:jc w:val="center"/>
              <w:rPr>
                <w:rFonts w:ascii="Arial Narrow" w:hAnsi="Arial Narrow"/>
                <w:iCs/>
                <w:sz w:val="20"/>
                <w:szCs w:val="20"/>
              </w:rPr>
            </w:pPr>
          </w:p>
        </w:tc>
        <w:tc>
          <w:tcPr>
            <w:tcW w:w="627" w:type="pct"/>
            <w:shd w:val="clear" w:color="auto" w:fill="000000" w:themeFill="text1"/>
          </w:tcPr>
          <w:p w14:paraId="573C15D2" w14:textId="60953AC0" w:rsidR="006E542A" w:rsidRPr="00AA2599" w:rsidRDefault="006E542A" w:rsidP="00FF5760">
            <w:pPr>
              <w:jc w:val="center"/>
              <w:rPr>
                <w:rFonts w:ascii="Arial Narrow" w:hAnsi="Arial Narrow"/>
                <w:iCs/>
                <w:sz w:val="20"/>
                <w:szCs w:val="20"/>
              </w:rPr>
            </w:pPr>
          </w:p>
        </w:tc>
      </w:tr>
      <w:tr w:rsidR="006E542A" w:rsidRPr="005F4582" w14:paraId="4C065D9C" w14:textId="77777777" w:rsidTr="00AA2599">
        <w:tc>
          <w:tcPr>
            <w:tcW w:w="1242" w:type="pct"/>
          </w:tcPr>
          <w:p w14:paraId="11D4585F" w14:textId="77777777" w:rsidR="006E542A" w:rsidRPr="003E1B7B" w:rsidRDefault="006E542A" w:rsidP="00FF5760">
            <w:pPr>
              <w:rPr>
                <w:rFonts w:ascii="Arial Narrow" w:hAnsi="Arial Narrow"/>
                <w:iCs/>
                <w:sz w:val="20"/>
                <w:szCs w:val="20"/>
              </w:rPr>
            </w:pPr>
            <w:r w:rsidRPr="003E1B7B">
              <w:rPr>
                <w:rFonts w:ascii="Arial Narrow" w:hAnsi="Arial Narrow"/>
                <w:iCs/>
                <w:sz w:val="20"/>
                <w:szCs w:val="20"/>
              </w:rPr>
              <w:t>Net cost to MBS</w:t>
            </w:r>
          </w:p>
        </w:tc>
        <w:tc>
          <w:tcPr>
            <w:tcW w:w="626" w:type="pct"/>
            <w:shd w:val="clear" w:color="auto" w:fill="000000" w:themeFill="text1"/>
          </w:tcPr>
          <w:p w14:paraId="1A4EF660" w14:textId="31207670" w:rsidR="006E542A" w:rsidRPr="00AA2599" w:rsidRDefault="006E542A" w:rsidP="00FF5760">
            <w:pPr>
              <w:jc w:val="center"/>
              <w:rPr>
                <w:rFonts w:ascii="Arial Narrow" w:hAnsi="Arial Narrow"/>
                <w:iCs/>
                <w:sz w:val="20"/>
                <w:szCs w:val="20"/>
              </w:rPr>
            </w:pPr>
          </w:p>
        </w:tc>
        <w:tc>
          <w:tcPr>
            <w:tcW w:w="626" w:type="pct"/>
            <w:shd w:val="clear" w:color="auto" w:fill="000000" w:themeFill="text1"/>
          </w:tcPr>
          <w:p w14:paraId="624E8DC0" w14:textId="456C6B66" w:rsidR="006E542A" w:rsidRPr="00AA2599" w:rsidRDefault="006E542A" w:rsidP="00FF5760">
            <w:pPr>
              <w:jc w:val="center"/>
              <w:rPr>
                <w:rFonts w:ascii="Arial Narrow" w:hAnsi="Arial Narrow"/>
                <w:iCs/>
                <w:sz w:val="20"/>
                <w:szCs w:val="20"/>
              </w:rPr>
            </w:pPr>
          </w:p>
        </w:tc>
        <w:tc>
          <w:tcPr>
            <w:tcW w:w="626" w:type="pct"/>
            <w:shd w:val="clear" w:color="auto" w:fill="000000" w:themeFill="text1"/>
          </w:tcPr>
          <w:p w14:paraId="7AA0E686" w14:textId="6B60F12F" w:rsidR="006E542A" w:rsidRPr="00AA2599" w:rsidRDefault="006E542A" w:rsidP="00FF5760">
            <w:pPr>
              <w:jc w:val="center"/>
              <w:rPr>
                <w:rFonts w:ascii="Arial Narrow" w:hAnsi="Arial Narrow"/>
                <w:iCs/>
                <w:sz w:val="20"/>
                <w:szCs w:val="20"/>
              </w:rPr>
            </w:pPr>
          </w:p>
        </w:tc>
        <w:tc>
          <w:tcPr>
            <w:tcW w:w="626" w:type="pct"/>
            <w:shd w:val="clear" w:color="auto" w:fill="000000" w:themeFill="text1"/>
          </w:tcPr>
          <w:p w14:paraId="09B8927A" w14:textId="09B45BA4" w:rsidR="006E542A" w:rsidRPr="00AA2599" w:rsidRDefault="006E542A" w:rsidP="00FF5760">
            <w:pPr>
              <w:jc w:val="center"/>
              <w:rPr>
                <w:rFonts w:ascii="Arial Narrow" w:hAnsi="Arial Narrow"/>
                <w:iCs/>
                <w:sz w:val="20"/>
                <w:szCs w:val="20"/>
              </w:rPr>
            </w:pPr>
          </w:p>
        </w:tc>
        <w:tc>
          <w:tcPr>
            <w:tcW w:w="626" w:type="pct"/>
            <w:shd w:val="clear" w:color="auto" w:fill="000000" w:themeFill="text1"/>
          </w:tcPr>
          <w:p w14:paraId="08D80619" w14:textId="233D8216" w:rsidR="006E542A" w:rsidRPr="00AA2599" w:rsidRDefault="006E542A" w:rsidP="00FF5760">
            <w:pPr>
              <w:jc w:val="center"/>
              <w:rPr>
                <w:rFonts w:ascii="Arial Narrow" w:hAnsi="Arial Narrow"/>
                <w:iCs/>
                <w:sz w:val="20"/>
                <w:szCs w:val="20"/>
              </w:rPr>
            </w:pPr>
          </w:p>
        </w:tc>
        <w:tc>
          <w:tcPr>
            <w:tcW w:w="627" w:type="pct"/>
            <w:shd w:val="clear" w:color="auto" w:fill="000000" w:themeFill="text1"/>
          </w:tcPr>
          <w:p w14:paraId="626EB443" w14:textId="07241820" w:rsidR="006E542A" w:rsidRPr="00AA2599" w:rsidRDefault="006E542A" w:rsidP="00FF5760">
            <w:pPr>
              <w:jc w:val="center"/>
              <w:rPr>
                <w:rFonts w:ascii="Arial Narrow" w:hAnsi="Arial Narrow"/>
                <w:iCs/>
                <w:sz w:val="20"/>
                <w:szCs w:val="20"/>
              </w:rPr>
            </w:pPr>
          </w:p>
        </w:tc>
      </w:tr>
      <w:tr w:rsidR="006E542A" w:rsidRPr="005F4582" w14:paraId="6CAE9367" w14:textId="77777777" w:rsidTr="00AA2599">
        <w:tc>
          <w:tcPr>
            <w:tcW w:w="1242" w:type="pct"/>
            <w:shd w:val="clear" w:color="auto" w:fill="FFFFFF" w:themeFill="background1"/>
          </w:tcPr>
          <w:p w14:paraId="2B41F966" w14:textId="77777777" w:rsidR="006E542A" w:rsidRPr="003E1B7B" w:rsidRDefault="006E542A" w:rsidP="00FF5760">
            <w:pPr>
              <w:rPr>
                <w:rFonts w:ascii="Arial Narrow" w:hAnsi="Arial Narrow"/>
                <w:iCs/>
                <w:sz w:val="20"/>
                <w:szCs w:val="20"/>
              </w:rPr>
            </w:pPr>
            <w:r w:rsidRPr="003E1B7B">
              <w:rPr>
                <w:rFonts w:ascii="Arial Narrow" w:hAnsi="Arial Narrow"/>
                <w:iCs/>
                <w:sz w:val="20"/>
                <w:szCs w:val="20"/>
              </w:rPr>
              <w:t>Net cost to health budget</w:t>
            </w:r>
          </w:p>
        </w:tc>
        <w:tc>
          <w:tcPr>
            <w:tcW w:w="626" w:type="pct"/>
            <w:shd w:val="clear" w:color="auto" w:fill="000000" w:themeFill="text1"/>
          </w:tcPr>
          <w:p w14:paraId="1D097BB9" w14:textId="091621EF" w:rsidR="006E542A" w:rsidRPr="00AA2599" w:rsidRDefault="006E542A" w:rsidP="00FF5760">
            <w:pPr>
              <w:jc w:val="center"/>
              <w:rPr>
                <w:rFonts w:ascii="Arial Narrow" w:hAnsi="Arial Narrow"/>
                <w:iCs/>
                <w:sz w:val="20"/>
                <w:szCs w:val="20"/>
              </w:rPr>
            </w:pPr>
          </w:p>
        </w:tc>
        <w:tc>
          <w:tcPr>
            <w:tcW w:w="626" w:type="pct"/>
            <w:shd w:val="clear" w:color="auto" w:fill="000000" w:themeFill="text1"/>
          </w:tcPr>
          <w:p w14:paraId="0FDC2E7E" w14:textId="316EF768" w:rsidR="006E542A" w:rsidRPr="00AA2599" w:rsidRDefault="006E542A" w:rsidP="00FF5760">
            <w:pPr>
              <w:jc w:val="center"/>
              <w:rPr>
                <w:rFonts w:ascii="Arial Narrow" w:hAnsi="Arial Narrow"/>
                <w:iCs/>
                <w:sz w:val="20"/>
                <w:szCs w:val="20"/>
              </w:rPr>
            </w:pPr>
          </w:p>
        </w:tc>
        <w:tc>
          <w:tcPr>
            <w:tcW w:w="626" w:type="pct"/>
            <w:shd w:val="clear" w:color="auto" w:fill="000000" w:themeFill="text1"/>
          </w:tcPr>
          <w:p w14:paraId="0CF059CA" w14:textId="28B7E23D" w:rsidR="006E542A" w:rsidRPr="00AA2599" w:rsidRDefault="006E542A" w:rsidP="00FF5760">
            <w:pPr>
              <w:jc w:val="center"/>
              <w:rPr>
                <w:rFonts w:ascii="Arial Narrow" w:hAnsi="Arial Narrow"/>
                <w:iCs/>
                <w:sz w:val="20"/>
                <w:szCs w:val="20"/>
              </w:rPr>
            </w:pPr>
          </w:p>
        </w:tc>
        <w:tc>
          <w:tcPr>
            <w:tcW w:w="626" w:type="pct"/>
            <w:shd w:val="clear" w:color="auto" w:fill="000000" w:themeFill="text1"/>
          </w:tcPr>
          <w:p w14:paraId="7BB14ED4" w14:textId="672C474A" w:rsidR="006E542A" w:rsidRPr="00AA2599" w:rsidRDefault="006E542A" w:rsidP="00FF5760">
            <w:pPr>
              <w:jc w:val="center"/>
              <w:rPr>
                <w:rFonts w:ascii="Arial Narrow" w:hAnsi="Arial Narrow"/>
                <w:iCs/>
                <w:sz w:val="20"/>
                <w:szCs w:val="20"/>
              </w:rPr>
            </w:pPr>
          </w:p>
        </w:tc>
        <w:tc>
          <w:tcPr>
            <w:tcW w:w="626" w:type="pct"/>
            <w:shd w:val="clear" w:color="auto" w:fill="000000" w:themeFill="text1"/>
          </w:tcPr>
          <w:p w14:paraId="5C2A20E9" w14:textId="34A7C501" w:rsidR="006E542A" w:rsidRPr="00AA2599" w:rsidRDefault="006E542A" w:rsidP="00FF5760">
            <w:pPr>
              <w:jc w:val="center"/>
              <w:rPr>
                <w:rFonts w:ascii="Arial Narrow" w:hAnsi="Arial Narrow"/>
                <w:iCs/>
                <w:sz w:val="20"/>
                <w:szCs w:val="20"/>
              </w:rPr>
            </w:pPr>
          </w:p>
        </w:tc>
        <w:tc>
          <w:tcPr>
            <w:tcW w:w="627" w:type="pct"/>
            <w:shd w:val="clear" w:color="auto" w:fill="000000" w:themeFill="text1"/>
          </w:tcPr>
          <w:p w14:paraId="573D7B43" w14:textId="0EBE469E" w:rsidR="006E542A" w:rsidRPr="00AA2599" w:rsidRDefault="006E542A" w:rsidP="00FF5760">
            <w:pPr>
              <w:jc w:val="center"/>
              <w:rPr>
                <w:rFonts w:ascii="Arial Narrow" w:hAnsi="Arial Narrow"/>
                <w:iCs/>
                <w:sz w:val="20"/>
                <w:szCs w:val="20"/>
              </w:rPr>
            </w:pPr>
          </w:p>
        </w:tc>
      </w:tr>
    </w:tbl>
    <w:p w14:paraId="2996CC85" w14:textId="77777777" w:rsidR="00C2578C" w:rsidRDefault="00C2578C" w:rsidP="00375DD4"/>
    <w:p w14:paraId="4AF8A300" w14:textId="7019662F" w:rsidR="0084343F" w:rsidRDefault="0084343F" w:rsidP="00017E14">
      <w:pPr>
        <w:pStyle w:val="Tabletitle"/>
        <w:rPr>
          <w:b w:val="0"/>
        </w:rPr>
      </w:pPr>
      <w:r w:rsidRPr="00AA2599">
        <w:rPr>
          <w:b w:val="0"/>
          <w:color w:val="000000"/>
          <w:spacing w:val="2"/>
          <w:w w:val="54"/>
          <w:shd w:val="solid" w:color="000000" w:fill="000000"/>
          <w:fitText w:val="7475" w:id="-1459881984"/>
          <w14:textFill>
            <w14:solidFill>
              <w14:srgbClr w14:val="000000">
                <w14:alpha w14:val="100000"/>
              </w14:srgbClr>
            </w14:solidFill>
          </w14:textFill>
        </w:rPr>
        <w:t>|||||||||||||||||||||||||||||||||||||||||||||||||||||||||||||||||||||||||||||||||||||||||||||||||||||||||||||||||||||||||</w:t>
      </w:r>
      <w:r w:rsidRPr="00AA2599">
        <w:rPr>
          <w:b w:val="0"/>
          <w:color w:val="000000"/>
          <w:spacing w:val="-44"/>
          <w:w w:val="54"/>
          <w:shd w:val="solid" w:color="000000" w:fill="000000"/>
          <w:fitText w:val="7475" w:id="-1459881984"/>
          <w14:textFill>
            <w14:solidFill>
              <w14:srgbClr w14:val="000000">
                <w14:alpha w14:val="100000"/>
              </w14:srgbClr>
            </w14:solidFill>
          </w14:textFill>
        </w:rPr>
        <w:t>|</w:t>
      </w:r>
      <w:r>
        <w:rPr>
          <w:b w:val="0"/>
        </w:rPr>
        <w:t xml:space="preserve"> </w:t>
      </w:r>
    </w:p>
    <w:p w14:paraId="60BCA3DD" w14:textId="0944C453" w:rsidR="0084343F" w:rsidRDefault="0084343F" w:rsidP="00017E14">
      <w:pPr>
        <w:pStyle w:val="Tabletitle"/>
        <w:rPr>
          <w:b w:val="0"/>
        </w:rPr>
      </w:pPr>
      <w:r w:rsidRPr="001F4071">
        <w:rPr>
          <w:b w:val="0"/>
          <w:color w:val="000000"/>
          <w:spacing w:val="1"/>
          <w:w w:val="55"/>
          <w:shd w:val="solid" w:color="000000" w:fill="000000"/>
          <w:fitText w:val="4245" w:id="-1459881983"/>
          <w14:textFill>
            <w14:solidFill>
              <w14:srgbClr w14:val="000000">
                <w14:alpha w14:val="100000"/>
              </w14:srgbClr>
            </w14:solidFill>
          </w14:textFill>
        </w:rPr>
        <w:t>|||||||||||||||||||||||||||||||||||||||||||||||||||||||||||||||||||</w:t>
      </w:r>
      <w:r w:rsidRPr="001F4071">
        <w:rPr>
          <w:b w:val="0"/>
          <w:color w:val="000000"/>
          <w:spacing w:val="50"/>
          <w:w w:val="55"/>
          <w:shd w:val="solid" w:color="000000" w:fill="000000"/>
          <w:fitText w:val="4245" w:id="-1459881983"/>
          <w14:textFill>
            <w14:solidFill>
              <w14:srgbClr w14:val="000000">
                <w14:alpha w14:val="100000"/>
              </w14:srgbClr>
            </w14:solidFill>
          </w14:textFill>
        </w:rPr>
        <w:t>|</w:t>
      </w:r>
    </w:p>
    <w:p w14:paraId="252417FC" w14:textId="4CE6D474" w:rsidR="0084343F" w:rsidRDefault="0084343F" w:rsidP="00017E14">
      <w:pPr>
        <w:pStyle w:val="Tabletitle"/>
        <w:rPr>
          <w:b w:val="0"/>
        </w:rPr>
      </w:pPr>
      <w:r w:rsidRPr="001F4071">
        <w:rPr>
          <w:b w:val="0"/>
          <w:color w:val="000000"/>
          <w:spacing w:val="2"/>
          <w:w w:val="54"/>
          <w:shd w:val="solid" w:color="000000" w:fill="000000"/>
          <w:fitText w:val="5384" w:id="-1459881982"/>
          <w14:textFill>
            <w14:solidFill>
              <w14:srgbClr w14:val="000000">
                <w14:alpha w14:val="100000"/>
              </w14:srgbClr>
            </w14:solidFill>
          </w14:textFill>
        </w:rPr>
        <w:t>|||||||||||||||||||||||||||||||||||||||||||||||||||||||||||||||||||||||||||||||||||||||</w:t>
      </w:r>
      <w:r w:rsidRPr="001F4071">
        <w:rPr>
          <w:b w:val="0"/>
          <w:color w:val="000000"/>
          <w:spacing w:val="-39"/>
          <w:w w:val="54"/>
          <w:shd w:val="solid" w:color="000000" w:fill="000000"/>
          <w:fitText w:val="5384" w:id="-1459881982"/>
          <w14:textFill>
            <w14:solidFill>
              <w14:srgbClr w14:val="000000">
                <w14:alpha w14:val="100000"/>
              </w14:srgbClr>
            </w14:solidFill>
          </w14:textFill>
        </w:rPr>
        <w:t>|</w:t>
      </w:r>
    </w:p>
    <w:p w14:paraId="2225D132" w14:textId="22B01FB0" w:rsidR="0084343F" w:rsidRDefault="0084343F" w:rsidP="00017E14">
      <w:pPr>
        <w:pStyle w:val="Tabletitle"/>
        <w:rPr>
          <w:b w:val="0"/>
        </w:rPr>
      </w:pPr>
      <w:r w:rsidRPr="001F4071">
        <w:rPr>
          <w:b w:val="0"/>
          <w:color w:val="000000"/>
          <w:spacing w:val="1"/>
          <w:w w:val="54"/>
          <w:shd w:val="solid" w:color="000000" w:fill="000000"/>
          <w:fitText w:val="8165" w:id="-1459881981"/>
          <w14:textFill>
            <w14:solidFill>
              <w14:srgbClr w14:val="000000">
                <w14:alpha w14:val="100000"/>
              </w14:srgbClr>
            </w14:solidFill>
          </w14:textFill>
        </w:rPr>
        <w:t>|||||||||||||||||||||||||||||||||||||||||||||||||||||||||||||||||||||||||||||||||||||||||||||||||||||||||||||||||||||||||||||||||||||</w:t>
      </w:r>
      <w:r w:rsidRPr="001F4071">
        <w:rPr>
          <w:b w:val="0"/>
          <w:color w:val="000000"/>
          <w:spacing w:val="38"/>
          <w:w w:val="54"/>
          <w:shd w:val="solid" w:color="000000" w:fill="000000"/>
          <w:fitText w:val="8165" w:id="-1459881981"/>
          <w14:textFill>
            <w14:solidFill>
              <w14:srgbClr w14:val="000000">
                <w14:alpha w14:val="100000"/>
              </w14:srgbClr>
            </w14:solidFill>
          </w14:textFill>
        </w:rPr>
        <w:t>|</w:t>
      </w:r>
    </w:p>
    <w:p w14:paraId="1E909F48" w14:textId="17B93AEF" w:rsidR="0084343F" w:rsidRDefault="0084343F" w:rsidP="00017E14">
      <w:pPr>
        <w:pStyle w:val="Tabletitle"/>
        <w:rPr>
          <w:b w:val="0"/>
        </w:rPr>
      </w:pPr>
      <w:r w:rsidRPr="001F4071">
        <w:rPr>
          <w:b w:val="0"/>
          <w:color w:val="000000"/>
          <w:spacing w:val="1"/>
          <w:w w:val="54"/>
          <w:shd w:val="solid" w:color="000000" w:fill="000000"/>
          <w:fitText w:val="8315" w:id="-1459881980"/>
          <w14:textFill>
            <w14:solidFill>
              <w14:srgbClr w14:val="000000">
                <w14:alpha w14:val="100000"/>
              </w14:srgbClr>
            </w14:solidFill>
          </w14:textFill>
        </w:rPr>
        <w:t>|||||||||||||||||||||||||||||||||||||||||||||||||||||||||||||||||||||||||||||||||||||||||||||||||||||||||||||||||||||||||||||||||||||||</w:t>
      </w:r>
      <w:r w:rsidRPr="001F4071">
        <w:rPr>
          <w:b w:val="0"/>
          <w:color w:val="000000"/>
          <w:spacing w:val="67"/>
          <w:w w:val="54"/>
          <w:shd w:val="solid" w:color="000000" w:fill="000000"/>
          <w:fitText w:val="8315" w:id="-1459881980"/>
          <w14:textFill>
            <w14:solidFill>
              <w14:srgbClr w14:val="000000">
                <w14:alpha w14:val="100000"/>
              </w14:srgbClr>
            </w14:solidFill>
          </w14:textFill>
        </w:rPr>
        <w:t>|</w:t>
      </w:r>
      <w:r>
        <w:rPr>
          <w:b w:val="0"/>
        </w:rPr>
        <w:t xml:space="preserve"> </w:t>
      </w:r>
      <w:r w:rsidRPr="001F4071">
        <w:rPr>
          <w:b w:val="0"/>
          <w:color w:val="000000"/>
          <w:w w:val="62"/>
          <w:shd w:val="solid" w:color="000000" w:fill="000000"/>
          <w:fitText w:val="689" w:id="-1459881979"/>
          <w14:textFill>
            <w14:solidFill>
              <w14:srgbClr w14:val="000000">
                <w14:alpha w14:val="100000"/>
              </w14:srgbClr>
            </w14:solidFill>
          </w14:textFill>
        </w:rPr>
        <w:t>|||||||||</w:t>
      </w:r>
      <w:r w:rsidRPr="001F4071">
        <w:rPr>
          <w:b w:val="0"/>
          <w:color w:val="000000"/>
          <w:spacing w:val="4"/>
          <w:w w:val="62"/>
          <w:shd w:val="solid" w:color="000000" w:fill="000000"/>
          <w:fitText w:val="689" w:id="-1459881979"/>
          <w14:textFill>
            <w14:solidFill>
              <w14:srgbClr w14:val="000000">
                <w14:alpha w14:val="100000"/>
              </w14:srgbClr>
            </w14:solidFill>
          </w14:textFill>
        </w:rPr>
        <w:t>|</w:t>
      </w:r>
    </w:p>
    <w:p w14:paraId="57D779BE" w14:textId="4939D856" w:rsidR="0084343F" w:rsidRDefault="0084343F" w:rsidP="00017E14">
      <w:pPr>
        <w:pStyle w:val="Tabletitle"/>
        <w:rPr>
          <w:b w:val="0"/>
        </w:rPr>
      </w:pPr>
      <w:r w:rsidRPr="0084343F">
        <w:rPr>
          <w:b w:val="0"/>
          <w:color w:val="000000"/>
          <w:w w:val="54"/>
          <w:shd w:val="solid" w:color="000000" w:fill="000000"/>
          <w:fitText w:val="8603" w:id="-1459881978"/>
          <w14:textFill>
            <w14:solidFill>
              <w14:srgbClr w14:val="000000">
                <w14:alpha w14:val="100000"/>
              </w14:srgbClr>
            </w14:solidFill>
          </w14:textFill>
        </w:rPr>
        <w:t>|||||||||||||||||||||||||||||||||||||||||||||||||||||||||||||||||||||||||||||||||||||||||||||||||||||||||||||||||||||||||||||||||||||||||||||</w:t>
      </w:r>
      <w:r w:rsidRPr="0084343F">
        <w:rPr>
          <w:b w:val="0"/>
          <w:color w:val="000000"/>
          <w:spacing w:val="132"/>
          <w:w w:val="54"/>
          <w:shd w:val="solid" w:color="000000" w:fill="000000"/>
          <w:fitText w:val="8603" w:id="-1459881978"/>
          <w14:textFill>
            <w14:solidFill>
              <w14:srgbClr w14:val="000000">
                <w14:alpha w14:val="100000"/>
              </w14:srgbClr>
            </w14:solidFill>
          </w14:textFill>
        </w:rPr>
        <w:t>|</w:t>
      </w:r>
      <w:r>
        <w:rPr>
          <w:b w:val="0"/>
        </w:rPr>
        <w:t xml:space="preserve"> </w:t>
      </w:r>
      <w:r w:rsidRPr="00C6576B">
        <w:rPr>
          <w:b w:val="0"/>
          <w:color w:val="000000"/>
          <w:w w:val="62"/>
          <w:shd w:val="solid" w:color="000000" w:fill="000000"/>
          <w:fitText w:val="689" w:id="-1459881977"/>
          <w14:textFill>
            <w14:solidFill>
              <w14:srgbClr w14:val="000000">
                <w14:alpha w14:val="100000"/>
              </w14:srgbClr>
            </w14:solidFill>
          </w14:textFill>
        </w:rPr>
        <w:t>||||||||||</w:t>
      </w:r>
    </w:p>
    <w:p w14:paraId="237D7AC8" w14:textId="10C6E8EC" w:rsidR="0084343F" w:rsidRDefault="0084343F" w:rsidP="00017E14">
      <w:pPr>
        <w:pStyle w:val="Tabletitle"/>
        <w:rPr>
          <w:b w:val="0"/>
        </w:rPr>
      </w:pPr>
      <w:r w:rsidRPr="0084343F">
        <w:rPr>
          <w:b w:val="0"/>
          <w:color w:val="000000"/>
          <w:w w:val="55"/>
          <w:shd w:val="solid" w:color="000000" w:fill="000000"/>
          <w:fitText w:val="5936" w:id="-1459881976"/>
          <w14:textFill>
            <w14:solidFill>
              <w14:srgbClr w14:val="000000">
                <w14:alpha w14:val="100000"/>
              </w14:srgbClr>
            </w14:solidFill>
          </w14:textFill>
        </w:rPr>
        <w:t>|||||||||||||||||||||||||||||||||||||||||||||||||||||||||||||||||||||||||||||||||||||||||||||||</w:t>
      </w:r>
      <w:r w:rsidRPr="0084343F">
        <w:rPr>
          <w:b w:val="0"/>
          <w:color w:val="000000"/>
          <w:spacing w:val="108"/>
          <w:w w:val="55"/>
          <w:shd w:val="solid" w:color="000000" w:fill="000000"/>
          <w:fitText w:val="5936" w:id="-1459881976"/>
          <w14:textFill>
            <w14:solidFill>
              <w14:srgbClr w14:val="000000">
                <w14:alpha w14:val="100000"/>
              </w14:srgbClr>
            </w14:solidFill>
          </w14:textFill>
        </w:rPr>
        <w:t>|</w:t>
      </w:r>
    </w:p>
    <w:p w14:paraId="0767114C" w14:textId="2D0EDBAD" w:rsidR="0084343F" w:rsidRDefault="0084343F" w:rsidP="00017E14">
      <w:pPr>
        <w:pStyle w:val="Tabletitle"/>
        <w:rPr>
          <w:b w:val="0"/>
        </w:rPr>
      </w:pPr>
      <w:r w:rsidRPr="0084343F">
        <w:rPr>
          <w:b w:val="0"/>
          <w:color w:val="000000"/>
          <w:w w:val="55"/>
          <w:shd w:val="solid" w:color="000000" w:fill="000000"/>
          <w:fitText w:val="8214" w:id="-1459881975"/>
          <w14:textFill>
            <w14:solidFill>
              <w14:srgbClr w14:val="000000">
                <w14:alpha w14:val="100000"/>
              </w14:srgbClr>
            </w14:solidFill>
          </w14:textFill>
        </w:rPr>
        <w:t>|||||||||||||||||||||||||||||||||||||||||||||||||||||||||||||||||||||||||||||||||||||||||||||||||||||||||||||||||||||||||||||||||||||</w:t>
      </w:r>
      <w:r w:rsidRPr="0084343F">
        <w:rPr>
          <w:b w:val="0"/>
          <w:color w:val="000000"/>
          <w:spacing w:val="79"/>
          <w:w w:val="55"/>
          <w:shd w:val="solid" w:color="000000" w:fill="000000"/>
          <w:fitText w:val="8214" w:id="-1459881975"/>
          <w14:textFill>
            <w14:solidFill>
              <w14:srgbClr w14:val="000000">
                <w14:alpha w14:val="100000"/>
              </w14:srgbClr>
            </w14:solidFill>
          </w14:textFill>
        </w:rPr>
        <w:t>|</w:t>
      </w:r>
      <w:r>
        <w:rPr>
          <w:b w:val="0"/>
        </w:rPr>
        <w:t xml:space="preserve"> </w:t>
      </w:r>
      <w:r w:rsidRPr="0084343F">
        <w:rPr>
          <w:b w:val="0"/>
          <w:color w:val="000000"/>
          <w:w w:val="71"/>
          <w:shd w:val="solid" w:color="000000" w:fill="000000"/>
          <w:fitText w:val="476" w:id="-1459881974"/>
          <w14:textFill>
            <w14:solidFill>
              <w14:srgbClr w14:val="000000">
                <w14:alpha w14:val="100000"/>
              </w14:srgbClr>
            </w14:solidFill>
          </w14:textFill>
        </w:rPr>
        <w:t>|||||</w:t>
      </w:r>
      <w:r w:rsidRPr="0084343F">
        <w:rPr>
          <w:b w:val="0"/>
          <w:color w:val="000000"/>
          <w:spacing w:val="5"/>
          <w:w w:val="71"/>
          <w:shd w:val="solid" w:color="000000" w:fill="000000"/>
          <w:fitText w:val="476" w:id="-1459881974"/>
          <w14:textFill>
            <w14:solidFill>
              <w14:srgbClr w14:val="000000">
                <w14:alpha w14:val="100000"/>
              </w14:srgbClr>
            </w14:solidFill>
          </w14:textFill>
        </w:rPr>
        <w:t>|</w:t>
      </w:r>
      <w:r>
        <w:rPr>
          <w:b w:val="0"/>
        </w:rPr>
        <w:t xml:space="preserve"> </w:t>
      </w:r>
      <w:r w:rsidRPr="0084343F">
        <w:rPr>
          <w:b w:val="0"/>
          <w:color w:val="000000"/>
          <w:w w:val="54"/>
          <w:shd w:val="solid" w:color="000000" w:fill="000000"/>
          <w:fitText w:val="8465" w:id="-1459881973"/>
          <w14:textFill>
            <w14:solidFill>
              <w14:srgbClr w14:val="000000">
                <w14:alpha w14:val="100000"/>
              </w14:srgbClr>
            </w14:solidFill>
          </w14:textFill>
        </w:rPr>
        <w:t>|||||||||||||||||||||||||||||||||||||||||||||||||||||||||||||||||||||||||||||||||||||||||||||||||||||||||||||||||||||||||||||||||||||||||||</w:t>
      </w:r>
      <w:r w:rsidRPr="0084343F">
        <w:rPr>
          <w:b w:val="0"/>
          <w:color w:val="000000"/>
          <w:spacing w:val="114"/>
          <w:w w:val="54"/>
          <w:shd w:val="solid" w:color="000000" w:fill="000000"/>
          <w:fitText w:val="8465" w:id="-1459881973"/>
          <w14:textFill>
            <w14:solidFill>
              <w14:srgbClr w14:val="000000">
                <w14:alpha w14:val="100000"/>
              </w14:srgbClr>
            </w14:solidFill>
          </w14:textFill>
        </w:rPr>
        <w:t>|</w:t>
      </w:r>
      <w:r>
        <w:rPr>
          <w:b w:val="0"/>
        </w:rPr>
        <w:t xml:space="preserve"> </w:t>
      </w:r>
      <w:r w:rsidRPr="0084343F">
        <w:rPr>
          <w:b w:val="0"/>
          <w:color w:val="000000"/>
          <w:w w:val="54"/>
          <w:shd w:val="solid" w:color="000000" w:fill="000000"/>
          <w:fitText w:val="8240" w:id="-1459881972"/>
          <w14:textFill>
            <w14:solidFill>
              <w14:srgbClr w14:val="000000">
                <w14:alpha w14:val="100000"/>
              </w14:srgbClr>
            </w14:solidFill>
          </w14:textFill>
        </w:rPr>
        <w:t>|||||||||||||||||||||||||||||||||||||||||||||||||||||||||||||||||||||||||||||||||||||||||||||||||||||||||||||||||||||||||||||||||||||||</w:t>
      </w:r>
      <w:r w:rsidRPr="0084343F">
        <w:rPr>
          <w:b w:val="0"/>
          <w:color w:val="000000"/>
          <w:spacing w:val="127"/>
          <w:w w:val="54"/>
          <w:shd w:val="solid" w:color="000000" w:fill="000000"/>
          <w:fitText w:val="8240" w:id="-1459881972"/>
          <w14:textFill>
            <w14:solidFill>
              <w14:srgbClr w14:val="000000">
                <w14:alpha w14:val="100000"/>
              </w14:srgbClr>
            </w14:solidFill>
          </w14:textFill>
        </w:rPr>
        <w:t>|</w:t>
      </w:r>
      <w:r>
        <w:rPr>
          <w:b w:val="0"/>
        </w:rPr>
        <w:t xml:space="preserve"> </w:t>
      </w:r>
      <w:r w:rsidRPr="0084343F">
        <w:rPr>
          <w:b w:val="0"/>
          <w:color w:val="000000"/>
          <w:w w:val="55"/>
          <w:shd w:val="solid" w:color="000000" w:fill="000000"/>
          <w:fitText w:val="4909" w:id="-1459881971"/>
          <w14:textFill>
            <w14:solidFill>
              <w14:srgbClr w14:val="000000">
                <w14:alpha w14:val="100000"/>
              </w14:srgbClr>
            </w14:solidFill>
          </w14:textFill>
        </w:rPr>
        <w:t>|||||||||||||||||||||||||||||||||||||||||||||||||||||||||||||||||||||||||||||||</w:t>
      </w:r>
      <w:r w:rsidRPr="0084343F">
        <w:rPr>
          <w:b w:val="0"/>
          <w:color w:val="000000"/>
          <w:spacing w:val="52"/>
          <w:w w:val="55"/>
          <w:shd w:val="solid" w:color="000000" w:fill="000000"/>
          <w:fitText w:val="4909" w:id="-1459881971"/>
          <w14:textFill>
            <w14:solidFill>
              <w14:srgbClr w14:val="000000">
                <w14:alpha w14:val="100000"/>
              </w14:srgbClr>
            </w14:solidFill>
          </w14:textFill>
        </w:rPr>
        <w:t>|</w:t>
      </w:r>
      <w:r>
        <w:rPr>
          <w:b w:val="0"/>
        </w:rPr>
        <w:t xml:space="preserve"> </w:t>
      </w:r>
    </w:p>
    <w:p w14:paraId="5D4FC3AF" w14:textId="0D51D32A" w:rsidR="0084343F" w:rsidRDefault="0084343F" w:rsidP="00017E14">
      <w:pPr>
        <w:pStyle w:val="Tabletitle"/>
        <w:rPr>
          <w:b w:val="0"/>
        </w:rPr>
      </w:pPr>
      <w:r w:rsidRPr="0084343F">
        <w:rPr>
          <w:b w:val="0"/>
          <w:color w:val="000000"/>
          <w:w w:val="55"/>
          <w:shd w:val="solid" w:color="000000" w:fill="000000"/>
          <w:fitText w:val="8152" w:id="-1459881970"/>
          <w14:textFill>
            <w14:solidFill>
              <w14:srgbClr w14:val="000000">
                <w14:alpha w14:val="100000"/>
              </w14:srgbClr>
            </w14:solidFill>
          </w14:textFill>
        </w:rPr>
        <w:lastRenderedPageBreak/>
        <w:t>|||||||||||||||||||||||||||||||||||||||||||||||||||||||||||||||||||||||||||||||||||||||||||||||||||||||||||||||||||||||||||||||||||||</w:t>
      </w:r>
      <w:r w:rsidRPr="0084343F">
        <w:rPr>
          <w:b w:val="0"/>
          <w:color w:val="000000"/>
          <w:spacing w:val="17"/>
          <w:w w:val="55"/>
          <w:shd w:val="solid" w:color="000000" w:fill="000000"/>
          <w:fitText w:val="8152" w:id="-1459881970"/>
          <w14:textFill>
            <w14:solidFill>
              <w14:srgbClr w14:val="000000">
                <w14:alpha w14:val="100000"/>
              </w14:srgbClr>
            </w14:solidFill>
          </w14:textFill>
        </w:rPr>
        <w:t>|</w:t>
      </w:r>
      <w:r>
        <w:rPr>
          <w:b w:val="0"/>
        </w:rPr>
        <w:t xml:space="preserve"> </w:t>
      </w:r>
      <w:r w:rsidRPr="0084343F">
        <w:rPr>
          <w:b w:val="0"/>
          <w:color w:val="000000"/>
          <w:w w:val="75"/>
          <w:shd w:val="solid" w:color="000000" w:fill="000000"/>
          <w:fitText w:val="501" w:id="-1459881969"/>
          <w14:textFill>
            <w14:solidFill>
              <w14:srgbClr w14:val="000000">
                <w14:alpha w14:val="100000"/>
              </w14:srgbClr>
            </w14:solidFill>
          </w14:textFill>
        </w:rPr>
        <w:t>|||||</w:t>
      </w:r>
      <w:r w:rsidRPr="0084343F">
        <w:rPr>
          <w:b w:val="0"/>
          <w:color w:val="000000"/>
          <w:spacing w:val="3"/>
          <w:w w:val="75"/>
          <w:shd w:val="solid" w:color="000000" w:fill="000000"/>
          <w:fitText w:val="501" w:id="-1459881969"/>
          <w14:textFill>
            <w14:solidFill>
              <w14:srgbClr w14:val="000000">
                <w14:alpha w14:val="100000"/>
              </w14:srgbClr>
            </w14:solidFill>
          </w14:textFill>
        </w:rPr>
        <w:t>|</w:t>
      </w:r>
      <w:r>
        <w:rPr>
          <w:b w:val="0"/>
        </w:rPr>
        <w:t xml:space="preserve"> </w:t>
      </w:r>
      <w:r w:rsidRPr="0084343F">
        <w:rPr>
          <w:b w:val="0"/>
          <w:color w:val="000000"/>
          <w:w w:val="54"/>
          <w:shd w:val="solid" w:color="000000" w:fill="000000"/>
          <w:fitText w:val="8703" w:id="-1459881968"/>
          <w14:textFill>
            <w14:solidFill>
              <w14:srgbClr w14:val="000000">
                <w14:alpha w14:val="100000"/>
              </w14:srgbClr>
            </w14:solidFill>
          </w14:textFill>
        </w:rPr>
        <w:t>|||||||||||||||||||||||||||||||||||||||||||||||||||||||||||||||||||||||||||||||||||||||||||||||||||||||||||||||||||||||||||||||||||||||||||||||</w:t>
      </w:r>
      <w:r w:rsidRPr="0084343F">
        <w:rPr>
          <w:b w:val="0"/>
          <w:color w:val="000000"/>
          <w:spacing w:val="113"/>
          <w:w w:val="54"/>
          <w:shd w:val="solid" w:color="000000" w:fill="000000"/>
          <w:fitText w:val="8703" w:id="-1459881968"/>
          <w14:textFill>
            <w14:solidFill>
              <w14:srgbClr w14:val="000000">
                <w14:alpha w14:val="100000"/>
              </w14:srgbClr>
            </w14:solidFill>
          </w14:textFill>
        </w:rPr>
        <w:t>|</w:t>
      </w:r>
      <w:r>
        <w:rPr>
          <w:b w:val="0"/>
        </w:rPr>
        <w:t xml:space="preserve"> </w:t>
      </w:r>
      <w:r w:rsidRPr="0084343F">
        <w:rPr>
          <w:b w:val="0"/>
          <w:color w:val="000000"/>
          <w:w w:val="55"/>
          <w:shd w:val="solid" w:color="000000" w:fill="000000"/>
          <w:fitText w:val="8539" w:id="-1459881984"/>
          <w14:textFill>
            <w14:solidFill>
              <w14:srgbClr w14:val="000000">
                <w14:alpha w14:val="100000"/>
              </w14:srgbClr>
            </w14:solidFill>
          </w14:textFill>
        </w:rPr>
        <w:t>|||||||||||||||||||||||||||||||||||||||||||||||||||||||||||||||||||||||||||||||||||||||||||||||||||||||||||||||||||||||||||||||||||||||||||</w:t>
      </w:r>
      <w:r w:rsidRPr="0084343F">
        <w:rPr>
          <w:b w:val="0"/>
          <w:color w:val="000000"/>
          <w:spacing w:val="40"/>
          <w:w w:val="55"/>
          <w:shd w:val="solid" w:color="000000" w:fill="000000"/>
          <w:fitText w:val="8539" w:id="-1459881984"/>
          <w14:textFill>
            <w14:solidFill>
              <w14:srgbClr w14:val="000000">
                <w14:alpha w14:val="100000"/>
              </w14:srgbClr>
            </w14:solidFill>
          </w14:textFill>
        </w:rPr>
        <w:t>|</w:t>
      </w:r>
      <w:r>
        <w:rPr>
          <w:b w:val="0"/>
        </w:rPr>
        <w:t xml:space="preserve"> </w:t>
      </w:r>
      <w:r w:rsidRPr="0084343F">
        <w:rPr>
          <w:b w:val="0"/>
          <w:color w:val="000000"/>
          <w:w w:val="55"/>
          <w:shd w:val="solid" w:color="000000" w:fill="000000"/>
          <w:fitText w:val="5047" w:id="-1459881983"/>
          <w14:textFill>
            <w14:solidFill>
              <w14:srgbClr w14:val="000000">
                <w14:alpha w14:val="100000"/>
              </w14:srgbClr>
            </w14:solidFill>
          </w14:textFill>
        </w:rPr>
        <w:t>|||||||||||||||||||||||||||||||||||||||||||||||||||||||||||||||||||||||||||||||||</w:t>
      </w:r>
      <w:r w:rsidRPr="0084343F">
        <w:rPr>
          <w:b w:val="0"/>
          <w:color w:val="000000"/>
          <w:spacing w:val="69"/>
          <w:w w:val="55"/>
          <w:shd w:val="solid" w:color="000000" w:fill="000000"/>
          <w:fitText w:val="5047" w:id="-1459881983"/>
          <w14:textFill>
            <w14:solidFill>
              <w14:srgbClr w14:val="000000">
                <w14:alpha w14:val="100000"/>
              </w14:srgbClr>
            </w14:solidFill>
          </w14:textFill>
        </w:rPr>
        <w:t>|</w:t>
      </w:r>
      <w:r>
        <w:rPr>
          <w:b w:val="0"/>
        </w:rPr>
        <w:t xml:space="preserve"> </w:t>
      </w:r>
    </w:p>
    <w:p w14:paraId="7FC0A8CD" w14:textId="34284208" w:rsidR="0084343F" w:rsidRDefault="0084343F" w:rsidP="00017E14">
      <w:pPr>
        <w:pStyle w:val="Tabletitle"/>
        <w:rPr>
          <w:b w:val="0"/>
        </w:rPr>
      </w:pPr>
      <w:r w:rsidRPr="0084343F">
        <w:rPr>
          <w:b w:val="0"/>
          <w:color w:val="000000"/>
          <w:w w:val="55"/>
          <w:shd w:val="solid" w:color="000000" w:fill="000000"/>
          <w:fitText w:val="8815" w:id="-1459881982"/>
          <w14:textFill>
            <w14:solidFill>
              <w14:srgbClr w14:val="000000">
                <w14:alpha w14:val="100000"/>
              </w14:srgbClr>
            </w14:solidFill>
          </w14:textFill>
        </w:rPr>
        <w:t>|||||||||||||||||||||||||||||||||||||||||||||||||||||||||||||||||||||||||||||||||||||||||||||||||||||||||||||||||||||||||||||||||||||||||||||||</w:t>
      </w:r>
      <w:r w:rsidRPr="0084343F">
        <w:rPr>
          <w:b w:val="0"/>
          <w:color w:val="000000"/>
          <w:spacing w:val="73"/>
          <w:w w:val="55"/>
          <w:shd w:val="solid" w:color="000000" w:fill="000000"/>
          <w:fitText w:val="8815" w:id="-1459881982"/>
          <w14:textFill>
            <w14:solidFill>
              <w14:srgbClr w14:val="000000">
                <w14:alpha w14:val="100000"/>
              </w14:srgbClr>
            </w14:solidFill>
          </w14:textFill>
        </w:rPr>
        <w:t>|</w:t>
      </w:r>
      <w:r>
        <w:rPr>
          <w:b w:val="0"/>
        </w:rPr>
        <w:t xml:space="preserve"> </w:t>
      </w:r>
      <w:r w:rsidRPr="0084343F">
        <w:rPr>
          <w:b w:val="0"/>
          <w:color w:val="000000"/>
          <w:w w:val="54"/>
          <w:shd w:val="solid" w:color="000000" w:fill="000000"/>
          <w:fitText w:val="8602" w:id="-1459881981"/>
          <w14:textFill>
            <w14:solidFill>
              <w14:srgbClr w14:val="000000">
                <w14:alpha w14:val="100000"/>
              </w14:srgbClr>
            </w14:solidFill>
          </w14:textFill>
        </w:rPr>
        <w:t>|||||||||||||||||||||||||||||||||||||||||||||||||||||||||||||||||||||||||||||||||||||||||||||||||||||||||||||||||||||||||||||||||||||||||||||</w:t>
      </w:r>
      <w:r w:rsidRPr="0084343F">
        <w:rPr>
          <w:b w:val="0"/>
          <w:color w:val="000000"/>
          <w:spacing w:val="131"/>
          <w:w w:val="54"/>
          <w:shd w:val="solid" w:color="000000" w:fill="000000"/>
          <w:fitText w:val="8602" w:id="-1459881981"/>
          <w14:textFill>
            <w14:solidFill>
              <w14:srgbClr w14:val="000000">
                <w14:alpha w14:val="100000"/>
              </w14:srgbClr>
            </w14:solidFill>
          </w14:textFill>
        </w:rPr>
        <w:t>|</w:t>
      </w:r>
      <w:r>
        <w:rPr>
          <w:b w:val="0"/>
        </w:rPr>
        <w:t xml:space="preserve"> </w:t>
      </w:r>
      <w:r w:rsidRPr="0084343F">
        <w:rPr>
          <w:rFonts w:hint="eastAsia"/>
          <w:b w:val="0"/>
          <w:color w:val="000000"/>
          <w:w w:val="21"/>
          <w:shd w:val="solid" w:color="000000" w:fill="000000"/>
          <w:fitText w:val="126" w:id="-1459881980"/>
          <w14:textFill>
            <w14:solidFill>
              <w14:srgbClr w14:val="000000">
                <w14:alpha w14:val="100000"/>
              </w14:srgbClr>
            </w14:solidFill>
          </w14:textFill>
        </w:rPr>
        <w:t xml:space="preserve">　</w:t>
      </w:r>
      <w:r w:rsidRPr="0084343F">
        <w:rPr>
          <w:b w:val="0"/>
          <w:color w:val="000000"/>
          <w:w w:val="21"/>
          <w:shd w:val="solid" w:color="000000" w:fill="000000"/>
          <w:fitText w:val="126" w:id="-1459881980"/>
          <w14:textFill>
            <w14:solidFill>
              <w14:srgbClr w14:val="000000">
                <w14:alpha w14:val="100000"/>
              </w14:srgbClr>
            </w14:solidFill>
          </w14:textFill>
        </w:rPr>
        <w:t>|</w:t>
      </w:r>
      <w:r w:rsidRPr="0084343F">
        <w:rPr>
          <w:rFonts w:hint="eastAsia"/>
          <w:b w:val="0"/>
          <w:color w:val="000000"/>
          <w:spacing w:val="5"/>
          <w:w w:val="21"/>
          <w:shd w:val="solid" w:color="000000" w:fill="000000"/>
          <w:fitText w:val="126" w:id="-1459881980"/>
          <w14:textFill>
            <w14:solidFill>
              <w14:srgbClr w14:val="000000">
                <w14:alpha w14:val="100000"/>
              </w14:srgbClr>
            </w14:solidFill>
          </w14:textFill>
        </w:rPr>
        <w:t xml:space="preserve">　</w:t>
      </w:r>
      <w:r>
        <w:rPr>
          <w:b w:val="0"/>
        </w:rPr>
        <w:t xml:space="preserve"> </w:t>
      </w:r>
      <w:r w:rsidRPr="0084343F">
        <w:rPr>
          <w:b w:val="0"/>
          <w:color w:val="000000"/>
          <w:w w:val="62"/>
          <w:shd w:val="solid" w:color="000000" w:fill="000000"/>
          <w:fitText w:val="965" w:id="-1459881979"/>
          <w14:textFill>
            <w14:solidFill>
              <w14:srgbClr w14:val="000000">
                <w14:alpha w14:val="100000"/>
              </w14:srgbClr>
            </w14:solidFill>
          </w14:textFill>
        </w:rPr>
        <w:t>|||||||||||||</w:t>
      </w:r>
      <w:r w:rsidRPr="0084343F">
        <w:rPr>
          <w:b w:val="0"/>
          <w:color w:val="000000"/>
          <w:spacing w:val="6"/>
          <w:w w:val="62"/>
          <w:shd w:val="solid" w:color="000000" w:fill="000000"/>
          <w:fitText w:val="965" w:id="-1459881979"/>
          <w14:textFill>
            <w14:solidFill>
              <w14:srgbClr w14:val="000000">
                <w14:alpha w14:val="100000"/>
              </w14:srgbClr>
            </w14:solidFill>
          </w14:textFill>
        </w:rPr>
        <w:t>|</w:t>
      </w:r>
      <w:r>
        <w:rPr>
          <w:b w:val="0"/>
        </w:rPr>
        <w:t xml:space="preserve"> </w:t>
      </w:r>
    </w:p>
    <w:p w14:paraId="758999D9" w14:textId="42290B77" w:rsidR="0084343F" w:rsidRDefault="0084343F" w:rsidP="00017E14">
      <w:pPr>
        <w:pStyle w:val="Tabletitle"/>
        <w:rPr>
          <w:b w:val="0"/>
        </w:rPr>
      </w:pPr>
      <w:r w:rsidRPr="0084343F">
        <w:rPr>
          <w:b w:val="0"/>
          <w:color w:val="000000"/>
          <w:w w:val="54"/>
          <w:shd w:val="solid" w:color="000000" w:fill="000000"/>
          <w:fitText w:val="8828" w:id="-1459881978"/>
          <w14:textFill>
            <w14:solidFill>
              <w14:srgbClr w14:val="000000">
                <w14:alpha w14:val="100000"/>
              </w14:srgbClr>
            </w14:solidFill>
          </w14:textFill>
        </w:rPr>
        <w:t>|||||||||||||||||||||||||||||||||||||||||||||||||||||||||||||||||||||||||||||||||||||||||||||||||||||||||||||||||||||||||||||||||||||||||||||||||</w:t>
      </w:r>
      <w:r w:rsidRPr="0084343F">
        <w:rPr>
          <w:b w:val="0"/>
          <w:color w:val="000000"/>
          <w:spacing w:val="119"/>
          <w:w w:val="54"/>
          <w:shd w:val="solid" w:color="000000" w:fill="000000"/>
          <w:fitText w:val="8828" w:id="-1459881978"/>
          <w14:textFill>
            <w14:solidFill>
              <w14:srgbClr w14:val="000000">
                <w14:alpha w14:val="100000"/>
              </w14:srgbClr>
            </w14:solidFill>
          </w14:textFill>
        </w:rPr>
        <w:t>|</w:t>
      </w:r>
      <w:r>
        <w:rPr>
          <w:b w:val="0"/>
        </w:rPr>
        <w:t xml:space="preserve"> </w:t>
      </w:r>
      <w:r w:rsidRPr="0084343F">
        <w:rPr>
          <w:b w:val="0"/>
          <w:color w:val="000000"/>
          <w:w w:val="54"/>
          <w:shd w:val="solid" w:color="000000" w:fill="000000"/>
          <w:fitText w:val="8741" w:id="-1459881977"/>
          <w14:textFill>
            <w14:solidFill>
              <w14:srgbClr w14:val="000000">
                <w14:alpha w14:val="100000"/>
              </w14:srgbClr>
            </w14:solidFill>
          </w14:textFill>
        </w:rPr>
        <w:t>|||||||||||||||||||||||||||||||||||||||||||||||||||||||||||||||||||||||||||||||||||||||||||||||||||||||||||||||||||||||||||||||||||||||||||||||</w:t>
      </w:r>
      <w:r w:rsidRPr="0084343F">
        <w:rPr>
          <w:b w:val="0"/>
          <w:color w:val="000000"/>
          <w:spacing w:val="151"/>
          <w:w w:val="54"/>
          <w:shd w:val="solid" w:color="000000" w:fill="000000"/>
          <w:fitText w:val="8741" w:id="-1459881977"/>
          <w14:textFill>
            <w14:solidFill>
              <w14:srgbClr w14:val="000000">
                <w14:alpha w14:val="100000"/>
              </w14:srgbClr>
            </w14:solidFill>
          </w14:textFill>
        </w:rPr>
        <w:t>|</w:t>
      </w:r>
      <w:r>
        <w:rPr>
          <w:b w:val="0"/>
        </w:rPr>
        <w:t xml:space="preserve"> </w:t>
      </w:r>
      <w:r w:rsidRPr="0084343F">
        <w:rPr>
          <w:b w:val="0"/>
          <w:color w:val="000000"/>
          <w:w w:val="55"/>
          <w:shd w:val="solid" w:color="000000" w:fill="000000"/>
          <w:fitText w:val="3694" w:id="-1459881976"/>
          <w14:textFill>
            <w14:solidFill>
              <w14:srgbClr w14:val="000000">
                <w14:alpha w14:val="100000"/>
              </w14:srgbClr>
            </w14:solidFill>
          </w14:textFill>
        </w:rPr>
        <w:t>|||||||||||||||||||||||||||||||||||||||||||||||||||||||||||</w:t>
      </w:r>
      <w:r w:rsidRPr="0084343F">
        <w:rPr>
          <w:b w:val="0"/>
          <w:color w:val="000000"/>
          <w:spacing w:val="51"/>
          <w:w w:val="55"/>
          <w:shd w:val="solid" w:color="000000" w:fill="000000"/>
          <w:fitText w:val="3694" w:id="-1459881976"/>
          <w14:textFill>
            <w14:solidFill>
              <w14:srgbClr w14:val="000000">
                <w14:alpha w14:val="100000"/>
              </w14:srgbClr>
            </w14:solidFill>
          </w14:textFill>
        </w:rPr>
        <w:t>|</w:t>
      </w:r>
    </w:p>
    <w:p w14:paraId="1B51132D" w14:textId="0F7CFC0E" w:rsidR="0084343F" w:rsidRDefault="0084343F" w:rsidP="00017E14">
      <w:pPr>
        <w:pStyle w:val="Tabletitle"/>
        <w:rPr>
          <w:b w:val="0"/>
        </w:rPr>
      </w:pPr>
      <w:r w:rsidRPr="0084343F">
        <w:rPr>
          <w:b w:val="0"/>
          <w:color w:val="000000"/>
          <w:w w:val="54"/>
          <w:shd w:val="solid" w:color="000000" w:fill="000000"/>
          <w:fitText w:val="8740" w:id="-1459881975"/>
          <w14:textFill>
            <w14:solidFill>
              <w14:srgbClr w14:val="000000">
                <w14:alpha w14:val="100000"/>
              </w14:srgbClr>
            </w14:solidFill>
          </w14:textFill>
        </w:rPr>
        <w:t>|||||||||||||||||||||||||||||||||||||||||||||||||||||||||||||||||||||||||||||||||||||||||||||||||||||||||||||||||||||||||||||||||||||||||||||||</w:t>
      </w:r>
      <w:r w:rsidRPr="0084343F">
        <w:rPr>
          <w:b w:val="0"/>
          <w:color w:val="000000"/>
          <w:spacing w:val="150"/>
          <w:w w:val="54"/>
          <w:shd w:val="solid" w:color="000000" w:fill="000000"/>
          <w:fitText w:val="8740" w:id="-1459881975"/>
          <w14:textFill>
            <w14:solidFill>
              <w14:srgbClr w14:val="000000">
                <w14:alpha w14:val="100000"/>
              </w14:srgbClr>
            </w14:solidFill>
          </w14:textFill>
        </w:rPr>
        <w:t>|</w:t>
      </w:r>
      <w:r>
        <w:rPr>
          <w:b w:val="0"/>
        </w:rPr>
        <w:t xml:space="preserve"> </w:t>
      </w:r>
      <w:r w:rsidRPr="0084343F">
        <w:rPr>
          <w:b w:val="0"/>
          <w:color w:val="000000"/>
          <w:w w:val="55"/>
          <w:shd w:val="solid" w:color="000000" w:fill="000000"/>
          <w:fitText w:val="8515" w:id="-1459881974"/>
          <w14:textFill>
            <w14:solidFill>
              <w14:srgbClr w14:val="000000">
                <w14:alpha w14:val="100000"/>
              </w14:srgbClr>
            </w14:solidFill>
          </w14:textFill>
        </w:rPr>
        <w:t>|||||||||||||||||||||||||||||||||||||||||||||||||||||||||||||||||||||||||||||||||||||||||||||||||||||||||||||||||||||||||||||||||||||||||||</w:t>
      </w:r>
      <w:r w:rsidRPr="0084343F">
        <w:rPr>
          <w:b w:val="0"/>
          <w:color w:val="000000"/>
          <w:spacing w:val="16"/>
          <w:w w:val="55"/>
          <w:shd w:val="solid" w:color="000000" w:fill="000000"/>
          <w:fitText w:val="8515" w:id="-1459881974"/>
          <w14:textFill>
            <w14:solidFill>
              <w14:srgbClr w14:val="000000">
                <w14:alpha w14:val="100000"/>
              </w14:srgbClr>
            </w14:solidFill>
          </w14:textFill>
        </w:rPr>
        <w:t>|</w:t>
      </w:r>
      <w:r>
        <w:rPr>
          <w:b w:val="0"/>
        </w:rPr>
        <w:t xml:space="preserve"> </w:t>
      </w:r>
      <w:r w:rsidRPr="0084343F">
        <w:rPr>
          <w:b w:val="0"/>
          <w:color w:val="000000"/>
          <w:w w:val="55"/>
          <w:shd w:val="solid" w:color="000000" w:fill="000000"/>
          <w:fitText w:val="5359" w:id="-1459881973"/>
          <w14:textFill>
            <w14:solidFill>
              <w14:srgbClr w14:val="000000">
                <w14:alpha w14:val="100000"/>
              </w14:srgbClr>
            </w14:solidFill>
          </w14:textFill>
        </w:rPr>
        <w:t>|||||||||||||||||||||||||||||||||||||||||||||||||||||||||||||||||||||||||||||||||||||||</w:t>
      </w:r>
      <w:r w:rsidRPr="0084343F">
        <w:rPr>
          <w:b w:val="0"/>
          <w:color w:val="000000"/>
          <w:spacing w:val="17"/>
          <w:w w:val="55"/>
          <w:shd w:val="solid" w:color="000000" w:fill="000000"/>
          <w:fitText w:val="5359" w:id="-1459881973"/>
          <w14:textFill>
            <w14:solidFill>
              <w14:srgbClr w14:val="000000">
                <w14:alpha w14:val="100000"/>
              </w14:srgbClr>
            </w14:solidFill>
          </w14:textFill>
        </w:rPr>
        <w:t>|</w:t>
      </w:r>
      <w:r>
        <w:rPr>
          <w:b w:val="0"/>
        </w:rPr>
        <w:t xml:space="preserve"> </w:t>
      </w:r>
    </w:p>
    <w:p w14:paraId="2BF1F850" w14:textId="26D99837" w:rsidR="0084343F" w:rsidRDefault="0084343F" w:rsidP="00017E14">
      <w:pPr>
        <w:pStyle w:val="Tabletitle"/>
        <w:rPr>
          <w:b w:val="0"/>
        </w:rPr>
      </w:pPr>
      <w:r w:rsidRPr="0084343F">
        <w:rPr>
          <w:b w:val="0"/>
          <w:color w:val="000000"/>
          <w:w w:val="55"/>
          <w:shd w:val="solid" w:color="000000" w:fill="000000"/>
          <w:fitText w:val="8440" w:id="-1459881972"/>
          <w14:textFill>
            <w14:solidFill>
              <w14:srgbClr w14:val="000000">
                <w14:alpha w14:val="100000"/>
              </w14:srgbClr>
            </w14:solidFill>
          </w14:textFill>
        </w:rPr>
        <w:t>|||||||||||||||||||||||||||||||||||||||||||||||||||||||||||||||||||||||||||||||||||||||||||||||||||||||||||||||||||||||||||||||||||||||||</w:t>
      </w:r>
      <w:r w:rsidRPr="0084343F">
        <w:rPr>
          <w:b w:val="0"/>
          <w:color w:val="000000"/>
          <w:spacing w:val="62"/>
          <w:w w:val="55"/>
          <w:shd w:val="solid" w:color="000000" w:fill="000000"/>
          <w:fitText w:val="8440" w:id="-1459881972"/>
          <w14:textFill>
            <w14:solidFill>
              <w14:srgbClr w14:val="000000">
                <w14:alpha w14:val="100000"/>
              </w14:srgbClr>
            </w14:solidFill>
          </w14:textFill>
        </w:rPr>
        <w:t>|</w:t>
      </w:r>
      <w:r>
        <w:rPr>
          <w:b w:val="0"/>
        </w:rPr>
        <w:t xml:space="preserve"> </w:t>
      </w:r>
      <w:r w:rsidRPr="0084343F">
        <w:rPr>
          <w:b w:val="0"/>
          <w:color w:val="000000"/>
          <w:w w:val="55"/>
          <w:shd w:val="solid" w:color="000000" w:fill="000000"/>
          <w:fitText w:val="8553" w:id="-1459881971"/>
          <w14:textFill>
            <w14:solidFill>
              <w14:srgbClr w14:val="000000">
                <w14:alpha w14:val="100000"/>
              </w14:srgbClr>
            </w14:solidFill>
          </w14:textFill>
        </w:rPr>
        <w:t>|||||||||||||||||||||||||||||||||||||||||||||||||||||||||||||||||||||||||||||||||||||||||||||||||||||||||||||||||||||||||||||||||||||||||||</w:t>
      </w:r>
      <w:r w:rsidRPr="0084343F">
        <w:rPr>
          <w:b w:val="0"/>
          <w:color w:val="000000"/>
          <w:spacing w:val="54"/>
          <w:w w:val="55"/>
          <w:shd w:val="solid" w:color="000000" w:fill="000000"/>
          <w:fitText w:val="8553" w:id="-1459881971"/>
          <w14:textFill>
            <w14:solidFill>
              <w14:srgbClr w14:val="000000">
                <w14:alpha w14:val="100000"/>
              </w14:srgbClr>
            </w14:solidFill>
          </w14:textFill>
        </w:rPr>
        <w:t>|</w:t>
      </w:r>
      <w:r>
        <w:rPr>
          <w:b w:val="0"/>
        </w:rPr>
        <w:t xml:space="preserve"> </w:t>
      </w:r>
      <w:r w:rsidRPr="0084343F">
        <w:rPr>
          <w:b w:val="0"/>
          <w:color w:val="000000"/>
          <w:w w:val="54"/>
          <w:shd w:val="solid" w:color="000000" w:fill="000000"/>
          <w:fitText w:val="8828" w:id="-1459881970"/>
          <w14:textFill>
            <w14:solidFill>
              <w14:srgbClr w14:val="000000">
                <w14:alpha w14:val="100000"/>
              </w14:srgbClr>
            </w14:solidFill>
          </w14:textFill>
        </w:rPr>
        <w:t>|||||||||||||||||||||||||||||||||||||||||||||||||||||||||||||||||||||||||||||||||||||||||||||||||||||||||||||||||||||||||||||||||||||||||||||||||</w:t>
      </w:r>
      <w:r w:rsidRPr="0084343F">
        <w:rPr>
          <w:b w:val="0"/>
          <w:color w:val="000000"/>
          <w:spacing w:val="119"/>
          <w:w w:val="54"/>
          <w:shd w:val="solid" w:color="000000" w:fill="000000"/>
          <w:fitText w:val="8828" w:id="-1459881970"/>
          <w14:textFill>
            <w14:solidFill>
              <w14:srgbClr w14:val="000000">
                <w14:alpha w14:val="100000"/>
              </w14:srgbClr>
            </w14:solidFill>
          </w14:textFill>
        </w:rPr>
        <w:t>|</w:t>
      </w:r>
      <w:r>
        <w:rPr>
          <w:b w:val="0"/>
        </w:rPr>
        <w:t xml:space="preserve"> </w:t>
      </w:r>
      <w:r w:rsidRPr="0084343F">
        <w:rPr>
          <w:b w:val="0"/>
          <w:color w:val="000000"/>
          <w:w w:val="55"/>
          <w:shd w:val="solid" w:color="000000" w:fill="000000"/>
          <w:fitText w:val="8189" w:id="-1459881969"/>
          <w14:textFill>
            <w14:solidFill>
              <w14:srgbClr w14:val="000000">
                <w14:alpha w14:val="100000"/>
              </w14:srgbClr>
            </w14:solidFill>
          </w14:textFill>
        </w:rPr>
        <w:t>|||||||||||||||||||||||||||||||||||||||||||||||||||||||||||||||||||||||||||||||||||||||||||||||||||||||||||||||||||||||||||||||||||||</w:t>
      </w:r>
      <w:r w:rsidRPr="0084343F">
        <w:rPr>
          <w:b w:val="0"/>
          <w:color w:val="000000"/>
          <w:spacing w:val="54"/>
          <w:w w:val="55"/>
          <w:shd w:val="solid" w:color="000000" w:fill="000000"/>
          <w:fitText w:val="8189" w:id="-1459881969"/>
          <w14:textFill>
            <w14:solidFill>
              <w14:srgbClr w14:val="000000">
                <w14:alpha w14:val="100000"/>
              </w14:srgbClr>
            </w14:solidFill>
          </w14:textFill>
        </w:rPr>
        <w:t>|</w:t>
      </w:r>
      <w:r>
        <w:rPr>
          <w:b w:val="0"/>
        </w:rPr>
        <w:t xml:space="preserve"> </w:t>
      </w:r>
      <w:r w:rsidRPr="0084343F">
        <w:rPr>
          <w:b w:val="0"/>
          <w:color w:val="000000"/>
          <w:w w:val="55"/>
          <w:shd w:val="solid" w:color="000000" w:fill="000000"/>
          <w:fitText w:val="8528" w:id="-1459881968"/>
          <w14:textFill>
            <w14:solidFill>
              <w14:srgbClr w14:val="000000">
                <w14:alpha w14:val="100000"/>
              </w14:srgbClr>
            </w14:solidFill>
          </w14:textFill>
        </w:rPr>
        <w:t>|||||||||||||||||||||||||||||||||||||||||||||||||||||||||||||||||||||||||||||||||||||||||||||||||||||||||||||||||||||||||||||||||||||||||||</w:t>
      </w:r>
      <w:r w:rsidRPr="0084343F">
        <w:rPr>
          <w:b w:val="0"/>
          <w:color w:val="000000"/>
          <w:spacing w:val="29"/>
          <w:w w:val="55"/>
          <w:shd w:val="solid" w:color="000000" w:fill="000000"/>
          <w:fitText w:val="8528" w:id="-1459881968"/>
          <w14:textFill>
            <w14:solidFill>
              <w14:srgbClr w14:val="000000">
                <w14:alpha w14:val="100000"/>
              </w14:srgbClr>
            </w14:solidFill>
          </w14:textFill>
        </w:rPr>
        <w:t>|</w:t>
      </w:r>
      <w:r>
        <w:rPr>
          <w:b w:val="0"/>
        </w:rPr>
        <w:t xml:space="preserve"> </w:t>
      </w:r>
      <w:r w:rsidRPr="0084343F">
        <w:rPr>
          <w:b w:val="0"/>
          <w:color w:val="000000"/>
          <w:w w:val="90"/>
          <w:shd w:val="solid" w:color="000000" w:fill="000000"/>
          <w:fitText w:val="200" w:id="-1459881984"/>
          <w14:textFill>
            <w14:solidFill>
              <w14:srgbClr w14:val="000000">
                <w14:alpha w14:val="100000"/>
              </w14:srgbClr>
            </w14:solidFill>
          </w14:textFill>
        </w:rPr>
        <w:t>|</w:t>
      </w:r>
      <w:r w:rsidRPr="0084343F">
        <w:rPr>
          <w:b w:val="0"/>
          <w:color w:val="000000"/>
          <w:spacing w:val="1"/>
          <w:w w:val="90"/>
          <w:shd w:val="solid" w:color="000000" w:fill="000000"/>
          <w:fitText w:val="200" w:id="-1459881984"/>
          <w14:textFill>
            <w14:solidFill>
              <w14:srgbClr w14:val="000000">
                <w14:alpha w14:val="100000"/>
              </w14:srgbClr>
            </w14:solidFill>
          </w14:textFill>
        </w:rPr>
        <w:t>|</w:t>
      </w:r>
      <w:r>
        <w:rPr>
          <w:b w:val="0"/>
        </w:rPr>
        <w:t xml:space="preserve"> </w:t>
      </w:r>
      <w:r w:rsidRPr="0084343F">
        <w:rPr>
          <w:b w:val="0"/>
          <w:color w:val="000000"/>
          <w:w w:val="56"/>
          <w:shd w:val="solid" w:color="000000" w:fill="000000"/>
          <w:fitText w:val="3619" w:id="-1459881983"/>
          <w14:textFill>
            <w14:solidFill>
              <w14:srgbClr w14:val="000000">
                <w14:alpha w14:val="100000"/>
              </w14:srgbClr>
            </w14:solidFill>
          </w14:textFill>
        </w:rPr>
        <w:t>|||||||||||||||||||||||||||||||||||||||||||||||||||||||||</w:t>
      </w:r>
      <w:r w:rsidRPr="0084343F">
        <w:rPr>
          <w:b w:val="0"/>
          <w:color w:val="000000"/>
          <w:spacing w:val="30"/>
          <w:w w:val="56"/>
          <w:shd w:val="solid" w:color="000000" w:fill="000000"/>
          <w:fitText w:val="3619" w:id="-1459881983"/>
          <w14:textFill>
            <w14:solidFill>
              <w14:srgbClr w14:val="000000">
                <w14:alpha w14:val="100000"/>
              </w14:srgbClr>
            </w14:solidFill>
          </w14:textFill>
        </w:rPr>
        <w:t>|</w:t>
      </w:r>
      <w:r>
        <w:rPr>
          <w:b w:val="0"/>
        </w:rPr>
        <w:t xml:space="preserve"> </w:t>
      </w:r>
    </w:p>
    <w:p w14:paraId="1A06C4E0" w14:textId="3D742666" w:rsidR="00017E14" w:rsidRPr="004F057D" w:rsidRDefault="00017E14" w:rsidP="00017E14">
      <w:pPr>
        <w:pStyle w:val="Tabletitle"/>
      </w:pPr>
      <w:r>
        <w:t xml:space="preserve">Table </w:t>
      </w:r>
      <w:r w:rsidR="00B22B81">
        <w:t>11</w:t>
      </w:r>
      <w:r w:rsidRPr="004F057D">
        <w:t>:</w:t>
      </w:r>
      <w:r>
        <w:t xml:space="preserve"> Durvalumab predicted </w:t>
      </w:r>
      <w:r w:rsidR="009523B4">
        <w:t xml:space="preserve">versus actual </w:t>
      </w:r>
      <w:r>
        <w:t xml:space="preserve">utilisation </w:t>
      </w:r>
    </w:p>
    <w:tbl>
      <w:tblPr>
        <w:tblStyle w:val="TableGrid"/>
        <w:tblW w:w="0" w:type="auto"/>
        <w:tblLook w:val="04A0" w:firstRow="1" w:lastRow="0" w:firstColumn="1" w:lastColumn="0" w:noHBand="0" w:noVBand="1"/>
      </w:tblPr>
      <w:tblGrid>
        <w:gridCol w:w="1789"/>
        <w:gridCol w:w="1789"/>
        <w:gridCol w:w="1789"/>
        <w:gridCol w:w="1790"/>
        <w:gridCol w:w="1790"/>
      </w:tblGrid>
      <w:tr w:rsidR="00017E14" w:rsidRPr="0021164E" w14:paraId="58591D18" w14:textId="77777777" w:rsidTr="0072517C">
        <w:tc>
          <w:tcPr>
            <w:tcW w:w="3578" w:type="dxa"/>
            <w:gridSpan w:val="2"/>
            <w:vMerge w:val="restart"/>
            <w:shd w:val="clear" w:color="auto" w:fill="BFBFBF" w:themeFill="background1" w:themeFillShade="BF"/>
          </w:tcPr>
          <w:p w14:paraId="10BB8657" w14:textId="6489DA43" w:rsidR="00017E14" w:rsidRPr="0021164E" w:rsidRDefault="009C0AB8" w:rsidP="0072517C">
            <w:pPr>
              <w:rPr>
                <w:b/>
                <w:sz w:val="20"/>
                <w:szCs w:val="20"/>
              </w:rPr>
            </w:pPr>
            <w:r w:rsidRPr="0021164E">
              <w:rPr>
                <w:b/>
                <w:sz w:val="20"/>
                <w:szCs w:val="20"/>
              </w:rPr>
              <w:t>durvalumab</w:t>
            </w:r>
            <w:r w:rsidR="00017E14" w:rsidRPr="0021164E">
              <w:rPr>
                <w:b/>
                <w:sz w:val="20"/>
                <w:szCs w:val="20"/>
              </w:rPr>
              <w:t xml:space="preserve"> listing years </w:t>
            </w:r>
          </w:p>
        </w:tc>
        <w:tc>
          <w:tcPr>
            <w:tcW w:w="1789" w:type="dxa"/>
            <w:shd w:val="clear" w:color="auto" w:fill="BFBFBF" w:themeFill="background1" w:themeFillShade="BF"/>
          </w:tcPr>
          <w:p w14:paraId="051D7D98" w14:textId="77777777" w:rsidR="00017E14" w:rsidRPr="0021164E" w:rsidRDefault="00017E14" w:rsidP="0072517C">
            <w:pPr>
              <w:jc w:val="center"/>
              <w:rPr>
                <w:b/>
                <w:sz w:val="20"/>
                <w:szCs w:val="20"/>
              </w:rPr>
            </w:pPr>
            <w:r w:rsidRPr="0021164E">
              <w:rPr>
                <w:b/>
                <w:sz w:val="20"/>
                <w:szCs w:val="20"/>
              </w:rPr>
              <w:t>Year 1</w:t>
            </w:r>
          </w:p>
        </w:tc>
        <w:tc>
          <w:tcPr>
            <w:tcW w:w="1790" w:type="dxa"/>
            <w:shd w:val="clear" w:color="auto" w:fill="BFBFBF" w:themeFill="background1" w:themeFillShade="BF"/>
          </w:tcPr>
          <w:p w14:paraId="5767D65B" w14:textId="77777777" w:rsidR="00017E14" w:rsidRPr="0021164E" w:rsidRDefault="00017E14" w:rsidP="0072517C">
            <w:pPr>
              <w:jc w:val="center"/>
              <w:rPr>
                <w:b/>
                <w:sz w:val="20"/>
                <w:szCs w:val="20"/>
              </w:rPr>
            </w:pPr>
            <w:r w:rsidRPr="0021164E">
              <w:rPr>
                <w:b/>
                <w:sz w:val="20"/>
                <w:szCs w:val="20"/>
              </w:rPr>
              <w:t>Year 2</w:t>
            </w:r>
          </w:p>
        </w:tc>
        <w:tc>
          <w:tcPr>
            <w:tcW w:w="1790" w:type="dxa"/>
            <w:shd w:val="clear" w:color="auto" w:fill="BFBFBF" w:themeFill="background1" w:themeFillShade="BF"/>
          </w:tcPr>
          <w:p w14:paraId="45974C5B" w14:textId="77777777" w:rsidR="00017E14" w:rsidRPr="0021164E" w:rsidRDefault="00017E14" w:rsidP="0072517C">
            <w:pPr>
              <w:jc w:val="center"/>
              <w:rPr>
                <w:b/>
                <w:sz w:val="20"/>
                <w:szCs w:val="20"/>
              </w:rPr>
            </w:pPr>
            <w:r w:rsidRPr="0021164E">
              <w:rPr>
                <w:b/>
                <w:sz w:val="20"/>
                <w:szCs w:val="20"/>
              </w:rPr>
              <w:t>Year 3</w:t>
            </w:r>
          </w:p>
        </w:tc>
      </w:tr>
      <w:tr w:rsidR="00017E14" w:rsidRPr="0021164E" w14:paraId="2D19F696" w14:textId="77777777" w:rsidTr="001F4071">
        <w:tc>
          <w:tcPr>
            <w:tcW w:w="3578" w:type="dxa"/>
            <w:gridSpan w:val="2"/>
            <w:vMerge/>
            <w:shd w:val="clear" w:color="auto" w:fill="BFBFBF" w:themeFill="background1" w:themeFillShade="BF"/>
          </w:tcPr>
          <w:p w14:paraId="6DBDF9FB" w14:textId="77777777" w:rsidR="00017E14" w:rsidRPr="0021164E" w:rsidRDefault="00017E14" w:rsidP="0072517C">
            <w:pPr>
              <w:rPr>
                <w:b/>
                <w:sz w:val="20"/>
                <w:szCs w:val="20"/>
              </w:rPr>
            </w:pPr>
          </w:p>
        </w:tc>
        <w:tc>
          <w:tcPr>
            <w:tcW w:w="1789" w:type="dxa"/>
            <w:tcBorders>
              <w:bottom w:val="single" w:sz="4" w:space="0" w:color="auto"/>
            </w:tcBorders>
            <w:shd w:val="clear" w:color="auto" w:fill="BFBFBF" w:themeFill="background1" w:themeFillShade="BF"/>
          </w:tcPr>
          <w:p w14:paraId="2C2C1157" w14:textId="27C05A3F" w:rsidR="00017E14" w:rsidRPr="0021164E" w:rsidRDefault="00017E14" w:rsidP="0072517C">
            <w:pPr>
              <w:jc w:val="center"/>
              <w:rPr>
                <w:b/>
                <w:sz w:val="20"/>
                <w:szCs w:val="20"/>
              </w:rPr>
            </w:pPr>
            <w:r w:rsidRPr="0021164E">
              <w:rPr>
                <w:b/>
                <w:sz w:val="20"/>
                <w:szCs w:val="20"/>
              </w:rPr>
              <w:t>March 2020 – February 2021</w:t>
            </w:r>
          </w:p>
        </w:tc>
        <w:tc>
          <w:tcPr>
            <w:tcW w:w="1790" w:type="dxa"/>
            <w:tcBorders>
              <w:bottom w:val="single" w:sz="4" w:space="0" w:color="auto"/>
            </w:tcBorders>
            <w:shd w:val="clear" w:color="auto" w:fill="BFBFBF" w:themeFill="background1" w:themeFillShade="BF"/>
          </w:tcPr>
          <w:p w14:paraId="31A1F386" w14:textId="5F2DA7A8" w:rsidR="00017E14" w:rsidRPr="0021164E" w:rsidRDefault="00017E14" w:rsidP="0072517C">
            <w:pPr>
              <w:jc w:val="center"/>
              <w:rPr>
                <w:b/>
                <w:sz w:val="20"/>
                <w:szCs w:val="20"/>
              </w:rPr>
            </w:pPr>
            <w:r w:rsidRPr="0021164E">
              <w:rPr>
                <w:b/>
                <w:sz w:val="20"/>
                <w:szCs w:val="20"/>
              </w:rPr>
              <w:t>March 2021 – February 2022</w:t>
            </w:r>
          </w:p>
        </w:tc>
        <w:tc>
          <w:tcPr>
            <w:tcW w:w="1790" w:type="dxa"/>
            <w:tcBorders>
              <w:bottom w:val="single" w:sz="4" w:space="0" w:color="auto"/>
            </w:tcBorders>
            <w:shd w:val="clear" w:color="auto" w:fill="BFBFBF" w:themeFill="background1" w:themeFillShade="BF"/>
          </w:tcPr>
          <w:p w14:paraId="2D082902" w14:textId="72AEB72D" w:rsidR="00017E14" w:rsidRPr="0021164E" w:rsidRDefault="00017E14" w:rsidP="0072517C">
            <w:pPr>
              <w:jc w:val="center"/>
              <w:rPr>
                <w:b/>
                <w:sz w:val="20"/>
                <w:szCs w:val="20"/>
              </w:rPr>
            </w:pPr>
            <w:r w:rsidRPr="0021164E">
              <w:rPr>
                <w:b/>
                <w:sz w:val="20"/>
                <w:szCs w:val="20"/>
              </w:rPr>
              <w:t>March 2022- February 2023</w:t>
            </w:r>
          </w:p>
        </w:tc>
      </w:tr>
      <w:tr w:rsidR="00017E14" w:rsidRPr="0021164E" w14:paraId="2C66CE4F" w14:textId="77777777" w:rsidTr="001F4071">
        <w:tc>
          <w:tcPr>
            <w:tcW w:w="1789" w:type="dxa"/>
            <w:vMerge w:val="restart"/>
          </w:tcPr>
          <w:p w14:paraId="5815AF8F" w14:textId="77777777" w:rsidR="00017E14" w:rsidRPr="0021164E" w:rsidRDefault="00017E14" w:rsidP="0072517C">
            <w:pPr>
              <w:rPr>
                <w:sz w:val="20"/>
                <w:szCs w:val="20"/>
              </w:rPr>
            </w:pPr>
            <w:r w:rsidRPr="0021164E">
              <w:rPr>
                <w:sz w:val="20"/>
                <w:szCs w:val="20"/>
              </w:rPr>
              <w:t xml:space="preserve">Patients </w:t>
            </w:r>
          </w:p>
        </w:tc>
        <w:tc>
          <w:tcPr>
            <w:tcW w:w="1789" w:type="dxa"/>
          </w:tcPr>
          <w:p w14:paraId="52FCDD56" w14:textId="77777777" w:rsidR="00017E14" w:rsidRPr="0021164E" w:rsidRDefault="00017E14" w:rsidP="0072517C">
            <w:pPr>
              <w:rPr>
                <w:sz w:val="20"/>
                <w:szCs w:val="20"/>
              </w:rPr>
            </w:pPr>
            <w:r w:rsidRPr="0021164E">
              <w:rPr>
                <w:sz w:val="20"/>
                <w:szCs w:val="20"/>
              </w:rPr>
              <w:t xml:space="preserve">Predicted </w:t>
            </w:r>
          </w:p>
        </w:tc>
        <w:tc>
          <w:tcPr>
            <w:tcW w:w="1789" w:type="dxa"/>
            <w:shd w:val="solid" w:color="000000" w:fill="000000"/>
          </w:tcPr>
          <w:p w14:paraId="49C404A8" w14:textId="4C1271F9" w:rsidR="00017E14" w:rsidRPr="0021164E" w:rsidRDefault="001F4071" w:rsidP="0072517C">
            <w:pPr>
              <w:jc w:val="center"/>
              <w:rPr>
                <w:sz w:val="20"/>
                <w:szCs w:val="20"/>
              </w:rPr>
            </w:pPr>
            <w:r w:rsidRPr="001F4071">
              <w:rPr>
                <w:color w:val="000000"/>
                <w:sz w:val="20"/>
                <w:szCs w:val="20"/>
                <w14:textFill>
                  <w14:solidFill>
                    <w14:srgbClr w14:val="000000">
                      <w14:alpha w14:val="100000"/>
                    </w14:srgbClr>
                  </w14:solidFill>
                </w14:textFill>
              </w:rPr>
              <w:t>|</w:t>
            </w:r>
          </w:p>
        </w:tc>
        <w:tc>
          <w:tcPr>
            <w:tcW w:w="1790" w:type="dxa"/>
            <w:shd w:val="solid" w:color="000000" w:fill="000000"/>
          </w:tcPr>
          <w:p w14:paraId="7FF387C1" w14:textId="2FD74F59" w:rsidR="00017E14" w:rsidRPr="0021164E" w:rsidRDefault="001F4071" w:rsidP="0072517C">
            <w:pPr>
              <w:jc w:val="center"/>
              <w:rPr>
                <w:sz w:val="20"/>
                <w:szCs w:val="20"/>
              </w:rPr>
            </w:pPr>
            <w:r w:rsidRPr="001F4071">
              <w:rPr>
                <w:color w:val="000000"/>
                <w:sz w:val="20"/>
                <w:szCs w:val="20"/>
                <w14:textFill>
                  <w14:solidFill>
                    <w14:srgbClr w14:val="000000">
                      <w14:alpha w14:val="100000"/>
                    </w14:srgbClr>
                  </w14:solidFill>
                </w14:textFill>
              </w:rPr>
              <w:t>|</w:t>
            </w:r>
          </w:p>
        </w:tc>
        <w:tc>
          <w:tcPr>
            <w:tcW w:w="1790" w:type="dxa"/>
            <w:shd w:val="solid" w:color="000000" w:fill="000000"/>
          </w:tcPr>
          <w:p w14:paraId="3CABF871" w14:textId="3CBA5930" w:rsidR="00017E14" w:rsidRPr="0021164E" w:rsidRDefault="001F4071" w:rsidP="0072517C">
            <w:pPr>
              <w:jc w:val="center"/>
              <w:rPr>
                <w:sz w:val="20"/>
                <w:szCs w:val="20"/>
              </w:rPr>
            </w:pPr>
            <w:r w:rsidRPr="001F4071">
              <w:rPr>
                <w:color w:val="000000"/>
                <w:sz w:val="20"/>
                <w:szCs w:val="20"/>
                <w14:textFill>
                  <w14:solidFill>
                    <w14:srgbClr w14:val="000000">
                      <w14:alpha w14:val="100000"/>
                    </w14:srgbClr>
                  </w14:solidFill>
                </w14:textFill>
              </w:rPr>
              <w:t>|</w:t>
            </w:r>
          </w:p>
        </w:tc>
      </w:tr>
      <w:tr w:rsidR="00017E14" w:rsidRPr="0021164E" w14:paraId="663E6868" w14:textId="77777777" w:rsidTr="001F4071">
        <w:tc>
          <w:tcPr>
            <w:tcW w:w="1789" w:type="dxa"/>
            <w:vMerge/>
          </w:tcPr>
          <w:p w14:paraId="7F057C92" w14:textId="77777777" w:rsidR="00017E14" w:rsidRPr="0021164E" w:rsidRDefault="00017E14" w:rsidP="0072517C">
            <w:pPr>
              <w:rPr>
                <w:sz w:val="20"/>
                <w:szCs w:val="20"/>
              </w:rPr>
            </w:pPr>
          </w:p>
        </w:tc>
        <w:tc>
          <w:tcPr>
            <w:tcW w:w="1789" w:type="dxa"/>
          </w:tcPr>
          <w:p w14:paraId="1088DF02" w14:textId="77777777" w:rsidR="00017E14" w:rsidRPr="0021164E" w:rsidRDefault="00017E14" w:rsidP="0072517C">
            <w:pPr>
              <w:rPr>
                <w:sz w:val="20"/>
                <w:szCs w:val="20"/>
              </w:rPr>
            </w:pPr>
            <w:r w:rsidRPr="0021164E">
              <w:rPr>
                <w:sz w:val="20"/>
                <w:szCs w:val="20"/>
              </w:rPr>
              <w:t xml:space="preserve">Actual </w:t>
            </w:r>
          </w:p>
        </w:tc>
        <w:tc>
          <w:tcPr>
            <w:tcW w:w="1789" w:type="dxa"/>
            <w:tcBorders>
              <w:bottom w:val="single" w:sz="4" w:space="0" w:color="auto"/>
            </w:tcBorders>
          </w:tcPr>
          <w:p w14:paraId="6DE00DD7" w14:textId="7E912F28" w:rsidR="00017E14" w:rsidRPr="0021164E" w:rsidRDefault="00E40F26" w:rsidP="00E40F26">
            <w:pPr>
              <w:jc w:val="center"/>
              <w:rPr>
                <w:rFonts w:ascii="Calibri" w:hAnsi="Calibri" w:cs="Calibri"/>
                <w:color w:val="000000"/>
                <w:sz w:val="20"/>
                <w:szCs w:val="20"/>
              </w:rPr>
            </w:pPr>
            <w:r w:rsidRPr="0021164E">
              <w:rPr>
                <w:rFonts w:ascii="Calibri" w:hAnsi="Calibri" w:cs="Calibri"/>
                <w:color w:val="000000"/>
                <w:sz w:val="20"/>
                <w:szCs w:val="20"/>
              </w:rPr>
              <w:t>1,033</w:t>
            </w:r>
          </w:p>
        </w:tc>
        <w:tc>
          <w:tcPr>
            <w:tcW w:w="1790" w:type="dxa"/>
            <w:tcBorders>
              <w:bottom w:val="single" w:sz="4" w:space="0" w:color="auto"/>
            </w:tcBorders>
          </w:tcPr>
          <w:p w14:paraId="477FE133" w14:textId="22CB16C2" w:rsidR="00017E14" w:rsidRPr="0021164E" w:rsidRDefault="00E40F26" w:rsidP="00E40F26">
            <w:pPr>
              <w:jc w:val="center"/>
              <w:rPr>
                <w:rFonts w:ascii="Calibri" w:hAnsi="Calibri" w:cs="Calibri"/>
                <w:color w:val="000000"/>
                <w:sz w:val="20"/>
                <w:szCs w:val="20"/>
              </w:rPr>
            </w:pPr>
            <w:r w:rsidRPr="0021164E">
              <w:rPr>
                <w:rFonts w:ascii="Calibri" w:hAnsi="Calibri" w:cs="Calibri"/>
                <w:color w:val="000000"/>
                <w:sz w:val="20"/>
                <w:szCs w:val="20"/>
              </w:rPr>
              <w:t>1,032</w:t>
            </w:r>
          </w:p>
        </w:tc>
        <w:tc>
          <w:tcPr>
            <w:tcW w:w="1790" w:type="dxa"/>
            <w:tcBorders>
              <w:bottom w:val="single" w:sz="4" w:space="0" w:color="auto"/>
            </w:tcBorders>
          </w:tcPr>
          <w:p w14:paraId="0FEF312E" w14:textId="3FD44754" w:rsidR="00017E14" w:rsidRPr="0021164E" w:rsidRDefault="00E40F26" w:rsidP="00E40F26">
            <w:pPr>
              <w:jc w:val="center"/>
              <w:rPr>
                <w:rFonts w:ascii="Calibri" w:hAnsi="Calibri" w:cs="Calibri"/>
                <w:color w:val="000000"/>
                <w:sz w:val="20"/>
                <w:szCs w:val="20"/>
              </w:rPr>
            </w:pPr>
            <w:r w:rsidRPr="0021164E">
              <w:rPr>
                <w:rFonts w:ascii="Calibri" w:hAnsi="Calibri" w:cs="Calibri"/>
                <w:color w:val="000000"/>
                <w:sz w:val="20"/>
                <w:szCs w:val="20"/>
              </w:rPr>
              <w:t>64</w:t>
            </w:r>
            <w:r w:rsidR="00A655ED">
              <w:rPr>
                <w:rFonts w:ascii="Calibri" w:hAnsi="Calibri" w:cs="Calibri"/>
                <w:color w:val="000000"/>
                <w:sz w:val="20"/>
                <w:szCs w:val="20"/>
              </w:rPr>
              <w:t>7</w:t>
            </w:r>
          </w:p>
        </w:tc>
      </w:tr>
      <w:tr w:rsidR="00017E14" w:rsidRPr="0021164E" w14:paraId="16FF2D03" w14:textId="77777777" w:rsidTr="001F4071">
        <w:tc>
          <w:tcPr>
            <w:tcW w:w="1789" w:type="dxa"/>
            <w:vMerge/>
          </w:tcPr>
          <w:p w14:paraId="03384E8D" w14:textId="77777777" w:rsidR="00017E14" w:rsidRPr="0021164E" w:rsidRDefault="00017E14" w:rsidP="0072517C">
            <w:pPr>
              <w:rPr>
                <w:sz w:val="20"/>
                <w:szCs w:val="20"/>
              </w:rPr>
            </w:pPr>
          </w:p>
        </w:tc>
        <w:tc>
          <w:tcPr>
            <w:tcW w:w="1789" w:type="dxa"/>
          </w:tcPr>
          <w:p w14:paraId="222A38DD" w14:textId="77777777" w:rsidR="00017E14" w:rsidRPr="0021164E" w:rsidRDefault="00017E14" w:rsidP="0072517C">
            <w:pPr>
              <w:rPr>
                <w:sz w:val="20"/>
                <w:szCs w:val="20"/>
              </w:rPr>
            </w:pPr>
            <w:r w:rsidRPr="0021164E">
              <w:rPr>
                <w:sz w:val="20"/>
                <w:szCs w:val="20"/>
              </w:rPr>
              <w:t xml:space="preserve">Difference </w:t>
            </w:r>
          </w:p>
        </w:tc>
        <w:tc>
          <w:tcPr>
            <w:tcW w:w="1789" w:type="dxa"/>
            <w:tcBorders>
              <w:bottom w:val="single" w:sz="4" w:space="0" w:color="auto"/>
            </w:tcBorders>
            <w:shd w:val="solid" w:color="000000" w:fill="000000"/>
          </w:tcPr>
          <w:p w14:paraId="48D42E42" w14:textId="20BCD1F2" w:rsidR="00017E14" w:rsidRPr="0021164E" w:rsidRDefault="001F4071" w:rsidP="0072517C">
            <w:pPr>
              <w:jc w:val="center"/>
              <w:rPr>
                <w:sz w:val="20"/>
                <w:szCs w:val="20"/>
              </w:rPr>
            </w:pPr>
            <w:r w:rsidRPr="001F4071">
              <w:rPr>
                <w:color w:val="000000"/>
                <w:sz w:val="20"/>
                <w:szCs w:val="20"/>
                <w14:textFill>
                  <w14:solidFill>
                    <w14:srgbClr w14:val="000000">
                      <w14:alpha w14:val="100000"/>
                    </w14:srgbClr>
                  </w14:solidFill>
                </w14:textFill>
              </w:rPr>
              <w:t>|</w:t>
            </w:r>
          </w:p>
        </w:tc>
        <w:tc>
          <w:tcPr>
            <w:tcW w:w="1790" w:type="dxa"/>
            <w:tcBorders>
              <w:bottom w:val="single" w:sz="4" w:space="0" w:color="auto"/>
            </w:tcBorders>
            <w:shd w:val="solid" w:color="000000" w:fill="000000"/>
          </w:tcPr>
          <w:p w14:paraId="0EFF7EC2" w14:textId="2B89D745" w:rsidR="00017E14" w:rsidRPr="0021164E" w:rsidRDefault="001F4071" w:rsidP="0072517C">
            <w:pPr>
              <w:jc w:val="center"/>
              <w:rPr>
                <w:sz w:val="20"/>
                <w:szCs w:val="20"/>
              </w:rPr>
            </w:pPr>
            <w:r w:rsidRPr="001F4071">
              <w:rPr>
                <w:color w:val="000000"/>
                <w:sz w:val="20"/>
                <w:szCs w:val="20"/>
                <w14:textFill>
                  <w14:solidFill>
                    <w14:srgbClr w14:val="000000">
                      <w14:alpha w14:val="100000"/>
                    </w14:srgbClr>
                  </w14:solidFill>
                </w14:textFill>
              </w:rPr>
              <w:t>|</w:t>
            </w:r>
          </w:p>
        </w:tc>
        <w:tc>
          <w:tcPr>
            <w:tcW w:w="1790" w:type="dxa"/>
            <w:tcBorders>
              <w:bottom w:val="single" w:sz="4" w:space="0" w:color="auto"/>
            </w:tcBorders>
            <w:shd w:val="solid" w:color="000000" w:fill="000000"/>
          </w:tcPr>
          <w:p w14:paraId="7AAE97B6" w14:textId="0B75BFA2" w:rsidR="00017E14" w:rsidRPr="0021164E" w:rsidRDefault="001F4071" w:rsidP="0072517C">
            <w:pPr>
              <w:jc w:val="center"/>
              <w:rPr>
                <w:sz w:val="20"/>
                <w:szCs w:val="20"/>
              </w:rPr>
            </w:pPr>
            <w:r w:rsidRPr="001F4071">
              <w:rPr>
                <w:color w:val="000000"/>
                <w:sz w:val="20"/>
                <w:szCs w:val="20"/>
                <w14:textFill>
                  <w14:solidFill>
                    <w14:srgbClr w14:val="000000">
                      <w14:alpha w14:val="100000"/>
                    </w14:srgbClr>
                  </w14:solidFill>
                </w14:textFill>
              </w:rPr>
              <w:t>|</w:t>
            </w:r>
          </w:p>
        </w:tc>
      </w:tr>
      <w:tr w:rsidR="00017E14" w:rsidRPr="0021164E" w14:paraId="26754442" w14:textId="77777777" w:rsidTr="001F4071">
        <w:tc>
          <w:tcPr>
            <w:tcW w:w="1789" w:type="dxa"/>
            <w:vMerge w:val="restart"/>
          </w:tcPr>
          <w:p w14:paraId="566E845C" w14:textId="77777777" w:rsidR="00017E14" w:rsidRPr="0021164E" w:rsidRDefault="00017E14" w:rsidP="0072517C">
            <w:pPr>
              <w:rPr>
                <w:sz w:val="20"/>
                <w:szCs w:val="20"/>
              </w:rPr>
            </w:pPr>
            <w:r w:rsidRPr="0021164E">
              <w:rPr>
                <w:sz w:val="20"/>
                <w:szCs w:val="20"/>
              </w:rPr>
              <w:t>Prescriptions</w:t>
            </w:r>
          </w:p>
        </w:tc>
        <w:tc>
          <w:tcPr>
            <w:tcW w:w="1789" w:type="dxa"/>
          </w:tcPr>
          <w:p w14:paraId="68D8A712" w14:textId="77777777" w:rsidR="00017E14" w:rsidRPr="0021164E" w:rsidRDefault="00017E14" w:rsidP="0072517C">
            <w:pPr>
              <w:rPr>
                <w:sz w:val="20"/>
                <w:szCs w:val="20"/>
              </w:rPr>
            </w:pPr>
            <w:r w:rsidRPr="0021164E">
              <w:rPr>
                <w:sz w:val="20"/>
                <w:szCs w:val="20"/>
              </w:rPr>
              <w:t xml:space="preserve">Predicted </w:t>
            </w:r>
          </w:p>
        </w:tc>
        <w:tc>
          <w:tcPr>
            <w:tcW w:w="1789" w:type="dxa"/>
            <w:shd w:val="solid" w:color="000000" w:fill="000000"/>
          </w:tcPr>
          <w:p w14:paraId="5A8E3BB9" w14:textId="02E6A26B" w:rsidR="00017E14" w:rsidRPr="0021164E" w:rsidRDefault="001F4071" w:rsidP="0072517C">
            <w:pPr>
              <w:jc w:val="center"/>
              <w:rPr>
                <w:sz w:val="20"/>
                <w:szCs w:val="20"/>
              </w:rPr>
            </w:pPr>
            <w:r w:rsidRPr="001F4071">
              <w:rPr>
                <w:color w:val="000000"/>
                <w:sz w:val="20"/>
                <w:szCs w:val="20"/>
                <w14:textFill>
                  <w14:solidFill>
                    <w14:srgbClr w14:val="000000">
                      <w14:alpha w14:val="100000"/>
                    </w14:srgbClr>
                  </w14:solidFill>
                </w14:textFill>
              </w:rPr>
              <w:t>|</w:t>
            </w:r>
          </w:p>
        </w:tc>
        <w:tc>
          <w:tcPr>
            <w:tcW w:w="1790" w:type="dxa"/>
            <w:shd w:val="solid" w:color="000000" w:fill="000000"/>
          </w:tcPr>
          <w:p w14:paraId="1D960E69" w14:textId="437A15AA" w:rsidR="00017E14" w:rsidRPr="0021164E" w:rsidRDefault="001F4071" w:rsidP="0072517C">
            <w:pPr>
              <w:jc w:val="center"/>
              <w:rPr>
                <w:sz w:val="20"/>
                <w:szCs w:val="20"/>
              </w:rPr>
            </w:pPr>
            <w:r w:rsidRPr="001F4071">
              <w:rPr>
                <w:color w:val="000000"/>
                <w:sz w:val="20"/>
                <w:szCs w:val="20"/>
                <w14:textFill>
                  <w14:solidFill>
                    <w14:srgbClr w14:val="000000">
                      <w14:alpha w14:val="100000"/>
                    </w14:srgbClr>
                  </w14:solidFill>
                </w14:textFill>
              </w:rPr>
              <w:t>|</w:t>
            </w:r>
          </w:p>
        </w:tc>
        <w:tc>
          <w:tcPr>
            <w:tcW w:w="1790" w:type="dxa"/>
            <w:shd w:val="solid" w:color="000000" w:fill="000000"/>
          </w:tcPr>
          <w:p w14:paraId="20B3A2B2" w14:textId="24FDA66A" w:rsidR="00017E14" w:rsidRPr="0021164E" w:rsidRDefault="001F4071" w:rsidP="0072517C">
            <w:pPr>
              <w:jc w:val="center"/>
              <w:rPr>
                <w:sz w:val="20"/>
                <w:szCs w:val="20"/>
              </w:rPr>
            </w:pPr>
            <w:r w:rsidRPr="001F4071">
              <w:rPr>
                <w:color w:val="000000"/>
                <w:sz w:val="20"/>
                <w:szCs w:val="20"/>
                <w14:textFill>
                  <w14:solidFill>
                    <w14:srgbClr w14:val="000000">
                      <w14:alpha w14:val="100000"/>
                    </w14:srgbClr>
                  </w14:solidFill>
                </w14:textFill>
              </w:rPr>
              <w:t>|</w:t>
            </w:r>
          </w:p>
        </w:tc>
      </w:tr>
      <w:tr w:rsidR="00017E14" w:rsidRPr="0021164E" w14:paraId="79284A9C" w14:textId="77777777" w:rsidTr="001F4071">
        <w:tc>
          <w:tcPr>
            <w:tcW w:w="1789" w:type="dxa"/>
            <w:vMerge/>
          </w:tcPr>
          <w:p w14:paraId="7BC8574A" w14:textId="77777777" w:rsidR="00017E14" w:rsidRPr="0021164E" w:rsidRDefault="00017E14" w:rsidP="0072517C">
            <w:pPr>
              <w:rPr>
                <w:sz w:val="20"/>
                <w:szCs w:val="20"/>
              </w:rPr>
            </w:pPr>
          </w:p>
        </w:tc>
        <w:tc>
          <w:tcPr>
            <w:tcW w:w="1789" w:type="dxa"/>
          </w:tcPr>
          <w:p w14:paraId="4FC99E61" w14:textId="77777777" w:rsidR="00017E14" w:rsidRPr="0021164E" w:rsidRDefault="00017E14" w:rsidP="0072517C">
            <w:pPr>
              <w:rPr>
                <w:sz w:val="20"/>
                <w:szCs w:val="20"/>
              </w:rPr>
            </w:pPr>
            <w:r w:rsidRPr="0021164E">
              <w:rPr>
                <w:sz w:val="20"/>
                <w:szCs w:val="20"/>
              </w:rPr>
              <w:t xml:space="preserve">Actual </w:t>
            </w:r>
          </w:p>
        </w:tc>
        <w:tc>
          <w:tcPr>
            <w:tcW w:w="1789" w:type="dxa"/>
            <w:tcBorders>
              <w:bottom w:val="single" w:sz="4" w:space="0" w:color="auto"/>
            </w:tcBorders>
          </w:tcPr>
          <w:p w14:paraId="04CDC9AE" w14:textId="5714BBE6" w:rsidR="00017E14" w:rsidRPr="0021164E" w:rsidRDefault="00E40F26" w:rsidP="00E40F26">
            <w:pPr>
              <w:jc w:val="center"/>
              <w:rPr>
                <w:rFonts w:ascii="Calibri" w:hAnsi="Calibri" w:cs="Calibri"/>
                <w:color w:val="000000"/>
                <w:sz w:val="20"/>
                <w:szCs w:val="20"/>
              </w:rPr>
            </w:pPr>
            <w:r w:rsidRPr="0021164E">
              <w:rPr>
                <w:rFonts w:ascii="Calibri" w:hAnsi="Calibri" w:cs="Calibri"/>
                <w:color w:val="000000"/>
                <w:sz w:val="20"/>
                <w:szCs w:val="20"/>
              </w:rPr>
              <w:t>11,129</w:t>
            </w:r>
          </w:p>
        </w:tc>
        <w:tc>
          <w:tcPr>
            <w:tcW w:w="1790" w:type="dxa"/>
            <w:tcBorders>
              <w:bottom w:val="single" w:sz="4" w:space="0" w:color="auto"/>
            </w:tcBorders>
          </w:tcPr>
          <w:p w14:paraId="65BED4E7" w14:textId="517945A3" w:rsidR="00017E14" w:rsidRPr="0021164E" w:rsidRDefault="00E40F26" w:rsidP="00E40F26">
            <w:pPr>
              <w:jc w:val="center"/>
              <w:rPr>
                <w:rFonts w:ascii="Calibri" w:hAnsi="Calibri" w:cs="Calibri"/>
                <w:color w:val="000000"/>
                <w:sz w:val="20"/>
                <w:szCs w:val="20"/>
              </w:rPr>
            </w:pPr>
            <w:r w:rsidRPr="0021164E">
              <w:rPr>
                <w:rFonts w:ascii="Calibri" w:hAnsi="Calibri" w:cs="Calibri"/>
                <w:color w:val="000000"/>
                <w:sz w:val="20"/>
                <w:szCs w:val="20"/>
              </w:rPr>
              <w:t>10,667</w:t>
            </w:r>
          </w:p>
        </w:tc>
        <w:tc>
          <w:tcPr>
            <w:tcW w:w="1790" w:type="dxa"/>
            <w:tcBorders>
              <w:bottom w:val="single" w:sz="4" w:space="0" w:color="auto"/>
            </w:tcBorders>
          </w:tcPr>
          <w:p w14:paraId="64FA80B3" w14:textId="2A7E1FF4" w:rsidR="00017E14" w:rsidRPr="0021164E" w:rsidRDefault="00E40F26" w:rsidP="00E40F26">
            <w:pPr>
              <w:jc w:val="center"/>
              <w:rPr>
                <w:rFonts w:ascii="Calibri" w:hAnsi="Calibri" w:cs="Calibri"/>
                <w:color w:val="000000"/>
                <w:sz w:val="20"/>
                <w:szCs w:val="20"/>
              </w:rPr>
            </w:pPr>
            <w:r w:rsidRPr="0021164E">
              <w:rPr>
                <w:rFonts w:ascii="Calibri" w:hAnsi="Calibri" w:cs="Calibri"/>
                <w:color w:val="000000"/>
                <w:sz w:val="20"/>
                <w:szCs w:val="20"/>
              </w:rPr>
              <w:t>3,6</w:t>
            </w:r>
            <w:r w:rsidR="00A655ED">
              <w:rPr>
                <w:rFonts w:ascii="Calibri" w:hAnsi="Calibri" w:cs="Calibri"/>
                <w:color w:val="000000"/>
                <w:sz w:val="20"/>
                <w:szCs w:val="20"/>
              </w:rPr>
              <w:t>70</w:t>
            </w:r>
          </w:p>
        </w:tc>
      </w:tr>
      <w:tr w:rsidR="00017E14" w:rsidRPr="0021164E" w14:paraId="1EE57266" w14:textId="77777777" w:rsidTr="001F4071">
        <w:tc>
          <w:tcPr>
            <w:tcW w:w="1789" w:type="dxa"/>
            <w:vMerge/>
          </w:tcPr>
          <w:p w14:paraId="19C33EFB" w14:textId="77777777" w:rsidR="00017E14" w:rsidRPr="0021164E" w:rsidRDefault="00017E14" w:rsidP="0072517C">
            <w:pPr>
              <w:rPr>
                <w:sz w:val="20"/>
                <w:szCs w:val="20"/>
              </w:rPr>
            </w:pPr>
          </w:p>
        </w:tc>
        <w:tc>
          <w:tcPr>
            <w:tcW w:w="1789" w:type="dxa"/>
          </w:tcPr>
          <w:p w14:paraId="7253E3D8" w14:textId="77777777" w:rsidR="00017E14" w:rsidRPr="0021164E" w:rsidRDefault="00017E14" w:rsidP="0072517C">
            <w:pPr>
              <w:rPr>
                <w:sz w:val="20"/>
                <w:szCs w:val="20"/>
              </w:rPr>
            </w:pPr>
            <w:r w:rsidRPr="0021164E">
              <w:rPr>
                <w:sz w:val="20"/>
                <w:szCs w:val="20"/>
              </w:rPr>
              <w:t xml:space="preserve">Difference </w:t>
            </w:r>
          </w:p>
        </w:tc>
        <w:tc>
          <w:tcPr>
            <w:tcW w:w="1789" w:type="dxa"/>
            <w:shd w:val="solid" w:color="000000" w:fill="000000"/>
          </w:tcPr>
          <w:p w14:paraId="1758CC4F" w14:textId="76AE23EC" w:rsidR="00017E14" w:rsidRPr="0021164E" w:rsidRDefault="001F4071" w:rsidP="0072517C">
            <w:pPr>
              <w:jc w:val="center"/>
              <w:rPr>
                <w:sz w:val="20"/>
                <w:szCs w:val="20"/>
              </w:rPr>
            </w:pPr>
            <w:r w:rsidRPr="001F4071">
              <w:rPr>
                <w:color w:val="000000"/>
                <w:sz w:val="20"/>
                <w:szCs w:val="20"/>
                <w14:textFill>
                  <w14:solidFill>
                    <w14:srgbClr w14:val="000000">
                      <w14:alpha w14:val="100000"/>
                    </w14:srgbClr>
                  </w14:solidFill>
                </w14:textFill>
              </w:rPr>
              <w:t>|</w:t>
            </w:r>
          </w:p>
        </w:tc>
        <w:tc>
          <w:tcPr>
            <w:tcW w:w="1790" w:type="dxa"/>
            <w:shd w:val="solid" w:color="000000" w:fill="000000"/>
          </w:tcPr>
          <w:p w14:paraId="44A2A979" w14:textId="23623D63" w:rsidR="00017E14" w:rsidRPr="0021164E" w:rsidRDefault="001F4071" w:rsidP="0072517C">
            <w:pPr>
              <w:jc w:val="center"/>
              <w:rPr>
                <w:sz w:val="20"/>
                <w:szCs w:val="20"/>
              </w:rPr>
            </w:pPr>
            <w:r w:rsidRPr="001F4071">
              <w:rPr>
                <w:color w:val="000000"/>
                <w:sz w:val="20"/>
                <w:szCs w:val="20"/>
                <w14:textFill>
                  <w14:solidFill>
                    <w14:srgbClr w14:val="000000">
                      <w14:alpha w14:val="100000"/>
                    </w14:srgbClr>
                  </w14:solidFill>
                </w14:textFill>
              </w:rPr>
              <w:t>|</w:t>
            </w:r>
          </w:p>
        </w:tc>
        <w:tc>
          <w:tcPr>
            <w:tcW w:w="1790" w:type="dxa"/>
            <w:shd w:val="solid" w:color="000000" w:fill="000000"/>
          </w:tcPr>
          <w:p w14:paraId="2F4C5855" w14:textId="71243128" w:rsidR="00017E14" w:rsidRPr="0021164E" w:rsidRDefault="001F4071" w:rsidP="0072517C">
            <w:pPr>
              <w:jc w:val="center"/>
              <w:rPr>
                <w:sz w:val="20"/>
                <w:szCs w:val="20"/>
              </w:rPr>
            </w:pPr>
            <w:r w:rsidRPr="001F4071">
              <w:rPr>
                <w:color w:val="000000"/>
                <w:sz w:val="20"/>
                <w:szCs w:val="20"/>
                <w14:textFill>
                  <w14:solidFill>
                    <w14:srgbClr w14:val="000000">
                      <w14:alpha w14:val="100000"/>
                    </w14:srgbClr>
                  </w14:solidFill>
                </w14:textFill>
              </w:rPr>
              <w:t>|</w:t>
            </w:r>
          </w:p>
        </w:tc>
      </w:tr>
    </w:tbl>
    <w:p w14:paraId="38A8A82C" w14:textId="7F9BF96E" w:rsidR="00536531" w:rsidRDefault="00017E14" w:rsidP="009C19EE">
      <w:pPr>
        <w:rPr>
          <w:sz w:val="20"/>
        </w:rPr>
      </w:pPr>
      <w:r w:rsidRPr="006D5C42">
        <w:rPr>
          <w:sz w:val="20"/>
        </w:rPr>
        <w:t xml:space="preserve">Note: </w:t>
      </w:r>
      <w:r w:rsidR="006A49AF">
        <w:rPr>
          <w:sz w:val="20"/>
        </w:rPr>
        <w:t xml:space="preserve">The predicted number of treated patients in the first year of listing includes </w:t>
      </w:r>
      <w:r w:rsidR="0084343F" w:rsidRPr="0084343F">
        <w:rPr>
          <w:color w:val="000000"/>
          <w:spacing w:val="15"/>
          <w:sz w:val="20"/>
          <w:shd w:val="solid" w:color="000000" w:fill="000000"/>
          <w:fitText w:val="200" w:id="-1459881727"/>
          <w14:textFill>
            <w14:solidFill>
              <w14:srgbClr w14:val="000000">
                <w14:alpha w14:val="100000"/>
              </w14:srgbClr>
            </w14:solidFill>
          </w14:textFill>
        </w:rPr>
        <w:t>|</w:t>
      </w:r>
      <w:r w:rsidR="0084343F" w:rsidRPr="0084343F">
        <w:rPr>
          <w:color w:val="000000"/>
          <w:sz w:val="20"/>
          <w:shd w:val="solid" w:color="000000" w:fill="000000"/>
          <w:fitText w:val="200" w:id="-1459881727"/>
          <w14:textFill>
            <w14:solidFill>
              <w14:srgbClr w14:val="000000">
                <w14:alpha w14:val="100000"/>
              </w14:srgbClr>
            </w14:solidFill>
          </w14:textFill>
        </w:rPr>
        <w:t>|</w:t>
      </w:r>
      <w:r w:rsidR="0084343F">
        <w:rPr>
          <w:sz w:val="20"/>
        </w:rPr>
        <w:t xml:space="preserve"> </w:t>
      </w:r>
      <w:r w:rsidR="00E60AE1">
        <w:rPr>
          <w:sz w:val="20"/>
        </w:rPr>
        <w:t xml:space="preserve">eligible </w:t>
      </w:r>
      <w:r w:rsidR="006A49AF">
        <w:rPr>
          <w:sz w:val="20"/>
        </w:rPr>
        <w:t xml:space="preserve">grandfather patients. </w:t>
      </w:r>
      <w:r>
        <w:rPr>
          <w:sz w:val="20"/>
        </w:rPr>
        <w:t xml:space="preserve">Year 3 predicted numbers are for the full year, actual numbers are </w:t>
      </w:r>
      <w:r w:rsidR="009523B4">
        <w:rPr>
          <w:sz w:val="20"/>
        </w:rPr>
        <w:t>six</w:t>
      </w:r>
      <w:r>
        <w:rPr>
          <w:sz w:val="20"/>
        </w:rPr>
        <w:t xml:space="preserve"> months of data (March 2022 to </w:t>
      </w:r>
      <w:r w:rsidR="008D2EF5">
        <w:rPr>
          <w:sz w:val="20"/>
        </w:rPr>
        <w:t xml:space="preserve">June 2022, </w:t>
      </w:r>
      <w:r>
        <w:rPr>
          <w:sz w:val="20"/>
        </w:rPr>
        <w:t xml:space="preserve">inclusive). </w:t>
      </w:r>
    </w:p>
    <w:p w14:paraId="26703D11" w14:textId="02E13B3B" w:rsidR="00B05BA0" w:rsidRDefault="00B05BA0" w:rsidP="00945B2F">
      <w:r>
        <w:t xml:space="preserve">As shown in Table 11, durvalumab utilisation was </w:t>
      </w:r>
      <w:r w:rsidR="0084343F" w:rsidRPr="0084343F">
        <w:rPr>
          <w:color w:val="000000"/>
          <w:w w:val="75"/>
          <w:shd w:val="solid" w:color="000000" w:fill="000000"/>
          <w:fitText w:val="501" w:id="-1459881728"/>
          <w14:textFill>
            <w14:solidFill>
              <w14:srgbClr w14:val="000000">
                <w14:alpha w14:val="100000"/>
              </w14:srgbClr>
            </w14:solidFill>
          </w14:textFill>
        </w:rPr>
        <w:t>||||||</w:t>
      </w:r>
      <w:r w:rsidR="0084343F">
        <w:t xml:space="preserve"> </w:t>
      </w:r>
      <w:r>
        <w:t xml:space="preserve">than estimated </w:t>
      </w:r>
      <w:r w:rsidR="005939C4">
        <w:t>in</w:t>
      </w:r>
      <w:r>
        <w:t xml:space="preserve"> </w:t>
      </w:r>
      <w:r w:rsidR="005939C4">
        <w:t>its</w:t>
      </w:r>
      <w:r>
        <w:t xml:space="preserve"> first three years of listing. </w:t>
      </w:r>
    </w:p>
    <w:p w14:paraId="510A3555" w14:textId="4006BA19" w:rsidR="006E3270" w:rsidRDefault="006E542A" w:rsidP="00945B2F">
      <w:r>
        <w:t>Based on the streamlined code</w:t>
      </w:r>
      <w:r w:rsidR="00945B2F">
        <w:t xml:space="preserve"> for grandfather patients, </w:t>
      </w:r>
      <w:r>
        <w:t xml:space="preserve">there were 359 grandfather patients who were treated with durvalumab. </w:t>
      </w:r>
      <w:r w:rsidR="00945B2F">
        <w:t xml:space="preserve">This was </w:t>
      </w:r>
      <w:r w:rsidR="0084343F" w:rsidRPr="0084343F">
        <w:rPr>
          <w:rFonts w:hint="eastAsia"/>
          <w:color w:val="000000"/>
          <w:w w:val="21"/>
          <w:shd w:val="solid" w:color="000000" w:fill="000000"/>
          <w:fitText w:val="125" w:id="-1459881472"/>
          <w14:textFill>
            <w14:solidFill>
              <w14:srgbClr w14:val="000000">
                <w14:alpha w14:val="100000"/>
              </w14:srgbClr>
            </w14:solidFill>
          </w14:textFill>
        </w:rPr>
        <w:t xml:space="preserve">　</w:t>
      </w:r>
      <w:r w:rsidR="0084343F" w:rsidRPr="0084343F">
        <w:rPr>
          <w:color w:val="000000"/>
          <w:w w:val="21"/>
          <w:shd w:val="solid" w:color="000000" w:fill="000000"/>
          <w:fitText w:val="125" w:id="-1459881472"/>
          <w14:textFill>
            <w14:solidFill>
              <w14:srgbClr w14:val="000000">
                <w14:alpha w14:val="100000"/>
              </w14:srgbClr>
            </w14:solidFill>
          </w14:textFill>
        </w:rPr>
        <w:t>|</w:t>
      </w:r>
      <w:r w:rsidR="0084343F" w:rsidRPr="0084343F">
        <w:rPr>
          <w:rFonts w:hint="eastAsia"/>
          <w:color w:val="000000"/>
          <w:w w:val="21"/>
          <w:shd w:val="solid" w:color="000000" w:fill="000000"/>
          <w:fitText w:val="125" w:id="-1459881472"/>
          <w14:textFill>
            <w14:solidFill>
              <w14:srgbClr w14:val="000000">
                <w14:alpha w14:val="100000"/>
              </w14:srgbClr>
            </w14:solidFill>
          </w14:textFill>
        </w:rPr>
        <w:t xml:space="preserve">　</w:t>
      </w:r>
      <w:r w:rsidR="00945B2F">
        <w:t xml:space="preserve">% of the estimated number of </w:t>
      </w:r>
      <w:r w:rsidR="0084343F" w:rsidRPr="0084343F">
        <w:rPr>
          <w:color w:val="000000"/>
          <w:spacing w:val="28"/>
          <w:shd w:val="solid" w:color="000000" w:fill="000000"/>
          <w:fitText w:val="250" w:id="-1459881216"/>
          <w14:textFill>
            <w14:solidFill>
              <w14:srgbClr w14:val="000000">
                <w14:alpha w14:val="100000"/>
              </w14:srgbClr>
            </w14:solidFill>
          </w14:textFill>
        </w:rPr>
        <w:t>|</w:t>
      </w:r>
      <w:r w:rsidR="0084343F" w:rsidRPr="0084343F">
        <w:rPr>
          <w:color w:val="000000"/>
          <w:shd w:val="solid" w:color="000000" w:fill="000000"/>
          <w:fitText w:val="250" w:id="-1459881216"/>
          <w14:textFill>
            <w14:solidFill>
              <w14:srgbClr w14:val="000000">
                <w14:alpha w14:val="100000"/>
              </w14:srgbClr>
            </w14:solidFill>
          </w14:textFill>
        </w:rPr>
        <w:t>|</w:t>
      </w:r>
      <w:r w:rsidR="0084343F">
        <w:t xml:space="preserve"> </w:t>
      </w:r>
      <w:r w:rsidR="00945B2F">
        <w:t xml:space="preserve">grandfather patients and </w:t>
      </w:r>
      <w:r w:rsidR="0084343F" w:rsidRPr="0084343F">
        <w:rPr>
          <w:rFonts w:hint="eastAsia"/>
          <w:color w:val="000000"/>
          <w:w w:val="21"/>
          <w:shd w:val="solid" w:color="000000" w:fill="000000"/>
          <w:fitText w:val="125" w:id="-1459881214"/>
          <w14:textFill>
            <w14:solidFill>
              <w14:srgbClr w14:val="000000">
                <w14:alpha w14:val="100000"/>
              </w14:srgbClr>
            </w14:solidFill>
          </w14:textFill>
        </w:rPr>
        <w:t xml:space="preserve">　</w:t>
      </w:r>
      <w:r w:rsidR="0084343F" w:rsidRPr="0084343F">
        <w:rPr>
          <w:color w:val="000000"/>
          <w:w w:val="21"/>
          <w:shd w:val="solid" w:color="000000" w:fill="000000"/>
          <w:fitText w:val="125" w:id="-1459881214"/>
          <w14:textFill>
            <w14:solidFill>
              <w14:srgbClr w14:val="000000">
                <w14:alpha w14:val="100000"/>
              </w14:srgbClr>
            </w14:solidFill>
          </w14:textFill>
        </w:rPr>
        <w:t>|</w:t>
      </w:r>
      <w:r w:rsidR="0084343F" w:rsidRPr="0084343F">
        <w:rPr>
          <w:rFonts w:hint="eastAsia"/>
          <w:color w:val="000000"/>
          <w:w w:val="21"/>
          <w:shd w:val="solid" w:color="000000" w:fill="000000"/>
          <w:fitText w:val="125" w:id="-1459881214"/>
          <w14:textFill>
            <w14:solidFill>
              <w14:srgbClr w14:val="000000">
                <w14:alpha w14:val="100000"/>
              </w14:srgbClr>
            </w14:solidFill>
          </w14:textFill>
        </w:rPr>
        <w:t xml:space="preserve">　</w:t>
      </w:r>
      <w:r w:rsidR="00945B2F">
        <w:t xml:space="preserve">% of the estimated number of </w:t>
      </w:r>
      <w:r w:rsidR="0084343F" w:rsidRPr="0084343F">
        <w:rPr>
          <w:color w:val="000000"/>
          <w:w w:val="71"/>
          <w:shd w:val="solid" w:color="000000" w:fill="000000"/>
          <w:fitText w:val="238" w:id="-1459881215"/>
          <w14:textFill>
            <w14:solidFill>
              <w14:srgbClr w14:val="000000">
                <w14:alpha w14:val="100000"/>
              </w14:srgbClr>
            </w14:solidFill>
          </w14:textFill>
        </w:rPr>
        <w:t>|||</w:t>
      </w:r>
      <w:r w:rsidR="0084343F">
        <w:t xml:space="preserve"> </w:t>
      </w:r>
      <w:r w:rsidR="00945B2F">
        <w:t xml:space="preserve">eligible grandfather patients. </w:t>
      </w:r>
    </w:p>
    <w:p w14:paraId="0BC1352F" w14:textId="4BFB2650" w:rsidR="009523B4" w:rsidRDefault="009523B4" w:rsidP="009523B4">
      <w:pPr>
        <w:pStyle w:val="Tabletitle"/>
      </w:pPr>
      <w:r>
        <w:t>Table 12</w:t>
      </w:r>
      <w:r w:rsidRPr="004F057D">
        <w:t>:</w:t>
      </w:r>
      <w:r>
        <w:t xml:space="preserve"> Durvalumab predicted versus actual dosing</w:t>
      </w:r>
    </w:p>
    <w:tbl>
      <w:tblPr>
        <w:tblStyle w:val="TableGrid"/>
        <w:tblW w:w="0" w:type="auto"/>
        <w:tblLook w:val="04A0" w:firstRow="1" w:lastRow="0" w:firstColumn="1" w:lastColumn="0" w:noHBand="0" w:noVBand="1"/>
      </w:tblPr>
      <w:tblGrid>
        <w:gridCol w:w="2972"/>
        <w:gridCol w:w="1991"/>
        <w:gridCol w:w="1992"/>
        <w:gridCol w:w="1992"/>
      </w:tblGrid>
      <w:tr w:rsidR="006E3270" w:rsidRPr="006E3270" w14:paraId="033D674E" w14:textId="77777777" w:rsidTr="0084343F">
        <w:tc>
          <w:tcPr>
            <w:tcW w:w="2972" w:type="dxa"/>
            <w:shd w:val="clear" w:color="auto" w:fill="BFBFBF" w:themeFill="background1" w:themeFillShade="BF"/>
          </w:tcPr>
          <w:p w14:paraId="02D88551" w14:textId="77777777" w:rsidR="006E3270" w:rsidRPr="006E3270" w:rsidRDefault="006E3270" w:rsidP="00945B2F">
            <w:pPr>
              <w:rPr>
                <w:b/>
                <w:bCs/>
                <w:sz w:val="20"/>
                <w:szCs w:val="20"/>
              </w:rPr>
            </w:pPr>
          </w:p>
        </w:tc>
        <w:tc>
          <w:tcPr>
            <w:tcW w:w="1991" w:type="dxa"/>
            <w:shd w:val="clear" w:color="auto" w:fill="BFBFBF" w:themeFill="background1" w:themeFillShade="BF"/>
          </w:tcPr>
          <w:p w14:paraId="477F1D7D" w14:textId="6128F633" w:rsidR="006E3270" w:rsidRPr="006E3270" w:rsidRDefault="006E3270" w:rsidP="006E3270">
            <w:pPr>
              <w:jc w:val="center"/>
              <w:rPr>
                <w:b/>
                <w:bCs/>
                <w:sz w:val="20"/>
                <w:szCs w:val="20"/>
              </w:rPr>
            </w:pPr>
            <w:r w:rsidRPr="006E3270">
              <w:rPr>
                <w:b/>
                <w:bCs/>
                <w:sz w:val="20"/>
                <w:szCs w:val="20"/>
              </w:rPr>
              <w:t>Predicted</w:t>
            </w:r>
          </w:p>
        </w:tc>
        <w:tc>
          <w:tcPr>
            <w:tcW w:w="1992" w:type="dxa"/>
            <w:shd w:val="clear" w:color="auto" w:fill="BFBFBF" w:themeFill="background1" w:themeFillShade="BF"/>
          </w:tcPr>
          <w:p w14:paraId="729B0C91" w14:textId="7B79EECC" w:rsidR="006E3270" w:rsidRPr="006E3270" w:rsidRDefault="006E3270" w:rsidP="006E3270">
            <w:pPr>
              <w:jc w:val="center"/>
              <w:rPr>
                <w:b/>
                <w:bCs/>
                <w:sz w:val="20"/>
                <w:szCs w:val="20"/>
              </w:rPr>
            </w:pPr>
            <w:r w:rsidRPr="006E3270">
              <w:rPr>
                <w:b/>
                <w:bCs/>
                <w:sz w:val="20"/>
                <w:szCs w:val="20"/>
              </w:rPr>
              <w:t>Actual</w:t>
            </w:r>
          </w:p>
        </w:tc>
        <w:tc>
          <w:tcPr>
            <w:tcW w:w="1992" w:type="dxa"/>
            <w:tcBorders>
              <w:bottom w:val="single" w:sz="4" w:space="0" w:color="auto"/>
            </w:tcBorders>
            <w:shd w:val="clear" w:color="auto" w:fill="BFBFBF" w:themeFill="background1" w:themeFillShade="BF"/>
          </w:tcPr>
          <w:p w14:paraId="413E0472" w14:textId="0FCAF402" w:rsidR="006E3270" w:rsidRPr="006E3270" w:rsidRDefault="006E3270" w:rsidP="006E3270">
            <w:pPr>
              <w:jc w:val="center"/>
              <w:rPr>
                <w:b/>
                <w:bCs/>
                <w:sz w:val="20"/>
                <w:szCs w:val="20"/>
              </w:rPr>
            </w:pPr>
            <w:r w:rsidRPr="006E3270">
              <w:rPr>
                <w:b/>
                <w:bCs/>
                <w:sz w:val="20"/>
                <w:szCs w:val="20"/>
              </w:rPr>
              <w:t>Difference</w:t>
            </w:r>
          </w:p>
        </w:tc>
      </w:tr>
      <w:tr w:rsidR="006E3270" w:rsidRPr="006E3270" w14:paraId="6D45AD8F" w14:textId="77777777" w:rsidTr="0084343F">
        <w:tc>
          <w:tcPr>
            <w:tcW w:w="2972" w:type="dxa"/>
          </w:tcPr>
          <w:p w14:paraId="65B0BF4D" w14:textId="3401B581" w:rsidR="006E3270" w:rsidRPr="006E3270" w:rsidRDefault="006E3270" w:rsidP="00945B2F">
            <w:pPr>
              <w:rPr>
                <w:sz w:val="20"/>
                <w:szCs w:val="20"/>
              </w:rPr>
            </w:pPr>
            <w:r>
              <w:rPr>
                <w:sz w:val="20"/>
                <w:szCs w:val="20"/>
              </w:rPr>
              <w:t xml:space="preserve">Average dose per patient </w:t>
            </w:r>
          </w:p>
        </w:tc>
        <w:tc>
          <w:tcPr>
            <w:tcW w:w="1991" w:type="dxa"/>
          </w:tcPr>
          <w:p w14:paraId="48A7CE02" w14:textId="597FD8F1" w:rsidR="006E3270" w:rsidRPr="006E3270" w:rsidRDefault="0084343F" w:rsidP="006E3270">
            <w:pPr>
              <w:jc w:val="center"/>
              <w:rPr>
                <w:sz w:val="20"/>
                <w:szCs w:val="20"/>
              </w:rPr>
            </w:pPr>
            <w:r w:rsidRPr="0084343F">
              <w:rPr>
                <w:color w:val="000000"/>
                <w:sz w:val="20"/>
                <w:szCs w:val="20"/>
                <w:shd w:val="solid" w:color="000000" w:fill="000000"/>
                <w14:textFill>
                  <w14:solidFill>
                    <w14:srgbClr w14:val="000000">
                      <w14:alpha w14:val="100000"/>
                    </w14:srgbClr>
                  </w14:solidFill>
                </w14:textFill>
              </w:rPr>
              <w:t>|</w:t>
            </w:r>
            <w:r>
              <w:rPr>
                <w:sz w:val="20"/>
                <w:szCs w:val="20"/>
              </w:rPr>
              <w:t xml:space="preserve"> </w:t>
            </w:r>
            <w:r w:rsidR="006E3270">
              <w:rPr>
                <w:sz w:val="20"/>
                <w:szCs w:val="20"/>
              </w:rPr>
              <w:t>mg</w:t>
            </w:r>
          </w:p>
        </w:tc>
        <w:tc>
          <w:tcPr>
            <w:tcW w:w="1992" w:type="dxa"/>
          </w:tcPr>
          <w:p w14:paraId="6896F5D2" w14:textId="40510362" w:rsidR="006E3270" w:rsidRPr="006E3270" w:rsidRDefault="006E3270" w:rsidP="006E3270">
            <w:pPr>
              <w:jc w:val="center"/>
              <w:rPr>
                <w:sz w:val="20"/>
                <w:szCs w:val="20"/>
              </w:rPr>
            </w:pPr>
            <w:r>
              <w:rPr>
                <w:sz w:val="20"/>
                <w:szCs w:val="20"/>
              </w:rPr>
              <w:t xml:space="preserve"> </w:t>
            </w:r>
            <w:r w:rsidR="0074279A">
              <w:rPr>
                <w:sz w:val="20"/>
                <w:szCs w:val="20"/>
              </w:rPr>
              <w:t>75</w:t>
            </w:r>
            <w:r w:rsidR="00A81E7F">
              <w:rPr>
                <w:sz w:val="20"/>
                <w:szCs w:val="20"/>
              </w:rPr>
              <w:t>8</w:t>
            </w:r>
            <w:r w:rsidR="0074279A">
              <w:rPr>
                <w:sz w:val="20"/>
                <w:szCs w:val="20"/>
              </w:rPr>
              <w:t xml:space="preserve"> mg </w:t>
            </w:r>
          </w:p>
        </w:tc>
        <w:tc>
          <w:tcPr>
            <w:tcW w:w="1992" w:type="dxa"/>
            <w:tcBorders>
              <w:bottom w:val="single" w:sz="4" w:space="0" w:color="auto"/>
            </w:tcBorders>
            <w:shd w:val="solid" w:color="000000" w:fill="000000"/>
          </w:tcPr>
          <w:p w14:paraId="026163FE" w14:textId="4C370FF1" w:rsidR="006E3270" w:rsidRPr="006E3270" w:rsidRDefault="0084343F" w:rsidP="006E3270">
            <w:pPr>
              <w:jc w:val="center"/>
              <w:rPr>
                <w:sz w:val="20"/>
                <w:szCs w:val="20"/>
              </w:rPr>
            </w:pPr>
            <w:r w:rsidRPr="0084343F">
              <w:rPr>
                <w:color w:val="000000"/>
                <w:sz w:val="20"/>
                <w:szCs w:val="20"/>
                <w14:textFill>
                  <w14:solidFill>
                    <w14:srgbClr w14:val="000000">
                      <w14:alpha w14:val="100000"/>
                    </w14:srgbClr>
                  </w14:solidFill>
                </w14:textFill>
              </w:rPr>
              <w:t>|</w:t>
            </w:r>
          </w:p>
        </w:tc>
      </w:tr>
      <w:tr w:rsidR="006E3270" w:rsidRPr="006E3270" w14:paraId="1C1157AD" w14:textId="77777777" w:rsidTr="0084343F">
        <w:tc>
          <w:tcPr>
            <w:tcW w:w="2972" w:type="dxa"/>
          </w:tcPr>
          <w:p w14:paraId="25204030" w14:textId="614E81FA" w:rsidR="006E3270" w:rsidRPr="006E3270" w:rsidRDefault="006E3270" w:rsidP="00945B2F">
            <w:pPr>
              <w:rPr>
                <w:sz w:val="20"/>
                <w:szCs w:val="20"/>
              </w:rPr>
            </w:pPr>
            <w:r>
              <w:rPr>
                <w:sz w:val="20"/>
                <w:szCs w:val="20"/>
              </w:rPr>
              <w:t xml:space="preserve">Average treatment duration </w:t>
            </w:r>
          </w:p>
        </w:tc>
        <w:tc>
          <w:tcPr>
            <w:tcW w:w="1991" w:type="dxa"/>
            <w:tcBorders>
              <w:bottom w:val="single" w:sz="4" w:space="0" w:color="auto"/>
            </w:tcBorders>
          </w:tcPr>
          <w:p w14:paraId="614B37F1" w14:textId="789F212D" w:rsidR="006E3270" w:rsidRPr="006E3270" w:rsidRDefault="0084343F" w:rsidP="006E3270">
            <w:pPr>
              <w:jc w:val="center"/>
              <w:rPr>
                <w:sz w:val="20"/>
                <w:szCs w:val="20"/>
              </w:rPr>
            </w:pPr>
            <w:r w:rsidRPr="0084343F">
              <w:rPr>
                <w:color w:val="000000"/>
                <w:sz w:val="20"/>
                <w:szCs w:val="20"/>
                <w:shd w:val="solid" w:color="000000" w:fill="000000"/>
                <w14:textFill>
                  <w14:solidFill>
                    <w14:srgbClr w14:val="000000">
                      <w14:alpha w14:val="100000"/>
                    </w14:srgbClr>
                  </w14:solidFill>
                </w14:textFill>
              </w:rPr>
              <w:t>|</w:t>
            </w:r>
            <w:r>
              <w:rPr>
                <w:sz w:val="20"/>
                <w:szCs w:val="20"/>
              </w:rPr>
              <w:t xml:space="preserve"> </w:t>
            </w:r>
            <w:r w:rsidR="00C2578C">
              <w:rPr>
                <w:sz w:val="20"/>
                <w:szCs w:val="20"/>
              </w:rPr>
              <w:t>weeks</w:t>
            </w:r>
          </w:p>
        </w:tc>
        <w:tc>
          <w:tcPr>
            <w:tcW w:w="1992" w:type="dxa"/>
          </w:tcPr>
          <w:p w14:paraId="1DAE15D5" w14:textId="1710EE5C" w:rsidR="006E3270" w:rsidRPr="006E3270" w:rsidRDefault="003D1D29" w:rsidP="006E3270">
            <w:pPr>
              <w:jc w:val="center"/>
              <w:rPr>
                <w:sz w:val="20"/>
                <w:szCs w:val="20"/>
              </w:rPr>
            </w:pPr>
            <w:r>
              <w:rPr>
                <w:sz w:val="20"/>
                <w:szCs w:val="20"/>
              </w:rPr>
              <w:t>34.6</w:t>
            </w:r>
            <w:r w:rsidR="00BB7BC2">
              <w:rPr>
                <w:sz w:val="20"/>
                <w:szCs w:val="20"/>
              </w:rPr>
              <w:t>4</w:t>
            </w:r>
            <w:r>
              <w:rPr>
                <w:sz w:val="20"/>
                <w:szCs w:val="20"/>
              </w:rPr>
              <w:t xml:space="preserve"> weeks </w:t>
            </w:r>
          </w:p>
        </w:tc>
        <w:tc>
          <w:tcPr>
            <w:tcW w:w="1992" w:type="dxa"/>
            <w:tcBorders>
              <w:bottom w:val="single" w:sz="4" w:space="0" w:color="auto"/>
            </w:tcBorders>
            <w:shd w:val="solid" w:color="000000" w:fill="000000"/>
          </w:tcPr>
          <w:p w14:paraId="3A885AD4" w14:textId="65813DD2" w:rsidR="006E3270" w:rsidRPr="006E3270" w:rsidRDefault="0084343F" w:rsidP="006E3270">
            <w:pPr>
              <w:jc w:val="center"/>
              <w:rPr>
                <w:sz w:val="20"/>
                <w:szCs w:val="20"/>
              </w:rPr>
            </w:pPr>
            <w:r w:rsidRPr="0084343F">
              <w:rPr>
                <w:color w:val="000000"/>
                <w:sz w:val="20"/>
                <w:szCs w:val="20"/>
                <w14:textFill>
                  <w14:solidFill>
                    <w14:srgbClr w14:val="000000">
                      <w14:alpha w14:val="100000"/>
                    </w14:srgbClr>
                  </w14:solidFill>
                </w14:textFill>
              </w:rPr>
              <w:t>|</w:t>
            </w:r>
          </w:p>
        </w:tc>
      </w:tr>
      <w:tr w:rsidR="006E3270" w:rsidRPr="006E3270" w14:paraId="5CFB4C2E" w14:textId="77777777" w:rsidTr="0084343F">
        <w:tc>
          <w:tcPr>
            <w:tcW w:w="2972" w:type="dxa"/>
          </w:tcPr>
          <w:p w14:paraId="605D4776" w14:textId="255142EA" w:rsidR="006E3270" w:rsidRPr="006E3270" w:rsidRDefault="006E3270" w:rsidP="00945B2F">
            <w:pPr>
              <w:rPr>
                <w:sz w:val="20"/>
                <w:szCs w:val="20"/>
              </w:rPr>
            </w:pPr>
            <w:r>
              <w:rPr>
                <w:sz w:val="20"/>
                <w:szCs w:val="20"/>
              </w:rPr>
              <w:t xml:space="preserve">Average prescriptions per patient </w:t>
            </w:r>
          </w:p>
        </w:tc>
        <w:tc>
          <w:tcPr>
            <w:tcW w:w="1991" w:type="dxa"/>
            <w:shd w:val="solid" w:color="000000" w:fill="000000"/>
          </w:tcPr>
          <w:p w14:paraId="758B5BDF" w14:textId="73B7852F" w:rsidR="006E3270" w:rsidRPr="006E3270" w:rsidRDefault="0084343F" w:rsidP="006E3270">
            <w:pPr>
              <w:jc w:val="center"/>
              <w:rPr>
                <w:sz w:val="20"/>
                <w:szCs w:val="20"/>
              </w:rPr>
            </w:pPr>
            <w:r w:rsidRPr="0084343F">
              <w:rPr>
                <w:color w:val="000000"/>
                <w:sz w:val="20"/>
                <w:szCs w:val="20"/>
                <w14:textFill>
                  <w14:solidFill>
                    <w14:srgbClr w14:val="000000">
                      <w14:alpha w14:val="100000"/>
                    </w14:srgbClr>
                  </w14:solidFill>
                </w14:textFill>
              </w:rPr>
              <w:t>|</w:t>
            </w:r>
          </w:p>
        </w:tc>
        <w:tc>
          <w:tcPr>
            <w:tcW w:w="1992" w:type="dxa"/>
          </w:tcPr>
          <w:p w14:paraId="7E506A53" w14:textId="7F94FD89" w:rsidR="006E3270" w:rsidRPr="006E3270" w:rsidRDefault="003D1D29" w:rsidP="006E3270">
            <w:pPr>
              <w:jc w:val="center"/>
              <w:rPr>
                <w:sz w:val="20"/>
                <w:szCs w:val="20"/>
              </w:rPr>
            </w:pPr>
            <w:r>
              <w:rPr>
                <w:sz w:val="20"/>
                <w:szCs w:val="20"/>
              </w:rPr>
              <w:t>17.3</w:t>
            </w:r>
            <w:r w:rsidR="00BB7BC2">
              <w:rPr>
                <w:sz w:val="20"/>
                <w:szCs w:val="20"/>
              </w:rPr>
              <w:t>2</w:t>
            </w:r>
          </w:p>
        </w:tc>
        <w:tc>
          <w:tcPr>
            <w:tcW w:w="1992" w:type="dxa"/>
            <w:shd w:val="solid" w:color="000000" w:fill="000000"/>
          </w:tcPr>
          <w:p w14:paraId="6E0BFD24" w14:textId="1E66D9A1" w:rsidR="006E3270" w:rsidRPr="006E3270" w:rsidRDefault="0084343F" w:rsidP="006E3270">
            <w:pPr>
              <w:jc w:val="center"/>
              <w:rPr>
                <w:sz w:val="20"/>
                <w:szCs w:val="20"/>
              </w:rPr>
            </w:pPr>
            <w:r w:rsidRPr="0084343F">
              <w:rPr>
                <w:color w:val="000000"/>
                <w:sz w:val="20"/>
                <w:szCs w:val="20"/>
                <w14:textFill>
                  <w14:solidFill>
                    <w14:srgbClr w14:val="000000">
                      <w14:alpha w14:val="100000"/>
                    </w14:srgbClr>
                  </w14:solidFill>
                </w14:textFill>
              </w:rPr>
              <w:t>|</w:t>
            </w:r>
          </w:p>
        </w:tc>
      </w:tr>
    </w:tbl>
    <w:p w14:paraId="3235F7FC" w14:textId="7E50036D" w:rsidR="001F4071" w:rsidRDefault="001F4071" w:rsidP="00C2578C">
      <w:r w:rsidRPr="001F4071">
        <w:rPr>
          <w:color w:val="000000"/>
          <w:w w:val="54"/>
          <w:shd w:val="solid" w:color="000000" w:fill="000000"/>
          <w:fitText w:val="8840" w:id="-1459878656"/>
          <w14:textFill>
            <w14:solidFill>
              <w14:srgbClr w14:val="000000">
                <w14:alpha w14:val="100000"/>
              </w14:srgbClr>
            </w14:solidFill>
          </w14:textFill>
        </w:rPr>
        <w:lastRenderedPageBreak/>
        <w:t>|||||||||||||||||||||||||||||||||||||||||||||||||||||||||||||||||||||||||||||||||||||||||||||||||||||||||||||||||||||||||||||||||||||||||||||||||</w:t>
      </w:r>
      <w:r w:rsidRPr="001F4071">
        <w:rPr>
          <w:color w:val="000000"/>
          <w:spacing w:val="131"/>
          <w:w w:val="54"/>
          <w:shd w:val="solid" w:color="000000" w:fill="000000"/>
          <w:fitText w:val="8840" w:id="-1459878656"/>
          <w14:textFill>
            <w14:solidFill>
              <w14:srgbClr w14:val="000000">
                <w14:alpha w14:val="100000"/>
              </w14:srgbClr>
            </w14:solidFill>
          </w14:textFill>
        </w:rPr>
        <w:t>|</w:t>
      </w:r>
      <w:r>
        <w:t xml:space="preserve"> </w:t>
      </w:r>
      <w:r w:rsidRPr="001F4071">
        <w:rPr>
          <w:color w:val="000000"/>
          <w:spacing w:val="1"/>
          <w:w w:val="54"/>
          <w:shd w:val="solid" w:color="000000" w:fill="000000"/>
          <w:fitText w:val="8227" w:id="-1459878655"/>
          <w14:textFill>
            <w14:solidFill>
              <w14:srgbClr w14:val="000000">
                <w14:alpha w14:val="100000"/>
              </w14:srgbClr>
            </w14:solidFill>
          </w14:textFill>
        </w:rPr>
        <w:t>|||||||||||||||||||||||||||||||||||||||||||||||||||||||||||||||||||||||||||||||||||||||||||||||||||||||||||||||||||||||||||||||||||||||</w:t>
      </w:r>
      <w:r w:rsidRPr="001F4071">
        <w:rPr>
          <w:color w:val="000000"/>
          <w:spacing w:val="-20"/>
          <w:w w:val="54"/>
          <w:shd w:val="solid" w:color="000000" w:fill="000000"/>
          <w:fitText w:val="8227" w:id="-1459878655"/>
          <w14:textFill>
            <w14:solidFill>
              <w14:srgbClr w14:val="000000">
                <w14:alpha w14:val="100000"/>
              </w14:srgbClr>
            </w14:solidFill>
          </w14:textFill>
        </w:rPr>
        <w:t>|</w:t>
      </w:r>
      <w:r>
        <w:t xml:space="preserve"> </w:t>
      </w:r>
      <w:r w:rsidRPr="001F4071">
        <w:rPr>
          <w:color w:val="000000"/>
          <w:w w:val="75"/>
          <w:shd w:val="solid" w:color="000000" w:fill="000000"/>
          <w:fitText w:val="501" w:id="-1459878654"/>
          <w14:textFill>
            <w14:solidFill>
              <w14:srgbClr w14:val="000000">
                <w14:alpha w14:val="100000"/>
              </w14:srgbClr>
            </w14:solidFill>
          </w14:textFill>
        </w:rPr>
        <w:t>||||||</w:t>
      </w:r>
      <w:r>
        <w:t xml:space="preserve"> </w:t>
      </w:r>
      <w:r w:rsidRPr="001F4071">
        <w:rPr>
          <w:color w:val="000000"/>
          <w:w w:val="55"/>
          <w:shd w:val="solid" w:color="000000" w:fill="000000"/>
          <w:fitText w:val="7826" w:id="-1459878653"/>
          <w14:textFill>
            <w14:solidFill>
              <w14:srgbClr w14:val="000000">
                <w14:alpha w14:val="100000"/>
              </w14:srgbClr>
            </w14:solidFill>
          </w14:textFill>
        </w:rPr>
        <w:t>|||||||||||||||||||||||||||||||||||||||||||||||||||||||||||||||||||||||||||||||||||||||||||||||||||||||||||||||||||||||||||||||</w:t>
      </w:r>
      <w:r w:rsidRPr="001F4071">
        <w:rPr>
          <w:color w:val="000000"/>
          <w:spacing w:val="55"/>
          <w:w w:val="55"/>
          <w:shd w:val="solid" w:color="000000" w:fill="000000"/>
          <w:fitText w:val="7826" w:id="-1459878653"/>
          <w14:textFill>
            <w14:solidFill>
              <w14:srgbClr w14:val="000000">
                <w14:alpha w14:val="100000"/>
              </w14:srgbClr>
            </w14:solidFill>
          </w14:textFill>
        </w:rPr>
        <w:t>|</w:t>
      </w:r>
      <w:r>
        <w:t xml:space="preserve"> </w:t>
      </w:r>
      <w:r w:rsidRPr="001F4071">
        <w:rPr>
          <w:color w:val="000000"/>
          <w:w w:val="55"/>
          <w:shd w:val="solid" w:color="000000" w:fill="000000"/>
          <w:fitText w:val="4646" w:id="-1459878652"/>
          <w14:textFill>
            <w14:solidFill>
              <w14:srgbClr w14:val="000000">
                <w14:alpha w14:val="100000"/>
              </w14:srgbClr>
            </w14:solidFill>
          </w14:textFill>
        </w:rPr>
        <w:t>|||||||||||||||||||||||||||||||||||||||||||||||||||||||||||||||||||||||||||</w:t>
      </w:r>
      <w:r w:rsidRPr="001F4071">
        <w:rPr>
          <w:color w:val="000000"/>
          <w:spacing w:val="32"/>
          <w:w w:val="55"/>
          <w:shd w:val="solid" w:color="000000" w:fill="000000"/>
          <w:fitText w:val="4646" w:id="-1459878652"/>
          <w14:textFill>
            <w14:solidFill>
              <w14:srgbClr w14:val="000000">
                <w14:alpha w14:val="100000"/>
              </w14:srgbClr>
            </w14:solidFill>
          </w14:textFill>
        </w:rPr>
        <w:t>|</w:t>
      </w:r>
      <w:r>
        <w:t xml:space="preserve"> </w:t>
      </w:r>
    </w:p>
    <w:p w14:paraId="3E2CF0D4" w14:textId="3A6254B5" w:rsidR="001F4071" w:rsidRDefault="001F4071" w:rsidP="00C2578C">
      <w:r w:rsidRPr="001F4071">
        <w:rPr>
          <w:color w:val="000000"/>
          <w:w w:val="55"/>
          <w:shd w:val="solid" w:color="000000" w:fill="000000"/>
          <w:fitText w:val="8289" w:id="-1459878651"/>
          <w14:textFill>
            <w14:solidFill>
              <w14:srgbClr w14:val="000000">
                <w14:alpha w14:val="100000"/>
              </w14:srgbClr>
            </w14:solidFill>
          </w14:textFill>
        </w:rPr>
        <w:t>|||||||||||||||||||||||||||||||||||||||||||||||||||||||||||||||||||||||||||||||||||||||||||||||||||||||||||||||||||||||||||||||||||||||</w:t>
      </w:r>
      <w:r w:rsidRPr="001F4071">
        <w:rPr>
          <w:color w:val="000000"/>
          <w:spacing w:val="33"/>
          <w:w w:val="55"/>
          <w:shd w:val="solid" w:color="000000" w:fill="000000"/>
          <w:fitText w:val="8289" w:id="-1459878651"/>
          <w14:textFill>
            <w14:solidFill>
              <w14:srgbClr w14:val="000000">
                <w14:alpha w14:val="100000"/>
              </w14:srgbClr>
            </w14:solidFill>
          </w14:textFill>
        </w:rPr>
        <w:t>|</w:t>
      </w:r>
      <w:r>
        <w:t xml:space="preserve"> </w:t>
      </w:r>
      <w:r w:rsidRPr="001F4071">
        <w:rPr>
          <w:color w:val="000000"/>
          <w:w w:val="55"/>
          <w:shd w:val="solid" w:color="000000" w:fill="000000"/>
          <w:fitText w:val="8390" w:id="-1459878650"/>
          <w14:textFill>
            <w14:solidFill>
              <w14:srgbClr w14:val="000000">
                <w14:alpha w14:val="100000"/>
              </w14:srgbClr>
            </w14:solidFill>
          </w14:textFill>
        </w:rPr>
        <w:t>|||||||||||||||||||||||||||||||||||||||||||||||||||||||||||||||||||||||||||||||||||||||||||||||||||||||||||||||||||||||||||||||||||||||||</w:t>
      </w:r>
      <w:r w:rsidRPr="001F4071">
        <w:rPr>
          <w:color w:val="000000"/>
          <w:spacing w:val="12"/>
          <w:w w:val="55"/>
          <w:shd w:val="solid" w:color="000000" w:fill="000000"/>
          <w:fitText w:val="8390" w:id="-1459878650"/>
          <w14:textFill>
            <w14:solidFill>
              <w14:srgbClr w14:val="000000">
                <w14:alpha w14:val="100000"/>
              </w14:srgbClr>
            </w14:solidFill>
          </w14:textFill>
        </w:rPr>
        <w:t>|</w:t>
      </w:r>
      <w:r>
        <w:t xml:space="preserve"> </w:t>
      </w:r>
      <w:r w:rsidRPr="001F4071">
        <w:rPr>
          <w:color w:val="000000"/>
          <w:w w:val="54"/>
          <w:shd w:val="solid" w:color="000000" w:fill="000000"/>
          <w:fitText w:val="8465" w:id="-1459878649"/>
          <w14:textFill>
            <w14:solidFill>
              <w14:srgbClr w14:val="000000">
                <w14:alpha w14:val="100000"/>
              </w14:srgbClr>
            </w14:solidFill>
          </w14:textFill>
        </w:rPr>
        <w:t>|||||||||||||||||||||||||||||||||||||||||||||||||||||||||||||||||||||||||||||||||||||||||||||||||||||||||||||||||||||||||||||||||||||||||||</w:t>
      </w:r>
      <w:r w:rsidRPr="001F4071">
        <w:rPr>
          <w:color w:val="000000"/>
          <w:spacing w:val="114"/>
          <w:w w:val="54"/>
          <w:shd w:val="solid" w:color="000000" w:fill="000000"/>
          <w:fitText w:val="8465" w:id="-1459878649"/>
          <w14:textFill>
            <w14:solidFill>
              <w14:srgbClr w14:val="000000">
                <w14:alpha w14:val="100000"/>
              </w14:srgbClr>
            </w14:solidFill>
          </w14:textFill>
        </w:rPr>
        <w:t>|</w:t>
      </w:r>
      <w:r>
        <w:t xml:space="preserve"> </w:t>
      </w:r>
      <w:r w:rsidRPr="001F4071">
        <w:rPr>
          <w:color w:val="000000"/>
          <w:w w:val="55"/>
          <w:shd w:val="solid" w:color="000000" w:fill="000000"/>
          <w:fitText w:val="8791" w:id="-1459878648"/>
          <w14:textFill>
            <w14:solidFill>
              <w14:srgbClr w14:val="000000">
                <w14:alpha w14:val="100000"/>
              </w14:srgbClr>
            </w14:solidFill>
          </w14:textFill>
        </w:rPr>
        <w:t>|||||||||||||||||||||||||||||||||||||||||||||||||||||||||||||||||||||||||||||||||||||||||||||||||||||||||||||||||||||||||||||||||||||||||||||||</w:t>
      </w:r>
      <w:r w:rsidRPr="001F4071">
        <w:rPr>
          <w:color w:val="000000"/>
          <w:spacing w:val="49"/>
          <w:w w:val="55"/>
          <w:shd w:val="solid" w:color="000000" w:fill="000000"/>
          <w:fitText w:val="8791" w:id="-1459878648"/>
          <w14:textFill>
            <w14:solidFill>
              <w14:srgbClr w14:val="000000">
                <w14:alpha w14:val="100000"/>
              </w14:srgbClr>
            </w14:solidFill>
          </w14:textFill>
        </w:rPr>
        <w:t>|</w:t>
      </w:r>
      <w:r>
        <w:t xml:space="preserve"> </w:t>
      </w:r>
      <w:r w:rsidRPr="001F4071">
        <w:rPr>
          <w:color w:val="000000"/>
          <w:w w:val="55"/>
          <w:shd w:val="solid" w:color="000000" w:fill="000000"/>
          <w:fitText w:val="8428" w:id="-1459878647"/>
          <w14:textFill>
            <w14:solidFill>
              <w14:srgbClr w14:val="000000">
                <w14:alpha w14:val="100000"/>
              </w14:srgbClr>
            </w14:solidFill>
          </w14:textFill>
        </w:rPr>
        <w:t>|||||||||||||||||||||||||||||||||||||||||||||||||||||||||||||||||||||||||||||||||||||||||||||||||||||||||||||||||||||||||||||||||||||||||</w:t>
      </w:r>
      <w:r w:rsidRPr="001F4071">
        <w:rPr>
          <w:color w:val="000000"/>
          <w:spacing w:val="50"/>
          <w:w w:val="55"/>
          <w:shd w:val="solid" w:color="000000" w:fill="000000"/>
          <w:fitText w:val="8428" w:id="-1459878647"/>
          <w14:textFill>
            <w14:solidFill>
              <w14:srgbClr w14:val="000000">
                <w14:alpha w14:val="100000"/>
              </w14:srgbClr>
            </w14:solidFill>
          </w14:textFill>
        </w:rPr>
        <w:t>|</w:t>
      </w:r>
      <w:r>
        <w:t xml:space="preserve"> </w:t>
      </w:r>
      <w:r w:rsidRPr="001F4071">
        <w:rPr>
          <w:color w:val="000000"/>
          <w:w w:val="55"/>
          <w:shd w:val="solid" w:color="000000" w:fill="000000"/>
          <w:fitText w:val="3945" w:id="-1459878646"/>
          <w14:textFill>
            <w14:solidFill>
              <w14:srgbClr w14:val="000000">
                <w14:alpha w14:val="100000"/>
              </w14:srgbClr>
            </w14:solidFill>
          </w14:textFill>
        </w:rPr>
        <w:t>|||||||||||||||||||||||||||||||||||||||||||||||||||||||||||||||</w:t>
      </w:r>
      <w:r w:rsidRPr="001F4071">
        <w:rPr>
          <w:color w:val="000000"/>
          <w:spacing w:val="60"/>
          <w:w w:val="55"/>
          <w:shd w:val="solid" w:color="000000" w:fill="000000"/>
          <w:fitText w:val="3945" w:id="-1459878646"/>
          <w14:textFill>
            <w14:solidFill>
              <w14:srgbClr w14:val="000000">
                <w14:alpha w14:val="100000"/>
              </w14:srgbClr>
            </w14:solidFill>
          </w14:textFill>
        </w:rPr>
        <w:t>|</w:t>
      </w:r>
      <w:r>
        <w:t xml:space="preserve"> </w:t>
      </w:r>
    </w:p>
    <w:p w14:paraId="575B37AD" w14:textId="3AEB136A" w:rsidR="006A49AF" w:rsidRPr="00C2578C" w:rsidRDefault="006A49AF" w:rsidP="00C2578C">
      <w:pPr>
        <w:rPr>
          <w:b/>
          <w:bCs/>
          <w:u w:val="single"/>
        </w:rPr>
      </w:pPr>
      <w:r>
        <w:br w:type="page"/>
      </w:r>
    </w:p>
    <w:p w14:paraId="3555DFBA" w14:textId="5F0ED701" w:rsidR="00591512" w:rsidRDefault="00AB3733" w:rsidP="00F73113">
      <w:pPr>
        <w:pStyle w:val="Heading1"/>
      </w:pPr>
      <w:r>
        <w:lastRenderedPageBreak/>
        <w:t>D</w:t>
      </w:r>
      <w:r w:rsidR="007346C7" w:rsidRPr="005E22C2">
        <w:t>iscussion</w:t>
      </w:r>
    </w:p>
    <w:p w14:paraId="060BC5EA" w14:textId="43BEF885" w:rsidR="000F4641" w:rsidRDefault="000F4641" w:rsidP="00B2797D">
      <w:pPr>
        <w:shd w:val="clear" w:color="auto" w:fill="FFFFFF"/>
        <w:spacing w:after="0" w:line="300" w:lineRule="atLeast"/>
        <w:ind w:right="150"/>
        <w:rPr>
          <w:rFonts w:eastAsia="Times New Roman" w:cstheme="minorHAnsi"/>
          <w:color w:val="222222"/>
        </w:rPr>
      </w:pPr>
      <w:r>
        <w:t>Utilisation of immunotherapies and targeted therapies for the treatment of NSCLC has increased over time, following the PBS listings of new therapies. Due to the different dosing regimens between drugs,</w:t>
      </w:r>
      <w:r w:rsidR="00B2797D">
        <w:t xml:space="preserve"> the patient counts </w:t>
      </w:r>
      <w:r w:rsidR="00317A72">
        <w:t xml:space="preserve">were </w:t>
      </w:r>
      <w:r w:rsidR="00B2797D">
        <w:t xml:space="preserve">considered more representative of utilisation compared to the number of prescriptions supplied. In 2021, </w:t>
      </w:r>
      <w:r w:rsidR="00317A72">
        <w:t xml:space="preserve">NSCLC </w:t>
      </w:r>
      <w:r w:rsidR="00B2797D">
        <w:t>patients were most commonly treated with pembrolizumab</w:t>
      </w:r>
      <w:r w:rsidR="00317A72">
        <w:t xml:space="preserve"> (Table 4)</w:t>
      </w:r>
      <w:r w:rsidR="00B2797D">
        <w:t xml:space="preserve">. </w:t>
      </w:r>
      <w:r w:rsidR="00B2797D" w:rsidRPr="00B2797D">
        <w:rPr>
          <w:rFonts w:eastAsia="Times New Roman" w:cstheme="minorHAnsi"/>
          <w:color w:val="222222"/>
        </w:rPr>
        <w:t>Based on the targeted therapy type, the most common therapies were alectinib (</w:t>
      </w:r>
      <w:r w:rsidR="00B2797D">
        <w:rPr>
          <w:rFonts w:eastAsia="Times New Roman" w:cstheme="minorHAnsi"/>
          <w:color w:val="222222"/>
        </w:rPr>
        <w:t>ALK</w:t>
      </w:r>
      <w:r w:rsidR="00B2797D" w:rsidRPr="00B2797D">
        <w:rPr>
          <w:rFonts w:eastAsia="Times New Roman" w:cstheme="minorHAnsi"/>
          <w:color w:val="222222"/>
        </w:rPr>
        <w:t xml:space="preserve"> inhibitor), osimertinib (</w:t>
      </w:r>
      <w:r w:rsidR="00B2797D">
        <w:rPr>
          <w:rFonts w:eastAsia="Times New Roman" w:cstheme="minorHAnsi"/>
          <w:color w:val="222222"/>
        </w:rPr>
        <w:t>EGFR</w:t>
      </w:r>
      <w:r w:rsidR="00B2797D" w:rsidRPr="00B2797D">
        <w:rPr>
          <w:rFonts w:eastAsia="Times New Roman" w:cstheme="minorHAnsi"/>
          <w:color w:val="222222"/>
        </w:rPr>
        <w:t xml:space="preserve"> receptor inhibitor) and entrectinib (</w:t>
      </w:r>
      <w:r w:rsidR="00B2797D">
        <w:rPr>
          <w:lang w:eastAsia="zh-CN"/>
        </w:rPr>
        <w:t>ROS1 inhibitor)</w:t>
      </w:r>
      <w:r w:rsidR="00317A72">
        <w:rPr>
          <w:lang w:eastAsia="zh-CN"/>
        </w:rPr>
        <w:t xml:space="preserve"> (Figure 6, 8, 10)</w:t>
      </w:r>
      <w:r w:rsidR="00B2797D">
        <w:rPr>
          <w:lang w:eastAsia="zh-CN"/>
        </w:rPr>
        <w:t xml:space="preserve">. </w:t>
      </w:r>
    </w:p>
    <w:p w14:paraId="30E5844C" w14:textId="77777777" w:rsidR="00B2797D" w:rsidRPr="00B2797D" w:rsidRDefault="00B2797D" w:rsidP="00B2797D">
      <w:pPr>
        <w:shd w:val="clear" w:color="auto" w:fill="FFFFFF"/>
        <w:spacing w:after="0" w:line="300" w:lineRule="atLeast"/>
        <w:ind w:right="150"/>
        <w:rPr>
          <w:rFonts w:eastAsia="Times New Roman" w:cstheme="minorHAnsi"/>
          <w:color w:val="222222"/>
        </w:rPr>
      </w:pPr>
    </w:p>
    <w:p w14:paraId="6FFA5C46" w14:textId="59A55A35" w:rsidR="00B2797D" w:rsidRDefault="00B2797D" w:rsidP="00294B0E">
      <w:r>
        <w:rPr>
          <w:rFonts w:cstheme="minorHAnsi"/>
          <w:color w:val="222222"/>
          <w:bdr w:val="none" w:sz="0" w:space="0" w:color="auto" w:frame="1"/>
        </w:rPr>
        <w:t xml:space="preserve">Overall utilisation of durvalumab was </w:t>
      </w:r>
      <w:r w:rsidR="001F4071" w:rsidRPr="00C6576B">
        <w:rPr>
          <w:rFonts w:cstheme="minorHAnsi"/>
          <w:color w:val="222222"/>
          <w:w w:val="75"/>
          <w:shd w:val="solid" w:color="000000" w:fill="000000"/>
          <w:fitText w:val="501" w:id="-1459878645"/>
          <w14:textFill>
            <w14:solidFill>
              <w14:srgbClr w14:val="222222">
                <w14:alpha w14:val="100000"/>
              </w14:srgbClr>
            </w14:solidFill>
          </w14:textFill>
        </w:rPr>
        <w:t>|||||</w:t>
      </w:r>
      <w:r w:rsidR="001F4071" w:rsidRPr="00C6576B">
        <w:rPr>
          <w:rFonts w:cstheme="minorHAnsi"/>
          <w:color w:val="222222"/>
          <w:spacing w:val="3"/>
          <w:w w:val="75"/>
          <w:shd w:val="solid" w:color="000000" w:fill="000000"/>
          <w:fitText w:val="501" w:id="-1459878645"/>
          <w14:textFill>
            <w14:solidFill>
              <w14:srgbClr w14:val="222222">
                <w14:alpha w14:val="100000"/>
              </w14:srgbClr>
            </w14:solidFill>
          </w14:textFill>
        </w:rPr>
        <w:t>|</w:t>
      </w:r>
      <w:r w:rsidR="001F4071">
        <w:rPr>
          <w:rFonts w:cstheme="minorHAnsi"/>
          <w:color w:val="222222"/>
          <w:highlight w:val="lightGray"/>
          <w:bdr w:val="none" w:sz="0" w:space="0" w:color="auto" w:frame="1"/>
        </w:rPr>
        <w:t xml:space="preserve"> </w:t>
      </w:r>
      <w:r>
        <w:rPr>
          <w:rFonts w:cstheme="minorHAnsi"/>
          <w:color w:val="222222"/>
          <w:bdr w:val="none" w:sz="0" w:space="0" w:color="auto" w:frame="1"/>
        </w:rPr>
        <w:t xml:space="preserve">than estimated. At its November 2018 meeting, </w:t>
      </w:r>
      <w:r>
        <w:t>t</w:t>
      </w:r>
      <w:r w:rsidR="00DC0F1D">
        <w:t xml:space="preserve">he PBAC </w:t>
      </w:r>
      <w:r w:rsidR="00DC0F1D" w:rsidRPr="00DC0F1D">
        <w:t xml:space="preserve">considered </w:t>
      </w:r>
      <w:r>
        <w:t>that if durvalumab was PBS listed, “there would only be a modest increase in the overall number of patients treated for NSCLC, provided sequential treatment with different PD-(L)1 therapies was precluded” (paragraph 7.13, durvalumab Public Summary Document,</w:t>
      </w:r>
      <w:r w:rsidRPr="00DC0F1D">
        <w:t xml:space="preserve"> </w:t>
      </w:r>
      <w:r>
        <w:t xml:space="preserve">November 2018 meeting). Between 2020 and 2021, there was only a 6% increase in the overall number of patients treated for NSCLC (Table 4), and only a 0.3% increase in the number of NSCLC patients treated with immunotherapies (Table 6). </w:t>
      </w:r>
      <w:r w:rsidR="00821986">
        <w:t xml:space="preserve">In Table 9, following the PBS listing of durvalumab, 99.1% of NSCLC patients treated with immunotherapies did not switch to a different immunotherapy. </w:t>
      </w:r>
    </w:p>
    <w:p w14:paraId="52B8F57F" w14:textId="3FEFB10E" w:rsidR="00B2797D" w:rsidRDefault="00B2797D" w:rsidP="00B2797D">
      <w:pPr>
        <w:rPr>
          <w:rFonts w:cstheme="minorHAnsi"/>
          <w:color w:val="222222"/>
          <w:bdr w:val="none" w:sz="0" w:space="0" w:color="auto" w:frame="1"/>
        </w:rPr>
      </w:pPr>
      <w:r w:rsidRPr="00642906">
        <w:rPr>
          <w:rFonts w:cstheme="minorHAnsi"/>
          <w:color w:val="222222"/>
          <w:bdr w:val="none" w:sz="0" w:space="0" w:color="auto" w:frame="1"/>
        </w:rPr>
        <w:t>The Kaplan-Meier analysis of</w:t>
      </w:r>
      <w:r w:rsidR="007731E8">
        <w:rPr>
          <w:rFonts w:cstheme="minorHAnsi"/>
          <w:color w:val="222222"/>
          <w:bdr w:val="none" w:sz="0" w:space="0" w:color="auto" w:frame="1"/>
        </w:rPr>
        <w:t xml:space="preserve"> the </w:t>
      </w:r>
      <w:r w:rsidRPr="00642906">
        <w:rPr>
          <w:rFonts w:cstheme="minorHAnsi"/>
          <w:color w:val="222222"/>
          <w:bdr w:val="none" w:sz="0" w:space="0" w:color="auto" w:frame="1"/>
        </w:rPr>
        <w:t>patient</w:t>
      </w:r>
      <w:r w:rsidR="003A3796">
        <w:rPr>
          <w:rFonts w:cstheme="minorHAnsi"/>
          <w:color w:val="222222"/>
          <w:bdr w:val="none" w:sz="0" w:space="0" w:color="auto" w:frame="1"/>
        </w:rPr>
        <w:t xml:space="preserve"> cohort</w:t>
      </w:r>
      <w:r w:rsidRPr="00642906">
        <w:rPr>
          <w:rFonts w:cstheme="minorHAnsi"/>
          <w:color w:val="222222"/>
          <w:bdr w:val="none" w:sz="0" w:space="0" w:color="auto" w:frame="1"/>
        </w:rPr>
        <w:t xml:space="preserve"> treated with d</w:t>
      </w:r>
      <w:r>
        <w:rPr>
          <w:rFonts w:cstheme="minorHAnsi"/>
          <w:color w:val="222222"/>
          <w:bdr w:val="none" w:sz="0" w:space="0" w:color="auto" w:frame="1"/>
        </w:rPr>
        <w:t>ur</w:t>
      </w:r>
      <w:r w:rsidRPr="00642906">
        <w:rPr>
          <w:rFonts w:cstheme="minorHAnsi"/>
          <w:color w:val="222222"/>
          <w:bdr w:val="none" w:sz="0" w:space="0" w:color="auto" w:frame="1"/>
        </w:rPr>
        <w:t xml:space="preserve">valumab demonstrated that the median treatment duration was </w:t>
      </w:r>
      <w:r w:rsidR="00821986">
        <w:rPr>
          <w:rFonts w:cstheme="minorHAnsi"/>
          <w:color w:val="222222"/>
          <w:bdr w:val="none" w:sz="0" w:space="0" w:color="auto" w:frame="1"/>
        </w:rPr>
        <w:t>10.84 months (43.36 weeks)</w:t>
      </w:r>
      <w:r w:rsidRPr="00642906">
        <w:rPr>
          <w:rFonts w:cstheme="minorHAnsi"/>
          <w:color w:val="222222"/>
          <w:bdr w:val="none" w:sz="0" w:space="0" w:color="auto" w:frame="1"/>
        </w:rPr>
        <w:t xml:space="preserve">. </w:t>
      </w:r>
      <w:r w:rsidR="007731E8">
        <w:rPr>
          <w:rFonts w:cstheme="minorHAnsi"/>
          <w:color w:val="222222"/>
          <w:bdr w:val="none" w:sz="0" w:space="0" w:color="auto" w:frame="1"/>
        </w:rPr>
        <w:t xml:space="preserve">None of these patients (initiated </w:t>
      </w:r>
      <w:r w:rsidR="00317A72">
        <w:rPr>
          <w:rFonts w:cstheme="minorHAnsi"/>
          <w:color w:val="222222"/>
          <w:bdr w:val="none" w:sz="0" w:space="0" w:color="auto" w:frame="1"/>
        </w:rPr>
        <w:t xml:space="preserve">treatment </w:t>
      </w:r>
      <w:r w:rsidR="007731E8">
        <w:rPr>
          <w:rFonts w:cstheme="minorHAnsi"/>
          <w:color w:val="222222"/>
          <w:bdr w:val="none" w:sz="0" w:space="0" w:color="auto" w:frame="1"/>
        </w:rPr>
        <w:t xml:space="preserve">between 1 June to 30 November 2020) were considered to </w:t>
      </w:r>
      <w:r w:rsidR="00317A72">
        <w:rPr>
          <w:rFonts w:cstheme="minorHAnsi"/>
          <w:color w:val="222222"/>
          <w:bdr w:val="none" w:sz="0" w:space="0" w:color="auto" w:frame="1"/>
        </w:rPr>
        <w:t xml:space="preserve">be  </w:t>
      </w:r>
      <w:r w:rsidR="007731E8">
        <w:rPr>
          <w:rFonts w:cstheme="minorHAnsi"/>
          <w:color w:val="222222"/>
          <w:bdr w:val="none" w:sz="0" w:space="0" w:color="auto" w:frame="1"/>
        </w:rPr>
        <w:t>continuing treatment with durvalumab up to 24 months</w:t>
      </w:r>
      <w:r w:rsidR="00B05BA0">
        <w:rPr>
          <w:rFonts w:cstheme="minorHAnsi"/>
          <w:color w:val="222222"/>
          <w:bdr w:val="none" w:sz="0" w:space="0" w:color="auto" w:frame="1"/>
        </w:rPr>
        <w:t xml:space="preserve"> (30 June 2022)</w:t>
      </w:r>
      <w:r w:rsidR="007731E8">
        <w:rPr>
          <w:rFonts w:cstheme="minorHAnsi"/>
          <w:color w:val="222222"/>
          <w:bdr w:val="none" w:sz="0" w:space="0" w:color="auto" w:frame="1"/>
        </w:rPr>
        <w:t xml:space="preserve"> following </w:t>
      </w:r>
      <w:r w:rsidR="00B05BA0">
        <w:rPr>
          <w:rFonts w:cstheme="minorHAnsi"/>
          <w:color w:val="222222"/>
          <w:bdr w:val="none" w:sz="0" w:space="0" w:color="auto" w:frame="1"/>
        </w:rPr>
        <w:t xml:space="preserve">initiation. </w:t>
      </w:r>
      <w:r w:rsidRPr="00642906">
        <w:rPr>
          <w:rFonts w:cstheme="minorHAnsi"/>
          <w:color w:val="222222"/>
          <w:bdr w:val="none" w:sz="0" w:space="0" w:color="auto" w:frame="1"/>
        </w:rPr>
        <w:t xml:space="preserve">These findings </w:t>
      </w:r>
      <w:r w:rsidR="00317A72">
        <w:rPr>
          <w:rFonts w:cstheme="minorHAnsi"/>
          <w:color w:val="222222"/>
          <w:bdr w:val="none" w:sz="0" w:space="0" w:color="auto" w:frame="1"/>
        </w:rPr>
        <w:t xml:space="preserve">were </w:t>
      </w:r>
      <w:r>
        <w:rPr>
          <w:rFonts w:cstheme="minorHAnsi"/>
          <w:color w:val="222222"/>
          <w:bdr w:val="none" w:sz="0" w:space="0" w:color="auto" w:frame="1"/>
        </w:rPr>
        <w:t xml:space="preserve">consistent </w:t>
      </w:r>
      <w:r w:rsidRPr="00642906">
        <w:rPr>
          <w:rFonts w:cstheme="minorHAnsi"/>
          <w:color w:val="222222"/>
          <w:bdr w:val="none" w:sz="0" w:space="0" w:color="auto" w:frame="1"/>
        </w:rPr>
        <w:t xml:space="preserve">with durvalumab’s restriction which </w:t>
      </w:r>
      <w:r w:rsidR="00317A72" w:rsidRPr="00642906">
        <w:rPr>
          <w:rFonts w:cstheme="minorHAnsi"/>
          <w:color w:val="222222"/>
          <w:bdr w:val="none" w:sz="0" w:space="0" w:color="auto" w:frame="1"/>
        </w:rPr>
        <w:t>state</w:t>
      </w:r>
      <w:r w:rsidR="00610D11">
        <w:rPr>
          <w:rFonts w:cstheme="minorHAnsi"/>
          <w:color w:val="222222"/>
          <w:bdr w:val="none" w:sz="0" w:space="0" w:color="auto" w:frame="1"/>
        </w:rPr>
        <w:t>s</w:t>
      </w:r>
      <w:r w:rsidR="00317A72" w:rsidRPr="00642906">
        <w:rPr>
          <w:rFonts w:cstheme="minorHAnsi"/>
          <w:color w:val="222222"/>
          <w:bdr w:val="none" w:sz="0" w:space="0" w:color="auto" w:frame="1"/>
        </w:rPr>
        <w:t xml:space="preserve"> </w:t>
      </w:r>
      <w:r w:rsidRPr="00642906">
        <w:rPr>
          <w:rFonts w:cstheme="minorHAnsi"/>
          <w:color w:val="222222"/>
          <w:bdr w:val="none" w:sz="0" w:space="0" w:color="auto" w:frame="1"/>
        </w:rPr>
        <w:t>that</w:t>
      </w:r>
      <w:r w:rsidR="00317A72">
        <w:rPr>
          <w:rFonts w:cstheme="minorHAnsi"/>
          <w:color w:val="222222"/>
          <w:bdr w:val="none" w:sz="0" w:space="0" w:color="auto" w:frame="1"/>
        </w:rPr>
        <w:t>,</w:t>
      </w:r>
      <w:r w:rsidRPr="00642906">
        <w:rPr>
          <w:rFonts w:cstheme="minorHAnsi"/>
          <w:color w:val="222222"/>
          <w:bdr w:val="none" w:sz="0" w:space="0" w:color="auto" w:frame="1"/>
        </w:rPr>
        <w:t xml:space="preserve"> </w:t>
      </w:r>
      <w:r w:rsidR="00317A72">
        <w:rPr>
          <w:rFonts w:cstheme="minorHAnsi"/>
          <w:color w:val="222222"/>
          <w:bdr w:val="none" w:sz="0" w:space="0" w:color="auto" w:frame="1"/>
        </w:rPr>
        <w:t>“</w:t>
      </w:r>
      <w:r w:rsidRPr="00642906">
        <w:rPr>
          <w:rFonts w:cstheme="minorHAnsi"/>
          <w:color w:val="222222"/>
          <w:bdr w:val="none" w:sz="0" w:space="0" w:color="auto" w:frame="1"/>
        </w:rPr>
        <w:t>treatment must not exceed 12 months for this condition under the initial and continuing restriction combined.</w:t>
      </w:r>
      <w:r w:rsidR="00317A72">
        <w:rPr>
          <w:rFonts w:cstheme="minorHAnsi"/>
          <w:color w:val="222222"/>
          <w:bdr w:val="none" w:sz="0" w:space="0" w:color="auto" w:frame="1"/>
        </w:rPr>
        <w:t>”</w:t>
      </w:r>
      <w:r w:rsidRPr="00642906">
        <w:rPr>
          <w:rFonts w:cstheme="minorHAnsi"/>
          <w:color w:val="222222"/>
          <w:bdr w:val="none" w:sz="0" w:space="0" w:color="auto" w:frame="1"/>
        </w:rPr>
        <w:t xml:space="preserve"> </w:t>
      </w:r>
    </w:p>
    <w:p w14:paraId="505E5EE5" w14:textId="1C2FCC26" w:rsidR="00580564" w:rsidRDefault="00580564" w:rsidP="00294B0E">
      <w:r>
        <w:t xml:space="preserve">At its March 2022 </w:t>
      </w:r>
      <w:r w:rsidR="00DC0F1D">
        <w:t>m</w:t>
      </w:r>
      <w:r>
        <w:t xml:space="preserve">eeting, the PBAC recommended the listing of </w:t>
      </w:r>
      <w:r w:rsidR="00017FBF">
        <w:t xml:space="preserve">the </w:t>
      </w:r>
      <w:r>
        <w:t xml:space="preserve">durvalumab 1500 mg Q4W regimen for the treatment of NSCLC. The PBAC recommended amending the existing of durvalumab (increasing the maximum amount from 1200 mg to 1500 mg, reducing the number of repeats from 8 to 4, and removal of administrative advice preventing the increase in the maximum number of repeats </w:t>
      </w:r>
      <w:r w:rsidR="00017FBF">
        <w:t xml:space="preserve">that </w:t>
      </w:r>
      <w:r>
        <w:t xml:space="preserve">may be authorised). It </w:t>
      </w:r>
      <w:r w:rsidR="002B672E">
        <w:t>wa</w:t>
      </w:r>
      <w:r>
        <w:t xml:space="preserve">s noted that these changes </w:t>
      </w:r>
      <w:r w:rsidR="000D7DE1">
        <w:t xml:space="preserve">were implemented in August 2022, however as the data analysis period ended in June 2022, the impact of these changes </w:t>
      </w:r>
      <w:r w:rsidR="00317A72">
        <w:t xml:space="preserve">were </w:t>
      </w:r>
      <w:r w:rsidR="000D7DE1">
        <w:t xml:space="preserve">not included as part of the review. </w:t>
      </w:r>
      <w:r>
        <w:t xml:space="preserve"> </w:t>
      </w:r>
    </w:p>
    <w:p w14:paraId="32CAA849" w14:textId="77777777" w:rsidR="006808FD" w:rsidRDefault="006808FD" w:rsidP="006808FD">
      <w:pPr>
        <w:pStyle w:val="Heading1"/>
      </w:pPr>
      <w:r>
        <w:t>DUSC consideration</w:t>
      </w:r>
    </w:p>
    <w:p w14:paraId="3B5FABCC" w14:textId="72EE43DC" w:rsidR="00EE5B67" w:rsidRPr="009F034E" w:rsidRDefault="00EE5B67" w:rsidP="00EE5B67">
      <w:r w:rsidRPr="009F034E">
        <w:t xml:space="preserve">DUSC noted the utilisation of NSCLC therapies over time. DUSC considered the overall NSCLC market to be stable and noted that over time, utilisation of immunotherapies have been declining, whilst utilisation of targeted therapies have been increasing. </w:t>
      </w:r>
    </w:p>
    <w:p w14:paraId="3E9D3050" w14:textId="49238691" w:rsidR="00EE5B67" w:rsidRPr="009F034E" w:rsidRDefault="00EE5B67" w:rsidP="00EE5B67">
      <w:r w:rsidRPr="009F034E">
        <w:t xml:space="preserve">DUSC noted pembrolizumab was the most common NSCLC immunotherapy. DUSC considered its high level of utilisation compared to other immunotherapies may have been due to clinician preference and clinical inertia. DUSC noted the differences in treatment regimen between immunotherapies and commented that patients may be less likely to be </w:t>
      </w:r>
      <w:r w:rsidRPr="009F034E">
        <w:lastRenderedPageBreak/>
        <w:t xml:space="preserve">treated with combination therapies due to their toxicity. Additionally, DUSC commented on the lack of data demonstrating a greater level of clinical effectiveness associated with pembrolizumab compared to other NSCLC immunotherapies. DUSC noted epidermal growth factor receptor (EGFR) inhibitors were the most commonly used targeted therapy. DUSC noted osimertinib was the most common EGFR inhibitor used and noted the growth in utilisation following its extension to listing from second line to the first line setting. </w:t>
      </w:r>
    </w:p>
    <w:p w14:paraId="2A384D8E" w14:textId="62F2D539" w:rsidR="00EE5B67" w:rsidRPr="009F034E" w:rsidRDefault="00EE5B67" w:rsidP="00EE5B67">
      <w:r w:rsidRPr="009F034E">
        <w:t xml:space="preserve">DUSC noted utilisation of durvalumab for the treatment of Stage III NSCLC was </w:t>
      </w:r>
      <w:r w:rsidR="00B473A4" w:rsidRPr="00B473A4">
        <w:rPr>
          <w:color w:val="000000"/>
          <w:w w:val="74"/>
          <w:shd w:val="solid" w:color="000000" w:fill="000000"/>
          <w:fitText w:val="495" w:id="-1318859776"/>
          <w14:textFill>
            <w14:solidFill>
              <w14:srgbClr w14:val="000000">
                <w14:alpha w14:val="100000"/>
              </w14:srgbClr>
            </w14:solidFill>
          </w14:textFill>
        </w:rPr>
        <w:t>||||||</w:t>
      </w:r>
      <w:r w:rsidR="00B473A4">
        <w:t xml:space="preserve"> </w:t>
      </w:r>
      <w:r w:rsidRPr="009F034E">
        <w:t xml:space="preserve">than estimated. DUSC commented that its </w:t>
      </w:r>
      <w:r w:rsidR="00B473A4" w:rsidRPr="00B473A4">
        <w:rPr>
          <w:color w:val="000000"/>
          <w:w w:val="76"/>
          <w:shd w:val="solid" w:color="000000" w:fill="000000"/>
          <w:fitText w:val="510" w:id="-1318859775"/>
          <w14:textFill>
            <w14:solidFill>
              <w14:srgbClr w14:val="000000">
                <w14:alpha w14:val="100000"/>
              </w14:srgbClr>
            </w14:solidFill>
          </w14:textFill>
        </w:rPr>
        <w:t>||||||</w:t>
      </w:r>
      <w:r w:rsidR="00B473A4">
        <w:t xml:space="preserve"> </w:t>
      </w:r>
      <w:r w:rsidRPr="009F034E">
        <w:t xml:space="preserve">than expected utilisation may be due to recent evidence of the benefits of targeted therapy in Stage III NSCLC patients. Additionally, DUSC considered the added risk of toxicity following chemotherapy and patients being restricted to only ever being treated with one immunotherapy as other reasons these patients would be less likely to be treated with immunotherapy. </w:t>
      </w:r>
    </w:p>
    <w:p w14:paraId="2F8DEF42" w14:textId="3CC3C990" w:rsidR="00EE5B67" w:rsidRPr="009F034E" w:rsidRDefault="00EE5B67" w:rsidP="00EE5B67">
      <w:r w:rsidRPr="009F034E">
        <w:t xml:space="preserve">DUSC noted that durvalumab patients were adhering to the two weekly dosing regimen and noted the average treatment duration and average prescriptions per patient was slightly lower than estimated. DUSC commented that these findings did not correspond with the predicted versus actual analysis of the number of durvalumab prescriptions supplied and considered that the final estimates did not apply a half-cycle correction to adjust for the date of PBS listing. </w:t>
      </w:r>
    </w:p>
    <w:p w14:paraId="5111EE68" w14:textId="77777777" w:rsidR="006808FD" w:rsidRDefault="006808FD" w:rsidP="006808FD">
      <w:pPr>
        <w:pStyle w:val="Heading1"/>
      </w:pPr>
      <w:r>
        <w:t>DUSC actions</w:t>
      </w:r>
    </w:p>
    <w:p w14:paraId="37F3DAFB" w14:textId="559BCA21" w:rsidR="006808FD" w:rsidRPr="00EE5B67" w:rsidRDefault="00EE5B67" w:rsidP="006808FD">
      <w:pPr>
        <w:rPr>
          <w:highlight w:val="yellow"/>
        </w:rPr>
      </w:pPr>
      <w:r w:rsidRPr="00EE5B67">
        <w:t>DUSC requested that the report be provided to the PBAC for consideration.</w:t>
      </w:r>
    </w:p>
    <w:p w14:paraId="2124A8CD" w14:textId="77777777" w:rsidR="006808FD" w:rsidRDefault="006808FD" w:rsidP="006808FD">
      <w:pPr>
        <w:pStyle w:val="Heading1"/>
      </w:pPr>
      <w:r w:rsidRPr="0092516A">
        <w:t>Context for analysis</w:t>
      </w:r>
    </w:p>
    <w:p w14:paraId="166C7D3E" w14:textId="77777777" w:rsidR="006808FD" w:rsidRDefault="006808FD" w:rsidP="006808FD">
      <w:r>
        <w:t>The DUSC is a Sub Committee of the Pharmaceutical Benefits Advisory Committee (PBAC). The DUSC assesses estimates on projected usage and financial cost of medicines.</w:t>
      </w:r>
    </w:p>
    <w:p w14:paraId="5B0D72E9" w14:textId="77777777" w:rsidR="006808FD" w:rsidRDefault="006808FD" w:rsidP="006808FD">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2DFE481C" w14:textId="77777777" w:rsidR="006808FD" w:rsidRDefault="006808FD" w:rsidP="006808FD">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0F21307E" w14:textId="77777777" w:rsidR="006808FD" w:rsidRDefault="006808FD" w:rsidP="006808FD">
      <w:r>
        <w:t>The utilisation analysis report was provided to the pharmaceutical sponsors of each drug and comments on the report were provided to DUSC prior to its consideration of the analysis.</w:t>
      </w:r>
    </w:p>
    <w:p w14:paraId="074E0ED8" w14:textId="77777777" w:rsidR="006808FD" w:rsidRDefault="006808FD" w:rsidP="006808FD">
      <w:pPr>
        <w:pStyle w:val="Heading1"/>
      </w:pPr>
      <w:r>
        <w:lastRenderedPageBreak/>
        <w:t>Sponsor</w:t>
      </w:r>
      <w:r w:rsidRPr="0092516A">
        <w:t>s</w:t>
      </w:r>
      <w:r>
        <w:t>’</w:t>
      </w:r>
      <w:r w:rsidRPr="0092516A">
        <w:t xml:space="preserve"> comments</w:t>
      </w:r>
    </w:p>
    <w:p w14:paraId="7BB98EED" w14:textId="7CBC5542" w:rsidR="00401353" w:rsidRPr="00005827" w:rsidRDefault="00401353" w:rsidP="00401353">
      <w:pPr>
        <w:pStyle w:val="Tablewriting"/>
        <w:spacing w:before="240"/>
        <w:rPr>
          <w:sz w:val="24"/>
          <w:szCs w:val="24"/>
        </w:rPr>
      </w:pPr>
      <w:r w:rsidRPr="00005827">
        <w:rPr>
          <w:sz w:val="24"/>
          <w:szCs w:val="24"/>
        </w:rPr>
        <w:t>Apotex Pty Ltd:</w:t>
      </w:r>
      <w:r w:rsidR="00005827" w:rsidRPr="00005827">
        <w:rPr>
          <w:sz w:val="24"/>
          <w:szCs w:val="24"/>
        </w:rPr>
        <w:t xml:space="preserve"> The sponsor has no comment.</w:t>
      </w:r>
    </w:p>
    <w:p w14:paraId="18AD0D6A" w14:textId="601FC7BA" w:rsidR="00401353" w:rsidRPr="00005827" w:rsidRDefault="00401353" w:rsidP="00401353">
      <w:pPr>
        <w:spacing w:before="240"/>
      </w:pPr>
      <w:r w:rsidRPr="00005827">
        <w:t>AstraZeneca Pty Ltd:</w:t>
      </w:r>
      <w:r w:rsidR="00005827" w:rsidRPr="00005827">
        <w:t xml:space="preserve"> The sponsor has no comment.</w:t>
      </w:r>
    </w:p>
    <w:p w14:paraId="41E863F7" w14:textId="3E3E0310" w:rsidR="00401353" w:rsidRPr="00005827" w:rsidRDefault="00401353" w:rsidP="00401353">
      <w:pPr>
        <w:spacing w:before="240"/>
      </w:pPr>
      <w:r w:rsidRPr="00005827">
        <w:t>Boehringer Ingelheim Pty Ltd:</w:t>
      </w:r>
      <w:r w:rsidR="00005827" w:rsidRPr="00005827">
        <w:t xml:space="preserve"> The sponsor has no comment.</w:t>
      </w:r>
    </w:p>
    <w:p w14:paraId="0B4FC703" w14:textId="6C084424" w:rsidR="00401353" w:rsidRPr="00005827" w:rsidRDefault="00401353" w:rsidP="00401353">
      <w:pPr>
        <w:spacing w:before="240"/>
      </w:pPr>
      <w:r w:rsidRPr="00005827">
        <w:t>Bristol-Myers Squibb Australia Pty Ltd:</w:t>
      </w:r>
      <w:r w:rsidR="00005827" w:rsidRPr="00005827">
        <w:t xml:space="preserve"> The sponsor has no comment.</w:t>
      </w:r>
    </w:p>
    <w:p w14:paraId="0E926E1F" w14:textId="142B1649" w:rsidR="00401353" w:rsidRPr="00005827" w:rsidRDefault="00401353" w:rsidP="00401353">
      <w:pPr>
        <w:pStyle w:val="Tablewriting"/>
        <w:spacing w:before="240"/>
        <w:rPr>
          <w:sz w:val="24"/>
          <w:szCs w:val="24"/>
        </w:rPr>
      </w:pPr>
      <w:r w:rsidRPr="00005827">
        <w:rPr>
          <w:sz w:val="24"/>
          <w:szCs w:val="24"/>
        </w:rPr>
        <w:t>Cipla Australia Pty Ltd:</w:t>
      </w:r>
      <w:r w:rsidR="00005827" w:rsidRPr="00005827">
        <w:rPr>
          <w:sz w:val="24"/>
          <w:szCs w:val="24"/>
        </w:rPr>
        <w:t xml:space="preserve"> The sponsor has no comment.</w:t>
      </w:r>
    </w:p>
    <w:p w14:paraId="22975F4C" w14:textId="5402B613" w:rsidR="00401353" w:rsidRPr="00005827" w:rsidRDefault="00401353" w:rsidP="00401353">
      <w:pPr>
        <w:spacing w:before="240"/>
      </w:pPr>
      <w:r w:rsidRPr="00005827">
        <w:t>Merck Sharp &amp; Dohme (Australia) Pty Ltd:</w:t>
      </w:r>
      <w:r w:rsidR="00005827" w:rsidRPr="00005827">
        <w:t xml:space="preserve"> The sponsor has no comment.</w:t>
      </w:r>
    </w:p>
    <w:p w14:paraId="242FBDC1" w14:textId="070FE2A7" w:rsidR="00401353" w:rsidRPr="00005827" w:rsidRDefault="00401353" w:rsidP="00401353">
      <w:pPr>
        <w:spacing w:before="240"/>
      </w:pPr>
      <w:r w:rsidRPr="00005827">
        <w:t>Novartis Pharmaceuticals Australia Pty Limited:</w:t>
      </w:r>
      <w:r w:rsidR="00005827" w:rsidRPr="00005827">
        <w:t xml:space="preserve"> The sponsor has no comment.</w:t>
      </w:r>
    </w:p>
    <w:p w14:paraId="568F521B" w14:textId="0776DBCA" w:rsidR="00401353" w:rsidRPr="00005827" w:rsidRDefault="00401353" w:rsidP="00401353">
      <w:pPr>
        <w:spacing w:before="240"/>
      </w:pPr>
      <w:r w:rsidRPr="00005827">
        <w:t>Pfizer Australia Pty Ltd:</w:t>
      </w:r>
      <w:r w:rsidR="00005827" w:rsidRPr="00005827">
        <w:t xml:space="preserve"> The sponsor has no comment.</w:t>
      </w:r>
    </w:p>
    <w:p w14:paraId="534DAA1A" w14:textId="75DA93EB" w:rsidR="00401353" w:rsidRPr="00005827" w:rsidRDefault="00401353" w:rsidP="00401353">
      <w:pPr>
        <w:spacing w:before="240"/>
      </w:pPr>
      <w:r w:rsidRPr="00005827">
        <w:t>Roche Products Pty Ltd:</w:t>
      </w:r>
      <w:r w:rsidR="00005827" w:rsidRPr="00005827">
        <w:t xml:space="preserve"> The sponsor has no comment.</w:t>
      </w:r>
    </w:p>
    <w:p w14:paraId="65838E8B" w14:textId="5D699FC5" w:rsidR="00401353" w:rsidRPr="00005827" w:rsidRDefault="00401353" w:rsidP="00401353">
      <w:pPr>
        <w:spacing w:before="240"/>
      </w:pPr>
      <w:r w:rsidRPr="00005827">
        <w:t xml:space="preserve">Sandoz Pty Ltd: </w:t>
      </w:r>
      <w:r w:rsidR="00005827" w:rsidRPr="00005827">
        <w:t>The sponsor has no comment.</w:t>
      </w:r>
    </w:p>
    <w:p w14:paraId="7158EE44" w14:textId="38233D15" w:rsidR="00401353" w:rsidRPr="00005827" w:rsidRDefault="00401353" w:rsidP="00401353">
      <w:pPr>
        <w:spacing w:before="240"/>
      </w:pPr>
      <w:r w:rsidRPr="00005827">
        <w:t>Takeda Pharmaceuticals Australia Pty. Ltd:</w:t>
      </w:r>
      <w:r w:rsidR="00005827" w:rsidRPr="00005827">
        <w:t xml:space="preserve"> The sponsor has no comment.</w:t>
      </w:r>
    </w:p>
    <w:p w14:paraId="79EBDE20" w14:textId="77777777" w:rsidR="006808FD" w:rsidRDefault="006808FD" w:rsidP="006808FD">
      <w:pPr>
        <w:pStyle w:val="Heading1"/>
      </w:pPr>
      <w:r w:rsidRPr="00A4020E">
        <w:t>Disclaimer</w:t>
      </w:r>
    </w:p>
    <w:p w14:paraId="0BF389D2" w14:textId="77777777" w:rsidR="009F034E" w:rsidRDefault="009F034E" w:rsidP="009F034E">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18FAF30E" w14:textId="77777777" w:rsidR="009F034E" w:rsidRDefault="009F034E" w:rsidP="009F034E">
      <w:r>
        <w:t>The Department of Health and Aged Care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6E4B0CEE" w14:textId="77777777" w:rsidR="009F034E" w:rsidRDefault="009F034E" w:rsidP="009F034E">
      <w:r>
        <w:t xml:space="preserve">To the extent provided by law, the Department of Health and Aged Care makes no warranties or representations as to accuracy or completeness of information contained in this report. </w:t>
      </w:r>
    </w:p>
    <w:p w14:paraId="219EA9A6" w14:textId="3395AFD1" w:rsidR="00C26E6D" w:rsidRPr="00005827" w:rsidRDefault="009F034E" w:rsidP="00005827">
      <w:r>
        <w:t>To the fullest extent permitted by law, neither the Department of Health and Aged Care nor any Department of Health and Aged Care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35AA6988" w14:textId="0C6BE0E0" w:rsidR="004B306F" w:rsidRDefault="004B306F" w:rsidP="00F73113">
      <w:pPr>
        <w:pStyle w:val="Heading1"/>
      </w:pPr>
      <w:r>
        <w:lastRenderedPageBreak/>
        <w:t>References</w:t>
      </w:r>
    </w:p>
    <w:p w14:paraId="18045BB3" w14:textId="40852706" w:rsidR="002D66E1" w:rsidRDefault="002D66E1" w:rsidP="00BE7D1A">
      <w:pPr>
        <w:pStyle w:val="FootnoteText"/>
        <w:spacing w:before="240"/>
        <w:rPr>
          <w:sz w:val="24"/>
          <w:szCs w:val="24"/>
        </w:rPr>
      </w:pPr>
      <w:r w:rsidRPr="00BE7D1A">
        <w:rPr>
          <w:sz w:val="24"/>
          <w:szCs w:val="24"/>
        </w:rPr>
        <w:t xml:space="preserve">Alecensa (alectinib). Australian Approved Product Information. Sydney: Roche Products Pty Limited. Approved 14 March 2017, updated 7 May 2021. Available from &lt; </w:t>
      </w:r>
      <w:hyperlink r:id="rId45" w:history="1">
        <w:r w:rsidR="008843FC" w:rsidRPr="0075389A">
          <w:rPr>
            <w:rStyle w:val="Hyperlink"/>
            <w:sz w:val="24"/>
            <w:szCs w:val="24"/>
          </w:rPr>
          <w:t>https://www.tga.gov.au/product-information-pi</w:t>
        </w:r>
      </w:hyperlink>
      <w:r w:rsidRPr="00BE7D1A">
        <w:rPr>
          <w:sz w:val="24"/>
          <w:szCs w:val="24"/>
        </w:rPr>
        <w:t>.&gt;</w:t>
      </w:r>
    </w:p>
    <w:p w14:paraId="16DDE5BD" w14:textId="7958F7BD" w:rsidR="002D66E1" w:rsidRDefault="002D66E1" w:rsidP="00BE7D1A">
      <w:pPr>
        <w:pStyle w:val="FootnoteText"/>
        <w:spacing w:before="240"/>
        <w:rPr>
          <w:sz w:val="24"/>
          <w:szCs w:val="24"/>
        </w:rPr>
      </w:pPr>
      <w:r w:rsidRPr="00BE7D1A">
        <w:rPr>
          <w:sz w:val="24"/>
          <w:szCs w:val="24"/>
        </w:rPr>
        <w:t xml:space="preserve">Alunbrig (brigatinib). Australian Approved Product Information. Sydney: Takeda Pharmaceuticals Australia Pty Ltd. Approved 6 March 2019, updated 3 June 2022. Available from &lt; </w:t>
      </w:r>
      <w:hyperlink r:id="rId46" w:history="1">
        <w:r w:rsidR="008843FC" w:rsidRPr="0075389A">
          <w:rPr>
            <w:rStyle w:val="Hyperlink"/>
            <w:sz w:val="24"/>
            <w:szCs w:val="24"/>
          </w:rPr>
          <w:t>https://www.tga.gov.au/product-information-pi</w:t>
        </w:r>
      </w:hyperlink>
      <w:r w:rsidRPr="00BE7D1A">
        <w:rPr>
          <w:sz w:val="24"/>
          <w:szCs w:val="24"/>
        </w:rPr>
        <w:t>.&gt;</w:t>
      </w:r>
    </w:p>
    <w:p w14:paraId="4BBA168B" w14:textId="37550220" w:rsidR="008843FC" w:rsidRDefault="002D66E1" w:rsidP="00BE7D1A">
      <w:pPr>
        <w:pStyle w:val="FootnoteText"/>
        <w:spacing w:before="240"/>
        <w:rPr>
          <w:sz w:val="24"/>
          <w:szCs w:val="24"/>
        </w:rPr>
      </w:pPr>
      <w:r w:rsidRPr="00BE7D1A">
        <w:rPr>
          <w:sz w:val="24"/>
          <w:szCs w:val="24"/>
        </w:rPr>
        <w:t xml:space="preserve">Australian Institute of Health and Welfare. Cancer data in Australia [Internet]. Canberra: Australian Institute of Health and Welfare, 2020 [cited 2020 Aug. 19]. Available from: </w:t>
      </w:r>
      <w:hyperlink r:id="rId47" w:history="1">
        <w:r w:rsidR="008843FC" w:rsidRPr="0075389A">
          <w:rPr>
            <w:rStyle w:val="Hyperlink"/>
            <w:sz w:val="24"/>
            <w:szCs w:val="24"/>
          </w:rPr>
          <w:t>https://www.aihw.gov.au/reports/cancer/cancer-data-in-australia</w:t>
        </w:r>
      </w:hyperlink>
    </w:p>
    <w:p w14:paraId="38D8610C" w14:textId="6163D46D" w:rsidR="008843FC" w:rsidRDefault="00BE7D1A" w:rsidP="00BE7D1A">
      <w:pPr>
        <w:pStyle w:val="FootnoteText"/>
        <w:spacing w:before="240"/>
        <w:rPr>
          <w:sz w:val="24"/>
          <w:szCs w:val="24"/>
        </w:rPr>
      </w:pPr>
      <w:r w:rsidRPr="00BE7D1A">
        <w:rPr>
          <w:sz w:val="24"/>
          <w:szCs w:val="24"/>
        </w:rPr>
        <w:t xml:space="preserve">Cipla Gefitinib (gefitinib). Australian Approved Product Information. South Melbourne: Cipla Australia Pty Ltd. Approved 23 April 2020, updated 30 April 2021. Available from &lt; </w:t>
      </w:r>
      <w:hyperlink r:id="rId48" w:history="1">
        <w:r w:rsidR="008843FC" w:rsidRPr="0075389A">
          <w:rPr>
            <w:rStyle w:val="Hyperlink"/>
            <w:sz w:val="24"/>
            <w:szCs w:val="24"/>
          </w:rPr>
          <w:t>https://www.tga.gov.au/product-information-pi</w:t>
        </w:r>
      </w:hyperlink>
      <w:r w:rsidRPr="00BE7D1A">
        <w:rPr>
          <w:sz w:val="24"/>
          <w:szCs w:val="24"/>
        </w:rPr>
        <w:t>.&gt;</w:t>
      </w:r>
    </w:p>
    <w:p w14:paraId="5009E8FA" w14:textId="5BBAAD1B" w:rsidR="008843FC" w:rsidRDefault="008843FC" w:rsidP="00BE7D1A">
      <w:pPr>
        <w:pStyle w:val="FootnoteText"/>
        <w:spacing w:before="240"/>
        <w:rPr>
          <w:sz w:val="24"/>
          <w:szCs w:val="24"/>
        </w:rPr>
      </w:pPr>
      <w:r w:rsidRPr="008843FC">
        <w:rPr>
          <w:sz w:val="24"/>
          <w:szCs w:val="24"/>
        </w:rPr>
        <w:t xml:space="preserve">Department of Health and Aged Care. Pharmaceutical Benefits Scheme (PBS). Bevacizumab on the PBS. Available from </w:t>
      </w:r>
      <w:hyperlink r:id="rId49" w:history="1">
        <w:r w:rsidRPr="0075389A">
          <w:rPr>
            <w:rStyle w:val="Hyperlink"/>
            <w:sz w:val="24"/>
            <w:szCs w:val="24"/>
          </w:rPr>
          <w:t>https://www.pbs.gov.au/info/news/2021/07/bevacizumab-on-the-pbs</w:t>
        </w:r>
      </w:hyperlink>
    </w:p>
    <w:p w14:paraId="386D38E8" w14:textId="47B6EF5F" w:rsidR="002D66E1" w:rsidRDefault="002D66E1" w:rsidP="00BE7D1A">
      <w:pPr>
        <w:pStyle w:val="FootnoteText"/>
        <w:spacing w:before="240"/>
        <w:rPr>
          <w:sz w:val="24"/>
          <w:szCs w:val="24"/>
        </w:rPr>
      </w:pPr>
      <w:r w:rsidRPr="00BE7D1A">
        <w:rPr>
          <w:sz w:val="24"/>
          <w:szCs w:val="24"/>
        </w:rPr>
        <w:t xml:space="preserve">Erlotinib Apotex (erlotinib). Australian Approved Product Information. Kew East: Accelagen Pty Ltd. Approved 13 August 2020. Available from &lt; </w:t>
      </w:r>
      <w:hyperlink r:id="rId50" w:history="1">
        <w:r w:rsidR="008843FC" w:rsidRPr="0075389A">
          <w:rPr>
            <w:rStyle w:val="Hyperlink"/>
            <w:sz w:val="24"/>
            <w:szCs w:val="24"/>
          </w:rPr>
          <w:t>https://www.tga.gov.au/product-information-pi</w:t>
        </w:r>
      </w:hyperlink>
      <w:r w:rsidRPr="00BE7D1A">
        <w:rPr>
          <w:sz w:val="24"/>
          <w:szCs w:val="24"/>
        </w:rPr>
        <w:t>.&gt;</w:t>
      </w:r>
    </w:p>
    <w:p w14:paraId="5E27A502" w14:textId="346516C3" w:rsidR="002D66E1" w:rsidRDefault="002D66E1" w:rsidP="00BE7D1A">
      <w:pPr>
        <w:pStyle w:val="FootnoteText"/>
        <w:spacing w:before="240"/>
        <w:rPr>
          <w:sz w:val="24"/>
          <w:szCs w:val="24"/>
        </w:rPr>
      </w:pPr>
      <w:r w:rsidRPr="00BE7D1A">
        <w:rPr>
          <w:sz w:val="24"/>
          <w:szCs w:val="24"/>
        </w:rPr>
        <w:t xml:space="preserve">Erlotinib Sandoz (erlotinib). Australian Approved Product Information. Macquarie Park: Sandoz Pty Ltd. Approved 2 September 2020. Available from &lt; </w:t>
      </w:r>
      <w:hyperlink r:id="rId51" w:history="1">
        <w:r w:rsidR="008843FC" w:rsidRPr="0075389A">
          <w:rPr>
            <w:rStyle w:val="Hyperlink"/>
            <w:sz w:val="24"/>
            <w:szCs w:val="24"/>
          </w:rPr>
          <w:t>https://www.tga.gov.au/product-information-pi</w:t>
        </w:r>
      </w:hyperlink>
      <w:r w:rsidRPr="00BE7D1A">
        <w:rPr>
          <w:sz w:val="24"/>
          <w:szCs w:val="24"/>
        </w:rPr>
        <w:t>.&gt;</w:t>
      </w:r>
    </w:p>
    <w:p w14:paraId="273EF7A3" w14:textId="05F22DDF" w:rsidR="002D66E1" w:rsidRDefault="002D66E1" w:rsidP="00BE7D1A">
      <w:pPr>
        <w:pStyle w:val="FootnoteText"/>
        <w:spacing w:before="240"/>
        <w:rPr>
          <w:sz w:val="24"/>
          <w:szCs w:val="24"/>
        </w:rPr>
      </w:pPr>
      <w:r w:rsidRPr="00BE7D1A">
        <w:rPr>
          <w:sz w:val="24"/>
          <w:szCs w:val="24"/>
        </w:rPr>
        <w:t xml:space="preserve">Giotrif (afatinib). Australian Approved Product Information. North Ryde: Boehringer Ingelheim Pty Limited. Approved 7 November 2013, updated 17 December 2020. Available from &lt; </w:t>
      </w:r>
      <w:hyperlink r:id="rId52" w:history="1">
        <w:r w:rsidR="008843FC" w:rsidRPr="0075389A">
          <w:rPr>
            <w:rStyle w:val="Hyperlink"/>
            <w:sz w:val="24"/>
            <w:szCs w:val="24"/>
          </w:rPr>
          <w:t>https://www.tga.gov.au/product-information-pi</w:t>
        </w:r>
      </w:hyperlink>
      <w:r w:rsidRPr="00BE7D1A">
        <w:rPr>
          <w:sz w:val="24"/>
          <w:szCs w:val="24"/>
        </w:rPr>
        <w:t>.&gt;</w:t>
      </w:r>
    </w:p>
    <w:p w14:paraId="5DC4612C" w14:textId="0FC1EA63" w:rsidR="002D66E1" w:rsidRDefault="002D66E1" w:rsidP="00BE7D1A">
      <w:pPr>
        <w:spacing w:before="240"/>
      </w:pPr>
      <w:r w:rsidRPr="00BE7D1A">
        <w:t xml:space="preserve">Imfinzi (durvalumab). Australian Approved Product Information. Macquarie Park: AstraZeneca Pty Ltd. Approved 2 October 2018, updated 27 October 2021. Available from &lt; </w:t>
      </w:r>
      <w:hyperlink r:id="rId53" w:history="1">
        <w:r w:rsidR="008843FC" w:rsidRPr="0075389A">
          <w:rPr>
            <w:rStyle w:val="Hyperlink"/>
          </w:rPr>
          <w:t>https://www.tga.gov.au/product-information-pi</w:t>
        </w:r>
      </w:hyperlink>
      <w:r w:rsidRPr="00BE7D1A">
        <w:t>.&gt;</w:t>
      </w:r>
    </w:p>
    <w:p w14:paraId="6BC14697" w14:textId="4AAB8A82" w:rsidR="002D66E1" w:rsidRDefault="002D66E1" w:rsidP="00BE7D1A">
      <w:pPr>
        <w:pStyle w:val="FootnoteText"/>
        <w:spacing w:before="240"/>
        <w:rPr>
          <w:sz w:val="24"/>
          <w:szCs w:val="24"/>
        </w:rPr>
      </w:pPr>
      <w:r w:rsidRPr="00BE7D1A">
        <w:rPr>
          <w:sz w:val="24"/>
          <w:szCs w:val="24"/>
        </w:rPr>
        <w:t xml:space="preserve">Iressa (gefitinib). Australian Approved Product Information. Macquarie Park: AstraZeneca Pty Ltd. Approved 28 April 2003, updated 13 January 2021. Available from &lt; </w:t>
      </w:r>
      <w:hyperlink r:id="rId54" w:history="1">
        <w:r w:rsidR="008843FC" w:rsidRPr="0075389A">
          <w:rPr>
            <w:rStyle w:val="Hyperlink"/>
            <w:sz w:val="24"/>
            <w:szCs w:val="24"/>
          </w:rPr>
          <w:t>https://www.tga.gov.au/product-information-pi</w:t>
        </w:r>
      </w:hyperlink>
      <w:r w:rsidRPr="00BE7D1A">
        <w:rPr>
          <w:sz w:val="24"/>
          <w:szCs w:val="24"/>
        </w:rPr>
        <w:t>.&gt;</w:t>
      </w:r>
    </w:p>
    <w:p w14:paraId="24EDDD71" w14:textId="2416ECAE" w:rsidR="00BE7D1A" w:rsidRPr="00BE7D1A" w:rsidRDefault="00BE7D1A" w:rsidP="00BE7D1A">
      <w:pPr>
        <w:pStyle w:val="FootnoteText"/>
        <w:spacing w:before="240"/>
        <w:rPr>
          <w:sz w:val="24"/>
          <w:szCs w:val="24"/>
        </w:rPr>
      </w:pPr>
      <w:r w:rsidRPr="00BE7D1A">
        <w:rPr>
          <w:sz w:val="24"/>
          <w:szCs w:val="24"/>
        </w:rPr>
        <w:t xml:space="preserve">Lorviqua (lorlatinib). Australian Approved Product Information. Sydney: Pfizer Australia Pty Ltd. Approved 19 November 2019, updated 22 December 2021. Available from &lt; </w:t>
      </w:r>
      <w:hyperlink r:id="rId55" w:history="1">
        <w:r w:rsidRPr="00BE7D1A">
          <w:rPr>
            <w:rStyle w:val="Hyperlink"/>
            <w:sz w:val="24"/>
            <w:szCs w:val="24"/>
          </w:rPr>
          <w:t>https://www.tga.gov.au/product-information-pi</w:t>
        </w:r>
      </w:hyperlink>
      <w:r w:rsidRPr="00BE7D1A">
        <w:rPr>
          <w:sz w:val="24"/>
          <w:szCs w:val="24"/>
        </w:rPr>
        <w:t>.&gt;</w:t>
      </w:r>
    </w:p>
    <w:p w14:paraId="70D9FB14" w14:textId="4A459F93" w:rsidR="00BE7D1A" w:rsidRDefault="00BE7D1A" w:rsidP="00BE7D1A">
      <w:pPr>
        <w:pStyle w:val="FootnoteText"/>
        <w:spacing w:before="240"/>
        <w:rPr>
          <w:sz w:val="24"/>
          <w:szCs w:val="24"/>
        </w:rPr>
      </w:pPr>
      <w:r w:rsidRPr="00BE7D1A">
        <w:rPr>
          <w:sz w:val="24"/>
          <w:szCs w:val="24"/>
        </w:rPr>
        <w:lastRenderedPageBreak/>
        <w:t xml:space="preserve">Keytruda (pembrolizumab). Australian Approved Product Information. Macquarie Park: Merck Sharp &amp; Dome (Australia) Pty Limited. Approved 16 April 2015, updated 18 May 2022. Available from &lt; </w:t>
      </w:r>
      <w:hyperlink r:id="rId56" w:history="1">
        <w:r w:rsidRPr="00BE7D1A">
          <w:rPr>
            <w:rStyle w:val="Hyperlink"/>
            <w:sz w:val="24"/>
            <w:szCs w:val="24"/>
          </w:rPr>
          <w:t>https://www.tga.gov.au/product-information-pi</w:t>
        </w:r>
      </w:hyperlink>
      <w:r w:rsidRPr="00BE7D1A">
        <w:rPr>
          <w:sz w:val="24"/>
          <w:szCs w:val="24"/>
        </w:rPr>
        <w:t>.&gt;</w:t>
      </w:r>
    </w:p>
    <w:p w14:paraId="6C07AA29" w14:textId="50955E23" w:rsidR="002673C8" w:rsidRDefault="002673C8" w:rsidP="00BE7D1A">
      <w:pPr>
        <w:pStyle w:val="FootnoteText"/>
        <w:spacing w:before="240"/>
        <w:rPr>
          <w:sz w:val="24"/>
          <w:szCs w:val="24"/>
        </w:rPr>
      </w:pPr>
      <w:r w:rsidRPr="002673C8">
        <w:rPr>
          <w:sz w:val="24"/>
          <w:szCs w:val="24"/>
        </w:rPr>
        <w:t xml:space="preserve">Opdivo (nivolumab). Australian Approved Product Information. Mulgrave: Bristol-Myers Squibb Australia Pty Ltd. Approved 11 January 2016, updated 18 July 2022. Available from &lt; </w:t>
      </w:r>
      <w:hyperlink r:id="rId57" w:history="1">
        <w:r w:rsidR="008843FC" w:rsidRPr="0075389A">
          <w:rPr>
            <w:rStyle w:val="Hyperlink"/>
            <w:sz w:val="24"/>
            <w:szCs w:val="24"/>
          </w:rPr>
          <w:t>https://www.tga.gov.au/product-information-pi</w:t>
        </w:r>
      </w:hyperlink>
      <w:r w:rsidRPr="002673C8">
        <w:rPr>
          <w:sz w:val="24"/>
          <w:szCs w:val="24"/>
        </w:rPr>
        <w:t>.&gt;</w:t>
      </w:r>
    </w:p>
    <w:p w14:paraId="689CDDFE" w14:textId="7D63A94A" w:rsidR="00BE7D1A" w:rsidRPr="00BE7D1A" w:rsidRDefault="00BE7D1A" w:rsidP="00BE7D1A">
      <w:pPr>
        <w:pStyle w:val="FootnoteText"/>
        <w:spacing w:before="240"/>
        <w:rPr>
          <w:sz w:val="24"/>
          <w:szCs w:val="24"/>
        </w:rPr>
      </w:pPr>
      <w:r w:rsidRPr="00BE7D1A">
        <w:rPr>
          <w:sz w:val="24"/>
          <w:szCs w:val="24"/>
        </w:rPr>
        <w:t>PBS statistics. Australian Government Services Australia. Canberra. Available from &lt;</w:t>
      </w:r>
      <w:hyperlink r:id="rId58" w:history="1">
        <w:r w:rsidRPr="00BE7D1A">
          <w:rPr>
            <w:rStyle w:val="Hyperlink"/>
            <w:sz w:val="24"/>
            <w:szCs w:val="24"/>
          </w:rPr>
          <w:t>http://www.medicareaustralia.gov.au/provider/pbs/stats.jsp</w:t>
        </w:r>
      </w:hyperlink>
      <w:r w:rsidRPr="00BE7D1A">
        <w:rPr>
          <w:sz w:val="24"/>
          <w:szCs w:val="24"/>
        </w:rPr>
        <w:t>&gt;.</w:t>
      </w:r>
    </w:p>
    <w:p w14:paraId="2686344D" w14:textId="77777777" w:rsidR="00BE7D1A" w:rsidRPr="00BE7D1A" w:rsidRDefault="002D66E1" w:rsidP="00BE7D1A">
      <w:pPr>
        <w:pStyle w:val="FootnoteText"/>
        <w:spacing w:before="240"/>
        <w:rPr>
          <w:sz w:val="24"/>
          <w:szCs w:val="24"/>
        </w:rPr>
      </w:pPr>
      <w:r w:rsidRPr="00BE7D1A">
        <w:rPr>
          <w:sz w:val="24"/>
          <w:szCs w:val="24"/>
        </w:rPr>
        <w:t xml:space="preserve">Rozlytrek (entrectinib). Australian Approved Product Information. Sydney: Roche Products Pty Limited. Approved 15 May 2020, updated 25 March 2022. Available from &lt; </w:t>
      </w:r>
      <w:hyperlink r:id="rId59" w:history="1">
        <w:r w:rsidR="00BE7D1A" w:rsidRPr="00BE7D1A">
          <w:rPr>
            <w:rStyle w:val="Hyperlink"/>
            <w:sz w:val="24"/>
            <w:szCs w:val="24"/>
          </w:rPr>
          <w:t>https://www.tga.gov.au/product-information-pi</w:t>
        </w:r>
      </w:hyperlink>
      <w:r w:rsidRPr="00BE7D1A">
        <w:rPr>
          <w:sz w:val="24"/>
          <w:szCs w:val="24"/>
        </w:rPr>
        <w:t>.&gt;</w:t>
      </w:r>
    </w:p>
    <w:p w14:paraId="7CE66F74" w14:textId="77777777" w:rsidR="00BE7D1A" w:rsidRPr="00BE7D1A" w:rsidRDefault="002D66E1" w:rsidP="00BE7D1A">
      <w:pPr>
        <w:pStyle w:val="FootnoteText"/>
        <w:spacing w:before="240"/>
        <w:rPr>
          <w:sz w:val="24"/>
          <w:szCs w:val="24"/>
        </w:rPr>
      </w:pPr>
      <w:r w:rsidRPr="00BE7D1A">
        <w:rPr>
          <w:sz w:val="24"/>
          <w:szCs w:val="24"/>
        </w:rPr>
        <w:t xml:space="preserve">Tagrisso (osimertinib). Australian Approved Product Information. Macquarie Park: AstraZeneca Pty Ltd. Approved 3 August 2016, updated 14 September 2021. Available from &lt; </w:t>
      </w:r>
      <w:hyperlink r:id="rId60" w:history="1">
        <w:r w:rsidRPr="00BE7D1A">
          <w:rPr>
            <w:rStyle w:val="Hyperlink"/>
            <w:sz w:val="24"/>
            <w:szCs w:val="24"/>
          </w:rPr>
          <w:t>https://www.tga.gov.au/product-information-pi</w:t>
        </w:r>
      </w:hyperlink>
      <w:r w:rsidRPr="00BE7D1A">
        <w:rPr>
          <w:sz w:val="24"/>
          <w:szCs w:val="24"/>
        </w:rPr>
        <w:t>.&gt;</w:t>
      </w:r>
    </w:p>
    <w:p w14:paraId="7B6AD746" w14:textId="77777777" w:rsidR="00BE7D1A" w:rsidRPr="00BE7D1A" w:rsidRDefault="002D66E1" w:rsidP="00BE7D1A">
      <w:pPr>
        <w:pStyle w:val="FootnoteText"/>
        <w:spacing w:before="240"/>
        <w:rPr>
          <w:sz w:val="24"/>
          <w:szCs w:val="24"/>
        </w:rPr>
      </w:pPr>
      <w:r w:rsidRPr="00BE7D1A">
        <w:rPr>
          <w:sz w:val="24"/>
          <w:szCs w:val="24"/>
        </w:rPr>
        <w:t xml:space="preserve">Tecentriq (atezolizumab). Australian Approved Product Information. Sydney: Pfizer Australia Pty Ltd. Approved 27 July 2017, updated 12 May 2022. Available from &lt; </w:t>
      </w:r>
      <w:hyperlink r:id="rId61" w:history="1">
        <w:r w:rsidR="00BE7D1A" w:rsidRPr="00BE7D1A">
          <w:rPr>
            <w:rStyle w:val="Hyperlink"/>
            <w:sz w:val="24"/>
            <w:szCs w:val="24"/>
          </w:rPr>
          <w:t>https://www.tga.gov.au/product-information-pi</w:t>
        </w:r>
      </w:hyperlink>
      <w:r w:rsidRPr="00BE7D1A">
        <w:rPr>
          <w:sz w:val="24"/>
          <w:szCs w:val="24"/>
        </w:rPr>
        <w:t>.&gt;</w:t>
      </w:r>
    </w:p>
    <w:p w14:paraId="28E5E063" w14:textId="5E846B58" w:rsidR="008843FC" w:rsidRDefault="002D66E1" w:rsidP="00BE7D1A">
      <w:pPr>
        <w:pStyle w:val="FootnoteText"/>
        <w:spacing w:before="240"/>
        <w:rPr>
          <w:sz w:val="24"/>
          <w:szCs w:val="24"/>
        </w:rPr>
      </w:pPr>
      <w:r w:rsidRPr="00BE7D1A">
        <w:rPr>
          <w:sz w:val="24"/>
          <w:szCs w:val="24"/>
        </w:rPr>
        <w:t xml:space="preserve">Xalkori (crizotinib). Australian Approved Product Information. Sydney: Pfizer Australia Pty Ltd. Approved 27 September 2013, updated 10 September 2020. Available from &lt; </w:t>
      </w:r>
      <w:hyperlink r:id="rId62" w:history="1">
        <w:r w:rsidR="008843FC" w:rsidRPr="0075389A">
          <w:rPr>
            <w:rStyle w:val="Hyperlink"/>
            <w:sz w:val="24"/>
            <w:szCs w:val="24"/>
          </w:rPr>
          <w:t>https://www.tga.gov.au/product-information-pi</w:t>
        </w:r>
      </w:hyperlink>
      <w:r w:rsidRPr="00BE7D1A">
        <w:rPr>
          <w:sz w:val="24"/>
          <w:szCs w:val="24"/>
        </w:rPr>
        <w:t>.&gt;</w:t>
      </w:r>
    </w:p>
    <w:p w14:paraId="7FBD78CA" w14:textId="3E9E8B9F" w:rsidR="002D66E1" w:rsidRPr="00BE7D1A" w:rsidRDefault="002D66E1" w:rsidP="00BE7D1A">
      <w:pPr>
        <w:spacing w:before="240"/>
      </w:pPr>
      <w:r w:rsidRPr="00BE7D1A">
        <w:t>Zarogoulidis K, Zarogoulidis P, Darwiche K, et al. Treatment of non-small cell lung cancer (NSCLC). J Thorac Dis. 2013;5 Suppl 4(Suppl 4):S389-S396. doi:10.3978/j.issn.2072-1439.2013.07.10</w:t>
      </w:r>
    </w:p>
    <w:p w14:paraId="3844870B" w14:textId="5A4EE015" w:rsidR="002D66E1" w:rsidRDefault="002D66E1" w:rsidP="00BE7D1A">
      <w:pPr>
        <w:pStyle w:val="FootnoteText"/>
        <w:spacing w:before="240"/>
        <w:rPr>
          <w:sz w:val="24"/>
          <w:szCs w:val="24"/>
        </w:rPr>
      </w:pPr>
      <w:r w:rsidRPr="00BE7D1A">
        <w:rPr>
          <w:sz w:val="24"/>
          <w:szCs w:val="24"/>
        </w:rPr>
        <w:t xml:space="preserve">Zykadia (ceritinib). Australian Approved Product Information. Macquarie Park: Novartis Pharmaceuticals Australia Pty Limited. Approved 31 March 2016, updated 23 March 2022. Available from &lt; </w:t>
      </w:r>
      <w:hyperlink r:id="rId63" w:history="1">
        <w:r w:rsidR="00BE7D1A" w:rsidRPr="00BB729D">
          <w:rPr>
            <w:rStyle w:val="Hyperlink"/>
            <w:sz w:val="24"/>
            <w:szCs w:val="24"/>
          </w:rPr>
          <w:t>https://www.tga.gov.au/product-information-pi</w:t>
        </w:r>
      </w:hyperlink>
      <w:r w:rsidRPr="00BE7D1A">
        <w:rPr>
          <w:sz w:val="24"/>
          <w:szCs w:val="24"/>
        </w:rPr>
        <w:t>.&gt;</w:t>
      </w:r>
    </w:p>
    <w:p w14:paraId="24EE81C7" w14:textId="1BBA366C" w:rsidR="00BE7D1A" w:rsidRDefault="00BE7D1A" w:rsidP="00BE7D1A">
      <w:pPr>
        <w:pStyle w:val="FootnoteText"/>
        <w:spacing w:before="240"/>
        <w:rPr>
          <w:sz w:val="24"/>
          <w:szCs w:val="24"/>
        </w:rPr>
      </w:pPr>
    </w:p>
    <w:p w14:paraId="51C69DC8" w14:textId="4B9FE59C" w:rsidR="00BE7D1A" w:rsidRDefault="00BE7D1A" w:rsidP="00BE7D1A">
      <w:pPr>
        <w:pStyle w:val="FootnoteText"/>
        <w:spacing w:before="240"/>
        <w:rPr>
          <w:sz w:val="24"/>
          <w:szCs w:val="24"/>
        </w:rPr>
      </w:pPr>
    </w:p>
    <w:p w14:paraId="50387759" w14:textId="21477DD5" w:rsidR="00BE7D1A" w:rsidRDefault="00BE7D1A" w:rsidP="00BE7D1A">
      <w:pPr>
        <w:pStyle w:val="FootnoteText"/>
        <w:spacing w:before="240"/>
        <w:rPr>
          <w:sz w:val="24"/>
          <w:szCs w:val="24"/>
        </w:rPr>
      </w:pPr>
    </w:p>
    <w:p w14:paraId="4EB30874" w14:textId="45582D32" w:rsidR="00BE7D1A" w:rsidRDefault="00BE7D1A" w:rsidP="00BE7D1A">
      <w:pPr>
        <w:pStyle w:val="FootnoteText"/>
        <w:spacing w:before="240"/>
        <w:rPr>
          <w:sz w:val="24"/>
          <w:szCs w:val="24"/>
        </w:rPr>
      </w:pPr>
    </w:p>
    <w:p w14:paraId="62CAB5F2" w14:textId="15B2FC81" w:rsidR="00BE7D1A" w:rsidRDefault="00BE7D1A" w:rsidP="00BE7D1A">
      <w:pPr>
        <w:pStyle w:val="FootnoteText"/>
        <w:spacing w:before="240"/>
        <w:rPr>
          <w:sz w:val="24"/>
          <w:szCs w:val="24"/>
        </w:rPr>
      </w:pPr>
    </w:p>
    <w:p w14:paraId="0E8D9072" w14:textId="67EB2600" w:rsidR="00BE7D1A" w:rsidRDefault="00BE7D1A" w:rsidP="00BE7D1A">
      <w:pPr>
        <w:pStyle w:val="FootnoteText"/>
        <w:spacing w:before="240"/>
        <w:rPr>
          <w:sz w:val="24"/>
          <w:szCs w:val="24"/>
        </w:rPr>
      </w:pPr>
    </w:p>
    <w:p w14:paraId="49A62A41" w14:textId="283C5A0B" w:rsidR="00DA7FF0" w:rsidRDefault="00DA7FF0">
      <w:pPr>
        <w:spacing w:line="276" w:lineRule="auto"/>
        <w:rPr>
          <w:rFonts w:eastAsiaTheme="majorEastAsia" w:cstheme="majorBidi"/>
          <w:b/>
          <w:bCs/>
          <w:sz w:val="32"/>
          <w:szCs w:val="32"/>
        </w:rPr>
      </w:pPr>
    </w:p>
    <w:p w14:paraId="7C4E4AB9" w14:textId="02491B3A" w:rsidR="002C6E0C" w:rsidRDefault="002C6E0C" w:rsidP="00F73113">
      <w:pPr>
        <w:pStyle w:val="Heading1"/>
      </w:pPr>
      <w:r>
        <w:lastRenderedPageBreak/>
        <w:t>Appendices</w:t>
      </w:r>
    </w:p>
    <w:p w14:paraId="09DBC6C2" w14:textId="4473C87C" w:rsidR="00316C2F" w:rsidRPr="005B65E6" w:rsidRDefault="00316C2F" w:rsidP="00316C2F">
      <w:pPr>
        <w:pStyle w:val="Heading2"/>
      </w:pPr>
      <w:r>
        <w:t xml:space="preserve">Appendix A: </w:t>
      </w:r>
      <w:r w:rsidDel="00EE2BBB">
        <w:t xml:space="preserve">PBS listing of </w:t>
      </w:r>
      <w:r>
        <w:t>immunotherapies for NSCLC</w:t>
      </w:r>
      <w:r w:rsidR="00E47024">
        <w:t xml:space="preserve"> (as at </w:t>
      </w:r>
      <w:r w:rsidR="002D66E1">
        <w:t>August</w:t>
      </w:r>
      <w:r w:rsidR="00E47024">
        <w:t xml:space="preserve"> 2022)</w:t>
      </w:r>
    </w:p>
    <w:tbl>
      <w:tblPr>
        <w:tblStyle w:val="TableGrid"/>
        <w:tblpPr w:leftFromText="180" w:rightFromText="180" w:vertAnchor="text" w:tblpY="1"/>
        <w:tblOverlap w:val="never"/>
        <w:tblW w:w="9067" w:type="dxa"/>
        <w:tblLayout w:type="fixed"/>
        <w:tblLook w:val="04A0" w:firstRow="1" w:lastRow="0" w:firstColumn="1" w:lastColumn="0" w:noHBand="0" w:noVBand="1"/>
      </w:tblPr>
      <w:tblGrid>
        <w:gridCol w:w="978"/>
        <w:gridCol w:w="3412"/>
        <w:gridCol w:w="992"/>
        <w:gridCol w:w="709"/>
        <w:gridCol w:w="1134"/>
        <w:gridCol w:w="1842"/>
      </w:tblGrid>
      <w:tr w:rsidR="005B65E6" w:rsidRPr="002142AD" w14:paraId="169B4B9E" w14:textId="77777777" w:rsidTr="005B65E6">
        <w:trPr>
          <w:trHeight w:val="593"/>
          <w:tblHeader/>
        </w:trPr>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58645F2" w14:textId="2E62D7E8" w:rsidR="005B65E6" w:rsidRPr="002142AD" w:rsidRDefault="005B65E6" w:rsidP="005B65E6">
            <w:pPr>
              <w:pStyle w:val="Tableheading"/>
              <w:rPr>
                <w:sz w:val="20"/>
                <w:szCs w:val="20"/>
              </w:rPr>
            </w:pPr>
            <w:r w:rsidRPr="002142AD">
              <w:rPr>
                <w:sz w:val="20"/>
                <w:szCs w:val="20"/>
              </w:rPr>
              <w:t>Item</w:t>
            </w:r>
            <w:r w:rsidR="0011736A">
              <w:rPr>
                <w:sz w:val="20"/>
                <w:szCs w:val="20"/>
              </w:rPr>
              <w:t xml:space="preserve"> code</w:t>
            </w:r>
          </w:p>
        </w:tc>
        <w:tc>
          <w:tcPr>
            <w:tcW w:w="341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B3641AC" w14:textId="77777777" w:rsidR="005B65E6" w:rsidRPr="002142AD" w:rsidRDefault="005B65E6" w:rsidP="005B65E6">
            <w:pPr>
              <w:pStyle w:val="Tableheading"/>
              <w:rPr>
                <w:sz w:val="20"/>
                <w:szCs w:val="20"/>
              </w:rPr>
            </w:pPr>
            <w:r w:rsidRPr="002142AD">
              <w:rPr>
                <w:sz w:val="20"/>
                <w:szCs w:val="20"/>
              </w:rPr>
              <w:t>Name, form &amp; strength, pack size</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824318" w14:textId="77777777" w:rsidR="005B65E6" w:rsidRPr="002142AD" w:rsidRDefault="005B65E6" w:rsidP="005B65E6">
            <w:pPr>
              <w:pStyle w:val="Tableheading"/>
              <w:rPr>
                <w:sz w:val="20"/>
                <w:szCs w:val="20"/>
              </w:rPr>
            </w:pPr>
            <w:r w:rsidRPr="002142AD">
              <w:rPr>
                <w:sz w:val="20"/>
                <w:szCs w:val="20"/>
              </w:rPr>
              <w:t>Max</w:t>
            </w:r>
            <w:r>
              <w:rPr>
                <w:sz w:val="20"/>
                <w:szCs w:val="20"/>
              </w:rPr>
              <w:t xml:space="preserve"> amount</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54C0DD" w14:textId="77777777" w:rsidR="005B65E6" w:rsidRPr="002142AD" w:rsidRDefault="005B65E6" w:rsidP="005B65E6">
            <w:pPr>
              <w:pStyle w:val="Tableheading"/>
              <w:rPr>
                <w:sz w:val="20"/>
                <w:szCs w:val="20"/>
              </w:rPr>
            </w:pPr>
            <w:r w:rsidRPr="002142AD">
              <w:rPr>
                <w:sz w:val="20"/>
                <w:szCs w:val="20"/>
              </w:rPr>
              <w:t>Rpts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77D3A0" w14:textId="77777777" w:rsidR="005B65E6" w:rsidRPr="002142AD" w:rsidRDefault="005B65E6" w:rsidP="005B65E6">
            <w:pPr>
              <w:pStyle w:val="Tableheading"/>
              <w:rPr>
                <w:sz w:val="20"/>
                <w:szCs w:val="20"/>
              </w:rPr>
            </w:pPr>
            <w:r w:rsidRPr="002142AD">
              <w:rPr>
                <w:sz w:val="20"/>
                <w:szCs w:val="20"/>
              </w:rPr>
              <w:t>DPM</w:t>
            </w:r>
            <w:r>
              <w:rPr>
                <w:sz w:val="20"/>
                <w:szCs w:val="20"/>
              </w:rPr>
              <w:t>A</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FE65FD" w14:textId="77777777" w:rsidR="005B65E6" w:rsidRPr="002142AD" w:rsidRDefault="005B65E6" w:rsidP="005B65E6">
            <w:pPr>
              <w:pStyle w:val="Tableheading"/>
              <w:rPr>
                <w:sz w:val="20"/>
                <w:szCs w:val="20"/>
              </w:rPr>
            </w:pPr>
            <w:r w:rsidRPr="002142AD">
              <w:rPr>
                <w:sz w:val="20"/>
                <w:szCs w:val="20"/>
              </w:rPr>
              <w:t>Brand name and manufacturer</w:t>
            </w:r>
          </w:p>
        </w:tc>
      </w:tr>
      <w:tr w:rsidR="0011736A" w:rsidRPr="002142AD" w14:paraId="29A1E3FE" w14:textId="77777777" w:rsidTr="004F0548">
        <w:trPr>
          <w:trHeight w:val="91"/>
          <w:tblHeader/>
        </w:trPr>
        <w:tc>
          <w:tcPr>
            <w:tcW w:w="9067"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8AF9E6" w14:textId="493963F9" w:rsidR="0011736A" w:rsidRPr="0011736A" w:rsidRDefault="0011736A" w:rsidP="005B65E6">
            <w:pPr>
              <w:pStyle w:val="Tablewriting"/>
              <w:rPr>
                <w:b/>
                <w:bCs/>
              </w:rPr>
            </w:pPr>
            <w:r w:rsidRPr="0011736A">
              <w:rPr>
                <w:b/>
                <w:bCs/>
              </w:rPr>
              <w:t xml:space="preserve">Unresectable stage III NSCLC </w:t>
            </w:r>
          </w:p>
        </w:tc>
      </w:tr>
      <w:tr w:rsidR="0011736A" w:rsidRPr="002142AD" w14:paraId="2BC5A8FC" w14:textId="77777777" w:rsidTr="005B65E6">
        <w:trPr>
          <w:trHeight w:val="593"/>
          <w:tblHeader/>
        </w:trPr>
        <w:tc>
          <w:tcPr>
            <w:tcW w:w="978" w:type="dxa"/>
            <w:tcBorders>
              <w:top w:val="single" w:sz="4" w:space="0" w:color="auto"/>
              <w:left w:val="single" w:sz="4" w:space="0" w:color="auto"/>
              <w:bottom w:val="single" w:sz="4" w:space="0" w:color="auto"/>
              <w:right w:val="single" w:sz="4" w:space="0" w:color="auto"/>
            </w:tcBorders>
            <w:shd w:val="clear" w:color="auto" w:fill="auto"/>
          </w:tcPr>
          <w:p w14:paraId="1A4AA01B" w14:textId="77777777" w:rsidR="0011736A" w:rsidRDefault="0011736A" w:rsidP="0011736A">
            <w:pPr>
              <w:pStyle w:val="Tablewriting"/>
            </w:pPr>
          </w:p>
          <w:p w14:paraId="3BECF95C" w14:textId="77777777" w:rsidR="0011736A" w:rsidRDefault="0011736A" w:rsidP="0011736A">
            <w:pPr>
              <w:pStyle w:val="Tablewriting"/>
            </w:pPr>
            <w:r w:rsidRPr="00400900">
              <w:t>11915D</w:t>
            </w:r>
          </w:p>
          <w:p w14:paraId="0D271830" w14:textId="77777777" w:rsidR="0011736A" w:rsidRDefault="0011736A" w:rsidP="0011736A">
            <w:pPr>
              <w:pStyle w:val="Tablewriting"/>
            </w:pPr>
          </w:p>
          <w:p w14:paraId="0C5A9583" w14:textId="2FD7B424" w:rsidR="0011736A" w:rsidRDefault="0011736A" w:rsidP="0011736A">
            <w:pPr>
              <w:pStyle w:val="Tablewriting"/>
            </w:pPr>
            <w:r>
              <w:t>11911X</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0126A698" w14:textId="77777777" w:rsidR="0011736A" w:rsidRDefault="0011736A" w:rsidP="0011736A">
            <w:pPr>
              <w:pStyle w:val="Tablewriting"/>
            </w:pPr>
            <w:r w:rsidRPr="002142AD">
              <w:t>durvalumab</w:t>
            </w:r>
            <w:r>
              <w:t>,</w:t>
            </w:r>
          </w:p>
          <w:p w14:paraId="42D1BCB5" w14:textId="77777777" w:rsidR="0011736A" w:rsidRDefault="0011736A" w:rsidP="0011736A">
            <w:pPr>
              <w:pStyle w:val="Tablewriting"/>
            </w:pPr>
            <w:r>
              <w:t xml:space="preserve">120 mg/2.4 mL injection, 2.4 mL vial </w:t>
            </w:r>
          </w:p>
          <w:p w14:paraId="03413B09" w14:textId="77777777" w:rsidR="0011736A" w:rsidRDefault="0011736A" w:rsidP="0011736A">
            <w:pPr>
              <w:pStyle w:val="Tablewriting"/>
            </w:pPr>
            <w:r>
              <w:t xml:space="preserve">500 mg/10 mL injection, 10 mL vial </w:t>
            </w:r>
          </w:p>
          <w:p w14:paraId="78826796" w14:textId="77777777" w:rsidR="0011736A" w:rsidRDefault="0011736A" w:rsidP="0011736A">
            <w:pPr>
              <w:pStyle w:val="Tablewriting"/>
            </w:pPr>
            <w:r>
              <w:t xml:space="preserve">120 mg/2.4 mL injection, 2.4 mL vial </w:t>
            </w:r>
          </w:p>
          <w:p w14:paraId="0A266C2E" w14:textId="3DCCE2DA" w:rsidR="0011736A" w:rsidRPr="002142AD" w:rsidRDefault="0011736A" w:rsidP="0011736A">
            <w:pPr>
              <w:pStyle w:val="Tablewriting"/>
            </w:pPr>
            <w:r>
              <w:t>500 mg/10 mL injection, 10 mL vial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278B40" w14:textId="77777777" w:rsidR="0011736A" w:rsidRDefault="0011736A" w:rsidP="0011736A">
            <w:pPr>
              <w:pStyle w:val="Tablewriting"/>
              <w:jc w:val="center"/>
            </w:pPr>
          </w:p>
          <w:p w14:paraId="20161016" w14:textId="1FA66E9D" w:rsidR="0011736A" w:rsidRDefault="0011736A" w:rsidP="0011736A">
            <w:pPr>
              <w:pStyle w:val="Tablewriting"/>
              <w:jc w:val="center"/>
            </w:pPr>
            <w:r>
              <w:t>1</w:t>
            </w:r>
            <w:r w:rsidR="000D7DE1">
              <w:t>5</w:t>
            </w:r>
            <w:r>
              <w:t xml:space="preserve">00 mg </w:t>
            </w:r>
          </w:p>
          <w:p w14:paraId="0973DCF5" w14:textId="77777777" w:rsidR="0011736A" w:rsidRDefault="0011736A" w:rsidP="0011736A">
            <w:pPr>
              <w:pStyle w:val="Tablewriting"/>
              <w:jc w:val="center"/>
            </w:pPr>
          </w:p>
          <w:p w14:paraId="7F10CCEA" w14:textId="569C8316" w:rsidR="0011736A" w:rsidRDefault="0011736A" w:rsidP="0011736A">
            <w:pPr>
              <w:pStyle w:val="Tablewriting"/>
              <w:jc w:val="center"/>
            </w:pPr>
            <w:r>
              <w:t>1</w:t>
            </w:r>
            <w:r w:rsidR="000D7DE1">
              <w:t>5</w:t>
            </w:r>
            <w:r>
              <w:t>00 mg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F87E69" w14:textId="77777777" w:rsidR="0011736A" w:rsidRDefault="0011736A" w:rsidP="0011736A">
            <w:pPr>
              <w:pStyle w:val="Tablewriting"/>
              <w:jc w:val="center"/>
            </w:pPr>
          </w:p>
          <w:p w14:paraId="71166D70" w14:textId="2645DB0B" w:rsidR="0011736A" w:rsidRDefault="000D7DE1" w:rsidP="0011736A">
            <w:pPr>
              <w:pStyle w:val="Tablewriting"/>
              <w:jc w:val="center"/>
            </w:pPr>
            <w:r>
              <w:t>4</w:t>
            </w:r>
          </w:p>
          <w:p w14:paraId="04716617" w14:textId="77777777" w:rsidR="0011736A" w:rsidRDefault="0011736A" w:rsidP="0011736A">
            <w:pPr>
              <w:pStyle w:val="Tablewriting"/>
              <w:jc w:val="center"/>
            </w:pPr>
          </w:p>
          <w:p w14:paraId="0D663256" w14:textId="1868F539" w:rsidR="0011736A" w:rsidRDefault="000D7DE1" w:rsidP="0011736A">
            <w:pPr>
              <w:pStyle w:val="Tablewriting"/>
              <w:jc w:val="center"/>
            </w:pPr>
            <w:r>
              <w:t>4</w:t>
            </w:r>
          </w:p>
          <w:p w14:paraId="429233A7" w14:textId="24A5C6A4" w:rsidR="0011736A" w:rsidRDefault="0011736A" w:rsidP="0011736A">
            <w:pPr>
              <w:pStyle w:val="Tablewriting"/>
              <w:jc w:val="center"/>
            </w:pPr>
            <w: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C23A4D" w14:textId="77777777" w:rsidR="0011736A" w:rsidRDefault="0011736A" w:rsidP="0011736A">
            <w:pPr>
              <w:pStyle w:val="Tablewriting"/>
              <w:jc w:val="center"/>
            </w:pPr>
          </w:p>
          <w:p w14:paraId="644362B4" w14:textId="64AA433E" w:rsidR="0011736A" w:rsidRDefault="0011736A" w:rsidP="0011736A">
            <w:pPr>
              <w:pStyle w:val="Tablewriting"/>
              <w:jc w:val="center"/>
            </w:pPr>
            <w:r>
              <w:t>$</w:t>
            </w:r>
            <w:r w:rsidR="000D7DE1">
              <w:t>12,012.07</w:t>
            </w:r>
          </w:p>
          <w:p w14:paraId="082E7F37" w14:textId="77777777" w:rsidR="0011736A" w:rsidRDefault="0011736A" w:rsidP="0011736A">
            <w:pPr>
              <w:pStyle w:val="Tablewriting"/>
              <w:jc w:val="center"/>
            </w:pPr>
          </w:p>
          <w:p w14:paraId="7DD4773D" w14:textId="58F8851E" w:rsidR="0011736A" w:rsidRDefault="0011736A" w:rsidP="0011736A">
            <w:pPr>
              <w:pStyle w:val="Tablewriting"/>
              <w:jc w:val="center"/>
            </w:pPr>
            <w:r>
              <w:t>$</w:t>
            </w:r>
            <w:r w:rsidR="000D7DE1">
              <w:t>12,220.65</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0F524F6" w14:textId="77777777" w:rsidR="0011736A" w:rsidRPr="002142AD" w:rsidRDefault="0011736A" w:rsidP="0011736A">
            <w:pPr>
              <w:pStyle w:val="Tablewriting"/>
            </w:pPr>
            <w:r w:rsidRPr="002142AD">
              <w:t>Imfinzi®</w:t>
            </w:r>
          </w:p>
          <w:p w14:paraId="5AEF5CBD" w14:textId="2797A67E" w:rsidR="0011736A" w:rsidRPr="002142AD" w:rsidRDefault="0011736A" w:rsidP="0011736A">
            <w:pPr>
              <w:pStyle w:val="Tablewriting"/>
            </w:pPr>
            <w:r w:rsidRPr="002142AD">
              <w:t>AstraZeneca Pty Ltd</w:t>
            </w:r>
          </w:p>
        </w:tc>
      </w:tr>
      <w:tr w:rsidR="0011736A" w:rsidRPr="002142AD" w14:paraId="6800BAEE" w14:textId="77777777" w:rsidTr="004F0548">
        <w:trPr>
          <w:trHeight w:val="105"/>
          <w:tblHeader/>
        </w:trPr>
        <w:tc>
          <w:tcPr>
            <w:tcW w:w="9067"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33D861" w14:textId="302CD571" w:rsidR="0011736A" w:rsidRPr="0011736A" w:rsidRDefault="0011736A" w:rsidP="0011736A">
            <w:pPr>
              <w:pStyle w:val="Tablewriting"/>
              <w:rPr>
                <w:b/>
                <w:bCs/>
              </w:rPr>
            </w:pPr>
            <w:r w:rsidRPr="0011736A">
              <w:rPr>
                <w:b/>
                <w:bCs/>
              </w:rPr>
              <w:t xml:space="preserve">Stage IV (metastatic) NSCLC </w:t>
            </w:r>
            <w:r w:rsidR="00496C73">
              <w:rPr>
                <w:b/>
                <w:bCs/>
              </w:rPr>
              <w:t>(1L)</w:t>
            </w:r>
          </w:p>
        </w:tc>
      </w:tr>
      <w:tr w:rsidR="0011736A" w:rsidRPr="008B28B5" w14:paraId="11B15B1E" w14:textId="77777777" w:rsidTr="005B65E6">
        <w:trPr>
          <w:trHeight w:val="593"/>
          <w:tblHeader/>
        </w:trPr>
        <w:tc>
          <w:tcPr>
            <w:tcW w:w="978" w:type="dxa"/>
            <w:tcBorders>
              <w:top w:val="single" w:sz="4" w:space="0" w:color="auto"/>
              <w:left w:val="single" w:sz="4" w:space="0" w:color="auto"/>
              <w:bottom w:val="single" w:sz="4" w:space="0" w:color="auto"/>
              <w:right w:val="single" w:sz="4" w:space="0" w:color="auto"/>
            </w:tcBorders>
            <w:shd w:val="clear" w:color="auto" w:fill="auto"/>
          </w:tcPr>
          <w:p w14:paraId="5EB0A26C" w14:textId="77777777" w:rsidR="0011736A" w:rsidRPr="00DA7FF0" w:rsidRDefault="0011736A" w:rsidP="0011736A">
            <w:pPr>
              <w:pStyle w:val="Tablewriting"/>
              <w:rPr>
                <w:color w:val="auto"/>
              </w:rPr>
            </w:pPr>
          </w:p>
          <w:p w14:paraId="7C11CA99" w14:textId="77777777" w:rsidR="00DA7FF0" w:rsidRPr="00DA7FF0" w:rsidRDefault="00DA7FF0" w:rsidP="00DA7FF0">
            <w:pPr>
              <w:pStyle w:val="Tablewriting"/>
              <w:rPr>
                <w:color w:val="auto"/>
              </w:rPr>
            </w:pPr>
            <w:r w:rsidRPr="00DA7FF0">
              <w:rPr>
                <w:color w:val="auto"/>
              </w:rPr>
              <w:t>11807K</w:t>
            </w:r>
          </w:p>
          <w:p w14:paraId="58FAD716" w14:textId="0C85BA88" w:rsidR="00DA7FF0" w:rsidRPr="00DA7FF0" w:rsidRDefault="00DA7FF0" w:rsidP="00DA7FF0">
            <w:pPr>
              <w:pStyle w:val="Tablewriting"/>
              <w:rPr>
                <w:color w:val="auto"/>
              </w:rPr>
            </w:pPr>
            <w:r w:rsidRPr="00DA7FF0">
              <w:rPr>
                <w:color w:val="auto"/>
              </w:rPr>
              <w:t>11802E</w:t>
            </w:r>
          </w:p>
          <w:p w14:paraId="641D5A32" w14:textId="1A62BD0A" w:rsidR="0011736A" w:rsidRPr="00DA7FF0" w:rsidRDefault="0011736A" w:rsidP="0011736A">
            <w:pPr>
              <w:pStyle w:val="Tablewriting"/>
              <w:rPr>
                <w:color w:val="auto"/>
              </w:rPr>
            </w:pPr>
            <w:r w:rsidRPr="00DA7FF0">
              <w:rPr>
                <w:color w:val="auto"/>
              </w:rPr>
              <w:t>11792P</w:t>
            </w:r>
          </w:p>
          <w:p w14:paraId="551A2A5F" w14:textId="77777777" w:rsidR="0011736A" w:rsidRPr="00DA7FF0" w:rsidRDefault="0011736A" w:rsidP="0011736A">
            <w:pPr>
              <w:pStyle w:val="Tablewriting"/>
              <w:rPr>
                <w:color w:val="auto"/>
              </w:rPr>
            </w:pPr>
            <w:r w:rsidRPr="00DA7FF0">
              <w:rPr>
                <w:color w:val="auto"/>
              </w:rPr>
              <w:t>11801D</w:t>
            </w:r>
          </w:p>
          <w:p w14:paraId="321D1D45" w14:textId="77777777" w:rsidR="0011736A" w:rsidRPr="00DA7FF0" w:rsidRDefault="0011736A" w:rsidP="0011736A">
            <w:pPr>
              <w:pStyle w:val="Tablewriting"/>
              <w:rPr>
                <w:color w:val="auto"/>
              </w:rPr>
            </w:pPr>
            <w:r w:rsidRPr="00DA7FF0">
              <w:rPr>
                <w:color w:val="auto"/>
              </w:rPr>
              <w:t>12097Q</w:t>
            </w:r>
          </w:p>
          <w:p w14:paraId="21F8BD5B" w14:textId="77777777" w:rsidR="0011736A" w:rsidRPr="00DA7FF0" w:rsidRDefault="0011736A" w:rsidP="0011736A">
            <w:pPr>
              <w:pStyle w:val="Tablewriting"/>
              <w:rPr>
                <w:color w:val="auto"/>
              </w:rPr>
            </w:pPr>
            <w:r w:rsidRPr="00DA7FF0">
              <w:rPr>
                <w:color w:val="auto"/>
              </w:rPr>
              <w:t>12098R</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5E850501" w14:textId="7C82EAA5" w:rsidR="0011736A" w:rsidRPr="00DA7FF0" w:rsidRDefault="00713C2F" w:rsidP="0011736A">
            <w:pPr>
              <w:pStyle w:val="Tablewriting"/>
              <w:rPr>
                <w:color w:val="auto"/>
              </w:rPr>
            </w:pPr>
            <w:r w:rsidRPr="00DA7FF0">
              <w:rPr>
                <w:color w:val="auto"/>
              </w:rPr>
              <w:t>a</w:t>
            </w:r>
            <w:r w:rsidR="0011736A" w:rsidRPr="00DA7FF0">
              <w:rPr>
                <w:color w:val="auto"/>
              </w:rPr>
              <w:t>tezolizumab,</w:t>
            </w:r>
          </w:p>
          <w:p w14:paraId="276C4E03" w14:textId="77777777" w:rsidR="0011736A" w:rsidRPr="00DA7FF0" w:rsidRDefault="0011736A" w:rsidP="0011736A">
            <w:pPr>
              <w:pStyle w:val="Tablewriting"/>
              <w:rPr>
                <w:color w:val="auto"/>
              </w:rPr>
            </w:pPr>
            <w:r w:rsidRPr="00DA7FF0">
              <w:rPr>
                <w:color w:val="auto"/>
              </w:rPr>
              <w:t>1.2 g/20 mL injection, 20 mL vial</w:t>
            </w:r>
          </w:p>
          <w:p w14:paraId="00F99033" w14:textId="77777777" w:rsidR="0011736A" w:rsidRPr="00DA7FF0" w:rsidRDefault="0011736A" w:rsidP="0011736A">
            <w:pPr>
              <w:pStyle w:val="Tablewriting"/>
              <w:rPr>
                <w:color w:val="auto"/>
              </w:rPr>
            </w:pPr>
            <w:r w:rsidRPr="00DA7FF0">
              <w:rPr>
                <w:color w:val="auto"/>
              </w:rPr>
              <w:t>1.2 g/20 mL injection, 20 mL vial</w:t>
            </w:r>
          </w:p>
          <w:p w14:paraId="011DB678" w14:textId="77777777" w:rsidR="0011736A" w:rsidRPr="00DA7FF0" w:rsidRDefault="0011736A" w:rsidP="0011736A">
            <w:pPr>
              <w:pStyle w:val="Tablewriting"/>
              <w:rPr>
                <w:color w:val="auto"/>
              </w:rPr>
            </w:pPr>
            <w:r w:rsidRPr="00DA7FF0">
              <w:rPr>
                <w:color w:val="auto"/>
              </w:rPr>
              <w:t>1.2 g/20 mL injection, 20 mL vial</w:t>
            </w:r>
          </w:p>
          <w:p w14:paraId="6BEDC713" w14:textId="77777777" w:rsidR="0011736A" w:rsidRPr="00DA7FF0" w:rsidRDefault="0011736A" w:rsidP="0011736A">
            <w:pPr>
              <w:pStyle w:val="Tablewriting"/>
              <w:rPr>
                <w:color w:val="auto"/>
              </w:rPr>
            </w:pPr>
            <w:r w:rsidRPr="00DA7FF0">
              <w:rPr>
                <w:color w:val="auto"/>
              </w:rPr>
              <w:t>1.2 g/20 mL injection, 20 mL vial</w:t>
            </w:r>
          </w:p>
          <w:p w14:paraId="09428B5A" w14:textId="77777777" w:rsidR="0011736A" w:rsidRPr="00DA7FF0" w:rsidRDefault="0011736A" w:rsidP="0011736A">
            <w:pPr>
              <w:pStyle w:val="Tablewriting"/>
              <w:rPr>
                <w:color w:val="auto"/>
              </w:rPr>
            </w:pPr>
            <w:r w:rsidRPr="00DA7FF0">
              <w:rPr>
                <w:color w:val="auto"/>
              </w:rPr>
              <w:t>840 mg/14 mL injection, 14 mL vial</w:t>
            </w:r>
          </w:p>
          <w:p w14:paraId="58E8BD8E" w14:textId="77777777" w:rsidR="0011736A" w:rsidRPr="00DA7FF0" w:rsidRDefault="0011736A" w:rsidP="0011736A">
            <w:pPr>
              <w:pStyle w:val="Tablewriting"/>
              <w:rPr>
                <w:color w:val="auto"/>
              </w:rPr>
            </w:pPr>
            <w:r w:rsidRPr="00DA7FF0">
              <w:rPr>
                <w:color w:val="auto"/>
              </w:rPr>
              <w:t>840 mg/14 mL injection, 14 mL vial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BCE3D3" w14:textId="77777777" w:rsidR="0011736A" w:rsidRPr="00DA7FF0" w:rsidRDefault="0011736A" w:rsidP="0011736A">
            <w:pPr>
              <w:pStyle w:val="Tablewriting"/>
              <w:jc w:val="center"/>
              <w:rPr>
                <w:color w:val="auto"/>
              </w:rPr>
            </w:pPr>
          </w:p>
          <w:p w14:paraId="4D985167" w14:textId="77777777" w:rsidR="0011736A" w:rsidRPr="00DA7FF0" w:rsidRDefault="0011736A" w:rsidP="0011736A">
            <w:pPr>
              <w:pStyle w:val="Tablewriting"/>
              <w:jc w:val="center"/>
              <w:rPr>
                <w:color w:val="auto"/>
              </w:rPr>
            </w:pPr>
            <w:r w:rsidRPr="00DA7FF0">
              <w:rPr>
                <w:color w:val="auto"/>
              </w:rPr>
              <w:t xml:space="preserve">1200 mg </w:t>
            </w:r>
          </w:p>
          <w:p w14:paraId="6777A89E" w14:textId="77777777" w:rsidR="0011736A" w:rsidRPr="00DA7FF0" w:rsidRDefault="0011736A" w:rsidP="0011736A">
            <w:pPr>
              <w:pStyle w:val="Tablewriting"/>
              <w:jc w:val="center"/>
              <w:rPr>
                <w:color w:val="auto"/>
              </w:rPr>
            </w:pPr>
            <w:r w:rsidRPr="00DA7FF0">
              <w:rPr>
                <w:color w:val="auto"/>
              </w:rPr>
              <w:t xml:space="preserve">1200 mg </w:t>
            </w:r>
          </w:p>
          <w:p w14:paraId="748CAB2F" w14:textId="77777777" w:rsidR="0011736A" w:rsidRPr="00DA7FF0" w:rsidRDefault="0011736A" w:rsidP="0011736A">
            <w:pPr>
              <w:pStyle w:val="Tablewriting"/>
              <w:jc w:val="center"/>
              <w:rPr>
                <w:color w:val="auto"/>
              </w:rPr>
            </w:pPr>
            <w:r w:rsidRPr="00DA7FF0">
              <w:rPr>
                <w:color w:val="auto"/>
              </w:rPr>
              <w:t>1200 mg</w:t>
            </w:r>
          </w:p>
          <w:p w14:paraId="53901898" w14:textId="77777777" w:rsidR="0011736A" w:rsidRPr="00DA7FF0" w:rsidRDefault="0011736A" w:rsidP="0011736A">
            <w:pPr>
              <w:pStyle w:val="Tablewriting"/>
              <w:jc w:val="center"/>
              <w:rPr>
                <w:color w:val="auto"/>
              </w:rPr>
            </w:pPr>
            <w:r w:rsidRPr="00DA7FF0">
              <w:rPr>
                <w:color w:val="auto"/>
              </w:rPr>
              <w:t xml:space="preserve">1200 mg  </w:t>
            </w:r>
          </w:p>
          <w:p w14:paraId="247C6630" w14:textId="77777777" w:rsidR="0011736A" w:rsidRPr="00DA7FF0" w:rsidRDefault="0011736A" w:rsidP="0011736A">
            <w:pPr>
              <w:pStyle w:val="Tablewriting"/>
              <w:jc w:val="center"/>
              <w:rPr>
                <w:color w:val="auto"/>
              </w:rPr>
            </w:pPr>
            <w:r w:rsidRPr="00DA7FF0">
              <w:rPr>
                <w:color w:val="auto"/>
              </w:rPr>
              <w:t xml:space="preserve">1680 mg </w:t>
            </w:r>
          </w:p>
          <w:p w14:paraId="5368F7A2" w14:textId="77777777" w:rsidR="0011736A" w:rsidRPr="00DA7FF0" w:rsidRDefault="0011736A" w:rsidP="0011736A">
            <w:pPr>
              <w:pStyle w:val="Tablewriting"/>
              <w:jc w:val="center"/>
              <w:rPr>
                <w:color w:val="auto"/>
              </w:rPr>
            </w:pPr>
            <w:r w:rsidRPr="00DA7FF0">
              <w:rPr>
                <w:color w:val="auto"/>
              </w:rPr>
              <w:t>1680 mg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7C17B6" w14:textId="289B155F" w:rsidR="0011736A" w:rsidRPr="00DA7FF0" w:rsidRDefault="0011736A" w:rsidP="0011736A">
            <w:pPr>
              <w:pStyle w:val="Tablewriting"/>
              <w:rPr>
                <w:color w:val="auto"/>
              </w:rPr>
            </w:pPr>
          </w:p>
          <w:p w14:paraId="0C23EA93" w14:textId="77777777" w:rsidR="0011736A" w:rsidRPr="00DA7FF0" w:rsidRDefault="0011736A" w:rsidP="0011736A">
            <w:pPr>
              <w:pStyle w:val="Tablewriting"/>
              <w:jc w:val="center"/>
              <w:rPr>
                <w:color w:val="auto"/>
              </w:rPr>
            </w:pPr>
            <w:r w:rsidRPr="00DA7FF0">
              <w:rPr>
                <w:color w:val="auto"/>
              </w:rPr>
              <w:t>5</w:t>
            </w:r>
          </w:p>
          <w:p w14:paraId="58EAB2B0" w14:textId="77777777" w:rsidR="0011736A" w:rsidRPr="00DA7FF0" w:rsidRDefault="0011736A" w:rsidP="0011736A">
            <w:pPr>
              <w:pStyle w:val="Tablewriting"/>
              <w:jc w:val="center"/>
              <w:rPr>
                <w:color w:val="auto"/>
              </w:rPr>
            </w:pPr>
            <w:r w:rsidRPr="00DA7FF0">
              <w:rPr>
                <w:color w:val="auto"/>
              </w:rPr>
              <w:t>7</w:t>
            </w:r>
          </w:p>
          <w:p w14:paraId="3ED5E700" w14:textId="77777777" w:rsidR="0011736A" w:rsidRPr="00DA7FF0" w:rsidRDefault="0011736A" w:rsidP="0011736A">
            <w:pPr>
              <w:pStyle w:val="Tablewriting"/>
              <w:jc w:val="center"/>
              <w:rPr>
                <w:color w:val="auto"/>
              </w:rPr>
            </w:pPr>
            <w:r w:rsidRPr="00DA7FF0">
              <w:rPr>
                <w:color w:val="auto"/>
              </w:rPr>
              <w:t>5</w:t>
            </w:r>
          </w:p>
          <w:p w14:paraId="1E181516" w14:textId="6BFF4897" w:rsidR="0011736A" w:rsidRPr="00DA7FF0" w:rsidRDefault="0011736A" w:rsidP="0011736A">
            <w:pPr>
              <w:pStyle w:val="Tablewriting"/>
              <w:jc w:val="center"/>
              <w:rPr>
                <w:color w:val="auto"/>
              </w:rPr>
            </w:pPr>
            <w:r w:rsidRPr="00DA7FF0">
              <w:rPr>
                <w:color w:val="auto"/>
              </w:rPr>
              <w:t>7</w:t>
            </w:r>
          </w:p>
          <w:p w14:paraId="1CEDA737" w14:textId="77777777" w:rsidR="0011736A" w:rsidRPr="00DA7FF0" w:rsidRDefault="0011736A" w:rsidP="0011736A">
            <w:pPr>
              <w:pStyle w:val="Tablewriting"/>
              <w:jc w:val="center"/>
              <w:rPr>
                <w:color w:val="auto"/>
              </w:rPr>
            </w:pPr>
            <w:r w:rsidRPr="00DA7FF0">
              <w:rPr>
                <w:color w:val="auto"/>
              </w:rPr>
              <w:t>5</w:t>
            </w:r>
          </w:p>
          <w:p w14:paraId="6434A1A0" w14:textId="77777777" w:rsidR="0011736A" w:rsidRPr="00DA7FF0" w:rsidRDefault="0011736A" w:rsidP="0011736A">
            <w:pPr>
              <w:pStyle w:val="Tablewriting"/>
              <w:jc w:val="center"/>
              <w:rPr>
                <w:color w:val="auto"/>
              </w:rPr>
            </w:pPr>
            <w:r w:rsidRPr="00DA7FF0">
              <w:rPr>
                <w:color w:val="auto"/>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295D40" w14:textId="77777777" w:rsidR="0011736A" w:rsidRPr="00DA7FF0" w:rsidRDefault="0011736A" w:rsidP="0011736A">
            <w:pPr>
              <w:pStyle w:val="Tablewriting"/>
              <w:jc w:val="center"/>
              <w:rPr>
                <w:color w:val="auto"/>
              </w:rPr>
            </w:pPr>
          </w:p>
          <w:p w14:paraId="4BC6D1C6" w14:textId="77777777" w:rsidR="00DA7FF0" w:rsidRPr="00DA7FF0" w:rsidRDefault="00DA7FF0" w:rsidP="00DA7FF0">
            <w:pPr>
              <w:pStyle w:val="Tablewriting"/>
              <w:jc w:val="center"/>
              <w:rPr>
                <w:color w:val="auto"/>
              </w:rPr>
            </w:pPr>
            <w:r w:rsidRPr="00DA7FF0">
              <w:rPr>
                <w:color w:val="auto"/>
              </w:rPr>
              <w:t>$7,189.56</w:t>
            </w:r>
          </w:p>
          <w:p w14:paraId="256A759E" w14:textId="77777777" w:rsidR="00DA7FF0" w:rsidRPr="00DA7FF0" w:rsidRDefault="00DA7FF0" w:rsidP="00DA7FF0">
            <w:pPr>
              <w:pStyle w:val="Tablewriting"/>
              <w:jc w:val="center"/>
              <w:rPr>
                <w:color w:val="auto"/>
              </w:rPr>
            </w:pPr>
            <w:r w:rsidRPr="00DA7FF0">
              <w:rPr>
                <w:color w:val="auto"/>
              </w:rPr>
              <w:t>$7,189.56</w:t>
            </w:r>
          </w:p>
          <w:p w14:paraId="65762A54" w14:textId="77777777" w:rsidR="0011736A" w:rsidRPr="00DA7FF0" w:rsidRDefault="0011736A" w:rsidP="0011736A">
            <w:pPr>
              <w:pStyle w:val="Tablewriting"/>
              <w:jc w:val="center"/>
              <w:rPr>
                <w:color w:val="auto"/>
              </w:rPr>
            </w:pPr>
            <w:r w:rsidRPr="00DA7FF0">
              <w:rPr>
                <w:color w:val="auto"/>
              </w:rPr>
              <w:t>$7,330.62</w:t>
            </w:r>
          </w:p>
          <w:p w14:paraId="0142B9B4" w14:textId="77777777" w:rsidR="0011736A" w:rsidRPr="00DA7FF0" w:rsidRDefault="0011736A" w:rsidP="0011736A">
            <w:pPr>
              <w:pStyle w:val="Tablewriting"/>
              <w:jc w:val="center"/>
              <w:rPr>
                <w:color w:val="auto"/>
              </w:rPr>
            </w:pPr>
            <w:r w:rsidRPr="00DA7FF0">
              <w:rPr>
                <w:color w:val="auto"/>
              </w:rPr>
              <w:t>$7,330.62</w:t>
            </w:r>
          </w:p>
          <w:p w14:paraId="0B615CF2" w14:textId="77777777" w:rsidR="0011736A" w:rsidRPr="00DA7FF0" w:rsidRDefault="0011736A" w:rsidP="0011736A">
            <w:pPr>
              <w:pStyle w:val="Tablewriting"/>
              <w:rPr>
                <w:color w:val="auto"/>
              </w:rPr>
            </w:pPr>
            <w:r w:rsidRPr="00DA7FF0">
              <w:rPr>
                <w:color w:val="auto"/>
              </w:rPr>
              <w:t>$10,030.55</w:t>
            </w:r>
          </w:p>
          <w:p w14:paraId="31375CF2" w14:textId="77777777" w:rsidR="0011736A" w:rsidRPr="00DA7FF0" w:rsidRDefault="0011736A" w:rsidP="0011736A">
            <w:pPr>
              <w:pStyle w:val="Tablewriting"/>
              <w:jc w:val="center"/>
              <w:rPr>
                <w:color w:val="auto"/>
              </w:rPr>
            </w:pPr>
            <w:r w:rsidRPr="00DA7FF0">
              <w:rPr>
                <w:color w:val="auto"/>
              </w:rPr>
              <w:t>$10,211.38</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F59020" w14:textId="77777777" w:rsidR="0011736A" w:rsidRPr="008B28B5" w:rsidRDefault="0011736A" w:rsidP="0011736A">
            <w:pPr>
              <w:pStyle w:val="Tablewriting"/>
            </w:pPr>
            <w:r w:rsidRPr="008B28B5">
              <w:t>Tecentriq®</w:t>
            </w:r>
          </w:p>
          <w:p w14:paraId="6EA6D7CA" w14:textId="77777777" w:rsidR="0011736A" w:rsidRPr="008B28B5" w:rsidRDefault="0011736A" w:rsidP="0011736A">
            <w:pPr>
              <w:pStyle w:val="Tablewriting"/>
            </w:pPr>
            <w:r w:rsidRPr="008B28B5">
              <w:t>Roche Products Pty Ltd</w:t>
            </w:r>
          </w:p>
        </w:tc>
      </w:tr>
      <w:tr w:rsidR="0011736A" w:rsidRPr="008B28B5" w14:paraId="26EAC882" w14:textId="77777777" w:rsidTr="005B65E6">
        <w:trPr>
          <w:trHeight w:val="593"/>
          <w:tblHeader/>
        </w:trPr>
        <w:tc>
          <w:tcPr>
            <w:tcW w:w="978" w:type="dxa"/>
            <w:tcBorders>
              <w:top w:val="single" w:sz="4" w:space="0" w:color="auto"/>
              <w:left w:val="single" w:sz="4" w:space="0" w:color="auto"/>
              <w:bottom w:val="single" w:sz="4" w:space="0" w:color="auto"/>
              <w:right w:val="single" w:sz="4" w:space="0" w:color="auto"/>
            </w:tcBorders>
            <w:shd w:val="clear" w:color="auto" w:fill="auto"/>
          </w:tcPr>
          <w:p w14:paraId="25924A8E" w14:textId="77777777" w:rsidR="0011736A" w:rsidRPr="00DA7FF0" w:rsidRDefault="0011736A" w:rsidP="0011736A">
            <w:pPr>
              <w:pStyle w:val="Tablewriting"/>
              <w:rPr>
                <w:color w:val="auto"/>
              </w:rPr>
            </w:pPr>
          </w:p>
          <w:p w14:paraId="5BB7A354" w14:textId="77777777" w:rsidR="00DA7FF0" w:rsidRPr="00DA7FF0" w:rsidRDefault="00DA7FF0" w:rsidP="00DA7FF0">
            <w:pPr>
              <w:pStyle w:val="Tablewriting"/>
              <w:rPr>
                <w:color w:val="auto"/>
              </w:rPr>
            </w:pPr>
            <w:r w:rsidRPr="00DA7FF0">
              <w:rPr>
                <w:color w:val="auto"/>
              </w:rPr>
              <w:t>12322M</w:t>
            </w:r>
          </w:p>
          <w:p w14:paraId="0D75D37D" w14:textId="2F01B0A6" w:rsidR="00DA7FF0" w:rsidRPr="00DA7FF0" w:rsidRDefault="00DA7FF0" w:rsidP="00DA7FF0">
            <w:pPr>
              <w:pStyle w:val="Tablewriting"/>
              <w:rPr>
                <w:color w:val="auto"/>
              </w:rPr>
            </w:pPr>
            <w:r w:rsidRPr="00DA7FF0">
              <w:rPr>
                <w:color w:val="auto"/>
              </w:rPr>
              <w:t>12324P</w:t>
            </w:r>
          </w:p>
          <w:p w14:paraId="78430213" w14:textId="5CB100BA" w:rsidR="0011736A" w:rsidRPr="00DA7FF0" w:rsidRDefault="0011736A" w:rsidP="0011736A">
            <w:pPr>
              <w:pStyle w:val="Tablewriting"/>
              <w:rPr>
                <w:color w:val="auto"/>
              </w:rPr>
            </w:pPr>
            <w:r w:rsidRPr="00DA7FF0">
              <w:rPr>
                <w:color w:val="auto"/>
              </w:rPr>
              <w:t>12304N</w:t>
            </w:r>
          </w:p>
          <w:p w14:paraId="3DA2D114" w14:textId="375FE3BB" w:rsidR="0011736A" w:rsidRPr="00DA7FF0" w:rsidRDefault="0011736A" w:rsidP="00DA7FF0">
            <w:pPr>
              <w:pStyle w:val="Tablewriting"/>
              <w:rPr>
                <w:color w:val="auto"/>
              </w:rPr>
            </w:pPr>
            <w:r w:rsidRPr="00DA7FF0">
              <w:rPr>
                <w:color w:val="auto"/>
              </w:rPr>
              <w:t>12308T</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2F694AF0" w14:textId="756CB6FF" w:rsidR="00DA7FF0" w:rsidRPr="00DA7FF0" w:rsidRDefault="0011736A" w:rsidP="0011736A">
            <w:pPr>
              <w:pStyle w:val="Tablewriting"/>
              <w:rPr>
                <w:color w:val="auto"/>
              </w:rPr>
            </w:pPr>
            <w:r w:rsidRPr="00DA7FF0">
              <w:rPr>
                <w:color w:val="auto"/>
              </w:rPr>
              <w:t>ipilimumab,</w:t>
            </w:r>
          </w:p>
          <w:p w14:paraId="53CF7899" w14:textId="77777777" w:rsidR="0011736A" w:rsidRPr="00DA7FF0" w:rsidRDefault="0011736A" w:rsidP="0011736A">
            <w:pPr>
              <w:pStyle w:val="Tablewriting"/>
              <w:rPr>
                <w:color w:val="auto"/>
              </w:rPr>
            </w:pPr>
            <w:r w:rsidRPr="00DA7FF0">
              <w:rPr>
                <w:color w:val="auto"/>
              </w:rPr>
              <w:t xml:space="preserve">50 mg/10 mL injection, 10 mL vial </w:t>
            </w:r>
          </w:p>
          <w:p w14:paraId="59526B1C" w14:textId="77777777" w:rsidR="0011736A" w:rsidRPr="00DA7FF0" w:rsidRDefault="0011736A" w:rsidP="0011736A">
            <w:pPr>
              <w:pStyle w:val="Tablewriting"/>
              <w:rPr>
                <w:color w:val="auto"/>
              </w:rPr>
            </w:pPr>
            <w:r w:rsidRPr="00DA7FF0">
              <w:rPr>
                <w:color w:val="auto"/>
              </w:rPr>
              <w:t>50 mg/10 mL injection, 10 mL vial</w:t>
            </w:r>
          </w:p>
          <w:p w14:paraId="49E3EFBB" w14:textId="77777777" w:rsidR="0011736A" w:rsidRPr="00DA7FF0" w:rsidRDefault="0011736A" w:rsidP="0011736A">
            <w:pPr>
              <w:pStyle w:val="Tablewriting"/>
              <w:rPr>
                <w:color w:val="auto"/>
              </w:rPr>
            </w:pPr>
            <w:r w:rsidRPr="00DA7FF0">
              <w:rPr>
                <w:color w:val="auto"/>
              </w:rPr>
              <w:t>50 mg/10 mL injection, 10 mL vial</w:t>
            </w:r>
          </w:p>
          <w:p w14:paraId="4870BB9D" w14:textId="77777777" w:rsidR="0011736A" w:rsidRPr="00DA7FF0" w:rsidRDefault="0011736A" w:rsidP="0011736A">
            <w:pPr>
              <w:pStyle w:val="Tableheading"/>
              <w:jc w:val="left"/>
              <w:rPr>
                <w:b w:val="0"/>
                <w:sz w:val="20"/>
                <w:szCs w:val="20"/>
              </w:rPr>
            </w:pPr>
            <w:r w:rsidRPr="00DA7FF0">
              <w:rPr>
                <w:b w:val="0"/>
                <w:sz w:val="20"/>
                <w:szCs w:val="20"/>
              </w:rPr>
              <w:t>50 mg/10 mL injection, 10 mL vial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7DA5858" w14:textId="77777777" w:rsidR="0011736A" w:rsidRPr="00DA7FF0" w:rsidRDefault="0011736A" w:rsidP="0011736A">
            <w:pPr>
              <w:pStyle w:val="Tablewriting"/>
              <w:jc w:val="center"/>
              <w:rPr>
                <w:color w:val="auto"/>
              </w:rPr>
            </w:pPr>
          </w:p>
          <w:p w14:paraId="7E7BE76E" w14:textId="77777777" w:rsidR="0011736A" w:rsidRPr="00DA7FF0" w:rsidRDefault="0011736A" w:rsidP="0011736A">
            <w:pPr>
              <w:pStyle w:val="Tablewriting"/>
              <w:jc w:val="center"/>
              <w:rPr>
                <w:color w:val="auto"/>
              </w:rPr>
            </w:pPr>
            <w:r w:rsidRPr="00DA7FF0">
              <w:rPr>
                <w:color w:val="auto"/>
              </w:rPr>
              <w:t xml:space="preserve">120 mg </w:t>
            </w:r>
          </w:p>
          <w:p w14:paraId="726A6164" w14:textId="77777777" w:rsidR="0011736A" w:rsidRPr="00DA7FF0" w:rsidRDefault="0011736A" w:rsidP="0011736A">
            <w:pPr>
              <w:pStyle w:val="Tablewriting"/>
              <w:jc w:val="center"/>
              <w:rPr>
                <w:color w:val="auto"/>
              </w:rPr>
            </w:pPr>
            <w:r w:rsidRPr="00DA7FF0">
              <w:rPr>
                <w:color w:val="auto"/>
              </w:rPr>
              <w:t xml:space="preserve">120 mg </w:t>
            </w:r>
          </w:p>
          <w:p w14:paraId="76273209" w14:textId="77777777" w:rsidR="0011736A" w:rsidRPr="00DA7FF0" w:rsidRDefault="0011736A" w:rsidP="0011736A">
            <w:pPr>
              <w:pStyle w:val="Tablewriting"/>
              <w:jc w:val="center"/>
              <w:rPr>
                <w:color w:val="auto"/>
              </w:rPr>
            </w:pPr>
            <w:r w:rsidRPr="00DA7FF0">
              <w:rPr>
                <w:color w:val="auto"/>
              </w:rPr>
              <w:t xml:space="preserve">120 mg </w:t>
            </w:r>
          </w:p>
          <w:p w14:paraId="58B77516" w14:textId="77777777" w:rsidR="0011736A" w:rsidRPr="00DA7FF0" w:rsidRDefault="0011736A" w:rsidP="0011736A">
            <w:pPr>
              <w:pStyle w:val="Tableheading"/>
              <w:rPr>
                <w:b w:val="0"/>
                <w:sz w:val="20"/>
                <w:szCs w:val="20"/>
              </w:rPr>
            </w:pPr>
            <w:r w:rsidRPr="00DA7FF0">
              <w:rPr>
                <w:b w:val="0"/>
                <w:sz w:val="20"/>
                <w:szCs w:val="20"/>
              </w:rPr>
              <w:t xml:space="preserve">120 mg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13A38A" w14:textId="77777777" w:rsidR="0011736A" w:rsidRPr="00DA7FF0" w:rsidRDefault="0011736A" w:rsidP="0011736A">
            <w:pPr>
              <w:pStyle w:val="Tablewriting"/>
              <w:jc w:val="center"/>
              <w:rPr>
                <w:color w:val="auto"/>
              </w:rPr>
            </w:pPr>
          </w:p>
          <w:p w14:paraId="397590BE" w14:textId="77777777" w:rsidR="0011736A" w:rsidRPr="00DA7FF0" w:rsidRDefault="0011736A" w:rsidP="0011736A">
            <w:pPr>
              <w:pStyle w:val="Tablewriting"/>
              <w:jc w:val="center"/>
              <w:rPr>
                <w:color w:val="auto"/>
              </w:rPr>
            </w:pPr>
            <w:r w:rsidRPr="00DA7FF0">
              <w:rPr>
                <w:color w:val="auto"/>
              </w:rPr>
              <w:t>4</w:t>
            </w:r>
          </w:p>
          <w:p w14:paraId="6E3E97EC" w14:textId="77777777" w:rsidR="0011736A" w:rsidRPr="00DA7FF0" w:rsidRDefault="0011736A" w:rsidP="0011736A">
            <w:pPr>
              <w:pStyle w:val="Tablewriting"/>
              <w:jc w:val="center"/>
              <w:rPr>
                <w:color w:val="auto"/>
              </w:rPr>
            </w:pPr>
            <w:r w:rsidRPr="00DA7FF0">
              <w:rPr>
                <w:color w:val="auto"/>
              </w:rPr>
              <w:t>4</w:t>
            </w:r>
          </w:p>
          <w:p w14:paraId="72571CD6" w14:textId="77777777" w:rsidR="0011736A" w:rsidRPr="00DA7FF0" w:rsidRDefault="0011736A" w:rsidP="0011736A">
            <w:pPr>
              <w:pStyle w:val="Tablewriting"/>
              <w:jc w:val="center"/>
              <w:rPr>
                <w:color w:val="auto"/>
              </w:rPr>
            </w:pPr>
            <w:r w:rsidRPr="00DA7FF0">
              <w:rPr>
                <w:color w:val="auto"/>
              </w:rPr>
              <w:t>4</w:t>
            </w:r>
          </w:p>
          <w:p w14:paraId="12FA315C" w14:textId="77777777" w:rsidR="0011736A" w:rsidRPr="00DA7FF0" w:rsidRDefault="0011736A" w:rsidP="0011736A">
            <w:pPr>
              <w:pStyle w:val="Tableheading"/>
              <w:rPr>
                <w:b w:val="0"/>
                <w:sz w:val="20"/>
                <w:szCs w:val="20"/>
              </w:rPr>
            </w:pPr>
            <w:r w:rsidRPr="00DA7FF0">
              <w:rPr>
                <w:b w:val="0"/>
                <w:sz w:val="20"/>
                <w:szCs w:val="20"/>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445464" w14:textId="77777777" w:rsidR="0011736A" w:rsidRPr="00DA7FF0" w:rsidRDefault="0011736A" w:rsidP="0011736A">
            <w:pPr>
              <w:pStyle w:val="Tablewriting"/>
              <w:jc w:val="center"/>
              <w:rPr>
                <w:color w:val="auto"/>
              </w:rPr>
            </w:pPr>
          </w:p>
          <w:p w14:paraId="01B8CEBE" w14:textId="77777777" w:rsidR="00DA7FF0" w:rsidRPr="00DA7FF0" w:rsidRDefault="00DA7FF0" w:rsidP="00DA7FF0">
            <w:pPr>
              <w:pStyle w:val="Tablewriting"/>
              <w:jc w:val="center"/>
              <w:rPr>
                <w:color w:val="auto"/>
              </w:rPr>
            </w:pPr>
            <w:r w:rsidRPr="00DA7FF0">
              <w:rPr>
                <w:color w:val="auto"/>
              </w:rPr>
              <w:t>$16,964.83</w:t>
            </w:r>
          </w:p>
          <w:p w14:paraId="0F663C20" w14:textId="29DFF53D" w:rsidR="0011736A" w:rsidRPr="00DA7FF0" w:rsidRDefault="00DA7FF0" w:rsidP="00DA7FF0">
            <w:pPr>
              <w:pStyle w:val="Tablewriting"/>
              <w:jc w:val="center"/>
              <w:rPr>
                <w:color w:val="auto"/>
              </w:rPr>
            </w:pPr>
            <w:r w:rsidRPr="00DA7FF0">
              <w:rPr>
                <w:color w:val="auto"/>
              </w:rPr>
              <w:t>$16,964.83</w:t>
            </w:r>
            <w:r w:rsidR="0011736A" w:rsidRPr="00DA7FF0">
              <w:rPr>
                <w:color w:val="auto"/>
              </w:rPr>
              <w:t>$17,242.74</w:t>
            </w:r>
          </w:p>
          <w:p w14:paraId="4485F521" w14:textId="0FCFF111" w:rsidR="0011736A" w:rsidRPr="00DA7FF0" w:rsidRDefault="0011736A" w:rsidP="00DA7FF0">
            <w:pPr>
              <w:pStyle w:val="Tablewriting"/>
              <w:jc w:val="center"/>
              <w:rPr>
                <w:color w:val="auto"/>
              </w:rPr>
            </w:pPr>
            <w:r w:rsidRPr="00DA7FF0">
              <w:rPr>
                <w:color w:val="auto"/>
              </w:rPr>
              <w:t>$17,242.74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19DDD6" w14:textId="77777777" w:rsidR="0011736A" w:rsidRPr="008B28B5" w:rsidRDefault="0011736A" w:rsidP="0011736A">
            <w:pPr>
              <w:pStyle w:val="Tablewriting"/>
            </w:pPr>
            <w:r w:rsidRPr="008B28B5">
              <w:t>Yervoy®</w:t>
            </w:r>
          </w:p>
          <w:p w14:paraId="15603555" w14:textId="77777777" w:rsidR="0011736A" w:rsidRPr="008B28B5" w:rsidRDefault="0011736A" w:rsidP="0011736A">
            <w:pPr>
              <w:pStyle w:val="Tableheading"/>
              <w:jc w:val="left"/>
              <w:rPr>
                <w:b w:val="0"/>
                <w:sz w:val="20"/>
                <w:szCs w:val="20"/>
              </w:rPr>
            </w:pPr>
            <w:r w:rsidRPr="008B28B5">
              <w:rPr>
                <w:b w:val="0"/>
                <w:sz w:val="20"/>
                <w:szCs w:val="20"/>
              </w:rPr>
              <w:t>Bristol-Myers Squibb Australia Pty Ltd</w:t>
            </w:r>
          </w:p>
        </w:tc>
      </w:tr>
      <w:tr w:rsidR="008B28B5" w:rsidRPr="008B28B5" w14:paraId="1261943F" w14:textId="77777777" w:rsidTr="005B65E6">
        <w:trPr>
          <w:trHeight w:val="593"/>
          <w:tblHeader/>
        </w:trPr>
        <w:tc>
          <w:tcPr>
            <w:tcW w:w="978" w:type="dxa"/>
            <w:tcBorders>
              <w:top w:val="single" w:sz="4" w:space="0" w:color="auto"/>
              <w:left w:val="single" w:sz="4" w:space="0" w:color="auto"/>
              <w:bottom w:val="single" w:sz="4" w:space="0" w:color="auto"/>
              <w:right w:val="single" w:sz="4" w:space="0" w:color="auto"/>
            </w:tcBorders>
            <w:shd w:val="clear" w:color="auto" w:fill="auto"/>
          </w:tcPr>
          <w:p w14:paraId="02B8FC34" w14:textId="77777777" w:rsidR="008B28B5" w:rsidRPr="00DA7FF0" w:rsidRDefault="008B28B5" w:rsidP="008B28B5">
            <w:pPr>
              <w:pStyle w:val="Tablewriting"/>
              <w:rPr>
                <w:color w:val="auto"/>
              </w:rPr>
            </w:pPr>
          </w:p>
          <w:p w14:paraId="0DB008F2" w14:textId="77777777" w:rsidR="008B28B5" w:rsidRPr="00DA7FF0" w:rsidRDefault="008B28B5" w:rsidP="008B28B5">
            <w:pPr>
              <w:pStyle w:val="Tablewriting"/>
              <w:rPr>
                <w:color w:val="auto"/>
              </w:rPr>
            </w:pPr>
            <w:r w:rsidRPr="00DA7FF0">
              <w:rPr>
                <w:color w:val="auto"/>
              </w:rPr>
              <w:t>12303M</w:t>
            </w:r>
          </w:p>
          <w:p w14:paraId="3553EC48" w14:textId="77777777" w:rsidR="008B28B5" w:rsidRPr="00DA7FF0" w:rsidRDefault="008B28B5" w:rsidP="008B28B5">
            <w:pPr>
              <w:pStyle w:val="Tablewriting"/>
              <w:rPr>
                <w:color w:val="auto"/>
              </w:rPr>
            </w:pPr>
          </w:p>
          <w:p w14:paraId="3B4C05E3" w14:textId="77777777" w:rsidR="00DA7FF0" w:rsidRPr="00DA7FF0" w:rsidRDefault="00DA7FF0" w:rsidP="00DA7FF0">
            <w:pPr>
              <w:pStyle w:val="Tablewriting"/>
              <w:rPr>
                <w:color w:val="auto"/>
              </w:rPr>
            </w:pPr>
            <w:r w:rsidRPr="00DA7FF0">
              <w:rPr>
                <w:color w:val="auto"/>
              </w:rPr>
              <w:t>12323N</w:t>
            </w:r>
          </w:p>
          <w:p w14:paraId="7B7787FA" w14:textId="77777777" w:rsidR="00DA7FF0" w:rsidRPr="00DA7FF0" w:rsidRDefault="00DA7FF0" w:rsidP="008B28B5">
            <w:pPr>
              <w:pStyle w:val="Tablewriting"/>
              <w:rPr>
                <w:color w:val="auto"/>
              </w:rPr>
            </w:pPr>
          </w:p>
          <w:p w14:paraId="6F9C51C2" w14:textId="5CF343A9" w:rsidR="008B28B5" w:rsidRPr="00DA7FF0" w:rsidRDefault="008B28B5" w:rsidP="008B28B5">
            <w:pPr>
              <w:pStyle w:val="Tablewriting"/>
              <w:rPr>
                <w:color w:val="auto"/>
              </w:rPr>
            </w:pPr>
            <w:r w:rsidRPr="00DA7FF0">
              <w:rPr>
                <w:color w:val="auto"/>
              </w:rPr>
              <w:t>12312B</w:t>
            </w:r>
          </w:p>
          <w:p w14:paraId="5AF963E1" w14:textId="77777777" w:rsidR="008B28B5" w:rsidRPr="00DA7FF0" w:rsidRDefault="008B28B5" w:rsidP="008B28B5">
            <w:pPr>
              <w:pStyle w:val="Tablewriting"/>
              <w:rPr>
                <w:color w:val="auto"/>
              </w:rPr>
            </w:pPr>
          </w:p>
          <w:p w14:paraId="0EFC4C47" w14:textId="7E6943C0" w:rsidR="008B28B5" w:rsidRPr="00DA7FF0" w:rsidRDefault="008B28B5" w:rsidP="00DA7FF0">
            <w:pPr>
              <w:pStyle w:val="Tablewriting"/>
              <w:rPr>
                <w:color w:val="auto"/>
              </w:rPr>
            </w:pPr>
            <w:r w:rsidRPr="00DA7FF0">
              <w:rPr>
                <w:color w:val="auto"/>
              </w:rPr>
              <w:t>12315E</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4A0C6FDB" w14:textId="3910C234" w:rsidR="008B28B5" w:rsidRPr="00DA7FF0" w:rsidRDefault="008B28B5" w:rsidP="008B28B5">
            <w:pPr>
              <w:pStyle w:val="Tablewriting"/>
              <w:rPr>
                <w:color w:val="auto"/>
              </w:rPr>
            </w:pPr>
            <w:r w:rsidRPr="00DA7FF0">
              <w:rPr>
                <w:color w:val="auto"/>
              </w:rPr>
              <w:t>nivolumab,</w:t>
            </w:r>
          </w:p>
          <w:p w14:paraId="7C66BC46" w14:textId="77777777" w:rsidR="008B28B5" w:rsidRPr="00DA7FF0" w:rsidRDefault="008B28B5" w:rsidP="008B28B5">
            <w:pPr>
              <w:pStyle w:val="Tablewriting"/>
              <w:rPr>
                <w:color w:val="auto"/>
              </w:rPr>
            </w:pPr>
            <w:r w:rsidRPr="00DA7FF0">
              <w:rPr>
                <w:color w:val="auto"/>
              </w:rPr>
              <w:t xml:space="preserve">40 mg/4 mL injection, 4 mL vial </w:t>
            </w:r>
          </w:p>
          <w:p w14:paraId="0C51C5AA" w14:textId="77777777" w:rsidR="008B28B5" w:rsidRPr="00DA7FF0" w:rsidRDefault="008B28B5" w:rsidP="008B28B5">
            <w:pPr>
              <w:pStyle w:val="Tablewriting"/>
              <w:rPr>
                <w:color w:val="auto"/>
              </w:rPr>
            </w:pPr>
            <w:r w:rsidRPr="00DA7FF0">
              <w:rPr>
                <w:color w:val="auto"/>
              </w:rPr>
              <w:t xml:space="preserve">100 mg/10 mL injection, 10 mL vial </w:t>
            </w:r>
          </w:p>
          <w:p w14:paraId="3818C487" w14:textId="77777777" w:rsidR="008B28B5" w:rsidRPr="00DA7FF0" w:rsidRDefault="008B28B5" w:rsidP="008B28B5">
            <w:pPr>
              <w:pStyle w:val="Tablewriting"/>
              <w:rPr>
                <w:color w:val="auto"/>
              </w:rPr>
            </w:pPr>
            <w:r w:rsidRPr="00DA7FF0">
              <w:rPr>
                <w:color w:val="auto"/>
              </w:rPr>
              <w:t xml:space="preserve">40 mg/4 mL injection, 4 mL vial </w:t>
            </w:r>
          </w:p>
          <w:p w14:paraId="29384A9B" w14:textId="77777777" w:rsidR="008B28B5" w:rsidRPr="00DA7FF0" w:rsidRDefault="008B28B5" w:rsidP="008B28B5">
            <w:pPr>
              <w:pStyle w:val="Tablewriting"/>
              <w:rPr>
                <w:color w:val="auto"/>
              </w:rPr>
            </w:pPr>
            <w:r w:rsidRPr="00DA7FF0">
              <w:rPr>
                <w:color w:val="auto"/>
              </w:rPr>
              <w:t>100 mg/10 mL injection, 10 mL vial</w:t>
            </w:r>
          </w:p>
          <w:p w14:paraId="6F92F4CC" w14:textId="77777777" w:rsidR="008B28B5" w:rsidRPr="00DA7FF0" w:rsidRDefault="008B28B5" w:rsidP="008B28B5">
            <w:pPr>
              <w:pStyle w:val="Tablewriting"/>
              <w:rPr>
                <w:color w:val="auto"/>
              </w:rPr>
            </w:pPr>
            <w:r w:rsidRPr="00DA7FF0">
              <w:rPr>
                <w:color w:val="auto"/>
              </w:rPr>
              <w:t xml:space="preserve">40 mg/4 mL injection, 4 mL vial </w:t>
            </w:r>
          </w:p>
          <w:p w14:paraId="73C623CD" w14:textId="77777777" w:rsidR="008B28B5" w:rsidRPr="00DA7FF0" w:rsidRDefault="008B28B5" w:rsidP="008B28B5">
            <w:pPr>
              <w:pStyle w:val="Tablewriting"/>
              <w:rPr>
                <w:color w:val="auto"/>
              </w:rPr>
            </w:pPr>
            <w:r w:rsidRPr="00DA7FF0">
              <w:rPr>
                <w:color w:val="auto"/>
              </w:rPr>
              <w:t>100 mg/10 mL injection, 10 mL vial</w:t>
            </w:r>
          </w:p>
          <w:p w14:paraId="13586CAE" w14:textId="77777777" w:rsidR="008B28B5" w:rsidRPr="00DA7FF0" w:rsidRDefault="008B28B5" w:rsidP="008B28B5">
            <w:pPr>
              <w:pStyle w:val="Tablewriting"/>
              <w:rPr>
                <w:color w:val="auto"/>
              </w:rPr>
            </w:pPr>
            <w:r w:rsidRPr="00DA7FF0">
              <w:rPr>
                <w:color w:val="auto"/>
              </w:rPr>
              <w:t xml:space="preserve">40 mg/4 mL injection, 4 mL vial </w:t>
            </w:r>
          </w:p>
          <w:p w14:paraId="0006F645" w14:textId="424E16C5" w:rsidR="008B28B5" w:rsidRPr="00DA7FF0" w:rsidRDefault="008B28B5" w:rsidP="008B28B5">
            <w:pPr>
              <w:pStyle w:val="Tablewriting"/>
              <w:rPr>
                <w:color w:val="auto"/>
              </w:rPr>
            </w:pPr>
            <w:r w:rsidRPr="00DA7FF0">
              <w:rPr>
                <w:color w:val="auto"/>
              </w:rPr>
              <w:t>100 mg/10 mL injection, 10 mL vial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190B64" w14:textId="77777777" w:rsidR="008B28B5" w:rsidRPr="00DA7FF0" w:rsidRDefault="008B28B5" w:rsidP="008B28B5">
            <w:pPr>
              <w:pStyle w:val="Tablewriting"/>
              <w:rPr>
                <w:color w:val="auto"/>
              </w:rPr>
            </w:pPr>
          </w:p>
          <w:p w14:paraId="55D6E593" w14:textId="77777777" w:rsidR="008B28B5" w:rsidRPr="00DA7FF0" w:rsidRDefault="008B28B5" w:rsidP="008B28B5">
            <w:pPr>
              <w:pStyle w:val="Tablewriting"/>
              <w:jc w:val="center"/>
              <w:rPr>
                <w:color w:val="auto"/>
              </w:rPr>
            </w:pPr>
            <w:r w:rsidRPr="00DA7FF0">
              <w:rPr>
                <w:color w:val="auto"/>
              </w:rPr>
              <w:t>360 mg</w:t>
            </w:r>
          </w:p>
          <w:p w14:paraId="303227F9" w14:textId="77777777" w:rsidR="008B28B5" w:rsidRPr="00DA7FF0" w:rsidRDefault="008B28B5" w:rsidP="008B28B5">
            <w:pPr>
              <w:pStyle w:val="Tablewriting"/>
              <w:jc w:val="center"/>
              <w:rPr>
                <w:color w:val="auto"/>
              </w:rPr>
            </w:pPr>
          </w:p>
          <w:p w14:paraId="0F3440B2" w14:textId="77777777" w:rsidR="008B28B5" w:rsidRPr="00DA7FF0" w:rsidRDefault="008B28B5" w:rsidP="008B28B5">
            <w:pPr>
              <w:pStyle w:val="Tablewriting"/>
              <w:jc w:val="center"/>
              <w:rPr>
                <w:color w:val="auto"/>
              </w:rPr>
            </w:pPr>
            <w:r w:rsidRPr="00DA7FF0">
              <w:rPr>
                <w:color w:val="auto"/>
              </w:rPr>
              <w:t>360 mg</w:t>
            </w:r>
          </w:p>
          <w:p w14:paraId="62A299D8" w14:textId="77777777" w:rsidR="008B28B5" w:rsidRPr="00DA7FF0" w:rsidRDefault="008B28B5" w:rsidP="008B28B5">
            <w:pPr>
              <w:pStyle w:val="Tablewriting"/>
              <w:jc w:val="center"/>
              <w:rPr>
                <w:color w:val="auto"/>
              </w:rPr>
            </w:pPr>
          </w:p>
          <w:p w14:paraId="12F4E19E" w14:textId="77777777" w:rsidR="008B28B5" w:rsidRPr="00DA7FF0" w:rsidRDefault="008B28B5" w:rsidP="008B28B5">
            <w:pPr>
              <w:pStyle w:val="Tablewriting"/>
              <w:jc w:val="center"/>
              <w:rPr>
                <w:color w:val="auto"/>
              </w:rPr>
            </w:pPr>
            <w:r w:rsidRPr="00DA7FF0">
              <w:rPr>
                <w:color w:val="auto"/>
              </w:rPr>
              <w:t>360 mg</w:t>
            </w:r>
          </w:p>
          <w:p w14:paraId="57801E53" w14:textId="77777777" w:rsidR="008B28B5" w:rsidRPr="00DA7FF0" w:rsidRDefault="008B28B5" w:rsidP="008B28B5">
            <w:pPr>
              <w:pStyle w:val="Tablewriting"/>
              <w:jc w:val="center"/>
              <w:rPr>
                <w:color w:val="auto"/>
              </w:rPr>
            </w:pPr>
          </w:p>
          <w:p w14:paraId="26226A91" w14:textId="69182B45" w:rsidR="008B28B5" w:rsidRPr="00DA7FF0" w:rsidRDefault="008B28B5" w:rsidP="008B28B5">
            <w:pPr>
              <w:pStyle w:val="Tablewriting"/>
              <w:jc w:val="center"/>
              <w:rPr>
                <w:color w:val="auto"/>
              </w:rPr>
            </w:pPr>
            <w:r w:rsidRPr="00DA7FF0">
              <w:rPr>
                <w:color w:val="auto"/>
              </w:rPr>
              <w:t>360 mg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4BF41C0" w14:textId="77777777" w:rsidR="008B28B5" w:rsidRPr="00DA7FF0" w:rsidRDefault="008B28B5" w:rsidP="008B28B5">
            <w:pPr>
              <w:pStyle w:val="Tablewriting"/>
              <w:rPr>
                <w:color w:val="auto"/>
              </w:rPr>
            </w:pPr>
          </w:p>
          <w:p w14:paraId="584A2CA1" w14:textId="77777777" w:rsidR="008B28B5" w:rsidRPr="00DA7FF0" w:rsidRDefault="008B28B5" w:rsidP="008B28B5">
            <w:pPr>
              <w:pStyle w:val="Tablewriting"/>
              <w:jc w:val="center"/>
              <w:rPr>
                <w:color w:val="auto"/>
              </w:rPr>
            </w:pPr>
            <w:r w:rsidRPr="00DA7FF0">
              <w:rPr>
                <w:color w:val="auto"/>
              </w:rPr>
              <w:t>13</w:t>
            </w:r>
          </w:p>
          <w:p w14:paraId="309EFA13" w14:textId="77777777" w:rsidR="008B28B5" w:rsidRPr="00DA7FF0" w:rsidRDefault="008B28B5" w:rsidP="008B28B5">
            <w:pPr>
              <w:pStyle w:val="Tablewriting"/>
              <w:jc w:val="center"/>
              <w:rPr>
                <w:color w:val="auto"/>
              </w:rPr>
            </w:pPr>
          </w:p>
          <w:p w14:paraId="5DEC7FB8" w14:textId="77777777" w:rsidR="008B28B5" w:rsidRPr="00DA7FF0" w:rsidRDefault="008B28B5" w:rsidP="008B28B5">
            <w:pPr>
              <w:pStyle w:val="Tablewriting"/>
              <w:jc w:val="center"/>
              <w:rPr>
                <w:color w:val="auto"/>
              </w:rPr>
            </w:pPr>
            <w:r w:rsidRPr="00DA7FF0">
              <w:rPr>
                <w:color w:val="auto"/>
              </w:rPr>
              <w:t>13</w:t>
            </w:r>
          </w:p>
          <w:p w14:paraId="54ECA75C" w14:textId="77777777" w:rsidR="008B28B5" w:rsidRPr="00DA7FF0" w:rsidRDefault="008B28B5" w:rsidP="008B28B5">
            <w:pPr>
              <w:pStyle w:val="Tablewriting"/>
              <w:jc w:val="center"/>
              <w:rPr>
                <w:color w:val="auto"/>
              </w:rPr>
            </w:pPr>
          </w:p>
          <w:p w14:paraId="15DD5562" w14:textId="77777777" w:rsidR="008B28B5" w:rsidRPr="00DA7FF0" w:rsidRDefault="008B28B5" w:rsidP="008B28B5">
            <w:pPr>
              <w:pStyle w:val="Tablewriting"/>
              <w:jc w:val="center"/>
              <w:rPr>
                <w:color w:val="auto"/>
              </w:rPr>
            </w:pPr>
            <w:r w:rsidRPr="00DA7FF0">
              <w:rPr>
                <w:color w:val="auto"/>
              </w:rPr>
              <w:t>13</w:t>
            </w:r>
          </w:p>
          <w:p w14:paraId="672145B9" w14:textId="77777777" w:rsidR="008B28B5" w:rsidRPr="00DA7FF0" w:rsidRDefault="008B28B5" w:rsidP="008B28B5">
            <w:pPr>
              <w:pStyle w:val="Tablewriting"/>
              <w:jc w:val="center"/>
              <w:rPr>
                <w:color w:val="auto"/>
              </w:rPr>
            </w:pPr>
          </w:p>
          <w:p w14:paraId="115F0AAE" w14:textId="027CC219" w:rsidR="008B28B5" w:rsidRPr="00DA7FF0" w:rsidRDefault="008B28B5" w:rsidP="008B28B5">
            <w:pPr>
              <w:pStyle w:val="Tablewriting"/>
              <w:jc w:val="center"/>
              <w:rPr>
                <w:color w:val="auto"/>
              </w:rPr>
            </w:pPr>
            <w:r w:rsidRPr="00DA7FF0">
              <w:rPr>
                <w:color w:val="auto"/>
              </w:rPr>
              <w:t>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6680FD" w14:textId="77777777" w:rsidR="008B28B5" w:rsidRPr="00DA7FF0" w:rsidRDefault="008B28B5" w:rsidP="008B28B5">
            <w:pPr>
              <w:pStyle w:val="Tablewriting"/>
              <w:rPr>
                <w:color w:val="auto"/>
              </w:rPr>
            </w:pPr>
          </w:p>
          <w:p w14:paraId="5F6F1A76" w14:textId="77777777" w:rsidR="008B28B5" w:rsidRPr="00DA7FF0" w:rsidRDefault="008B28B5" w:rsidP="008B28B5">
            <w:pPr>
              <w:pStyle w:val="Tablewriting"/>
              <w:jc w:val="center"/>
              <w:rPr>
                <w:color w:val="auto"/>
              </w:rPr>
            </w:pPr>
            <w:r w:rsidRPr="00DA7FF0">
              <w:rPr>
                <w:color w:val="auto"/>
              </w:rPr>
              <w:t>$7,189.57</w:t>
            </w:r>
          </w:p>
          <w:p w14:paraId="445715AE" w14:textId="77777777" w:rsidR="008B28B5" w:rsidRPr="00DA7FF0" w:rsidRDefault="008B28B5" w:rsidP="008B28B5">
            <w:pPr>
              <w:pStyle w:val="Tablewriting"/>
              <w:jc w:val="center"/>
              <w:rPr>
                <w:color w:val="auto"/>
              </w:rPr>
            </w:pPr>
          </w:p>
          <w:p w14:paraId="585A78AF" w14:textId="2F2E29E6" w:rsidR="00DA7FF0" w:rsidRPr="00DA7FF0" w:rsidRDefault="00DA7FF0" w:rsidP="008B28B5">
            <w:pPr>
              <w:pStyle w:val="Tablewriting"/>
              <w:jc w:val="center"/>
              <w:rPr>
                <w:color w:val="auto"/>
              </w:rPr>
            </w:pPr>
            <w:r w:rsidRPr="00DA7FF0">
              <w:rPr>
                <w:color w:val="auto"/>
              </w:rPr>
              <w:t>$7,189.57</w:t>
            </w:r>
          </w:p>
          <w:p w14:paraId="33F2A323" w14:textId="77777777" w:rsidR="00DA7FF0" w:rsidRPr="00DA7FF0" w:rsidRDefault="00DA7FF0" w:rsidP="008B28B5">
            <w:pPr>
              <w:pStyle w:val="Tablewriting"/>
              <w:jc w:val="center"/>
              <w:rPr>
                <w:color w:val="auto"/>
              </w:rPr>
            </w:pPr>
          </w:p>
          <w:p w14:paraId="5BE794DE" w14:textId="190A1C76" w:rsidR="008B28B5" w:rsidRPr="00DA7FF0" w:rsidRDefault="008B28B5" w:rsidP="008B28B5">
            <w:pPr>
              <w:pStyle w:val="Tablewriting"/>
              <w:jc w:val="center"/>
              <w:rPr>
                <w:color w:val="auto"/>
              </w:rPr>
            </w:pPr>
            <w:r w:rsidRPr="00DA7FF0">
              <w:rPr>
                <w:color w:val="auto"/>
              </w:rPr>
              <w:t>$7,330.64</w:t>
            </w:r>
          </w:p>
          <w:p w14:paraId="5E46EEA0" w14:textId="77777777" w:rsidR="008B28B5" w:rsidRPr="00DA7FF0" w:rsidRDefault="008B28B5" w:rsidP="008B28B5">
            <w:pPr>
              <w:pStyle w:val="Tablewriting"/>
              <w:jc w:val="center"/>
              <w:rPr>
                <w:color w:val="auto"/>
              </w:rPr>
            </w:pPr>
          </w:p>
          <w:p w14:paraId="062979B3" w14:textId="275910A1" w:rsidR="008B28B5" w:rsidRPr="00DA7FF0" w:rsidRDefault="008B28B5" w:rsidP="00DA7FF0">
            <w:pPr>
              <w:pStyle w:val="Tablewriting"/>
              <w:jc w:val="center"/>
              <w:rPr>
                <w:color w:val="auto"/>
              </w:rPr>
            </w:pPr>
            <w:r w:rsidRPr="00DA7FF0">
              <w:rPr>
                <w:color w:val="auto"/>
              </w:rPr>
              <w:t>$7,330.64</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53BCB87" w14:textId="77777777" w:rsidR="008B28B5" w:rsidRPr="008B28B5" w:rsidRDefault="008B28B5" w:rsidP="008B28B5">
            <w:pPr>
              <w:pStyle w:val="Tablewriting"/>
            </w:pPr>
            <w:r w:rsidRPr="008B28B5">
              <w:t>Opdivo®</w:t>
            </w:r>
          </w:p>
          <w:p w14:paraId="002E7C42" w14:textId="31FBC592" w:rsidR="008B28B5" w:rsidRPr="008B28B5" w:rsidRDefault="008B28B5" w:rsidP="008B28B5">
            <w:pPr>
              <w:pStyle w:val="Tablewriting"/>
            </w:pPr>
            <w:r w:rsidRPr="008B28B5">
              <w:t>Bristol-Myers Squibb Australia Pty Ltd</w:t>
            </w:r>
          </w:p>
        </w:tc>
      </w:tr>
      <w:tr w:rsidR="008B28B5" w:rsidRPr="008B28B5" w14:paraId="136CF6CD" w14:textId="77777777" w:rsidTr="005B65E6">
        <w:trPr>
          <w:trHeight w:val="593"/>
          <w:tblHeader/>
        </w:trPr>
        <w:tc>
          <w:tcPr>
            <w:tcW w:w="978" w:type="dxa"/>
            <w:tcBorders>
              <w:top w:val="single" w:sz="4" w:space="0" w:color="auto"/>
              <w:left w:val="single" w:sz="4" w:space="0" w:color="auto"/>
              <w:bottom w:val="single" w:sz="4" w:space="0" w:color="auto"/>
              <w:right w:val="single" w:sz="4" w:space="0" w:color="auto"/>
            </w:tcBorders>
            <w:shd w:val="clear" w:color="auto" w:fill="auto"/>
          </w:tcPr>
          <w:p w14:paraId="75FF0604" w14:textId="77777777" w:rsidR="008B28B5" w:rsidRPr="008B28B5" w:rsidRDefault="008B28B5" w:rsidP="008B28B5">
            <w:pPr>
              <w:pStyle w:val="Tablewriting"/>
            </w:pPr>
          </w:p>
          <w:p w14:paraId="5396BAFE" w14:textId="77777777" w:rsidR="008B28B5" w:rsidRPr="008B28B5" w:rsidRDefault="008B28B5" w:rsidP="008B28B5">
            <w:pPr>
              <w:pStyle w:val="Tablewriting"/>
            </w:pPr>
            <w:r w:rsidRPr="008B28B5">
              <w:t>11492W</w:t>
            </w:r>
          </w:p>
          <w:p w14:paraId="58907FB5" w14:textId="77777777" w:rsidR="008B28B5" w:rsidRPr="008B28B5" w:rsidRDefault="008B28B5" w:rsidP="008B28B5">
            <w:pPr>
              <w:pStyle w:val="Tablewriting"/>
            </w:pPr>
            <w:r w:rsidRPr="008B28B5">
              <w:t>11494Y</w:t>
            </w:r>
          </w:p>
          <w:p w14:paraId="3A803000" w14:textId="77777777" w:rsidR="008B28B5" w:rsidRPr="008B28B5" w:rsidRDefault="008B28B5" w:rsidP="008B28B5">
            <w:pPr>
              <w:pStyle w:val="Tablewriting"/>
            </w:pPr>
            <w:r w:rsidRPr="008B28B5">
              <w:t>12119W</w:t>
            </w:r>
          </w:p>
          <w:p w14:paraId="38B3135F" w14:textId="62BE4365" w:rsidR="008B28B5" w:rsidRPr="008B28B5" w:rsidRDefault="008B28B5" w:rsidP="008B28B5">
            <w:pPr>
              <w:pStyle w:val="Tablewriting"/>
            </w:pPr>
            <w:r w:rsidRPr="008B28B5">
              <w:t>12121Y</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382C59E6" w14:textId="77777777" w:rsidR="008B28B5" w:rsidRPr="008B28B5" w:rsidRDefault="008B28B5" w:rsidP="008B28B5">
            <w:pPr>
              <w:pStyle w:val="Tablewriting"/>
            </w:pPr>
            <w:r w:rsidRPr="008B28B5">
              <w:t>pembrolizumab</w:t>
            </w:r>
          </w:p>
          <w:p w14:paraId="1881AF17" w14:textId="77777777" w:rsidR="008B28B5" w:rsidRPr="008B28B5" w:rsidRDefault="008B28B5" w:rsidP="008B28B5">
            <w:pPr>
              <w:pStyle w:val="Tablewriting"/>
            </w:pPr>
            <w:r w:rsidRPr="008B28B5">
              <w:t xml:space="preserve">100 mg/4 mL injection, 4 mL vial </w:t>
            </w:r>
          </w:p>
          <w:p w14:paraId="4226B35D" w14:textId="77777777" w:rsidR="008B28B5" w:rsidRPr="008B28B5" w:rsidRDefault="008B28B5" w:rsidP="008B28B5">
            <w:pPr>
              <w:pStyle w:val="Tablewriting"/>
            </w:pPr>
            <w:r w:rsidRPr="008B28B5">
              <w:t>100 mg/4 mL injection, 4 mL vial</w:t>
            </w:r>
          </w:p>
          <w:p w14:paraId="61BBBE7D" w14:textId="77777777" w:rsidR="008B28B5" w:rsidRPr="008B28B5" w:rsidRDefault="008B28B5" w:rsidP="008B28B5">
            <w:pPr>
              <w:pStyle w:val="Tablewriting"/>
            </w:pPr>
            <w:r w:rsidRPr="008B28B5">
              <w:t>100 mg/4 mL injection, 4 mL vial</w:t>
            </w:r>
          </w:p>
          <w:p w14:paraId="48FAF290" w14:textId="7A87BB17" w:rsidR="008B28B5" w:rsidRPr="008B28B5" w:rsidRDefault="008B28B5" w:rsidP="008B28B5">
            <w:pPr>
              <w:pStyle w:val="Tablewriting"/>
            </w:pPr>
            <w:r w:rsidRPr="008B28B5">
              <w:t>100 mg/4 mL injection, 4 mL vial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42160F5" w14:textId="77777777" w:rsidR="008B28B5" w:rsidRPr="008B28B5" w:rsidRDefault="008B28B5" w:rsidP="008B28B5">
            <w:pPr>
              <w:pStyle w:val="Tablewriting"/>
              <w:jc w:val="center"/>
            </w:pPr>
          </w:p>
          <w:p w14:paraId="4F917DBB" w14:textId="77777777" w:rsidR="008B28B5" w:rsidRPr="008B28B5" w:rsidRDefault="008B28B5" w:rsidP="008B28B5">
            <w:pPr>
              <w:pStyle w:val="Tablewriting"/>
              <w:jc w:val="center"/>
            </w:pPr>
            <w:r w:rsidRPr="008B28B5">
              <w:t>200 mg</w:t>
            </w:r>
          </w:p>
          <w:p w14:paraId="1B9149E6" w14:textId="77777777" w:rsidR="008B28B5" w:rsidRPr="008B28B5" w:rsidRDefault="008B28B5" w:rsidP="008B28B5">
            <w:pPr>
              <w:pStyle w:val="Tablewriting"/>
              <w:jc w:val="center"/>
            </w:pPr>
            <w:r w:rsidRPr="008B28B5">
              <w:t>200 mg</w:t>
            </w:r>
          </w:p>
          <w:p w14:paraId="2FCCC3AA" w14:textId="77777777" w:rsidR="008B28B5" w:rsidRPr="008B28B5" w:rsidRDefault="008B28B5" w:rsidP="008B28B5">
            <w:pPr>
              <w:pStyle w:val="Tablewriting"/>
              <w:jc w:val="center"/>
            </w:pPr>
            <w:r w:rsidRPr="008B28B5">
              <w:t>400 mg</w:t>
            </w:r>
          </w:p>
          <w:p w14:paraId="5E3849FD" w14:textId="5D7B12B1" w:rsidR="008B28B5" w:rsidRPr="008B28B5" w:rsidRDefault="008B28B5" w:rsidP="008B28B5">
            <w:pPr>
              <w:pStyle w:val="Tablewriting"/>
              <w:jc w:val="center"/>
            </w:pPr>
            <w:r w:rsidRPr="008B28B5">
              <w:t>400 mg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5890A82" w14:textId="77777777" w:rsidR="008B28B5" w:rsidRPr="008B28B5" w:rsidRDefault="008B28B5" w:rsidP="008B28B5">
            <w:pPr>
              <w:pStyle w:val="Tablewriting"/>
              <w:jc w:val="center"/>
            </w:pPr>
          </w:p>
          <w:p w14:paraId="056500E3" w14:textId="77777777" w:rsidR="008B28B5" w:rsidRPr="008B28B5" w:rsidRDefault="008B28B5" w:rsidP="008B28B5">
            <w:pPr>
              <w:pStyle w:val="Tablewriting"/>
              <w:jc w:val="center"/>
            </w:pPr>
            <w:r w:rsidRPr="008B28B5">
              <w:t>6</w:t>
            </w:r>
          </w:p>
          <w:p w14:paraId="0EDFA7E9" w14:textId="77777777" w:rsidR="008B28B5" w:rsidRPr="008B28B5" w:rsidRDefault="008B28B5" w:rsidP="008B28B5">
            <w:pPr>
              <w:pStyle w:val="Tablewriting"/>
              <w:jc w:val="center"/>
            </w:pPr>
            <w:r w:rsidRPr="008B28B5">
              <w:t>6</w:t>
            </w:r>
          </w:p>
          <w:p w14:paraId="353945E6" w14:textId="77777777" w:rsidR="008B28B5" w:rsidRPr="008B28B5" w:rsidRDefault="008B28B5" w:rsidP="008B28B5">
            <w:pPr>
              <w:pStyle w:val="Tablewriting"/>
              <w:jc w:val="center"/>
            </w:pPr>
            <w:r w:rsidRPr="008B28B5">
              <w:t>3</w:t>
            </w:r>
          </w:p>
          <w:p w14:paraId="307B5A49" w14:textId="713B617E" w:rsidR="008B28B5" w:rsidRPr="008B28B5" w:rsidRDefault="008B28B5" w:rsidP="008B28B5">
            <w:pPr>
              <w:pStyle w:val="Tablewriting"/>
              <w:jc w:val="center"/>
            </w:pPr>
            <w:r w:rsidRPr="008B28B5">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180FEB" w14:textId="77777777" w:rsidR="008B28B5" w:rsidRPr="008B28B5" w:rsidRDefault="008B28B5" w:rsidP="008B28B5">
            <w:pPr>
              <w:pStyle w:val="Tablewriting"/>
              <w:jc w:val="center"/>
            </w:pPr>
          </w:p>
          <w:p w14:paraId="4C2768A3" w14:textId="77777777" w:rsidR="008B28B5" w:rsidRPr="008B28B5" w:rsidRDefault="008B28B5" w:rsidP="008B28B5">
            <w:pPr>
              <w:pStyle w:val="Tablewriting"/>
              <w:jc w:val="center"/>
            </w:pPr>
            <w:r w:rsidRPr="008B28B5">
              <w:t>$7,883.26</w:t>
            </w:r>
          </w:p>
          <w:p w14:paraId="1EE60CE2" w14:textId="77777777" w:rsidR="008B28B5" w:rsidRPr="008B28B5" w:rsidRDefault="008B28B5" w:rsidP="008B28B5">
            <w:pPr>
              <w:pStyle w:val="Tablewriting"/>
              <w:jc w:val="center"/>
            </w:pPr>
            <w:r w:rsidRPr="008B28B5">
              <w:t>$7,334.57</w:t>
            </w:r>
          </w:p>
          <w:p w14:paraId="7A890181" w14:textId="77777777" w:rsidR="008B28B5" w:rsidRPr="008B28B5" w:rsidRDefault="008B28B5" w:rsidP="008B28B5">
            <w:pPr>
              <w:pStyle w:val="Tablewriting"/>
              <w:jc w:val="center"/>
            </w:pPr>
            <w:r w:rsidRPr="008B28B5">
              <w:t>$15,382.07</w:t>
            </w:r>
          </w:p>
          <w:p w14:paraId="0743612A" w14:textId="750BB609" w:rsidR="008B28B5" w:rsidRPr="008B28B5" w:rsidRDefault="008B28B5" w:rsidP="008B28B5">
            <w:pPr>
              <w:pStyle w:val="Tablewriting"/>
              <w:jc w:val="center"/>
            </w:pPr>
            <w:r w:rsidRPr="008B28B5">
              <w:t>$15,637.82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D5360FE" w14:textId="77777777" w:rsidR="008B28B5" w:rsidRPr="008B28B5" w:rsidRDefault="008B28B5" w:rsidP="008B28B5">
            <w:pPr>
              <w:pStyle w:val="Tablewriting"/>
            </w:pPr>
            <w:r w:rsidRPr="008B28B5">
              <w:t>Keytruda®</w:t>
            </w:r>
          </w:p>
          <w:p w14:paraId="3EF3360A" w14:textId="62BCD580" w:rsidR="008B28B5" w:rsidRPr="008B28B5" w:rsidRDefault="008B28B5" w:rsidP="008B28B5">
            <w:pPr>
              <w:pStyle w:val="Tablewriting"/>
            </w:pPr>
            <w:r w:rsidRPr="008B28B5">
              <w:t>Merck Sharp &amp; Dohme (Australia) Pty Ltd</w:t>
            </w:r>
          </w:p>
        </w:tc>
      </w:tr>
    </w:tbl>
    <w:p w14:paraId="12150FA9" w14:textId="77777777" w:rsidR="0011736A" w:rsidRPr="008B28B5" w:rsidRDefault="0011736A"/>
    <w:tbl>
      <w:tblPr>
        <w:tblStyle w:val="TableGrid"/>
        <w:tblpPr w:leftFromText="180" w:rightFromText="180" w:vertAnchor="text" w:tblpY="1"/>
        <w:tblOverlap w:val="never"/>
        <w:tblW w:w="9067" w:type="dxa"/>
        <w:tblLayout w:type="fixed"/>
        <w:tblLook w:val="04A0" w:firstRow="1" w:lastRow="0" w:firstColumn="1" w:lastColumn="0" w:noHBand="0" w:noVBand="1"/>
      </w:tblPr>
      <w:tblGrid>
        <w:gridCol w:w="978"/>
        <w:gridCol w:w="3412"/>
        <w:gridCol w:w="992"/>
        <w:gridCol w:w="709"/>
        <w:gridCol w:w="1134"/>
        <w:gridCol w:w="1842"/>
      </w:tblGrid>
      <w:tr w:rsidR="008B28B5" w:rsidRPr="002142AD" w14:paraId="74433049" w14:textId="77777777" w:rsidTr="008B28B5">
        <w:trPr>
          <w:trHeight w:val="593"/>
          <w:tblHeader/>
        </w:trPr>
        <w:tc>
          <w:tcPr>
            <w:tcW w:w="9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B662EEF" w14:textId="3FF66C6E" w:rsidR="008B28B5" w:rsidRPr="008B28B5" w:rsidRDefault="008B28B5" w:rsidP="008B28B5">
            <w:pPr>
              <w:pStyle w:val="Tablewriting"/>
              <w:jc w:val="center"/>
              <w:rPr>
                <w:b/>
                <w:bCs/>
              </w:rPr>
            </w:pPr>
            <w:r w:rsidRPr="008B28B5">
              <w:rPr>
                <w:b/>
                <w:bCs/>
              </w:rPr>
              <w:lastRenderedPageBreak/>
              <w:t>Item code</w:t>
            </w:r>
          </w:p>
        </w:tc>
        <w:tc>
          <w:tcPr>
            <w:tcW w:w="34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235E58" w14:textId="6BAA8E47" w:rsidR="008B28B5" w:rsidRPr="008B28B5" w:rsidRDefault="008B28B5" w:rsidP="008B28B5">
            <w:pPr>
              <w:pStyle w:val="Tablewriting"/>
              <w:jc w:val="center"/>
              <w:rPr>
                <w:b/>
                <w:bCs/>
              </w:rPr>
            </w:pPr>
            <w:r w:rsidRPr="008B28B5">
              <w:rPr>
                <w:b/>
                <w:bCs/>
              </w:rPr>
              <w:t>Name, form &amp; strength, pack size</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9E70F71" w14:textId="09211D3A" w:rsidR="008B28B5" w:rsidRPr="008B28B5" w:rsidRDefault="008B28B5" w:rsidP="008B28B5">
            <w:pPr>
              <w:pStyle w:val="Tablewriting"/>
              <w:jc w:val="center"/>
              <w:rPr>
                <w:b/>
                <w:bCs/>
              </w:rPr>
            </w:pPr>
            <w:r w:rsidRPr="008B28B5">
              <w:rPr>
                <w:b/>
                <w:bCs/>
              </w:rPr>
              <w:t>Max amount</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4821BE" w14:textId="566AEF0B" w:rsidR="008B28B5" w:rsidRPr="008B28B5" w:rsidRDefault="008B28B5" w:rsidP="008B28B5">
            <w:pPr>
              <w:pStyle w:val="Tablewriting"/>
              <w:jc w:val="center"/>
              <w:rPr>
                <w:b/>
                <w:bCs/>
              </w:rPr>
            </w:pPr>
            <w:r w:rsidRPr="008B28B5">
              <w:rPr>
                <w:b/>
                <w:bCs/>
              </w:rPr>
              <w:t>Rpts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4338A3" w14:textId="5F6162F1" w:rsidR="008B28B5" w:rsidRPr="008B28B5" w:rsidRDefault="008B28B5" w:rsidP="008B28B5">
            <w:pPr>
              <w:pStyle w:val="Tablewriting"/>
              <w:jc w:val="center"/>
              <w:rPr>
                <w:b/>
                <w:bCs/>
              </w:rPr>
            </w:pPr>
            <w:r w:rsidRPr="008B28B5">
              <w:rPr>
                <w:b/>
                <w:bCs/>
              </w:rPr>
              <w:t>DPMA</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E08B0C" w14:textId="361DB19C" w:rsidR="008B28B5" w:rsidRPr="008B28B5" w:rsidRDefault="008B28B5" w:rsidP="008B28B5">
            <w:pPr>
              <w:pStyle w:val="Tablewriting"/>
              <w:jc w:val="center"/>
              <w:rPr>
                <w:b/>
                <w:bCs/>
              </w:rPr>
            </w:pPr>
            <w:r w:rsidRPr="008B28B5">
              <w:rPr>
                <w:b/>
                <w:bCs/>
              </w:rPr>
              <w:t>Brand name and manufacturer</w:t>
            </w:r>
          </w:p>
        </w:tc>
      </w:tr>
      <w:tr w:rsidR="008B28B5" w:rsidRPr="002142AD" w14:paraId="5B9CB609" w14:textId="77777777" w:rsidTr="004F0548">
        <w:trPr>
          <w:trHeight w:val="60"/>
          <w:tblHeader/>
        </w:trPr>
        <w:tc>
          <w:tcPr>
            <w:tcW w:w="9067"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93A7E5" w14:textId="0834A37E" w:rsidR="008B28B5" w:rsidRPr="008B28B5" w:rsidRDefault="008B28B5" w:rsidP="008B28B5">
            <w:pPr>
              <w:pStyle w:val="Tablewriting"/>
              <w:rPr>
                <w:b/>
              </w:rPr>
            </w:pPr>
            <w:r w:rsidRPr="008B28B5">
              <w:rPr>
                <w:b/>
              </w:rPr>
              <w:t>Locally advanced and metastatic NSCLC</w:t>
            </w:r>
            <w:r w:rsidR="00496C73">
              <w:rPr>
                <w:b/>
              </w:rPr>
              <w:t xml:space="preserve"> (2L)</w:t>
            </w:r>
          </w:p>
        </w:tc>
      </w:tr>
      <w:tr w:rsidR="008B28B5" w:rsidRPr="002142AD" w14:paraId="0D340643" w14:textId="77777777" w:rsidTr="005B65E6">
        <w:trPr>
          <w:trHeight w:val="593"/>
          <w:tblHeader/>
        </w:trPr>
        <w:tc>
          <w:tcPr>
            <w:tcW w:w="978" w:type="dxa"/>
            <w:tcBorders>
              <w:top w:val="single" w:sz="4" w:space="0" w:color="auto"/>
              <w:left w:val="single" w:sz="4" w:space="0" w:color="auto"/>
              <w:bottom w:val="single" w:sz="4" w:space="0" w:color="auto"/>
              <w:right w:val="single" w:sz="4" w:space="0" w:color="auto"/>
            </w:tcBorders>
            <w:shd w:val="clear" w:color="auto" w:fill="auto"/>
          </w:tcPr>
          <w:p w14:paraId="24491CED" w14:textId="77777777" w:rsidR="008B28B5" w:rsidRPr="007913D3" w:rsidRDefault="008B28B5" w:rsidP="008B28B5">
            <w:pPr>
              <w:pStyle w:val="Tablewriting"/>
              <w:rPr>
                <w:color w:val="auto"/>
              </w:rPr>
            </w:pPr>
          </w:p>
          <w:p w14:paraId="338E6008" w14:textId="77777777" w:rsidR="007913D3" w:rsidRPr="007913D3" w:rsidRDefault="007913D3" w:rsidP="007913D3">
            <w:pPr>
              <w:pStyle w:val="Tablewriting"/>
              <w:rPr>
                <w:color w:val="auto"/>
              </w:rPr>
            </w:pPr>
            <w:r w:rsidRPr="007913D3">
              <w:rPr>
                <w:color w:val="auto"/>
              </w:rPr>
              <w:t>11284X</w:t>
            </w:r>
          </w:p>
          <w:p w14:paraId="23E76C91" w14:textId="77777777" w:rsidR="008B28B5" w:rsidRPr="007913D3" w:rsidRDefault="008B28B5" w:rsidP="008B28B5">
            <w:pPr>
              <w:pStyle w:val="Tablewriting"/>
              <w:rPr>
                <w:color w:val="auto"/>
              </w:rPr>
            </w:pPr>
            <w:r w:rsidRPr="007913D3">
              <w:rPr>
                <w:color w:val="auto"/>
              </w:rPr>
              <w:t>11277M</w:t>
            </w:r>
          </w:p>
          <w:p w14:paraId="5A409343" w14:textId="77777777" w:rsidR="007913D3" w:rsidRPr="007913D3" w:rsidRDefault="007913D3" w:rsidP="007913D3">
            <w:pPr>
              <w:pStyle w:val="Tablewriting"/>
              <w:rPr>
                <w:color w:val="auto"/>
              </w:rPr>
            </w:pPr>
            <w:r w:rsidRPr="007913D3">
              <w:rPr>
                <w:color w:val="auto"/>
              </w:rPr>
              <w:t>11309F</w:t>
            </w:r>
          </w:p>
          <w:p w14:paraId="35B3E52C" w14:textId="77777777" w:rsidR="008B28B5" w:rsidRPr="007913D3" w:rsidRDefault="008B28B5" w:rsidP="008B28B5">
            <w:pPr>
              <w:pStyle w:val="Tablewriting"/>
              <w:rPr>
                <w:color w:val="auto"/>
              </w:rPr>
            </w:pPr>
            <w:r w:rsidRPr="007913D3">
              <w:rPr>
                <w:color w:val="auto"/>
              </w:rPr>
              <w:t>11297N</w:t>
            </w:r>
          </w:p>
          <w:p w14:paraId="0DDF8A69" w14:textId="77777777" w:rsidR="008B28B5" w:rsidRPr="007913D3" w:rsidRDefault="008B28B5" w:rsidP="008B28B5">
            <w:pPr>
              <w:pStyle w:val="Tablewriting"/>
              <w:rPr>
                <w:color w:val="auto"/>
              </w:rPr>
            </w:pPr>
            <w:r w:rsidRPr="007913D3">
              <w:rPr>
                <w:color w:val="auto"/>
              </w:rPr>
              <w:t>11930X</w:t>
            </w:r>
          </w:p>
          <w:p w14:paraId="53CD8C4D" w14:textId="77777777" w:rsidR="008B28B5" w:rsidRPr="007913D3" w:rsidRDefault="008B28B5" w:rsidP="008B28B5">
            <w:pPr>
              <w:pStyle w:val="Tablewriting"/>
              <w:rPr>
                <w:color w:val="auto"/>
              </w:rPr>
            </w:pPr>
            <w:r w:rsidRPr="007913D3">
              <w:rPr>
                <w:color w:val="auto"/>
              </w:rPr>
              <w:t>11931Y</w:t>
            </w:r>
          </w:p>
          <w:p w14:paraId="0F8C3B9E" w14:textId="77777777" w:rsidR="008B28B5" w:rsidRPr="007913D3" w:rsidRDefault="008B28B5" w:rsidP="008B28B5">
            <w:pPr>
              <w:pStyle w:val="Tablewriting"/>
              <w:rPr>
                <w:color w:val="auto"/>
              </w:rPr>
            </w:pPr>
            <w:r w:rsidRPr="007913D3">
              <w:rPr>
                <w:color w:val="auto"/>
              </w:rPr>
              <w:t>11940K</w:t>
            </w:r>
          </w:p>
          <w:p w14:paraId="5D154E2F" w14:textId="0907DEB0" w:rsidR="008B28B5" w:rsidRPr="007913D3" w:rsidRDefault="008B28B5" w:rsidP="008B28B5">
            <w:pPr>
              <w:pStyle w:val="Tablewriting"/>
              <w:rPr>
                <w:color w:val="auto"/>
              </w:rPr>
            </w:pPr>
            <w:r w:rsidRPr="007913D3">
              <w:rPr>
                <w:color w:val="auto"/>
              </w:rPr>
              <w:t>11957H</w:t>
            </w: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2E51FAD9" w14:textId="77777777" w:rsidR="008B28B5" w:rsidRPr="007913D3" w:rsidRDefault="008B28B5" w:rsidP="008B28B5">
            <w:pPr>
              <w:pStyle w:val="Tablewriting"/>
              <w:rPr>
                <w:color w:val="auto"/>
              </w:rPr>
            </w:pPr>
            <w:r w:rsidRPr="007913D3">
              <w:rPr>
                <w:color w:val="auto"/>
              </w:rPr>
              <w:t>Atezolizumab,</w:t>
            </w:r>
          </w:p>
          <w:p w14:paraId="1A1125CF" w14:textId="77777777" w:rsidR="008B28B5" w:rsidRPr="007913D3" w:rsidRDefault="008B28B5" w:rsidP="008B28B5">
            <w:pPr>
              <w:pStyle w:val="Tablewriting"/>
              <w:rPr>
                <w:color w:val="auto"/>
              </w:rPr>
            </w:pPr>
            <w:r w:rsidRPr="007913D3">
              <w:rPr>
                <w:color w:val="auto"/>
              </w:rPr>
              <w:t xml:space="preserve">1.2 g/20 mL injection, 20 mL vial </w:t>
            </w:r>
          </w:p>
          <w:p w14:paraId="1EE43AE9" w14:textId="77777777" w:rsidR="008B28B5" w:rsidRPr="007913D3" w:rsidRDefault="008B28B5" w:rsidP="008B28B5">
            <w:pPr>
              <w:pStyle w:val="Tablewriting"/>
              <w:rPr>
                <w:color w:val="auto"/>
              </w:rPr>
            </w:pPr>
            <w:r w:rsidRPr="007913D3">
              <w:rPr>
                <w:color w:val="auto"/>
              </w:rPr>
              <w:t>1.2 g/20 mL injection, 20 mL vial</w:t>
            </w:r>
          </w:p>
          <w:p w14:paraId="34B4C5C7" w14:textId="77777777" w:rsidR="008B28B5" w:rsidRPr="007913D3" w:rsidRDefault="008B28B5" w:rsidP="008B28B5">
            <w:pPr>
              <w:pStyle w:val="Tablewriting"/>
              <w:rPr>
                <w:color w:val="auto"/>
              </w:rPr>
            </w:pPr>
            <w:r w:rsidRPr="007913D3">
              <w:rPr>
                <w:color w:val="auto"/>
              </w:rPr>
              <w:t>1.2 g/20 mL injection, 20 mL vial</w:t>
            </w:r>
          </w:p>
          <w:p w14:paraId="16142190" w14:textId="77777777" w:rsidR="008B28B5" w:rsidRPr="007913D3" w:rsidRDefault="008B28B5" w:rsidP="008B28B5">
            <w:pPr>
              <w:pStyle w:val="Tablewriting"/>
              <w:rPr>
                <w:color w:val="auto"/>
              </w:rPr>
            </w:pPr>
            <w:r w:rsidRPr="007913D3">
              <w:rPr>
                <w:color w:val="auto"/>
              </w:rPr>
              <w:t>1.2 g/20 mL injection, 20 mL vial</w:t>
            </w:r>
          </w:p>
          <w:p w14:paraId="471957E9" w14:textId="77777777" w:rsidR="008B28B5" w:rsidRPr="007913D3" w:rsidRDefault="008B28B5" w:rsidP="008B28B5">
            <w:pPr>
              <w:pStyle w:val="Tablewriting"/>
              <w:rPr>
                <w:color w:val="auto"/>
              </w:rPr>
            </w:pPr>
            <w:r w:rsidRPr="007913D3">
              <w:rPr>
                <w:color w:val="auto"/>
              </w:rPr>
              <w:t>840 mg/14 mL injection, 14 mL vial</w:t>
            </w:r>
          </w:p>
          <w:p w14:paraId="324E67BA" w14:textId="77777777" w:rsidR="008B28B5" w:rsidRPr="007913D3" w:rsidRDefault="008B28B5" w:rsidP="008B28B5">
            <w:pPr>
              <w:pStyle w:val="Tablewriting"/>
              <w:rPr>
                <w:color w:val="auto"/>
              </w:rPr>
            </w:pPr>
            <w:r w:rsidRPr="007913D3">
              <w:rPr>
                <w:color w:val="auto"/>
              </w:rPr>
              <w:t>840 mg/14 mL injection, 14 mL vial</w:t>
            </w:r>
          </w:p>
          <w:p w14:paraId="04EE1B7F" w14:textId="77777777" w:rsidR="008B28B5" w:rsidRPr="007913D3" w:rsidRDefault="008B28B5" w:rsidP="008B28B5">
            <w:pPr>
              <w:pStyle w:val="Tablewriting"/>
              <w:rPr>
                <w:color w:val="auto"/>
              </w:rPr>
            </w:pPr>
            <w:r w:rsidRPr="007913D3">
              <w:rPr>
                <w:color w:val="auto"/>
              </w:rPr>
              <w:t xml:space="preserve">840 mg/14 mL injection, 14 mL vial </w:t>
            </w:r>
          </w:p>
          <w:p w14:paraId="156538D1" w14:textId="076356DC" w:rsidR="008B28B5" w:rsidRPr="007913D3" w:rsidRDefault="008B28B5" w:rsidP="008B28B5">
            <w:pPr>
              <w:pStyle w:val="Tablewriting"/>
              <w:rPr>
                <w:color w:val="auto"/>
              </w:rPr>
            </w:pPr>
            <w:r w:rsidRPr="007913D3">
              <w:rPr>
                <w:color w:val="auto"/>
              </w:rPr>
              <w:t>840 mg/14 mL injection, 14 mL vial</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C422A95" w14:textId="77777777" w:rsidR="008B28B5" w:rsidRPr="007913D3" w:rsidRDefault="008B28B5" w:rsidP="008B28B5">
            <w:pPr>
              <w:pStyle w:val="Tablewriting"/>
              <w:jc w:val="center"/>
              <w:rPr>
                <w:color w:val="auto"/>
              </w:rPr>
            </w:pPr>
          </w:p>
          <w:p w14:paraId="11688C38" w14:textId="77777777" w:rsidR="008B28B5" w:rsidRPr="007913D3" w:rsidRDefault="008B28B5" w:rsidP="008B28B5">
            <w:pPr>
              <w:pStyle w:val="Tablewriting"/>
              <w:jc w:val="center"/>
              <w:rPr>
                <w:color w:val="auto"/>
              </w:rPr>
            </w:pPr>
            <w:r w:rsidRPr="007913D3">
              <w:rPr>
                <w:color w:val="auto"/>
              </w:rPr>
              <w:t xml:space="preserve">1200 mg </w:t>
            </w:r>
          </w:p>
          <w:p w14:paraId="72D7FE02" w14:textId="77777777" w:rsidR="008B28B5" w:rsidRPr="007913D3" w:rsidRDefault="008B28B5" w:rsidP="008B28B5">
            <w:pPr>
              <w:pStyle w:val="Tablewriting"/>
              <w:jc w:val="center"/>
              <w:rPr>
                <w:color w:val="auto"/>
              </w:rPr>
            </w:pPr>
            <w:r w:rsidRPr="007913D3">
              <w:rPr>
                <w:color w:val="auto"/>
              </w:rPr>
              <w:t xml:space="preserve">1200 mg </w:t>
            </w:r>
          </w:p>
          <w:p w14:paraId="63387F5F" w14:textId="77777777" w:rsidR="008B28B5" w:rsidRPr="007913D3" w:rsidRDefault="008B28B5" w:rsidP="008B28B5">
            <w:pPr>
              <w:pStyle w:val="Tablewriting"/>
              <w:jc w:val="center"/>
              <w:rPr>
                <w:color w:val="auto"/>
              </w:rPr>
            </w:pPr>
            <w:r w:rsidRPr="007913D3">
              <w:rPr>
                <w:color w:val="auto"/>
              </w:rPr>
              <w:t xml:space="preserve">1200 mg </w:t>
            </w:r>
          </w:p>
          <w:p w14:paraId="097B480A" w14:textId="77777777" w:rsidR="008B28B5" w:rsidRPr="007913D3" w:rsidRDefault="008B28B5" w:rsidP="008B28B5">
            <w:pPr>
              <w:pStyle w:val="Tablewriting"/>
              <w:jc w:val="center"/>
              <w:rPr>
                <w:color w:val="auto"/>
              </w:rPr>
            </w:pPr>
            <w:r w:rsidRPr="007913D3">
              <w:rPr>
                <w:color w:val="auto"/>
              </w:rPr>
              <w:t>1200 mg</w:t>
            </w:r>
          </w:p>
          <w:p w14:paraId="66055EFC" w14:textId="77777777" w:rsidR="008B28B5" w:rsidRPr="007913D3" w:rsidRDefault="008B28B5" w:rsidP="008B28B5">
            <w:pPr>
              <w:pStyle w:val="Tablewriting"/>
              <w:jc w:val="center"/>
              <w:rPr>
                <w:color w:val="auto"/>
              </w:rPr>
            </w:pPr>
            <w:r w:rsidRPr="007913D3">
              <w:rPr>
                <w:color w:val="auto"/>
              </w:rPr>
              <w:t xml:space="preserve">1680 mg </w:t>
            </w:r>
          </w:p>
          <w:p w14:paraId="7719E04E" w14:textId="77777777" w:rsidR="008B28B5" w:rsidRPr="007913D3" w:rsidRDefault="008B28B5" w:rsidP="008B28B5">
            <w:pPr>
              <w:pStyle w:val="Tablewriting"/>
              <w:jc w:val="center"/>
              <w:rPr>
                <w:color w:val="auto"/>
              </w:rPr>
            </w:pPr>
            <w:r w:rsidRPr="007913D3">
              <w:rPr>
                <w:color w:val="auto"/>
              </w:rPr>
              <w:t xml:space="preserve">1680 mg </w:t>
            </w:r>
          </w:p>
          <w:p w14:paraId="36BF0CB8" w14:textId="77777777" w:rsidR="008B28B5" w:rsidRPr="007913D3" w:rsidRDefault="008B28B5" w:rsidP="008B28B5">
            <w:pPr>
              <w:pStyle w:val="Tablewriting"/>
              <w:jc w:val="center"/>
              <w:rPr>
                <w:color w:val="auto"/>
              </w:rPr>
            </w:pPr>
            <w:r w:rsidRPr="007913D3">
              <w:rPr>
                <w:color w:val="auto"/>
              </w:rPr>
              <w:t xml:space="preserve">1680 mg </w:t>
            </w:r>
          </w:p>
          <w:p w14:paraId="6741784C" w14:textId="59A41916" w:rsidR="008B28B5" w:rsidRPr="007913D3" w:rsidRDefault="008B28B5" w:rsidP="008B28B5">
            <w:pPr>
              <w:pStyle w:val="Tablewriting"/>
              <w:jc w:val="center"/>
              <w:rPr>
                <w:color w:val="auto"/>
              </w:rPr>
            </w:pPr>
            <w:r w:rsidRPr="007913D3">
              <w:rPr>
                <w:color w:val="auto"/>
              </w:rPr>
              <w:t>1680 mg</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2D6D9F" w14:textId="77777777" w:rsidR="008B28B5" w:rsidRPr="007913D3" w:rsidRDefault="008B28B5" w:rsidP="008B28B5">
            <w:pPr>
              <w:pStyle w:val="Tablewriting"/>
              <w:jc w:val="center"/>
              <w:rPr>
                <w:color w:val="auto"/>
              </w:rPr>
            </w:pPr>
          </w:p>
          <w:p w14:paraId="0F512E3B" w14:textId="77777777" w:rsidR="007913D3" w:rsidRPr="007913D3" w:rsidRDefault="007913D3" w:rsidP="007913D3">
            <w:pPr>
              <w:pStyle w:val="Tablewriting"/>
              <w:jc w:val="center"/>
              <w:rPr>
                <w:color w:val="auto"/>
              </w:rPr>
            </w:pPr>
            <w:r w:rsidRPr="007913D3">
              <w:rPr>
                <w:color w:val="auto"/>
              </w:rPr>
              <w:t>5</w:t>
            </w:r>
          </w:p>
          <w:p w14:paraId="37D32868" w14:textId="77777777" w:rsidR="008B28B5" w:rsidRPr="007913D3" w:rsidRDefault="008B28B5" w:rsidP="008B28B5">
            <w:pPr>
              <w:pStyle w:val="Tablewriting"/>
              <w:jc w:val="center"/>
              <w:rPr>
                <w:color w:val="auto"/>
              </w:rPr>
            </w:pPr>
            <w:r w:rsidRPr="007913D3">
              <w:rPr>
                <w:color w:val="auto"/>
              </w:rPr>
              <w:t>7</w:t>
            </w:r>
          </w:p>
          <w:p w14:paraId="7B07C633" w14:textId="77777777" w:rsidR="007913D3" w:rsidRPr="007913D3" w:rsidRDefault="007913D3" w:rsidP="007913D3">
            <w:pPr>
              <w:pStyle w:val="Tablewriting"/>
              <w:jc w:val="center"/>
              <w:rPr>
                <w:color w:val="auto"/>
              </w:rPr>
            </w:pPr>
            <w:r w:rsidRPr="007913D3">
              <w:rPr>
                <w:color w:val="auto"/>
              </w:rPr>
              <w:t>5</w:t>
            </w:r>
          </w:p>
          <w:p w14:paraId="3BE3FBDA" w14:textId="77777777" w:rsidR="008B28B5" w:rsidRPr="007913D3" w:rsidRDefault="008B28B5" w:rsidP="008B28B5">
            <w:pPr>
              <w:pStyle w:val="Tablewriting"/>
              <w:jc w:val="center"/>
              <w:rPr>
                <w:color w:val="auto"/>
              </w:rPr>
            </w:pPr>
            <w:r w:rsidRPr="007913D3">
              <w:rPr>
                <w:color w:val="auto"/>
              </w:rPr>
              <w:t>7</w:t>
            </w:r>
          </w:p>
          <w:p w14:paraId="24C85AD4" w14:textId="77777777" w:rsidR="008B28B5" w:rsidRPr="007913D3" w:rsidRDefault="008B28B5" w:rsidP="008B28B5">
            <w:pPr>
              <w:pStyle w:val="Tablewriting"/>
              <w:jc w:val="center"/>
              <w:rPr>
                <w:color w:val="auto"/>
              </w:rPr>
            </w:pPr>
            <w:r w:rsidRPr="007913D3">
              <w:rPr>
                <w:color w:val="auto"/>
              </w:rPr>
              <w:t>5</w:t>
            </w:r>
          </w:p>
          <w:p w14:paraId="35513A3A" w14:textId="77777777" w:rsidR="008B28B5" w:rsidRPr="007913D3" w:rsidRDefault="008B28B5" w:rsidP="008B28B5">
            <w:pPr>
              <w:pStyle w:val="Tablewriting"/>
              <w:jc w:val="center"/>
              <w:rPr>
                <w:color w:val="auto"/>
              </w:rPr>
            </w:pPr>
            <w:r w:rsidRPr="007913D3">
              <w:rPr>
                <w:color w:val="auto"/>
              </w:rPr>
              <w:t>3</w:t>
            </w:r>
          </w:p>
          <w:p w14:paraId="08339A4A" w14:textId="77777777" w:rsidR="008B28B5" w:rsidRPr="007913D3" w:rsidRDefault="008B28B5" w:rsidP="008B28B5">
            <w:pPr>
              <w:pStyle w:val="Tablewriting"/>
              <w:jc w:val="center"/>
              <w:rPr>
                <w:color w:val="auto"/>
              </w:rPr>
            </w:pPr>
            <w:r w:rsidRPr="007913D3">
              <w:rPr>
                <w:color w:val="auto"/>
              </w:rPr>
              <w:t>3</w:t>
            </w:r>
          </w:p>
          <w:p w14:paraId="55B0FBA9" w14:textId="53D97D2D" w:rsidR="008B28B5" w:rsidRPr="007913D3" w:rsidRDefault="008B28B5" w:rsidP="008B28B5">
            <w:pPr>
              <w:pStyle w:val="Tablewriting"/>
              <w:jc w:val="center"/>
              <w:rPr>
                <w:color w:val="auto"/>
              </w:rPr>
            </w:pPr>
            <w:r w:rsidRPr="007913D3">
              <w:rPr>
                <w:color w:val="auto"/>
              </w:rPr>
              <w:t>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3BB615" w14:textId="77777777" w:rsidR="008B28B5" w:rsidRPr="008B28B5" w:rsidRDefault="008B28B5" w:rsidP="008B28B5">
            <w:pPr>
              <w:pStyle w:val="Tablewriting"/>
              <w:jc w:val="center"/>
            </w:pPr>
          </w:p>
          <w:p w14:paraId="45C50EDB" w14:textId="77777777" w:rsidR="008B28B5" w:rsidRPr="008B28B5" w:rsidRDefault="008B28B5" w:rsidP="008B28B5">
            <w:pPr>
              <w:pStyle w:val="Tablewriting"/>
              <w:jc w:val="center"/>
            </w:pPr>
            <w:r w:rsidRPr="008B28B5">
              <w:t>$7,189.56</w:t>
            </w:r>
          </w:p>
          <w:p w14:paraId="33D7CF7C" w14:textId="77777777" w:rsidR="008B28B5" w:rsidRPr="008B28B5" w:rsidRDefault="008B28B5" w:rsidP="008B28B5">
            <w:pPr>
              <w:pStyle w:val="Tablewriting"/>
              <w:jc w:val="center"/>
            </w:pPr>
            <w:r w:rsidRPr="008B28B5">
              <w:t>$7,189.56</w:t>
            </w:r>
          </w:p>
          <w:p w14:paraId="793F9F69" w14:textId="77777777" w:rsidR="008B28B5" w:rsidRPr="008B28B5" w:rsidRDefault="008B28B5" w:rsidP="008B28B5">
            <w:pPr>
              <w:pStyle w:val="Tablewriting"/>
              <w:jc w:val="center"/>
            </w:pPr>
            <w:r w:rsidRPr="008B28B5">
              <w:t>$7,330.62</w:t>
            </w:r>
          </w:p>
          <w:p w14:paraId="18D37768" w14:textId="77777777" w:rsidR="008B28B5" w:rsidRPr="008B28B5" w:rsidRDefault="008B28B5" w:rsidP="008B28B5">
            <w:pPr>
              <w:pStyle w:val="Tablewriting"/>
              <w:jc w:val="center"/>
            </w:pPr>
            <w:r w:rsidRPr="008B28B5">
              <w:t>$7,330.62</w:t>
            </w:r>
          </w:p>
          <w:p w14:paraId="5E7559AF" w14:textId="77777777" w:rsidR="008B28B5" w:rsidRPr="008B28B5" w:rsidRDefault="008B28B5" w:rsidP="008B28B5">
            <w:pPr>
              <w:pStyle w:val="Tablewriting"/>
              <w:jc w:val="center"/>
            </w:pPr>
            <w:r w:rsidRPr="008B28B5">
              <w:t>$10,030.55</w:t>
            </w:r>
          </w:p>
          <w:p w14:paraId="56FE7A78" w14:textId="77777777" w:rsidR="008B28B5" w:rsidRPr="008B28B5" w:rsidRDefault="008B28B5" w:rsidP="008B28B5">
            <w:pPr>
              <w:pStyle w:val="Tablewriting"/>
              <w:jc w:val="center"/>
            </w:pPr>
            <w:r w:rsidRPr="008B28B5">
              <w:t>$10,030.55</w:t>
            </w:r>
          </w:p>
          <w:p w14:paraId="7BAD3D02" w14:textId="77777777" w:rsidR="008B28B5" w:rsidRPr="008B28B5" w:rsidRDefault="008B28B5" w:rsidP="008B28B5">
            <w:pPr>
              <w:pStyle w:val="Tablewriting"/>
              <w:jc w:val="center"/>
            </w:pPr>
            <w:r w:rsidRPr="008B28B5">
              <w:t>$10,211.38</w:t>
            </w:r>
          </w:p>
          <w:p w14:paraId="01B36C7F" w14:textId="3F8E5ED9" w:rsidR="008B28B5" w:rsidRPr="008B28B5" w:rsidRDefault="008B28B5" w:rsidP="008B28B5">
            <w:pPr>
              <w:pStyle w:val="Tablewriting"/>
              <w:jc w:val="center"/>
            </w:pPr>
            <w:r w:rsidRPr="008B28B5">
              <w:t>$10,211.38</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6E4786" w14:textId="77777777" w:rsidR="008B28B5" w:rsidRPr="008B28B5" w:rsidRDefault="008B28B5" w:rsidP="008B28B5">
            <w:pPr>
              <w:pStyle w:val="Tablewriting"/>
            </w:pPr>
            <w:r w:rsidRPr="008B28B5">
              <w:t>Tecentriq®</w:t>
            </w:r>
          </w:p>
          <w:p w14:paraId="5B55FF67" w14:textId="7BBAA00A" w:rsidR="008B28B5" w:rsidRPr="00A33BAF" w:rsidRDefault="008B28B5" w:rsidP="008B28B5">
            <w:pPr>
              <w:pStyle w:val="Tablewriting"/>
            </w:pPr>
            <w:r w:rsidRPr="008B28B5">
              <w:t>Roche Products Pty Ltd</w:t>
            </w:r>
          </w:p>
        </w:tc>
      </w:tr>
      <w:tr w:rsidR="008B28B5" w:rsidRPr="002142AD" w14:paraId="7CD6CF73" w14:textId="77777777" w:rsidTr="005B65E6">
        <w:trPr>
          <w:trHeight w:val="593"/>
          <w:tblHeader/>
        </w:trPr>
        <w:tc>
          <w:tcPr>
            <w:tcW w:w="978" w:type="dxa"/>
            <w:tcBorders>
              <w:top w:val="single" w:sz="4" w:space="0" w:color="auto"/>
              <w:left w:val="single" w:sz="4" w:space="0" w:color="auto"/>
              <w:bottom w:val="single" w:sz="4" w:space="0" w:color="auto"/>
              <w:right w:val="single" w:sz="4" w:space="0" w:color="auto"/>
            </w:tcBorders>
            <w:shd w:val="clear" w:color="auto" w:fill="auto"/>
          </w:tcPr>
          <w:p w14:paraId="68A6D637" w14:textId="77777777" w:rsidR="008B28B5" w:rsidRPr="007913D3" w:rsidRDefault="008B28B5" w:rsidP="008B28B5">
            <w:pPr>
              <w:pStyle w:val="Tablewriting"/>
              <w:rPr>
                <w:color w:val="auto"/>
              </w:rPr>
            </w:pPr>
          </w:p>
          <w:p w14:paraId="330DEAC6" w14:textId="37F46D8B" w:rsidR="007913D3" w:rsidRPr="007913D3" w:rsidRDefault="007913D3" w:rsidP="007913D3">
            <w:pPr>
              <w:pStyle w:val="Tablewriting"/>
              <w:rPr>
                <w:color w:val="auto"/>
              </w:rPr>
            </w:pPr>
            <w:r w:rsidRPr="007913D3">
              <w:rPr>
                <w:color w:val="auto"/>
              </w:rPr>
              <w:t>11158G</w:t>
            </w:r>
          </w:p>
          <w:p w14:paraId="371B4F81" w14:textId="77777777" w:rsidR="007913D3" w:rsidRPr="007913D3" w:rsidRDefault="007913D3" w:rsidP="007913D3">
            <w:pPr>
              <w:pStyle w:val="Tablewriting"/>
              <w:rPr>
                <w:color w:val="auto"/>
              </w:rPr>
            </w:pPr>
          </w:p>
          <w:p w14:paraId="47A2B961" w14:textId="48AE8BB7" w:rsidR="007913D3" w:rsidRPr="007913D3" w:rsidRDefault="007913D3" w:rsidP="007913D3">
            <w:pPr>
              <w:pStyle w:val="Tablewriting"/>
              <w:rPr>
                <w:color w:val="auto"/>
              </w:rPr>
            </w:pPr>
            <w:r w:rsidRPr="007913D3">
              <w:rPr>
                <w:color w:val="auto"/>
              </w:rPr>
              <w:t>11153B</w:t>
            </w:r>
          </w:p>
          <w:p w14:paraId="6B32BE46" w14:textId="77777777" w:rsidR="007913D3" w:rsidRPr="007913D3" w:rsidRDefault="007913D3" w:rsidP="007913D3">
            <w:pPr>
              <w:pStyle w:val="Tablewriting"/>
              <w:rPr>
                <w:color w:val="auto"/>
              </w:rPr>
            </w:pPr>
          </w:p>
          <w:p w14:paraId="6374EC39" w14:textId="77777777" w:rsidR="008B28B5" w:rsidRPr="007913D3" w:rsidRDefault="008B28B5" w:rsidP="008B28B5">
            <w:pPr>
              <w:pStyle w:val="Tablewriting"/>
              <w:rPr>
                <w:color w:val="auto"/>
              </w:rPr>
            </w:pPr>
            <w:r w:rsidRPr="007913D3">
              <w:rPr>
                <w:color w:val="auto"/>
              </w:rPr>
              <w:t>11143L</w:t>
            </w:r>
          </w:p>
          <w:p w14:paraId="1797244C" w14:textId="77777777" w:rsidR="008B28B5" w:rsidRPr="007913D3" w:rsidRDefault="008B28B5" w:rsidP="008B28B5">
            <w:pPr>
              <w:pStyle w:val="Tablewriting"/>
              <w:rPr>
                <w:color w:val="auto"/>
              </w:rPr>
            </w:pPr>
          </w:p>
          <w:p w14:paraId="1C582611" w14:textId="77777777" w:rsidR="008B28B5" w:rsidRPr="007913D3" w:rsidRDefault="008B28B5" w:rsidP="008B28B5">
            <w:pPr>
              <w:pStyle w:val="Tablewriting"/>
              <w:rPr>
                <w:color w:val="auto"/>
              </w:rPr>
            </w:pPr>
            <w:r w:rsidRPr="007913D3">
              <w:rPr>
                <w:color w:val="auto"/>
              </w:rPr>
              <w:t>11152Y</w:t>
            </w:r>
          </w:p>
          <w:p w14:paraId="34DC7839" w14:textId="77777777" w:rsidR="008B28B5" w:rsidRPr="007913D3" w:rsidRDefault="008B28B5" w:rsidP="007913D3">
            <w:pPr>
              <w:pStyle w:val="Tablewriting"/>
              <w:rPr>
                <w:color w:val="auto"/>
              </w:rPr>
            </w:pPr>
          </w:p>
        </w:tc>
        <w:tc>
          <w:tcPr>
            <w:tcW w:w="3412" w:type="dxa"/>
            <w:tcBorders>
              <w:top w:val="single" w:sz="4" w:space="0" w:color="auto"/>
              <w:left w:val="single" w:sz="4" w:space="0" w:color="auto"/>
              <w:bottom w:val="single" w:sz="4" w:space="0" w:color="auto"/>
              <w:right w:val="single" w:sz="4" w:space="0" w:color="auto"/>
            </w:tcBorders>
            <w:shd w:val="clear" w:color="auto" w:fill="auto"/>
          </w:tcPr>
          <w:p w14:paraId="235D5193" w14:textId="19CB8ACB" w:rsidR="008B28B5" w:rsidRPr="007913D3" w:rsidRDefault="008B28B5" w:rsidP="008B28B5">
            <w:pPr>
              <w:pStyle w:val="Tablewriting"/>
              <w:rPr>
                <w:color w:val="auto"/>
              </w:rPr>
            </w:pPr>
            <w:r w:rsidRPr="007913D3">
              <w:rPr>
                <w:color w:val="auto"/>
              </w:rPr>
              <w:t>nivolumab,</w:t>
            </w:r>
          </w:p>
          <w:p w14:paraId="4E0F3344" w14:textId="77777777" w:rsidR="008B28B5" w:rsidRPr="007913D3" w:rsidRDefault="008B28B5" w:rsidP="008B28B5">
            <w:pPr>
              <w:pStyle w:val="Tablewriting"/>
              <w:rPr>
                <w:color w:val="auto"/>
              </w:rPr>
            </w:pPr>
            <w:r w:rsidRPr="007913D3">
              <w:rPr>
                <w:color w:val="auto"/>
              </w:rPr>
              <w:t xml:space="preserve">40 mg/4 mL injection, 4 mL vial </w:t>
            </w:r>
          </w:p>
          <w:p w14:paraId="382EA0C1" w14:textId="77777777" w:rsidR="008B28B5" w:rsidRPr="007913D3" w:rsidRDefault="008B28B5" w:rsidP="008B28B5">
            <w:pPr>
              <w:pStyle w:val="Tablewriting"/>
              <w:rPr>
                <w:color w:val="auto"/>
              </w:rPr>
            </w:pPr>
            <w:r w:rsidRPr="007913D3">
              <w:rPr>
                <w:color w:val="auto"/>
              </w:rPr>
              <w:t xml:space="preserve">100 mg/10 mL injection, 10 mL vial </w:t>
            </w:r>
          </w:p>
          <w:p w14:paraId="6FD9D8EA" w14:textId="77777777" w:rsidR="008B28B5" w:rsidRPr="007913D3" w:rsidRDefault="008B28B5" w:rsidP="008B28B5">
            <w:pPr>
              <w:pStyle w:val="Tablewriting"/>
              <w:rPr>
                <w:color w:val="auto"/>
              </w:rPr>
            </w:pPr>
            <w:r w:rsidRPr="007913D3">
              <w:rPr>
                <w:color w:val="auto"/>
              </w:rPr>
              <w:t xml:space="preserve">40 mg/4 mL injection, 4 mL vial </w:t>
            </w:r>
          </w:p>
          <w:p w14:paraId="136369D1" w14:textId="77777777" w:rsidR="008B28B5" w:rsidRPr="007913D3" w:rsidRDefault="008B28B5" w:rsidP="008B28B5">
            <w:pPr>
              <w:pStyle w:val="Tablewriting"/>
              <w:rPr>
                <w:color w:val="auto"/>
              </w:rPr>
            </w:pPr>
            <w:r w:rsidRPr="007913D3">
              <w:rPr>
                <w:color w:val="auto"/>
              </w:rPr>
              <w:t xml:space="preserve">100 mg/10 mL injection, 10 mL vial </w:t>
            </w:r>
          </w:p>
          <w:p w14:paraId="67DF4479" w14:textId="77777777" w:rsidR="008B28B5" w:rsidRPr="007913D3" w:rsidRDefault="008B28B5" w:rsidP="008B28B5">
            <w:pPr>
              <w:pStyle w:val="Tablewriting"/>
              <w:rPr>
                <w:color w:val="auto"/>
              </w:rPr>
            </w:pPr>
            <w:r w:rsidRPr="007913D3">
              <w:rPr>
                <w:color w:val="auto"/>
              </w:rPr>
              <w:t xml:space="preserve">40 mg/4 mL injection, 4 mL vial </w:t>
            </w:r>
          </w:p>
          <w:p w14:paraId="7B52D615" w14:textId="77777777" w:rsidR="008B28B5" w:rsidRPr="007913D3" w:rsidRDefault="008B28B5" w:rsidP="008B28B5">
            <w:pPr>
              <w:pStyle w:val="Tablewriting"/>
              <w:rPr>
                <w:color w:val="auto"/>
              </w:rPr>
            </w:pPr>
            <w:r w:rsidRPr="007913D3">
              <w:rPr>
                <w:color w:val="auto"/>
              </w:rPr>
              <w:t xml:space="preserve">100 mg/10 mL injection, 10 mL vial </w:t>
            </w:r>
          </w:p>
          <w:p w14:paraId="33EBD4B2" w14:textId="77777777" w:rsidR="008B28B5" w:rsidRPr="007913D3" w:rsidRDefault="008B28B5" w:rsidP="008B28B5">
            <w:pPr>
              <w:pStyle w:val="Tablewriting"/>
              <w:rPr>
                <w:color w:val="auto"/>
              </w:rPr>
            </w:pPr>
            <w:r w:rsidRPr="007913D3">
              <w:rPr>
                <w:color w:val="auto"/>
              </w:rPr>
              <w:t xml:space="preserve">40 mg/4 mL injection, 4 mL vial </w:t>
            </w:r>
          </w:p>
          <w:p w14:paraId="08FCED14" w14:textId="794B8E3F" w:rsidR="008B28B5" w:rsidRPr="007913D3" w:rsidRDefault="008B28B5" w:rsidP="008B28B5">
            <w:pPr>
              <w:pStyle w:val="Tablewriting"/>
              <w:rPr>
                <w:color w:val="auto"/>
              </w:rPr>
            </w:pPr>
            <w:r w:rsidRPr="007913D3">
              <w:rPr>
                <w:color w:val="auto"/>
              </w:rPr>
              <w:t xml:space="preserve">100 mg/10 mL injection, 10 mL vial </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29D0211" w14:textId="77777777" w:rsidR="008B28B5" w:rsidRPr="007913D3" w:rsidRDefault="008B28B5" w:rsidP="008B28B5">
            <w:pPr>
              <w:pStyle w:val="Tablewriting"/>
              <w:jc w:val="center"/>
              <w:rPr>
                <w:color w:val="auto"/>
              </w:rPr>
            </w:pPr>
          </w:p>
          <w:p w14:paraId="3C6537B1" w14:textId="77777777" w:rsidR="008B28B5" w:rsidRPr="007913D3" w:rsidRDefault="008B28B5" w:rsidP="008B28B5">
            <w:pPr>
              <w:pStyle w:val="Tablewriting"/>
              <w:jc w:val="center"/>
              <w:rPr>
                <w:color w:val="auto"/>
              </w:rPr>
            </w:pPr>
            <w:r w:rsidRPr="007913D3">
              <w:rPr>
                <w:color w:val="auto"/>
              </w:rPr>
              <w:t>480 mg</w:t>
            </w:r>
          </w:p>
          <w:p w14:paraId="12166243" w14:textId="77777777" w:rsidR="008B28B5" w:rsidRPr="007913D3" w:rsidRDefault="008B28B5" w:rsidP="008B28B5">
            <w:pPr>
              <w:pStyle w:val="Tablewriting"/>
              <w:jc w:val="center"/>
              <w:rPr>
                <w:color w:val="auto"/>
              </w:rPr>
            </w:pPr>
          </w:p>
          <w:p w14:paraId="7FC45976" w14:textId="77777777" w:rsidR="008B28B5" w:rsidRPr="007913D3" w:rsidRDefault="008B28B5" w:rsidP="008B28B5">
            <w:pPr>
              <w:pStyle w:val="Tablewriting"/>
              <w:jc w:val="center"/>
              <w:rPr>
                <w:color w:val="auto"/>
              </w:rPr>
            </w:pPr>
            <w:r w:rsidRPr="007913D3">
              <w:rPr>
                <w:color w:val="auto"/>
              </w:rPr>
              <w:t>480 mg</w:t>
            </w:r>
          </w:p>
          <w:p w14:paraId="2AA8FBC1" w14:textId="77777777" w:rsidR="008B28B5" w:rsidRPr="007913D3" w:rsidRDefault="008B28B5" w:rsidP="008B28B5">
            <w:pPr>
              <w:pStyle w:val="Tablewriting"/>
              <w:jc w:val="center"/>
              <w:rPr>
                <w:color w:val="auto"/>
              </w:rPr>
            </w:pPr>
          </w:p>
          <w:p w14:paraId="2FCEE691" w14:textId="77777777" w:rsidR="008B28B5" w:rsidRPr="007913D3" w:rsidRDefault="008B28B5" w:rsidP="008B28B5">
            <w:pPr>
              <w:pStyle w:val="Tablewriting"/>
              <w:jc w:val="center"/>
              <w:rPr>
                <w:color w:val="auto"/>
              </w:rPr>
            </w:pPr>
            <w:r w:rsidRPr="007913D3">
              <w:rPr>
                <w:color w:val="auto"/>
              </w:rPr>
              <w:t>480 mg</w:t>
            </w:r>
          </w:p>
          <w:p w14:paraId="2F701F25" w14:textId="77777777" w:rsidR="008B28B5" w:rsidRPr="007913D3" w:rsidRDefault="008B28B5" w:rsidP="008B28B5">
            <w:pPr>
              <w:pStyle w:val="Tablewriting"/>
              <w:jc w:val="center"/>
              <w:rPr>
                <w:color w:val="auto"/>
              </w:rPr>
            </w:pPr>
          </w:p>
          <w:p w14:paraId="7B679971" w14:textId="77777777" w:rsidR="008B28B5" w:rsidRPr="007913D3" w:rsidRDefault="008B28B5" w:rsidP="008B28B5">
            <w:pPr>
              <w:pStyle w:val="Tablewriting"/>
              <w:jc w:val="center"/>
              <w:rPr>
                <w:color w:val="auto"/>
              </w:rPr>
            </w:pPr>
            <w:r w:rsidRPr="007913D3">
              <w:rPr>
                <w:color w:val="auto"/>
              </w:rPr>
              <w:t>480 mg</w:t>
            </w:r>
          </w:p>
          <w:p w14:paraId="6A1FC33C" w14:textId="77777777" w:rsidR="008B28B5" w:rsidRPr="007913D3" w:rsidRDefault="008B28B5" w:rsidP="008B28B5">
            <w:pPr>
              <w:pStyle w:val="Tablewriting"/>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767D6F" w14:textId="77777777" w:rsidR="008B28B5" w:rsidRPr="007913D3" w:rsidRDefault="008B28B5" w:rsidP="008B28B5">
            <w:pPr>
              <w:pStyle w:val="Tablewriting"/>
              <w:jc w:val="center"/>
              <w:rPr>
                <w:color w:val="auto"/>
              </w:rPr>
            </w:pPr>
          </w:p>
          <w:p w14:paraId="3065045D" w14:textId="2E65371B" w:rsidR="007913D3" w:rsidRPr="007913D3" w:rsidRDefault="007913D3" w:rsidP="007913D3">
            <w:pPr>
              <w:pStyle w:val="Tablewriting"/>
              <w:jc w:val="center"/>
              <w:rPr>
                <w:color w:val="auto"/>
              </w:rPr>
            </w:pPr>
            <w:r w:rsidRPr="007913D3">
              <w:rPr>
                <w:color w:val="auto"/>
              </w:rPr>
              <w:t>8</w:t>
            </w:r>
          </w:p>
          <w:p w14:paraId="7BFFE00B" w14:textId="77777777" w:rsidR="007913D3" w:rsidRPr="007913D3" w:rsidRDefault="007913D3" w:rsidP="007913D3">
            <w:pPr>
              <w:pStyle w:val="Tablewriting"/>
              <w:jc w:val="center"/>
              <w:rPr>
                <w:color w:val="auto"/>
              </w:rPr>
            </w:pPr>
          </w:p>
          <w:p w14:paraId="3AF395FC" w14:textId="2DCDA73C" w:rsidR="007913D3" w:rsidRPr="007913D3" w:rsidRDefault="007913D3" w:rsidP="007913D3">
            <w:pPr>
              <w:pStyle w:val="Tablewriting"/>
              <w:jc w:val="center"/>
              <w:rPr>
                <w:color w:val="auto"/>
              </w:rPr>
            </w:pPr>
            <w:r w:rsidRPr="007913D3">
              <w:rPr>
                <w:color w:val="auto"/>
              </w:rPr>
              <w:t>11</w:t>
            </w:r>
          </w:p>
          <w:p w14:paraId="45957599" w14:textId="77777777" w:rsidR="007913D3" w:rsidRPr="007913D3" w:rsidRDefault="007913D3" w:rsidP="007913D3">
            <w:pPr>
              <w:pStyle w:val="Tablewriting"/>
              <w:jc w:val="center"/>
              <w:rPr>
                <w:color w:val="auto"/>
              </w:rPr>
            </w:pPr>
          </w:p>
          <w:p w14:paraId="6CB6EF0D" w14:textId="77777777" w:rsidR="008B28B5" w:rsidRPr="007913D3" w:rsidRDefault="008B28B5" w:rsidP="008B28B5">
            <w:pPr>
              <w:pStyle w:val="Tablewriting"/>
              <w:jc w:val="center"/>
              <w:rPr>
                <w:color w:val="auto"/>
              </w:rPr>
            </w:pPr>
            <w:r w:rsidRPr="007913D3">
              <w:rPr>
                <w:color w:val="auto"/>
              </w:rPr>
              <w:t>8</w:t>
            </w:r>
          </w:p>
          <w:p w14:paraId="40FDBCDC" w14:textId="77777777" w:rsidR="008B28B5" w:rsidRPr="007913D3" w:rsidRDefault="008B28B5" w:rsidP="008B28B5">
            <w:pPr>
              <w:pStyle w:val="Tablewriting"/>
              <w:jc w:val="center"/>
              <w:rPr>
                <w:color w:val="auto"/>
              </w:rPr>
            </w:pPr>
          </w:p>
          <w:p w14:paraId="61431691" w14:textId="77777777" w:rsidR="008B28B5" w:rsidRPr="007913D3" w:rsidRDefault="008B28B5" w:rsidP="008B28B5">
            <w:pPr>
              <w:pStyle w:val="Tablewriting"/>
              <w:jc w:val="center"/>
              <w:rPr>
                <w:color w:val="auto"/>
              </w:rPr>
            </w:pPr>
            <w:r w:rsidRPr="007913D3">
              <w:rPr>
                <w:color w:val="auto"/>
              </w:rPr>
              <w:t>11</w:t>
            </w:r>
          </w:p>
          <w:p w14:paraId="5F91C85F" w14:textId="77777777" w:rsidR="008B28B5" w:rsidRPr="007913D3" w:rsidRDefault="008B28B5" w:rsidP="007913D3">
            <w:pPr>
              <w:pStyle w:val="Tablewriting"/>
              <w:rPr>
                <w:color w:val="auto"/>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8A9F83" w14:textId="77777777" w:rsidR="008B28B5" w:rsidRPr="007913D3" w:rsidRDefault="008B28B5" w:rsidP="008B28B5">
            <w:pPr>
              <w:pStyle w:val="Tablewriting"/>
              <w:jc w:val="center"/>
              <w:rPr>
                <w:color w:val="auto"/>
              </w:rPr>
            </w:pPr>
          </w:p>
          <w:p w14:paraId="22C9C5A8" w14:textId="31B0904E" w:rsidR="007913D3" w:rsidRPr="007913D3" w:rsidRDefault="007913D3" w:rsidP="007913D3">
            <w:pPr>
              <w:pStyle w:val="Tablewriting"/>
              <w:jc w:val="center"/>
              <w:rPr>
                <w:color w:val="auto"/>
              </w:rPr>
            </w:pPr>
            <w:r w:rsidRPr="007913D3">
              <w:rPr>
                <w:color w:val="auto"/>
              </w:rPr>
              <w:t>$9,557.05</w:t>
            </w:r>
          </w:p>
          <w:p w14:paraId="5D9CC4BE" w14:textId="77777777" w:rsidR="007913D3" w:rsidRPr="007913D3" w:rsidRDefault="007913D3" w:rsidP="007913D3">
            <w:pPr>
              <w:pStyle w:val="Tablewriting"/>
              <w:jc w:val="center"/>
              <w:rPr>
                <w:color w:val="auto"/>
              </w:rPr>
            </w:pPr>
          </w:p>
          <w:p w14:paraId="5BC9F261" w14:textId="6D644E20" w:rsidR="007913D3" w:rsidRPr="007913D3" w:rsidRDefault="007913D3" w:rsidP="007913D3">
            <w:pPr>
              <w:pStyle w:val="Tablewriting"/>
              <w:jc w:val="center"/>
              <w:rPr>
                <w:color w:val="auto"/>
              </w:rPr>
            </w:pPr>
            <w:r w:rsidRPr="007913D3">
              <w:rPr>
                <w:color w:val="auto"/>
              </w:rPr>
              <w:t>$9,557.05</w:t>
            </w:r>
          </w:p>
          <w:p w14:paraId="3C160821" w14:textId="77777777" w:rsidR="007913D3" w:rsidRPr="007913D3" w:rsidRDefault="007913D3" w:rsidP="007913D3">
            <w:pPr>
              <w:pStyle w:val="Tablewriting"/>
              <w:jc w:val="center"/>
              <w:rPr>
                <w:color w:val="auto"/>
              </w:rPr>
            </w:pPr>
          </w:p>
          <w:p w14:paraId="6616519C" w14:textId="77777777" w:rsidR="008B28B5" w:rsidRPr="007913D3" w:rsidRDefault="008B28B5" w:rsidP="008B28B5">
            <w:pPr>
              <w:pStyle w:val="Tablewriting"/>
              <w:jc w:val="center"/>
              <w:rPr>
                <w:color w:val="auto"/>
              </w:rPr>
            </w:pPr>
            <w:r w:rsidRPr="007913D3">
              <w:rPr>
                <w:color w:val="auto"/>
              </w:rPr>
              <w:t>$9,731.26</w:t>
            </w:r>
          </w:p>
          <w:p w14:paraId="0145B288" w14:textId="77777777" w:rsidR="008B28B5" w:rsidRPr="007913D3" w:rsidRDefault="008B28B5" w:rsidP="008B28B5">
            <w:pPr>
              <w:pStyle w:val="Tablewriting"/>
              <w:jc w:val="center"/>
              <w:rPr>
                <w:color w:val="auto"/>
              </w:rPr>
            </w:pPr>
          </w:p>
          <w:p w14:paraId="76C0D87F" w14:textId="11CD4F64" w:rsidR="008B28B5" w:rsidRPr="007913D3" w:rsidRDefault="008B28B5" w:rsidP="007913D3">
            <w:pPr>
              <w:pStyle w:val="Tablewriting"/>
              <w:jc w:val="center"/>
              <w:rPr>
                <w:color w:val="auto"/>
              </w:rPr>
            </w:pPr>
            <w:r w:rsidRPr="007913D3">
              <w:rPr>
                <w:color w:val="auto"/>
              </w:rPr>
              <w:t>$9,731.26</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45019EA" w14:textId="77777777" w:rsidR="008B28B5" w:rsidRPr="008B28B5" w:rsidRDefault="008B28B5" w:rsidP="008B28B5">
            <w:pPr>
              <w:pStyle w:val="Tablewriting"/>
            </w:pPr>
            <w:r w:rsidRPr="008B28B5">
              <w:t>Opdivo®</w:t>
            </w:r>
          </w:p>
          <w:p w14:paraId="5F3E873B" w14:textId="3FFF1B0C" w:rsidR="008B28B5" w:rsidRPr="008B28B5" w:rsidRDefault="008B28B5" w:rsidP="008B28B5">
            <w:pPr>
              <w:pStyle w:val="Tablewriting"/>
            </w:pPr>
            <w:r w:rsidRPr="008B28B5">
              <w:t>Bristol-Myers Squibb Australia Pty Ltd</w:t>
            </w:r>
          </w:p>
        </w:tc>
      </w:tr>
    </w:tbl>
    <w:p w14:paraId="54A23E36" w14:textId="77777777" w:rsidR="00C26E6D" w:rsidRDefault="00C26E6D" w:rsidP="00C26E6D">
      <w:pPr>
        <w:pStyle w:val="Notes"/>
      </w:pPr>
      <w:r>
        <w:t xml:space="preserve">Source: the </w:t>
      </w:r>
      <w:hyperlink r:id="rId64" w:history="1">
        <w:r>
          <w:rPr>
            <w:rStyle w:val="Hyperlink"/>
          </w:rPr>
          <w:t>PBS website</w:t>
        </w:r>
      </w:hyperlink>
      <w:r>
        <w:t xml:space="preserve">.  </w:t>
      </w:r>
    </w:p>
    <w:p w14:paraId="6F398338" w14:textId="77777777" w:rsidR="00C26E6D" w:rsidRDefault="00C26E6D" w:rsidP="00C26E6D">
      <w:pPr>
        <w:rPr>
          <w:b/>
        </w:rPr>
      </w:pPr>
    </w:p>
    <w:p w14:paraId="2FB67457" w14:textId="77777777" w:rsidR="005B65E6" w:rsidRPr="005B65E6" w:rsidDel="00EE2BBB" w:rsidRDefault="005B65E6" w:rsidP="005B65E6"/>
    <w:p w14:paraId="52026088" w14:textId="21EC6E23" w:rsidR="005B65E6" w:rsidRDefault="005B65E6" w:rsidP="005B65E6"/>
    <w:p w14:paraId="064A05A4" w14:textId="2DC63883" w:rsidR="00E7797A" w:rsidRDefault="00E7797A" w:rsidP="005B65E6"/>
    <w:p w14:paraId="2872D082" w14:textId="57B5D9AD" w:rsidR="008B28B5" w:rsidRDefault="008B28B5" w:rsidP="005B65E6"/>
    <w:p w14:paraId="766CA281" w14:textId="40A314D7" w:rsidR="008B28B5" w:rsidRDefault="008B28B5" w:rsidP="005B65E6"/>
    <w:p w14:paraId="4B635E30" w14:textId="3E21285C" w:rsidR="008B28B5" w:rsidRDefault="008B28B5" w:rsidP="005B65E6"/>
    <w:p w14:paraId="191631DB" w14:textId="03836FA3" w:rsidR="008B28B5" w:rsidRDefault="008B28B5" w:rsidP="005B65E6"/>
    <w:p w14:paraId="645E61DB" w14:textId="13DCFDC1" w:rsidR="008B28B5" w:rsidRDefault="008B28B5" w:rsidP="005B65E6"/>
    <w:p w14:paraId="1FFF9DDF" w14:textId="2C5835CD" w:rsidR="008B28B5" w:rsidRDefault="008B28B5" w:rsidP="005B65E6"/>
    <w:p w14:paraId="4F14BF61" w14:textId="69FED822" w:rsidR="008B28B5" w:rsidRDefault="008B28B5" w:rsidP="005B65E6"/>
    <w:p w14:paraId="70B67FC4" w14:textId="2450863B" w:rsidR="008B28B5" w:rsidRDefault="008B28B5" w:rsidP="005B65E6"/>
    <w:p w14:paraId="1B6F3EB0" w14:textId="15C4A9D3" w:rsidR="008B28B5" w:rsidRDefault="008B28B5" w:rsidP="005B65E6"/>
    <w:p w14:paraId="34B3CCDC" w14:textId="03EADA1B" w:rsidR="008B28B5" w:rsidRPr="005B65E6" w:rsidRDefault="00316C2F" w:rsidP="008B28B5">
      <w:pPr>
        <w:pStyle w:val="Heading2"/>
      </w:pPr>
      <w:r>
        <w:lastRenderedPageBreak/>
        <w:t>Appendix B:</w:t>
      </w:r>
      <w:r w:rsidR="008B28B5">
        <w:t xml:space="preserve"> </w:t>
      </w:r>
      <w:r w:rsidDel="00EE2BBB">
        <w:t xml:space="preserve">PBS listing of </w:t>
      </w:r>
      <w:r>
        <w:t>targeted therapies for NSCLC</w:t>
      </w:r>
      <w:r w:rsidR="00E47024">
        <w:t xml:space="preserve"> (as at </w:t>
      </w:r>
      <w:r w:rsidR="002D66E1">
        <w:t>August</w:t>
      </w:r>
      <w:r w:rsidR="00E47024">
        <w:t xml:space="preserve"> 2022)</w:t>
      </w:r>
    </w:p>
    <w:tbl>
      <w:tblPr>
        <w:tblStyle w:val="TableGrid"/>
        <w:tblW w:w="8926" w:type="dxa"/>
        <w:tblLayout w:type="fixed"/>
        <w:tblLook w:val="04A0" w:firstRow="1" w:lastRow="0" w:firstColumn="1" w:lastColumn="0" w:noHBand="0" w:noVBand="1"/>
      </w:tblPr>
      <w:tblGrid>
        <w:gridCol w:w="988"/>
        <w:gridCol w:w="2398"/>
        <w:gridCol w:w="709"/>
        <w:gridCol w:w="720"/>
        <w:gridCol w:w="709"/>
        <w:gridCol w:w="1134"/>
        <w:gridCol w:w="2268"/>
      </w:tblGrid>
      <w:tr w:rsidR="0073747B" w:rsidRPr="0056392D" w14:paraId="67033C7B" w14:textId="77777777" w:rsidTr="0073747B">
        <w:trPr>
          <w:trHeight w:val="699"/>
          <w:tblHeader/>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F0371E" w14:textId="6098A3AA" w:rsidR="0073747B" w:rsidRPr="002142AD" w:rsidRDefault="0011736A" w:rsidP="00FC2BC1">
            <w:pPr>
              <w:pStyle w:val="Tableheading"/>
              <w:rPr>
                <w:sz w:val="20"/>
                <w:szCs w:val="20"/>
              </w:rPr>
            </w:pPr>
            <w:r w:rsidRPr="002142AD">
              <w:rPr>
                <w:sz w:val="20"/>
                <w:szCs w:val="20"/>
              </w:rPr>
              <w:t>Item</w:t>
            </w:r>
            <w:r>
              <w:rPr>
                <w:sz w:val="20"/>
                <w:szCs w:val="20"/>
              </w:rPr>
              <w:t xml:space="preserve"> code</w:t>
            </w:r>
          </w:p>
        </w:tc>
        <w:tc>
          <w:tcPr>
            <w:tcW w:w="239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17F43ED" w14:textId="77777777" w:rsidR="0073747B" w:rsidRPr="002142AD" w:rsidRDefault="0073747B" w:rsidP="00FC2BC1">
            <w:pPr>
              <w:pStyle w:val="Tableheading"/>
              <w:rPr>
                <w:sz w:val="20"/>
                <w:szCs w:val="20"/>
              </w:rPr>
            </w:pPr>
            <w:r w:rsidRPr="002142AD">
              <w:rPr>
                <w:sz w:val="20"/>
                <w:szCs w:val="20"/>
              </w:rPr>
              <w:t>Name, form &amp; strength, pack size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5DC69F" w14:textId="77777777" w:rsidR="0073747B" w:rsidRPr="002142AD" w:rsidRDefault="0073747B" w:rsidP="00FC2BC1">
            <w:pPr>
              <w:pStyle w:val="Tableheading"/>
              <w:rPr>
                <w:sz w:val="20"/>
                <w:szCs w:val="20"/>
              </w:rPr>
            </w:pPr>
            <w:r>
              <w:rPr>
                <w:sz w:val="20"/>
                <w:szCs w:val="20"/>
              </w:rPr>
              <w:t>Max qty packs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998E6A" w14:textId="77777777" w:rsidR="0073747B" w:rsidRPr="002142AD" w:rsidRDefault="0073747B" w:rsidP="00FC2BC1">
            <w:pPr>
              <w:pStyle w:val="Tableheading"/>
              <w:rPr>
                <w:sz w:val="20"/>
                <w:szCs w:val="20"/>
              </w:rPr>
            </w:pPr>
            <w:r w:rsidRPr="002142AD">
              <w:rPr>
                <w:sz w:val="20"/>
                <w:szCs w:val="20"/>
              </w:rPr>
              <w:t>Max</w:t>
            </w:r>
            <w:r>
              <w:rPr>
                <w:sz w:val="20"/>
                <w:szCs w:val="20"/>
              </w:rPr>
              <w:t xml:space="preserve"> qty units</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F94B61" w14:textId="77777777" w:rsidR="0073747B" w:rsidRPr="002142AD" w:rsidRDefault="0073747B" w:rsidP="00FC2BC1">
            <w:pPr>
              <w:pStyle w:val="Tableheading"/>
              <w:rPr>
                <w:sz w:val="20"/>
                <w:szCs w:val="20"/>
              </w:rPr>
            </w:pPr>
            <w:r w:rsidRPr="002142AD">
              <w:rPr>
                <w:sz w:val="20"/>
                <w:szCs w:val="20"/>
              </w:rPr>
              <w:t>Rpts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CD9E09" w14:textId="77777777" w:rsidR="0073747B" w:rsidRPr="002142AD" w:rsidRDefault="0073747B" w:rsidP="00FC2BC1">
            <w:pPr>
              <w:pStyle w:val="Tableheading"/>
              <w:rPr>
                <w:sz w:val="20"/>
                <w:szCs w:val="20"/>
              </w:rPr>
            </w:pPr>
            <w:r w:rsidRPr="002142AD">
              <w:rPr>
                <w:sz w:val="20"/>
                <w:szCs w:val="20"/>
              </w:rPr>
              <w:t>DPMQ</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3471EC" w14:textId="77777777" w:rsidR="0073747B" w:rsidRPr="002142AD" w:rsidRDefault="0073747B" w:rsidP="00FC2BC1">
            <w:pPr>
              <w:pStyle w:val="Tableheading"/>
              <w:rPr>
                <w:sz w:val="20"/>
                <w:szCs w:val="20"/>
              </w:rPr>
            </w:pPr>
            <w:r w:rsidRPr="002142AD">
              <w:rPr>
                <w:sz w:val="20"/>
                <w:szCs w:val="20"/>
              </w:rPr>
              <w:t>Brand name and manufacturer</w:t>
            </w:r>
          </w:p>
        </w:tc>
      </w:tr>
      <w:tr w:rsidR="000D7175" w:rsidRPr="0056392D" w14:paraId="61290A82" w14:textId="77777777" w:rsidTr="000D7175">
        <w:trPr>
          <w:trHeight w:val="70"/>
          <w:tblHeader/>
        </w:trPr>
        <w:tc>
          <w:tcPr>
            <w:tcW w:w="8926"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3F3D8C" w14:textId="5BBAE28A" w:rsidR="000D7175" w:rsidRPr="000D7175" w:rsidRDefault="000D7175" w:rsidP="00FC2BC1">
            <w:pPr>
              <w:pStyle w:val="Tablewriting"/>
              <w:rPr>
                <w:b/>
                <w:bCs/>
              </w:rPr>
            </w:pPr>
            <w:r w:rsidRPr="000D7175">
              <w:rPr>
                <w:b/>
                <w:bCs/>
              </w:rPr>
              <w:t>EGFR</w:t>
            </w:r>
            <w:r w:rsidR="00BB5C0B">
              <w:rPr>
                <w:b/>
                <w:bCs/>
              </w:rPr>
              <w:t xml:space="preserve"> inhibitor</w:t>
            </w:r>
            <w:r w:rsidR="003F35BC">
              <w:rPr>
                <w:b/>
                <w:bCs/>
              </w:rPr>
              <w:t>s</w:t>
            </w:r>
          </w:p>
        </w:tc>
      </w:tr>
      <w:tr w:rsidR="000D7175" w:rsidRPr="0056392D" w14:paraId="54BD6915" w14:textId="77777777" w:rsidTr="0073747B">
        <w:trPr>
          <w:trHeight w:val="488"/>
          <w:tblHeader/>
        </w:trPr>
        <w:tc>
          <w:tcPr>
            <w:tcW w:w="988" w:type="dxa"/>
            <w:tcBorders>
              <w:top w:val="single" w:sz="4" w:space="0" w:color="auto"/>
              <w:left w:val="single" w:sz="4" w:space="0" w:color="auto"/>
              <w:bottom w:val="single" w:sz="4" w:space="0" w:color="auto"/>
              <w:right w:val="single" w:sz="4" w:space="0" w:color="auto"/>
            </w:tcBorders>
          </w:tcPr>
          <w:p w14:paraId="6C696380" w14:textId="77777777" w:rsidR="000D7175" w:rsidRDefault="000D7175" w:rsidP="000D7175">
            <w:pPr>
              <w:pStyle w:val="Tablewriting"/>
            </w:pPr>
          </w:p>
          <w:p w14:paraId="221B2914" w14:textId="77777777" w:rsidR="000D7175" w:rsidRDefault="000D7175" w:rsidP="000D7175">
            <w:pPr>
              <w:pStyle w:val="Tablewriting"/>
            </w:pPr>
            <w:r>
              <w:t>11335N</w:t>
            </w:r>
          </w:p>
          <w:p w14:paraId="0703963F" w14:textId="77777777" w:rsidR="000D7175" w:rsidRDefault="000D7175" w:rsidP="000D7175">
            <w:pPr>
              <w:pStyle w:val="Tablewriting"/>
            </w:pPr>
            <w:r>
              <w:t>11336P</w:t>
            </w:r>
          </w:p>
          <w:p w14:paraId="2FA7A848" w14:textId="77777777" w:rsidR="000D7175" w:rsidRDefault="000D7175" w:rsidP="000D7175">
            <w:pPr>
              <w:pStyle w:val="Tablewriting"/>
            </w:pPr>
            <w:r>
              <w:t>11341X</w:t>
            </w:r>
          </w:p>
          <w:p w14:paraId="4DEFB13D" w14:textId="77777777" w:rsidR="000D7175" w:rsidRDefault="000D7175" w:rsidP="000D7175">
            <w:pPr>
              <w:pStyle w:val="Tablewriting"/>
            </w:pPr>
            <w:r w:rsidRPr="00A04282">
              <w:t>11348G</w:t>
            </w:r>
          </w:p>
          <w:p w14:paraId="7F6F5E41" w14:textId="77777777" w:rsidR="000D7175" w:rsidRDefault="000D7175" w:rsidP="000D7175">
            <w:pPr>
              <w:pStyle w:val="Tablewriting"/>
            </w:pPr>
            <w:r w:rsidRPr="00A04282">
              <w:t>11347F</w:t>
            </w:r>
          </w:p>
          <w:p w14:paraId="6E7FCF6F" w14:textId="77777777" w:rsidR="000D7175" w:rsidRDefault="000D7175" w:rsidP="000D7175">
            <w:pPr>
              <w:pStyle w:val="Tablewriting"/>
            </w:pPr>
            <w:r w:rsidRPr="00A04282">
              <w:t>11359W</w:t>
            </w:r>
          </w:p>
          <w:p w14:paraId="3845BDDA" w14:textId="77777777" w:rsidR="000D7175" w:rsidRDefault="000D7175" w:rsidP="000D7175">
            <w:pPr>
              <w:pStyle w:val="Tablewriting"/>
            </w:pPr>
            <w:r>
              <w:t>11329G</w:t>
            </w:r>
          </w:p>
          <w:p w14:paraId="2B78E739" w14:textId="669116A8" w:rsidR="000D7175" w:rsidRDefault="000D7175" w:rsidP="000D7175">
            <w:pPr>
              <w:pStyle w:val="Tablewriting"/>
            </w:pPr>
            <w:r w:rsidRPr="00A04282">
              <w:t>11342Y</w:t>
            </w:r>
          </w:p>
        </w:tc>
        <w:tc>
          <w:tcPr>
            <w:tcW w:w="2398" w:type="dxa"/>
            <w:tcBorders>
              <w:top w:val="single" w:sz="4" w:space="0" w:color="auto"/>
              <w:left w:val="single" w:sz="4" w:space="0" w:color="auto"/>
              <w:bottom w:val="single" w:sz="4" w:space="0" w:color="auto"/>
              <w:right w:val="single" w:sz="4" w:space="0" w:color="auto"/>
            </w:tcBorders>
          </w:tcPr>
          <w:p w14:paraId="671F094A" w14:textId="77777777" w:rsidR="000D7175" w:rsidRPr="002142AD" w:rsidRDefault="000D7175" w:rsidP="000D7175">
            <w:pPr>
              <w:pStyle w:val="Tablewriting"/>
            </w:pPr>
            <w:r>
              <w:t>a</w:t>
            </w:r>
            <w:r w:rsidRPr="002142AD">
              <w:t>fatinib</w:t>
            </w:r>
            <w:r>
              <w:t>,</w:t>
            </w:r>
          </w:p>
          <w:p w14:paraId="2CB4490E" w14:textId="77777777" w:rsidR="000D7175" w:rsidRDefault="000D7175" w:rsidP="000D7175">
            <w:pPr>
              <w:pStyle w:val="Tablewriting"/>
            </w:pPr>
            <w:r>
              <w:t>20 mg tablet, 28</w:t>
            </w:r>
          </w:p>
          <w:p w14:paraId="1B636A84" w14:textId="77777777" w:rsidR="000D7175" w:rsidRDefault="000D7175" w:rsidP="000D7175">
            <w:pPr>
              <w:pStyle w:val="Tablewriting"/>
            </w:pPr>
            <w:r>
              <w:t>20 mg tablet, 28</w:t>
            </w:r>
          </w:p>
          <w:p w14:paraId="4FFA07EB" w14:textId="77777777" w:rsidR="000D7175" w:rsidRDefault="000D7175" w:rsidP="000D7175">
            <w:pPr>
              <w:pStyle w:val="Tablewriting"/>
            </w:pPr>
            <w:r>
              <w:t>30 mg tablet, 28</w:t>
            </w:r>
          </w:p>
          <w:p w14:paraId="460EA487" w14:textId="77777777" w:rsidR="000D7175" w:rsidRDefault="000D7175" w:rsidP="000D7175">
            <w:pPr>
              <w:pStyle w:val="Tablewriting"/>
            </w:pPr>
            <w:r>
              <w:t>30 mg tablet, 28</w:t>
            </w:r>
          </w:p>
          <w:p w14:paraId="3ACAA6EF" w14:textId="77777777" w:rsidR="000D7175" w:rsidRDefault="000D7175" w:rsidP="000D7175">
            <w:pPr>
              <w:pStyle w:val="Tablewriting"/>
            </w:pPr>
            <w:r>
              <w:t>40 mg tablet, 28</w:t>
            </w:r>
          </w:p>
          <w:p w14:paraId="0B72FB24" w14:textId="77777777" w:rsidR="000D7175" w:rsidRDefault="000D7175" w:rsidP="000D7175">
            <w:pPr>
              <w:pStyle w:val="Tablewriting"/>
            </w:pPr>
            <w:r>
              <w:t>40 mg tablet, 28</w:t>
            </w:r>
          </w:p>
          <w:p w14:paraId="55193F29" w14:textId="77777777" w:rsidR="000D7175" w:rsidRDefault="000D7175" w:rsidP="000D7175">
            <w:pPr>
              <w:pStyle w:val="Tablewriting"/>
            </w:pPr>
            <w:r>
              <w:t>50 mg tablet, 28</w:t>
            </w:r>
          </w:p>
          <w:p w14:paraId="584B3E29" w14:textId="4498F2BE" w:rsidR="000D7175" w:rsidRDefault="000D7175" w:rsidP="000D7175">
            <w:pPr>
              <w:pStyle w:val="Tablewriting"/>
            </w:pPr>
            <w:r>
              <w:t>50 mg tablet, 28</w:t>
            </w:r>
          </w:p>
        </w:tc>
        <w:tc>
          <w:tcPr>
            <w:tcW w:w="709" w:type="dxa"/>
            <w:tcBorders>
              <w:top w:val="single" w:sz="4" w:space="0" w:color="auto"/>
              <w:left w:val="single" w:sz="4" w:space="0" w:color="auto"/>
              <w:bottom w:val="single" w:sz="4" w:space="0" w:color="auto"/>
              <w:right w:val="single" w:sz="4" w:space="0" w:color="auto"/>
            </w:tcBorders>
          </w:tcPr>
          <w:p w14:paraId="3AA53D9D" w14:textId="77777777" w:rsidR="000D7175" w:rsidRDefault="000D7175" w:rsidP="000D7175">
            <w:pPr>
              <w:pStyle w:val="Tablewriting"/>
              <w:jc w:val="center"/>
            </w:pPr>
          </w:p>
          <w:p w14:paraId="70397AA9" w14:textId="77777777" w:rsidR="000D7175" w:rsidRDefault="000D7175" w:rsidP="000D7175">
            <w:pPr>
              <w:pStyle w:val="Tablewriting"/>
              <w:jc w:val="center"/>
            </w:pPr>
            <w:r>
              <w:t>1</w:t>
            </w:r>
          </w:p>
          <w:p w14:paraId="6823A24C" w14:textId="77777777" w:rsidR="000D7175" w:rsidRDefault="000D7175" w:rsidP="000D7175">
            <w:pPr>
              <w:pStyle w:val="Tablewriting"/>
              <w:jc w:val="center"/>
            </w:pPr>
            <w:r>
              <w:t>1</w:t>
            </w:r>
          </w:p>
          <w:p w14:paraId="3A163605" w14:textId="77777777" w:rsidR="000D7175" w:rsidRDefault="000D7175" w:rsidP="000D7175">
            <w:pPr>
              <w:pStyle w:val="Tablewriting"/>
              <w:jc w:val="center"/>
            </w:pPr>
            <w:r>
              <w:t>1</w:t>
            </w:r>
          </w:p>
          <w:p w14:paraId="012333B0" w14:textId="77777777" w:rsidR="000D7175" w:rsidRDefault="000D7175" w:rsidP="000D7175">
            <w:pPr>
              <w:pStyle w:val="Tablewriting"/>
              <w:jc w:val="center"/>
            </w:pPr>
            <w:r>
              <w:t>1</w:t>
            </w:r>
          </w:p>
          <w:p w14:paraId="3E82A08F" w14:textId="77777777" w:rsidR="000D7175" w:rsidRDefault="000D7175" w:rsidP="000D7175">
            <w:pPr>
              <w:pStyle w:val="Tablewriting"/>
              <w:jc w:val="center"/>
            </w:pPr>
            <w:r>
              <w:t>1</w:t>
            </w:r>
          </w:p>
          <w:p w14:paraId="34565B94" w14:textId="77777777" w:rsidR="000D7175" w:rsidRDefault="000D7175" w:rsidP="000D7175">
            <w:pPr>
              <w:pStyle w:val="Tablewriting"/>
              <w:jc w:val="center"/>
            </w:pPr>
            <w:r>
              <w:t>1</w:t>
            </w:r>
          </w:p>
          <w:p w14:paraId="70040299" w14:textId="77777777" w:rsidR="000D7175" w:rsidRDefault="000D7175" w:rsidP="000D7175">
            <w:pPr>
              <w:pStyle w:val="Tablewriting"/>
              <w:jc w:val="center"/>
            </w:pPr>
            <w:r>
              <w:t>1</w:t>
            </w:r>
          </w:p>
          <w:p w14:paraId="599C9D89" w14:textId="64E48C82" w:rsidR="000D7175" w:rsidRDefault="000D7175" w:rsidP="000D7175">
            <w:pPr>
              <w:pStyle w:val="Tablewriting"/>
              <w:jc w:val="center"/>
            </w:pPr>
            <w:r>
              <w:t>1</w:t>
            </w:r>
          </w:p>
        </w:tc>
        <w:tc>
          <w:tcPr>
            <w:tcW w:w="720" w:type="dxa"/>
            <w:tcBorders>
              <w:top w:val="single" w:sz="4" w:space="0" w:color="auto"/>
              <w:left w:val="single" w:sz="4" w:space="0" w:color="auto"/>
              <w:bottom w:val="single" w:sz="4" w:space="0" w:color="auto"/>
              <w:right w:val="single" w:sz="4" w:space="0" w:color="auto"/>
            </w:tcBorders>
          </w:tcPr>
          <w:p w14:paraId="2EEF4AD8" w14:textId="77777777" w:rsidR="000D7175" w:rsidRDefault="000D7175" w:rsidP="000D7175">
            <w:pPr>
              <w:pStyle w:val="Tablewriting"/>
              <w:jc w:val="center"/>
            </w:pPr>
          </w:p>
          <w:p w14:paraId="2D16FE5C" w14:textId="77777777" w:rsidR="000D7175" w:rsidRDefault="000D7175" w:rsidP="000D7175">
            <w:pPr>
              <w:pStyle w:val="Tablewriting"/>
              <w:jc w:val="center"/>
            </w:pPr>
            <w:r>
              <w:t>28</w:t>
            </w:r>
          </w:p>
          <w:p w14:paraId="6628EA9C" w14:textId="77777777" w:rsidR="000D7175" w:rsidRDefault="000D7175" w:rsidP="000D7175">
            <w:pPr>
              <w:pStyle w:val="Tablewriting"/>
              <w:jc w:val="center"/>
            </w:pPr>
            <w:r>
              <w:t>28</w:t>
            </w:r>
          </w:p>
          <w:p w14:paraId="4ABD3EAF" w14:textId="77777777" w:rsidR="000D7175" w:rsidRDefault="000D7175" w:rsidP="000D7175">
            <w:pPr>
              <w:pStyle w:val="Tablewriting"/>
              <w:jc w:val="center"/>
            </w:pPr>
            <w:r>
              <w:t>28</w:t>
            </w:r>
          </w:p>
          <w:p w14:paraId="591A9B83" w14:textId="77777777" w:rsidR="000D7175" w:rsidRDefault="000D7175" w:rsidP="000D7175">
            <w:pPr>
              <w:pStyle w:val="Tablewriting"/>
              <w:jc w:val="center"/>
            </w:pPr>
            <w:r>
              <w:t>28</w:t>
            </w:r>
          </w:p>
          <w:p w14:paraId="6CCCC58E" w14:textId="77777777" w:rsidR="000D7175" w:rsidRDefault="000D7175" w:rsidP="000D7175">
            <w:pPr>
              <w:pStyle w:val="Tablewriting"/>
              <w:jc w:val="center"/>
            </w:pPr>
            <w:r>
              <w:t>28</w:t>
            </w:r>
          </w:p>
          <w:p w14:paraId="06C3D80B" w14:textId="77777777" w:rsidR="000D7175" w:rsidRDefault="000D7175" w:rsidP="000D7175">
            <w:pPr>
              <w:pStyle w:val="Tablewriting"/>
              <w:jc w:val="center"/>
            </w:pPr>
            <w:r>
              <w:t>28</w:t>
            </w:r>
          </w:p>
          <w:p w14:paraId="2243D06D" w14:textId="77777777" w:rsidR="000D7175" w:rsidRDefault="000D7175" w:rsidP="000D7175">
            <w:pPr>
              <w:pStyle w:val="Tablewriting"/>
              <w:jc w:val="center"/>
            </w:pPr>
            <w:r>
              <w:t>28</w:t>
            </w:r>
          </w:p>
          <w:p w14:paraId="68546729" w14:textId="1E9FA271" w:rsidR="000D7175" w:rsidRDefault="000D7175" w:rsidP="000D7175">
            <w:pPr>
              <w:pStyle w:val="Tablewriting"/>
              <w:jc w:val="center"/>
            </w:pPr>
            <w:r>
              <w:t>28</w:t>
            </w:r>
          </w:p>
        </w:tc>
        <w:tc>
          <w:tcPr>
            <w:tcW w:w="709" w:type="dxa"/>
            <w:tcBorders>
              <w:top w:val="single" w:sz="4" w:space="0" w:color="auto"/>
              <w:left w:val="single" w:sz="4" w:space="0" w:color="auto"/>
              <w:bottom w:val="single" w:sz="4" w:space="0" w:color="auto"/>
              <w:right w:val="single" w:sz="4" w:space="0" w:color="auto"/>
            </w:tcBorders>
          </w:tcPr>
          <w:p w14:paraId="6D278F68" w14:textId="77777777" w:rsidR="000D7175" w:rsidRDefault="000D7175" w:rsidP="000D7175">
            <w:pPr>
              <w:pStyle w:val="Tablewriting"/>
              <w:jc w:val="center"/>
            </w:pPr>
          </w:p>
          <w:p w14:paraId="21B57820" w14:textId="77777777" w:rsidR="000D7175" w:rsidRDefault="000D7175" w:rsidP="000D7175">
            <w:pPr>
              <w:pStyle w:val="Tablewriting"/>
              <w:jc w:val="center"/>
            </w:pPr>
            <w:r>
              <w:t>3</w:t>
            </w:r>
          </w:p>
          <w:p w14:paraId="49CE3A77" w14:textId="77777777" w:rsidR="000D7175" w:rsidRDefault="000D7175" w:rsidP="000D7175">
            <w:pPr>
              <w:pStyle w:val="Tablewriting"/>
              <w:jc w:val="center"/>
            </w:pPr>
            <w:r>
              <w:t>3</w:t>
            </w:r>
          </w:p>
          <w:p w14:paraId="07A5D514" w14:textId="77777777" w:rsidR="000D7175" w:rsidRDefault="000D7175" w:rsidP="000D7175">
            <w:pPr>
              <w:pStyle w:val="Tablewriting"/>
              <w:jc w:val="center"/>
            </w:pPr>
            <w:r>
              <w:t>3</w:t>
            </w:r>
          </w:p>
          <w:p w14:paraId="7FEC1EAD" w14:textId="77777777" w:rsidR="000D7175" w:rsidRDefault="000D7175" w:rsidP="000D7175">
            <w:pPr>
              <w:pStyle w:val="Tablewriting"/>
              <w:jc w:val="center"/>
            </w:pPr>
            <w:r>
              <w:t>3</w:t>
            </w:r>
          </w:p>
          <w:p w14:paraId="2061DED1" w14:textId="77777777" w:rsidR="000D7175" w:rsidRDefault="000D7175" w:rsidP="000D7175">
            <w:pPr>
              <w:pStyle w:val="Tablewriting"/>
              <w:jc w:val="center"/>
            </w:pPr>
            <w:r>
              <w:t>3</w:t>
            </w:r>
          </w:p>
          <w:p w14:paraId="65ADB717" w14:textId="77777777" w:rsidR="000D7175" w:rsidRDefault="000D7175" w:rsidP="000D7175">
            <w:pPr>
              <w:pStyle w:val="Tablewriting"/>
              <w:jc w:val="center"/>
            </w:pPr>
            <w:r>
              <w:t>3</w:t>
            </w:r>
          </w:p>
          <w:p w14:paraId="5455CBEA" w14:textId="77777777" w:rsidR="000D7175" w:rsidRDefault="000D7175" w:rsidP="000D7175">
            <w:pPr>
              <w:pStyle w:val="Tablewriting"/>
              <w:jc w:val="center"/>
            </w:pPr>
            <w:r>
              <w:t>3</w:t>
            </w:r>
          </w:p>
          <w:p w14:paraId="09067A4C" w14:textId="7A7CB2AF" w:rsidR="000D7175" w:rsidRDefault="000D7175" w:rsidP="000D7175">
            <w:pPr>
              <w:pStyle w:val="Tablewriting"/>
              <w:jc w:val="center"/>
            </w:pPr>
            <w:r>
              <w:t>3</w:t>
            </w:r>
          </w:p>
        </w:tc>
        <w:tc>
          <w:tcPr>
            <w:tcW w:w="1134" w:type="dxa"/>
            <w:tcBorders>
              <w:top w:val="single" w:sz="4" w:space="0" w:color="auto"/>
              <w:left w:val="single" w:sz="4" w:space="0" w:color="auto"/>
              <w:bottom w:val="single" w:sz="4" w:space="0" w:color="auto"/>
              <w:right w:val="single" w:sz="4" w:space="0" w:color="auto"/>
            </w:tcBorders>
          </w:tcPr>
          <w:p w14:paraId="1CDFEC3F" w14:textId="77777777" w:rsidR="000D7175" w:rsidRDefault="000D7175" w:rsidP="000D7175">
            <w:pPr>
              <w:pStyle w:val="Tablewriting"/>
              <w:jc w:val="center"/>
            </w:pPr>
          </w:p>
          <w:p w14:paraId="5576EC5A" w14:textId="77777777" w:rsidR="000D7175" w:rsidRDefault="000D7175" w:rsidP="000D7175">
            <w:pPr>
              <w:pStyle w:val="Tablewriting"/>
              <w:jc w:val="center"/>
            </w:pPr>
            <w:r>
              <w:t>$2,885.28</w:t>
            </w:r>
          </w:p>
          <w:p w14:paraId="4E560CC4" w14:textId="77777777" w:rsidR="000D7175" w:rsidRDefault="000D7175" w:rsidP="000D7175">
            <w:pPr>
              <w:pStyle w:val="Tablewriting"/>
              <w:jc w:val="center"/>
            </w:pPr>
            <w:r>
              <w:t>$2,885.28</w:t>
            </w:r>
          </w:p>
          <w:p w14:paraId="56348D66" w14:textId="77777777" w:rsidR="000D7175" w:rsidRDefault="000D7175" w:rsidP="000D7175">
            <w:pPr>
              <w:pStyle w:val="Tablewriting"/>
              <w:jc w:val="center"/>
            </w:pPr>
            <w:r>
              <w:t>$2,885.28</w:t>
            </w:r>
          </w:p>
          <w:p w14:paraId="392165DC" w14:textId="77777777" w:rsidR="000D7175" w:rsidRDefault="000D7175" w:rsidP="000D7175">
            <w:pPr>
              <w:pStyle w:val="Tablewriting"/>
              <w:jc w:val="center"/>
            </w:pPr>
            <w:r>
              <w:t>$2,885.28</w:t>
            </w:r>
          </w:p>
          <w:p w14:paraId="514D80AA" w14:textId="77777777" w:rsidR="000D7175" w:rsidRDefault="000D7175" w:rsidP="000D7175">
            <w:pPr>
              <w:pStyle w:val="Tablewriting"/>
              <w:jc w:val="center"/>
            </w:pPr>
            <w:r>
              <w:t>$2,885.28</w:t>
            </w:r>
          </w:p>
          <w:p w14:paraId="254DC822" w14:textId="77777777" w:rsidR="000D7175" w:rsidRDefault="000D7175" w:rsidP="000D7175">
            <w:pPr>
              <w:pStyle w:val="Tablewriting"/>
              <w:jc w:val="center"/>
            </w:pPr>
            <w:r>
              <w:t>$2,885.28</w:t>
            </w:r>
          </w:p>
          <w:p w14:paraId="34039A0B" w14:textId="77777777" w:rsidR="000D7175" w:rsidRDefault="000D7175" w:rsidP="000D7175">
            <w:pPr>
              <w:pStyle w:val="Tablewriting"/>
              <w:jc w:val="center"/>
            </w:pPr>
            <w:r>
              <w:t>$2,885.28</w:t>
            </w:r>
          </w:p>
          <w:p w14:paraId="588E6663" w14:textId="09395BBC" w:rsidR="000D7175" w:rsidRDefault="000D7175" w:rsidP="000D7175">
            <w:pPr>
              <w:pStyle w:val="Tablewriting"/>
              <w:jc w:val="center"/>
            </w:pPr>
            <w:r>
              <w:t>$2,885.28</w:t>
            </w:r>
          </w:p>
        </w:tc>
        <w:tc>
          <w:tcPr>
            <w:tcW w:w="2268" w:type="dxa"/>
            <w:tcBorders>
              <w:top w:val="single" w:sz="4" w:space="0" w:color="auto"/>
              <w:left w:val="single" w:sz="4" w:space="0" w:color="auto"/>
              <w:bottom w:val="single" w:sz="4" w:space="0" w:color="auto"/>
              <w:right w:val="single" w:sz="4" w:space="0" w:color="auto"/>
            </w:tcBorders>
          </w:tcPr>
          <w:p w14:paraId="7880F690" w14:textId="77777777" w:rsidR="000D7175" w:rsidRPr="002142AD" w:rsidRDefault="000D7175" w:rsidP="000D7175">
            <w:pPr>
              <w:pStyle w:val="Tablewriting"/>
            </w:pPr>
            <w:r w:rsidRPr="002142AD">
              <w:t>Giotrif®</w:t>
            </w:r>
          </w:p>
          <w:p w14:paraId="69FAC751" w14:textId="067FE628" w:rsidR="000D7175" w:rsidRPr="002142AD" w:rsidRDefault="000D7175" w:rsidP="000D7175">
            <w:pPr>
              <w:pStyle w:val="Tablewriting"/>
            </w:pPr>
            <w:r w:rsidRPr="002142AD">
              <w:t>Boehringer Ingelheim Pty Ltd</w:t>
            </w:r>
          </w:p>
        </w:tc>
      </w:tr>
      <w:tr w:rsidR="000D7175" w:rsidRPr="0056392D" w14:paraId="2B641C5B" w14:textId="77777777" w:rsidTr="0073747B">
        <w:trPr>
          <w:trHeight w:val="488"/>
          <w:tblHeader/>
        </w:trPr>
        <w:tc>
          <w:tcPr>
            <w:tcW w:w="988" w:type="dxa"/>
            <w:tcBorders>
              <w:top w:val="single" w:sz="4" w:space="0" w:color="auto"/>
              <w:left w:val="single" w:sz="4" w:space="0" w:color="auto"/>
              <w:bottom w:val="single" w:sz="4" w:space="0" w:color="auto"/>
              <w:right w:val="single" w:sz="4" w:space="0" w:color="auto"/>
            </w:tcBorders>
          </w:tcPr>
          <w:p w14:paraId="73AD391C" w14:textId="77777777" w:rsidR="000D7175" w:rsidRPr="00BB5C0B" w:rsidRDefault="000D7175" w:rsidP="00BB5C0B">
            <w:pPr>
              <w:pStyle w:val="Tablewriting"/>
              <w:spacing w:before="0"/>
              <w:rPr>
                <w:color w:val="auto"/>
              </w:rPr>
            </w:pPr>
          </w:p>
          <w:p w14:paraId="4197B687" w14:textId="77777777" w:rsidR="007913D3" w:rsidRPr="00BB5C0B" w:rsidRDefault="007913D3" w:rsidP="00BB5C0B">
            <w:pPr>
              <w:pStyle w:val="Tablewriting"/>
              <w:spacing w:before="0"/>
              <w:rPr>
                <w:color w:val="auto"/>
              </w:rPr>
            </w:pPr>
            <w:r w:rsidRPr="00BB5C0B">
              <w:rPr>
                <w:color w:val="auto"/>
              </w:rPr>
              <w:t>10022L</w:t>
            </w:r>
          </w:p>
          <w:p w14:paraId="064A52E3" w14:textId="77777777" w:rsidR="007913D3" w:rsidRPr="00BB5C0B" w:rsidRDefault="007913D3" w:rsidP="00BB5C0B">
            <w:pPr>
              <w:pStyle w:val="Tablewriting"/>
              <w:spacing w:before="0"/>
              <w:rPr>
                <w:color w:val="auto"/>
              </w:rPr>
            </w:pPr>
            <w:r w:rsidRPr="00BB5C0B">
              <w:rPr>
                <w:color w:val="auto"/>
              </w:rPr>
              <w:t>10028T</w:t>
            </w:r>
          </w:p>
          <w:p w14:paraId="53EDD93B" w14:textId="77777777" w:rsidR="00BB5C0B" w:rsidRDefault="007913D3" w:rsidP="00BB5C0B">
            <w:pPr>
              <w:pStyle w:val="Tablewriting"/>
              <w:spacing w:before="0"/>
              <w:rPr>
                <w:color w:val="auto"/>
              </w:rPr>
            </w:pPr>
            <w:r w:rsidRPr="00BB5C0B">
              <w:rPr>
                <w:color w:val="auto"/>
              </w:rPr>
              <w:t xml:space="preserve">11263T </w:t>
            </w:r>
          </w:p>
          <w:p w14:paraId="5A28504B" w14:textId="62D9ADCF" w:rsidR="00BB5C0B" w:rsidRPr="00BB5C0B" w:rsidRDefault="00BB5C0B" w:rsidP="00BB5C0B">
            <w:pPr>
              <w:pStyle w:val="Tablewriting"/>
              <w:spacing w:before="0"/>
              <w:rPr>
                <w:color w:val="auto"/>
              </w:rPr>
            </w:pPr>
            <w:r w:rsidRPr="00BB5C0B">
              <w:rPr>
                <w:color w:val="auto"/>
              </w:rPr>
              <w:t>10019H</w:t>
            </w:r>
          </w:p>
          <w:p w14:paraId="579D28A8" w14:textId="77777777" w:rsidR="00BB5C0B" w:rsidRPr="00BB5C0B" w:rsidRDefault="00BB5C0B" w:rsidP="00BB5C0B">
            <w:pPr>
              <w:pStyle w:val="Tablewriting"/>
              <w:spacing w:before="0"/>
              <w:rPr>
                <w:color w:val="auto"/>
              </w:rPr>
            </w:pPr>
            <w:r w:rsidRPr="00BB5C0B">
              <w:rPr>
                <w:color w:val="auto"/>
              </w:rPr>
              <w:t>10020J</w:t>
            </w:r>
          </w:p>
          <w:p w14:paraId="11A8AC4B" w14:textId="77777777" w:rsidR="00BB5C0B" w:rsidRDefault="00BB5C0B" w:rsidP="00BB5C0B">
            <w:pPr>
              <w:pStyle w:val="Tablewriting"/>
              <w:rPr>
                <w:color w:val="auto"/>
              </w:rPr>
            </w:pPr>
            <w:r w:rsidRPr="00BB5C0B">
              <w:rPr>
                <w:color w:val="auto"/>
              </w:rPr>
              <w:t xml:space="preserve">11260P </w:t>
            </w:r>
          </w:p>
          <w:p w14:paraId="5774EA4C" w14:textId="66B39003" w:rsidR="000D7175" w:rsidRPr="00BB5C0B" w:rsidRDefault="000D7175" w:rsidP="00BB5C0B">
            <w:pPr>
              <w:pStyle w:val="Tablewriting"/>
              <w:rPr>
                <w:color w:val="auto"/>
              </w:rPr>
            </w:pPr>
            <w:r w:rsidRPr="00BB5C0B">
              <w:rPr>
                <w:color w:val="auto"/>
              </w:rPr>
              <w:t>10014C</w:t>
            </w:r>
          </w:p>
          <w:p w14:paraId="34F643DF" w14:textId="77777777" w:rsidR="000D7175" w:rsidRPr="00BB5C0B" w:rsidRDefault="000D7175" w:rsidP="00BB5C0B">
            <w:pPr>
              <w:pStyle w:val="Tablewriting"/>
              <w:spacing w:before="0"/>
              <w:rPr>
                <w:color w:val="auto"/>
              </w:rPr>
            </w:pPr>
            <w:r w:rsidRPr="00BB5C0B">
              <w:rPr>
                <w:color w:val="auto"/>
              </w:rPr>
              <w:t>10025P</w:t>
            </w:r>
          </w:p>
          <w:p w14:paraId="3C919680" w14:textId="74D9151B" w:rsidR="000D7175" w:rsidRPr="00BB5C0B" w:rsidRDefault="000D7175" w:rsidP="00BB5C0B">
            <w:pPr>
              <w:pStyle w:val="Tablewriting"/>
              <w:spacing w:before="0"/>
              <w:rPr>
                <w:color w:val="auto"/>
              </w:rPr>
            </w:pPr>
            <w:r w:rsidRPr="00BB5C0B">
              <w:rPr>
                <w:color w:val="auto"/>
              </w:rPr>
              <w:t>11259N</w:t>
            </w:r>
          </w:p>
        </w:tc>
        <w:tc>
          <w:tcPr>
            <w:tcW w:w="2398" w:type="dxa"/>
            <w:tcBorders>
              <w:top w:val="single" w:sz="4" w:space="0" w:color="auto"/>
              <w:left w:val="single" w:sz="4" w:space="0" w:color="auto"/>
              <w:bottom w:val="single" w:sz="4" w:space="0" w:color="auto"/>
              <w:right w:val="single" w:sz="4" w:space="0" w:color="auto"/>
            </w:tcBorders>
          </w:tcPr>
          <w:p w14:paraId="203B6DB6" w14:textId="77777777" w:rsidR="000D7175" w:rsidRPr="00BB5C0B" w:rsidRDefault="000D7175" w:rsidP="00BB5C0B">
            <w:pPr>
              <w:pStyle w:val="Tablewriting"/>
              <w:spacing w:before="0"/>
              <w:rPr>
                <w:color w:val="auto"/>
              </w:rPr>
            </w:pPr>
            <w:r w:rsidRPr="00BB5C0B">
              <w:rPr>
                <w:color w:val="auto"/>
              </w:rPr>
              <w:t>erlotinib,</w:t>
            </w:r>
          </w:p>
          <w:p w14:paraId="26E38DE4" w14:textId="77777777" w:rsidR="007913D3" w:rsidRPr="00BB5C0B" w:rsidRDefault="007913D3" w:rsidP="00BB5C0B">
            <w:pPr>
              <w:pStyle w:val="Tablewriting"/>
              <w:spacing w:before="0"/>
              <w:rPr>
                <w:color w:val="auto"/>
              </w:rPr>
            </w:pPr>
            <w:r w:rsidRPr="00BB5C0B">
              <w:rPr>
                <w:color w:val="auto"/>
              </w:rPr>
              <w:t>25 mg tablet, 30</w:t>
            </w:r>
          </w:p>
          <w:p w14:paraId="5924A980" w14:textId="77777777" w:rsidR="007913D3" w:rsidRPr="00BB5C0B" w:rsidRDefault="007913D3" w:rsidP="00BB5C0B">
            <w:pPr>
              <w:pStyle w:val="Tablewriting"/>
              <w:spacing w:before="0"/>
              <w:rPr>
                <w:color w:val="auto"/>
              </w:rPr>
            </w:pPr>
            <w:r w:rsidRPr="00BB5C0B">
              <w:rPr>
                <w:color w:val="auto"/>
              </w:rPr>
              <w:t xml:space="preserve">25 mg tablet, 30 </w:t>
            </w:r>
          </w:p>
          <w:p w14:paraId="799D22DD" w14:textId="77777777" w:rsidR="00BB5C0B" w:rsidRPr="00BB5C0B" w:rsidRDefault="007913D3" w:rsidP="00BB5C0B">
            <w:pPr>
              <w:pStyle w:val="Tablewriting"/>
              <w:spacing w:before="0"/>
              <w:rPr>
                <w:color w:val="auto"/>
              </w:rPr>
            </w:pPr>
            <w:r w:rsidRPr="00BB5C0B">
              <w:rPr>
                <w:color w:val="auto"/>
              </w:rPr>
              <w:t xml:space="preserve">25 mg tablet, 30 </w:t>
            </w:r>
          </w:p>
          <w:p w14:paraId="59B0E395" w14:textId="77777777" w:rsidR="00BB5C0B" w:rsidRPr="00BB5C0B" w:rsidRDefault="00BB5C0B" w:rsidP="00BB5C0B">
            <w:pPr>
              <w:pStyle w:val="Tablewriting"/>
              <w:spacing w:before="0"/>
              <w:rPr>
                <w:color w:val="auto"/>
              </w:rPr>
            </w:pPr>
            <w:r w:rsidRPr="00BB5C0B">
              <w:rPr>
                <w:color w:val="auto"/>
              </w:rPr>
              <w:t xml:space="preserve">100 mg tablet, 30 </w:t>
            </w:r>
          </w:p>
          <w:p w14:paraId="7217B753" w14:textId="77777777" w:rsidR="00BB5C0B" w:rsidRPr="00BB5C0B" w:rsidRDefault="00BB5C0B" w:rsidP="00BB5C0B">
            <w:pPr>
              <w:pStyle w:val="Tablewriting"/>
              <w:spacing w:before="0"/>
              <w:rPr>
                <w:color w:val="auto"/>
              </w:rPr>
            </w:pPr>
            <w:r w:rsidRPr="00BB5C0B">
              <w:rPr>
                <w:color w:val="auto"/>
              </w:rPr>
              <w:t xml:space="preserve">100 mg tablet, 30 </w:t>
            </w:r>
          </w:p>
          <w:p w14:paraId="242D3288" w14:textId="77777777" w:rsidR="00BB5C0B" w:rsidRPr="00BB5C0B" w:rsidRDefault="00BB5C0B" w:rsidP="00BB5C0B">
            <w:pPr>
              <w:pStyle w:val="Tablewriting"/>
              <w:spacing w:before="0"/>
              <w:rPr>
                <w:color w:val="auto"/>
              </w:rPr>
            </w:pPr>
            <w:r w:rsidRPr="00BB5C0B">
              <w:rPr>
                <w:color w:val="auto"/>
              </w:rPr>
              <w:t xml:space="preserve">100 mg tablet, 30 </w:t>
            </w:r>
          </w:p>
          <w:p w14:paraId="22EC936B" w14:textId="470BA106" w:rsidR="000D7175" w:rsidRPr="00BB5C0B" w:rsidRDefault="000D7175" w:rsidP="00BB5C0B">
            <w:pPr>
              <w:pStyle w:val="Tablewriting"/>
              <w:spacing w:before="0"/>
              <w:rPr>
                <w:color w:val="auto"/>
              </w:rPr>
            </w:pPr>
            <w:r w:rsidRPr="00BB5C0B">
              <w:rPr>
                <w:color w:val="auto"/>
              </w:rPr>
              <w:t xml:space="preserve">150 mg tablet, 30 </w:t>
            </w:r>
          </w:p>
          <w:p w14:paraId="7A5C65EC" w14:textId="77777777" w:rsidR="000D7175" w:rsidRPr="00BB5C0B" w:rsidRDefault="000D7175" w:rsidP="00BB5C0B">
            <w:pPr>
              <w:pStyle w:val="Tablewriting"/>
              <w:spacing w:before="0"/>
              <w:rPr>
                <w:color w:val="auto"/>
              </w:rPr>
            </w:pPr>
            <w:r w:rsidRPr="00BB5C0B">
              <w:rPr>
                <w:color w:val="auto"/>
              </w:rPr>
              <w:t xml:space="preserve">150 mg tablet, 30 </w:t>
            </w:r>
          </w:p>
          <w:p w14:paraId="3847799A" w14:textId="34E94A6D" w:rsidR="000D7175" w:rsidRPr="00BB5C0B" w:rsidRDefault="000D7175" w:rsidP="00BB5C0B">
            <w:pPr>
              <w:pStyle w:val="Tablewriting"/>
              <w:spacing w:before="0"/>
              <w:rPr>
                <w:color w:val="auto"/>
              </w:rPr>
            </w:pPr>
            <w:r w:rsidRPr="00BB5C0B">
              <w:rPr>
                <w:color w:val="auto"/>
              </w:rPr>
              <w:t xml:space="preserve">150 mg tablet, 30 </w:t>
            </w:r>
          </w:p>
        </w:tc>
        <w:tc>
          <w:tcPr>
            <w:tcW w:w="709" w:type="dxa"/>
            <w:tcBorders>
              <w:top w:val="single" w:sz="4" w:space="0" w:color="auto"/>
              <w:left w:val="single" w:sz="4" w:space="0" w:color="auto"/>
              <w:bottom w:val="single" w:sz="4" w:space="0" w:color="auto"/>
              <w:right w:val="single" w:sz="4" w:space="0" w:color="auto"/>
            </w:tcBorders>
          </w:tcPr>
          <w:p w14:paraId="25F95C9B" w14:textId="77777777" w:rsidR="000D7175" w:rsidRPr="00BB5C0B" w:rsidRDefault="000D7175" w:rsidP="00BB5C0B">
            <w:pPr>
              <w:pStyle w:val="Tablewriting"/>
              <w:spacing w:before="0"/>
              <w:jc w:val="center"/>
              <w:rPr>
                <w:color w:val="auto"/>
              </w:rPr>
            </w:pPr>
          </w:p>
          <w:p w14:paraId="6A6260AD" w14:textId="77777777" w:rsidR="000D7175" w:rsidRPr="00BB5C0B" w:rsidRDefault="000D7175" w:rsidP="00BB5C0B">
            <w:pPr>
              <w:pStyle w:val="Tablewriting"/>
              <w:spacing w:before="0"/>
              <w:jc w:val="center"/>
              <w:rPr>
                <w:color w:val="auto"/>
              </w:rPr>
            </w:pPr>
            <w:r w:rsidRPr="00BB5C0B">
              <w:rPr>
                <w:color w:val="auto"/>
              </w:rPr>
              <w:t>1</w:t>
            </w:r>
          </w:p>
          <w:p w14:paraId="5B23B9CB" w14:textId="77777777" w:rsidR="000D7175" w:rsidRPr="00BB5C0B" w:rsidRDefault="000D7175" w:rsidP="00BB5C0B">
            <w:pPr>
              <w:pStyle w:val="Tablewriting"/>
              <w:spacing w:before="0"/>
              <w:jc w:val="center"/>
              <w:rPr>
                <w:color w:val="auto"/>
              </w:rPr>
            </w:pPr>
            <w:r w:rsidRPr="00BB5C0B">
              <w:rPr>
                <w:color w:val="auto"/>
              </w:rPr>
              <w:t>1</w:t>
            </w:r>
          </w:p>
          <w:p w14:paraId="049B7EA3" w14:textId="77777777" w:rsidR="000D7175" w:rsidRPr="00BB5C0B" w:rsidRDefault="000D7175" w:rsidP="00BB5C0B">
            <w:pPr>
              <w:pStyle w:val="Tablewriting"/>
              <w:spacing w:before="0"/>
              <w:jc w:val="center"/>
              <w:rPr>
                <w:color w:val="auto"/>
              </w:rPr>
            </w:pPr>
            <w:r w:rsidRPr="00BB5C0B">
              <w:rPr>
                <w:color w:val="auto"/>
              </w:rPr>
              <w:t>1</w:t>
            </w:r>
          </w:p>
          <w:p w14:paraId="5C55D72E" w14:textId="77777777" w:rsidR="000D7175" w:rsidRPr="00BB5C0B" w:rsidRDefault="000D7175" w:rsidP="00BB5C0B">
            <w:pPr>
              <w:pStyle w:val="Tablewriting"/>
              <w:spacing w:before="0"/>
              <w:jc w:val="center"/>
              <w:rPr>
                <w:color w:val="auto"/>
              </w:rPr>
            </w:pPr>
            <w:r w:rsidRPr="00BB5C0B">
              <w:rPr>
                <w:color w:val="auto"/>
              </w:rPr>
              <w:t>1</w:t>
            </w:r>
          </w:p>
          <w:p w14:paraId="642CE0BE" w14:textId="77777777" w:rsidR="000D7175" w:rsidRPr="00BB5C0B" w:rsidRDefault="000D7175" w:rsidP="00BB5C0B">
            <w:pPr>
              <w:pStyle w:val="Tablewriting"/>
              <w:spacing w:before="0"/>
              <w:jc w:val="center"/>
              <w:rPr>
                <w:color w:val="auto"/>
              </w:rPr>
            </w:pPr>
            <w:r w:rsidRPr="00BB5C0B">
              <w:rPr>
                <w:color w:val="auto"/>
              </w:rPr>
              <w:t>1</w:t>
            </w:r>
          </w:p>
          <w:p w14:paraId="28B6BB7B" w14:textId="77777777" w:rsidR="000D7175" w:rsidRPr="00BB5C0B" w:rsidRDefault="000D7175" w:rsidP="00BB5C0B">
            <w:pPr>
              <w:pStyle w:val="Tablewriting"/>
              <w:spacing w:before="0"/>
              <w:jc w:val="center"/>
              <w:rPr>
                <w:color w:val="auto"/>
              </w:rPr>
            </w:pPr>
            <w:r w:rsidRPr="00BB5C0B">
              <w:rPr>
                <w:color w:val="auto"/>
              </w:rPr>
              <w:t>1</w:t>
            </w:r>
          </w:p>
          <w:p w14:paraId="05432B17" w14:textId="77777777" w:rsidR="000D7175" w:rsidRPr="00BB5C0B" w:rsidRDefault="000D7175" w:rsidP="00BB5C0B">
            <w:pPr>
              <w:pStyle w:val="Tablewriting"/>
              <w:spacing w:before="0"/>
              <w:jc w:val="center"/>
              <w:rPr>
                <w:color w:val="auto"/>
              </w:rPr>
            </w:pPr>
            <w:r w:rsidRPr="00BB5C0B">
              <w:rPr>
                <w:color w:val="auto"/>
              </w:rPr>
              <w:t>1</w:t>
            </w:r>
          </w:p>
          <w:p w14:paraId="7CD8B6D1" w14:textId="77777777" w:rsidR="000D7175" w:rsidRPr="00BB5C0B" w:rsidRDefault="000D7175" w:rsidP="00BB5C0B">
            <w:pPr>
              <w:pStyle w:val="Tablewriting"/>
              <w:spacing w:before="0"/>
              <w:jc w:val="center"/>
              <w:rPr>
                <w:color w:val="auto"/>
              </w:rPr>
            </w:pPr>
            <w:r w:rsidRPr="00BB5C0B">
              <w:rPr>
                <w:color w:val="auto"/>
              </w:rPr>
              <w:t>1</w:t>
            </w:r>
          </w:p>
          <w:p w14:paraId="2910DF44" w14:textId="20EA693D" w:rsidR="000D7175" w:rsidRPr="00BB5C0B" w:rsidRDefault="000D7175" w:rsidP="00BB5C0B">
            <w:pPr>
              <w:pStyle w:val="Tablewriting"/>
              <w:spacing w:before="0"/>
              <w:jc w:val="center"/>
              <w:rPr>
                <w:color w:val="auto"/>
              </w:rPr>
            </w:pPr>
            <w:r w:rsidRPr="00BB5C0B">
              <w:rPr>
                <w:color w:val="auto"/>
              </w:rPr>
              <w:t>1</w:t>
            </w:r>
          </w:p>
        </w:tc>
        <w:tc>
          <w:tcPr>
            <w:tcW w:w="720" w:type="dxa"/>
            <w:tcBorders>
              <w:top w:val="single" w:sz="4" w:space="0" w:color="auto"/>
              <w:left w:val="single" w:sz="4" w:space="0" w:color="auto"/>
              <w:bottom w:val="single" w:sz="4" w:space="0" w:color="auto"/>
              <w:right w:val="single" w:sz="4" w:space="0" w:color="auto"/>
            </w:tcBorders>
          </w:tcPr>
          <w:p w14:paraId="5BD3FFA2" w14:textId="77777777" w:rsidR="000D7175" w:rsidRPr="00BB5C0B" w:rsidRDefault="000D7175" w:rsidP="00BB5C0B">
            <w:pPr>
              <w:pStyle w:val="Tablewriting"/>
              <w:spacing w:before="0"/>
              <w:jc w:val="center"/>
              <w:rPr>
                <w:color w:val="auto"/>
              </w:rPr>
            </w:pPr>
          </w:p>
          <w:p w14:paraId="6F02C5B6" w14:textId="77777777" w:rsidR="000D7175" w:rsidRPr="00BB5C0B" w:rsidRDefault="000D7175" w:rsidP="00BB5C0B">
            <w:pPr>
              <w:pStyle w:val="Tablewriting"/>
              <w:spacing w:before="0"/>
              <w:jc w:val="center"/>
              <w:rPr>
                <w:color w:val="auto"/>
              </w:rPr>
            </w:pPr>
            <w:r w:rsidRPr="00BB5C0B">
              <w:rPr>
                <w:color w:val="auto"/>
              </w:rPr>
              <w:t>30</w:t>
            </w:r>
          </w:p>
          <w:p w14:paraId="5867CB7B" w14:textId="77777777" w:rsidR="000D7175" w:rsidRPr="00BB5C0B" w:rsidRDefault="000D7175" w:rsidP="00BB5C0B">
            <w:pPr>
              <w:pStyle w:val="Tablewriting"/>
              <w:spacing w:before="0"/>
              <w:jc w:val="center"/>
              <w:rPr>
                <w:color w:val="auto"/>
              </w:rPr>
            </w:pPr>
            <w:r w:rsidRPr="00BB5C0B">
              <w:rPr>
                <w:color w:val="auto"/>
              </w:rPr>
              <w:t>30</w:t>
            </w:r>
          </w:p>
          <w:p w14:paraId="20F60AF9" w14:textId="77777777" w:rsidR="000D7175" w:rsidRPr="00BB5C0B" w:rsidRDefault="000D7175" w:rsidP="00BB5C0B">
            <w:pPr>
              <w:pStyle w:val="Tablewriting"/>
              <w:spacing w:before="0"/>
              <w:jc w:val="center"/>
              <w:rPr>
                <w:color w:val="auto"/>
              </w:rPr>
            </w:pPr>
            <w:r w:rsidRPr="00BB5C0B">
              <w:rPr>
                <w:color w:val="auto"/>
              </w:rPr>
              <w:t>30</w:t>
            </w:r>
          </w:p>
          <w:p w14:paraId="1A0FAB68" w14:textId="77777777" w:rsidR="000D7175" w:rsidRPr="00BB5C0B" w:rsidRDefault="000D7175" w:rsidP="00BB5C0B">
            <w:pPr>
              <w:pStyle w:val="Tablewriting"/>
              <w:spacing w:before="0"/>
              <w:jc w:val="center"/>
              <w:rPr>
                <w:color w:val="auto"/>
              </w:rPr>
            </w:pPr>
            <w:r w:rsidRPr="00BB5C0B">
              <w:rPr>
                <w:color w:val="auto"/>
              </w:rPr>
              <w:t>30</w:t>
            </w:r>
          </w:p>
          <w:p w14:paraId="662F6A0E" w14:textId="77777777" w:rsidR="000D7175" w:rsidRPr="00BB5C0B" w:rsidRDefault="000D7175" w:rsidP="00BB5C0B">
            <w:pPr>
              <w:pStyle w:val="Tablewriting"/>
              <w:spacing w:before="0"/>
              <w:jc w:val="center"/>
              <w:rPr>
                <w:color w:val="auto"/>
              </w:rPr>
            </w:pPr>
            <w:r w:rsidRPr="00BB5C0B">
              <w:rPr>
                <w:color w:val="auto"/>
              </w:rPr>
              <w:t>30</w:t>
            </w:r>
          </w:p>
          <w:p w14:paraId="44047A8B" w14:textId="77777777" w:rsidR="000D7175" w:rsidRPr="00BB5C0B" w:rsidRDefault="000D7175" w:rsidP="00BB5C0B">
            <w:pPr>
              <w:pStyle w:val="Tablewriting"/>
              <w:spacing w:before="0"/>
              <w:jc w:val="center"/>
              <w:rPr>
                <w:color w:val="auto"/>
              </w:rPr>
            </w:pPr>
            <w:r w:rsidRPr="00BB5C0B">
              <w:rPr>
                <w:color w:val="auto"/>
              </w:rPr>
              <w:t>30</w:t>
            </w:r>
          </w:p>
          <w:p w14:paraId="7ADE1011" w14:textId="77777777" w:rsidR="000D7175" w:rsidRPr="00BB5C0B" w:rsidRDefault="000D7175" w:rsidP="00BB5C0B">
            <w:pPr>
              <w:pStyle w:val="Tablewriting"/>
              <w:spacing w:before="0"/>
              <w:jc w:val="center"/>
              <w:rPr>
                <w:color w:val="auto"/>
              </w:rPr>
            </w:pPr>
            <w:r w:rsidRPr="00BB5C0B">
              <w:rPr>
                <w:color w:val="auto"/>
              </w:rPr>
              <w:t>30</w:t>
            </w:r>
          </w:p>
          <w:p w14:paraId="341B59C2" w14:textId="77777777" w:rsidR="000D7175" w:rsidRPr="00BB5C0B" w:rsidRDefault="000D7175" w:rsidP="00BB5C0B">
            <w:pPr>
              <w:pStyle w:val="Tablewriting"/>
              <w:spacing w:before="0"/>
              <w:jc w:val="center"/>
              <w:rPr>
                <w:color w:val="auto"/>
              </w:rPr>
            </w:pPr>
            <w:r w:rsidRPr="00BB5C0B">
              <w:rPr>
                <w:color w:val="auto"/>
              </w:rPr>
              <w:t>30</w:t>
            </w:r>
          </w:p>
          <w:p w14:paraId="0751F0C6" w14:textId="184F2B70" w:rsidR="000D7175" w:rsidRPr="00BB5C0B" w:rsidRDefault="000D7175" w:rsidP="00BB5C0B">
            <w:pPr>
              <w:pStyle w:val="Tablewriting"/>
              <w:spacing w:before="0"/>
              <w:jc w:val="center"/>
              <w:rPr>
                <w:color w:val="auto"/>
              </w:rPr>
            </w:pPr>
            <w:r w:rsidRPr="00BB5C0B">
              <w:rPr>
                <w:color w:val="auto"/>
              </w:rPr>
              <w:t>30</w:t>
            </w:r>
          </w:p>
        </w:tc>
        <w:tc>
          <w:tcPr>
            <w:tcW w:w="709" w:type="dxa"/>
            <w:tcBorders>
              <w:top w:val="single" w:sz="4" w:space="0" w:color="auto"/>
              <w:left w:val="single" w:sz="4" w:space="0" w:color="auto"/>
              <w:bottom w:val="single" w:sz="4" w:space="0" w:color="auto"/>
              <w:right w:val="single" w:sz="4" w:space="0" w:color="auto"/>
            </w:tcBorders>
          </w:tcPr>
          <w:p w14:paraId="304237DD" w14:textId="77777777" w:rsidR="000D7175" w:rsidRPr="00BB5C0B" w:rsidRDefault="000D7175" w:rsidP="00BB5C0B">
            <w:pPr>
              <w:pStyle w:val="Tablewriting"/>
              <w:spacing w:before="0"/>
              <w:jc w:val="center"/>
              <w:rPr>
                <w:color w:val="auto"/>
              </w:rPr>
            </w:pPr>
          </w:p>
          <w:p w14:paraId="7765DA65" w14:textId="77777777" w:rsidR="000D7175" w:rsidRPr="00BB5C0B" w:rsidRDefault="000D7175" w:rsidP="00BB5C0B">
            <w:pPr>
              <w:pStyle w:val="Tablewriting"/>
              <w:spacing w:before="0"/>
              <w:jc w:val="center"/>
              <w:rPr>
                <w:color w:val="auto"/>
              </w:rPr>
            </w:pPr>
            <w:r w:rsidRPr="00BB5C0B">
              <w:rPr>
                <w:color w:val="auto"/>
              </w:rPr>
              <w:t>3</w:t>
            </w:r>
          </w:p>
          <w:p w14:paraId="19784EFA" w14:textId="77777777" w:rsidR="000D7175" w:rsidRPr="00BB5C0B" w:rsidRDefault="000D7175" w:rsidP="00BB5C0B">
            <w:pPr>
              <w:pStyle w:val="Tablewriting"/>
              <w:spacing w:before="0"/>
              <w:jc w:val="center"/>
              <w:rPr>
                <w:color w:val="auto"/>
              </w:rPr>
            </w:pPr>
            <w:r w:rsidRPr="00BB5C0B">
              <w:rPr>
                <w:color w:val="auto"/>
              </w:rPr>
              <w:t>3</w:t>
            </w:r>
          </w:p>
          <w:p w14:paraId="377A9115" w14:textId="77777777" w:rsidR="000D7175" w:rsidRPr="00BB5C0B" w:rsidRDefault="000D7175" w:rsidP="00BB5C0B">
            <w:pPr>
              <w:pStyle w:val="Tablewriting"/>
              <w:spacing w:before="0"/>
              <w:jc w:val="center"/>
              <w:rPr>
                <w:color w:val="auto"/>
              </w:rPr>
            </w:pPr>
            <w:r w:rsidRPr="00BB5C0B">
              <w:rPr>
                <w:color w:val="auto"/>
              </w:rPr>
              <w:t>3</w:t>
            </w:r>
          </w:p>
          <w:p w14:paraId="741C984F" w14:textId="77777777" w:rsidR="000D7175" w:rsidRPr="00BB5C0B" w:rsidRDefault="000D7175" w:rsidP="00BB5C0B">
            <w:pPr>
              <w:pStyle w:val="Tablewriting"/>
              <w:spacing w:before="0"/>
              <w:jc w:val="center"/>
              <w:rPr>
                <w:color w:val="auto"/>
              </w:rPr>
            </w:pPr>
            <w:r w:rsidRPr="00BB5C0B">
              <w:rPr>
                <w:color w:val="auto"/>
              </w:rPr>
              <w:t>3</w:t>
            </w:r>
          </w:p>
          <w:p w14:paraId="080C0C0F" w14:textId="77777777" w:rsidR="000D7175" w:rsidRPr="00BB5C0B" w:rsidRDefault="000D7175" w:rsidP="00BB5C0B">
            <w:pPr>
              <w:pStyle w:val="Tablewriting"/>
              <w:spacing w:before="0"/>
              <w:jc w:val="center"/>
              <w:rPr>
                <w:color w:val="auto"/>
              </w:rPr>
            </w:pPr>
            <w:r w:rsidRPr="00BB5C0B">
              <w:rPr>
                <w:color w:val="auto"/>
              </w:rPr>
              <w:t>3</w:t>
            </w:r>
          </w:p>
          <w:p w14:paraId="51374A94" w14:textId="77777777" w:rsidR="000D7175" w:rsidRPr="00BB5C0B" w:rsidRDefault="000D7175" w:rsidP="00BB5C0B">
            <w:pPr>
              <w:pStyle w:val="Tablewriting"/>
              <w:spacing w:before="0"/>
              <w:jc w:val="center"/>
              <w:rPr>
                <w:color w:val="auto"/>
              </w:rPr>
            </w:pPr>
            <w:r w:rsidRPr="00BB5C0B">
              <w:rPr>
                <w:color w:val="auto"/>
              </w:rPr>
              <w:t>3</w:t>
            </w:r>
          </w:p>
          <w:p w14:paraId="5134F345" w14:textId="77777777" w:rsidR="000D7175" w:rsidRPr="00BB5C0B" w:rsidRDefault="000D7175" w:rsidP="00BB5C0B">
            <w:pPr>
              <w:pStyle w:val="Tablewriting"/>
              <w:spacing w:before="0"/>
              <w:jc w:val="center"/>
              <w:rPr>
                <w:color w:val="auto"/>
              </w:rPr>
            </w:pPr>
            <w:r w:rsidRPr="00BB5C0B">
              <w:rPr>
                <w:color w:val="auto"/>
              </w:rPr>
              <w:t>3</w:t>
            </w:r>
          </w:p>
          <w:p w14:paraId="7765804B" w14:textId="77777777" w:rsidR="000D7175" w:rsidRPr="00BB5C0B" w:rsidRDefault="000D7175" w:rsidP="00BB5C0B">
            <w:pPr>
              <w:pStyle w:val="Tablewriting"/>
              <w:spacing w:before="0"/>
              <w:jc w:val="center"/>
              <w:rPr>
                <w:color w:val="auto"/>
              </w:rPr>
            </w:pPr>
            <w:r w:rsidRPr="00BB5C0B">
              <w:rPr>
                <w:color w:val="auto"/>
              </w:rPr>
              <w:t>3</w:t>
            </w:r>
          </w:p>
          <w:p w14:paraId="6D8E90D4" w14:textId="0BF7C279" w:rsidR="000D7175" w:rsidRPr="00BB5C0B" w:rsidRDefault="000D7175" w:rsidP="00BB5C0B">
            <w:pPr>
              <w:pStyle w:val="Tablewriting"/>
              <w:spacing w:before="0"/>
              <w:jc w:val="center"/>
              <w:rPr>
                <w:color w:val="auto"/>
              </w:rPr>
            </w:pPr>
            <w:r w:rsidRPr="00BB5C0B">
              <w:rPr>
                <w:color w:val="auto"/>
              </w:rPr>
              <w:t>3</w:t>
            </w:r>
          </w:p>
        </w:tc>
        <w:tc>
          <w:tcPr>
            <w:tcW w:w="1134" w:type="dxa"/>
            <w:tcBorders>
              <w:top w:val="single" w:sz="4" w:space="0" w:color="auto"/>
              <w:left w:val="single" w:sz="4" w:space="0" w:color="auto"/>
              <w:bottom w:val="single" w:sz="4" w:space="0" w:color="auto"/>
              <w:right w:val="single" w:sz="4" w:space="0" w:color="auto"/>
            </w:tcBorders>
          </w:tcPr>
          <w:p w14:paraId="3AEC4DEF" w14:textId="77777777" w:rsidR="000D7175" w:rsidRPr="00BB5C0B" w:rsidRDefault="000D7175" w:rsidP="00BB5C0B">
            <w:pPr>
              <w:pStyle w:val="Tablewriting"/>
              <w:spacing w:before="0"/>
              <w:jc w:val="center"/>
              <w:rPr>
                <w:color w:val="auto"/>
              </w:rPr>
            </w:pPr>
          </w:p>
          <w:p w14:paraId="63BFBA3E" w14:textId="77777777" w:rsidR="007913D3" w:rsidRPr="00BB5C0B" w:rsidRDefault="007913D3" w:rsidP="00BB5C0B">
            <w:pPr>
              <w:pStyle w:val="Tablewriting"/>
              <w:spacing w:before="0"/>
              <w:jc w:val="center"/>
              <w:rPr>
                <w:color w:val="auto"/>
              </w:rPr>
            </w:pPr>
            <w:r w:rsidRPr="00BB5C0B">
              <w:rPr>
                <w:color w:val="auto"/>
              </w:rPr>
              <w:t>$172.45</w:t>
            </w:r>
          </w:p>
          <w:p w14:paraId="56EB10CF" w14:textId="77777777" w:rsidR="007913D3" w:rsidRPr="00BB5C0B" w:rsidRDefault="007913D3" w:rsidP="00BB5C0B">
            <w:pPr>
              <w:pStyle w:val="Tablewriting"/>
              <w:spacing w:before="0"/>
              <w:jc w:val="center"/>
              <w:rPr>
                <w:color w:val="auto"/>
              </w:rPr>
            </w:pPr>
            <w:r w:rsidRPr="00BB5C0B">
              <w:rPr>
                <w:color w:val="auto"/>
              </w:rPr>
              <w:t>$172.45</w:t>
            </w:r>
          </w:p>
          <w:p w14:paraId="5C04DAF5" w14:textId="77777777" w:rsidR="007913D3" w:rsidRPr="00BB5C0B" w:rsidRDefault="007913D3" w:rsidP="00BB5C0B">
            <w:pPr>
              <w:pStyle w:val="Tablewriting"/>
              <w:spacing w:before="0"/>
              <w:jc w:val="center"/>
              <w:rPr>
                <w:color w:val="auto"/>
              </w:rPr>
            </w:pPr>
            <w:r w:rsidRPr="00BB5C0B">
              <w:rPr>
                <w:color w:val="auto"/>
              </w:rPr>
              <w:t>$172.45</w:t>
            </w:r>
          </w:p>
          <w:p w14:paraId="51B35A22" w14:textId="77777777" w:rsidR="00BB5C0B" w:rsidRPr="00BB5C0B" w:rsidRDefault="00BB5C0B" w:rsidP="00BB5C0B">
            <w:pPr>
              <w:pStyle w:val="Tablewriting"/>
              <w:spacing w:before="0"/>
              <w:jc w:val="center"/>
              <w:rPr>
                <w:color w:val="auto"/>
              </w:rPr>
            </w:pPr>
            <w:r w:rsidRPr="00BB5C0B">
              <w:rPr>
                <w:color w:val="auto"/>
              </w:rPr>
              <w:t>$607.15</w:t>
            </w:r>
          </w:p>
          <w:p w14:paraId="6895B69F" w14:textId="77777777" w:rsidR="00BB5C0B" w:rsidRPr="00BB5C0B" w:rsidRDefault="00BB5C0B" w:rsidP="00BB5C0B">
            <w:pPr>
              <w:pStyle w:val="Tablewriting"/>
              <w:spacing w:before="0"/>
              <w:jc w:val="center"/>
              <w:rPr>
                <w:color w:val="auto"/>
              </w:rPr>
            </w:pPr>
            <w:r w:rsidRPr="00BB5C0B">
              <w:rPr>
                <w:color w:val="auto"/>
              </w:rPr>
              <w:t>$607.15</w:t>
            </w:r>
          </w:p>
          <w:p w14:paraId="5A324DDD" w14:textId="77777777" w:rsidR="00BB5C0B" w:rsidRPr="00BB5C0B" w:rsidRDefault="00BB5C0B" w:rsidP="00BB5C0B">
            <w:pPr>
              <w:pStyle w:val="Tablewriting"/>
              <w:spacing w:before="0"/>
              <w:jc w:val="center"/>
              <w:rPr>
                <w:color w:val="auto"/>
              </w:rPr>
            </w:pPr>
            <w:r w:rsidRPr="00BB5C0B">
              <w:rPr>
                <w:color w:val="auto"/>
              </w:rPr>
              <w:t>$607.15</w:t>
            </w:r>
          </w:p>
          <w:p w14:paraId="1676A996" w14:textId="04F8DC91" w:rsidR="000D7175" w:rsidRPr="00BB5C0B" w:rsidRDefault="000D7175" w:rsidP="00BB5C0B">
            <w:pPr>
              <w:pStyle w:val="Tablewriting"/>
              <w:spacing w:before="0"/>
              <w:jc w:val="center"/>
              <w:rPr>
                <w:color w:val="auto"/>
              </w:rPr>
            </w:pPr>
            <w:r w:rsidRPr="00BB5C0B">
              <w:rPr>
                <w:color w:val="auto"/>
              </w:rPr>
              <w:t>$749.42</w:t>
            </w:r>
          </w:p>
          <w:p w14:paraId="78EBC8A2" w14:textId="77777777" w:rsidR="000D7175" w:rsidRPr="00BB5C0B" w:rsidRDefault="000D7175" w:rsidP="00BB5C0B">
            <w:pPr>
              <w:pStyle w:val="Tablewriting"/>
              <w:spacing w:before="0"/>
              <w:jc w:val="center"/>
              <w:rPr>
                <w:color w:val="auto"/>
              </w:rPr>
            </w:pPr>
            <w:r w:rsidRPr="00BB5C0B">
              <w:rPr>
                <w:color w:val="auto"/>
              </w:rPr>
              <w:t>$749.42</w:t>
            </w:r>
          </w:p>
          <w:p w14:paraId="1156F800" w14:textId="56E1F10C" w:rsidR="000D7175" w:rsidRPr="00BB5C0B" w:rsidRDefault="000D7175" w:rsidP="00BB5C0B">
            <w:pPr>
              <w:pStyle w:val="Tablewriting"/>
              <w:spacing w:before="0"/>
              <w:jc w:val="center"/>
              <w:rPr>
                <w:color w:val="auto"/>
              </w:rPr>
            </w:pPr>
            <w:r w:rsidRPr="00BB5C0B">
              <w:rPr>
                <w:color w:val="auto"/>
              </w:rPr>
              <w:t>$749.42</w:t>
            </w:r>
          </w:p>
        </w:tc>
        <w:tc>
          <w:tcPr>
            <w:tcW w:w="2268" w:type="dxa"/>
            <w:tcBorders>
              <w:top w:val="single" w:sz="4" w:space="0" w:color="auto"/>
              <w:left w:val="single" w:sz="4" w:space="0" w:color="auto"/>
              <w:bottom w:val="single" w:sz="4" w:space="0" w:color="auto"/>
              <w:right w:val="single" w:sz="4" w:space="0" w:color="auto"/>
            </w:tcBorders>
          </w:tcPr>
          <w:p w14:paraId="4D279871" w14:textId="77777777" w:rsidR="000D7175" w:rsidRPr="002142AD" w:rsidRDefault="000D7175" w:rsidP="00BB5C0B">
            <w:pPr>
              <w:pStyle w:val="Tablewriting"/>
              <w:spacing w:before="0"/>
            </w:pPr>
            <w:r w:rsidRPr="002142AD">
              <w:t>Erlotinib APOTEX®</w:t>
            </w:r>
          </w:p>
          <w:p w14:paraId="0310186C" w14:textId="77777777" w:rsidR="000D7175" w:rsidRPr="002142AD" w:rsidRDefault="000D7175" w:rsidP="00BB5C0B">
            <w:pPr>
              <w:pStyle w:val="Tablewriting"/>
              <w:spacing w:before="0"/>
            </w:pPr>
            <w:r w:rsidRPr="002142AD">
              <w:t>Apotex Pty Ltd</w:t>
            </w:r>
          </w:p>
          <w:p w14:paraId="1B8593E5" w14:textId="77777777" w:rsidR="000D7175" w:rsidRPr="002142AD" w:rsidRDefault="000D7175" w:rsidP="00BB5C0B">
            <w:pPr>
              <w:pStyle w:val="Tablewriting"/>
              <w:spacing w:before="0"/>
            </w:pPr>
            <w:r w:rsidRPr="002142AD">
              <w:t>Elortinib Sandoz</w:t>
            </w:r>
            <w:r>
              <w:t>®</w:t>
            </w:r>
          </w:p>
          <w:p w14:paraId="5074C987" w14:textId="6E87758F" w:rsidR="000D7175" w:rsidRPr="002142AD" w:rsidRDefault="000D7175" w:rsidP="00BB5C0B">
            <w:pPr>
              <w:pStyle w:val="Tablewriting"/>
              <w:spacing w:before="0"/>
            </w:pPr>
            <w:r w:rsidRPr="002142AD">
              <w:t>Sandoz Pty Ltd</w:t>
            </w:r>
          </w:p>
        </w:tc>
      </w:tr>
      <w:tr w:rsidR="000D7175" w:rsidRPr="0056392D" w14:paraId="7B1535CC" w14:textId="77777777" w:rsidTr="0073747B">
        <w:trPr>
          <w:trHeight w:val="488"/>
          <w:tblHeader/>
        </w:trPr>
        <w:tc>
          <w:tcPr>
            <w:tcW w:w="988" w:type="dxa"/>
            <w:tcBorders>
              <w:top w:val="single" w:sz="4" w:space="0" w:color="auto"/>
              <w:left w:val="single" w:sz="4" w:space="0" w:color="auto"/>
              <w:bottom w:val="single" w:sz="4" w:space="0" w:color="auto"/>
              <w:right w:val="single" w:sz="4" w:space="0" w:color="auto"/>
            </w:tcBorders>
          </w:tcPr>
          <w:p w14:paraId="5DB5D6B9" w14:textId="77777777" w:rsidR="000D7175" w:rsidRDefault="000D7175" w:rsidP="000D7175">
            <w:pPr>
              <w:pStyle w:val="Tablewriting"/>
            </w:pPr>
          </w:p>
          <w:p w14:paraId="23FB6714" w14:textId="0EE66DA0" w:rsidR="000D7175" w:rsidRDefault="000D7175" w:rsidP="000D7175">
            <w:pPr>
              <w:pStyle w:val="Tablewriting"/>
            </w:pPr>
            <w:r w:rsidRPr="00A04282">
              <w:t>8769M</w:t>
            </w:r>
          </w:p>
          <w:p w14:paraId="5C4F0404" w14:textId="7EAE2502" w:rsidR="000D7175" w:rsidRDefault="000D7175" w:rsidP="000D7175">
            <w:pPr>
              <w:pStyle w:val="Tablewriting"/>
            </w:pPr>
            <w:r w:rsidRPr="00A04282">
              <w:t>11264W</w:t>
            </w:r>
          </w:p>
        </w:tc>
        <w:tc>
          <w:tcPr>
            <w:tcW w:w="2398" w:type="dxa"/>
            <w:tcBorders>
              <w:top w:val="single" w:sz="4" w:space="0" w:color="auto"/>
              <w:left w:val="single" w:sz="4" w:space="0" w:color="auto"/>
              <w:bottom w:val="single" w:sz="4" w:space="0" w:color="auto"/>
              <w:right w:val="single" w:sz="4" w:space="0" w:color="auto"/>
            </w:tcBorders>
          </w:tcPr>
          <w:p w14:paraId="79CEA726" w14:textId="77777777" w:rsidR="000D7175" w:rsidRDefault="000D7175" w:rsidP="000D7175">
            <w:pPr>
              <w:pStyle w:val="Tablewriting"/>
            </w:pPr>
            <w:r w:rsidRPr="002142AD">
              <w:t>gef</w:t>
            </w:r>
            <w:r>
              <w:t>i</w:t>
            </w:r>
            <w:r w:rsidRPr="002142AD">
              <w:t>tinib</w:t>
            </w:r>
            <w:r>
              <w:t>,</w:t>
            </w:r>
          </w:p>
          <w:p w14:paraId="07EF4C87" w14:textId="77777777" w:rsidR="000D7175" w:rsidRDefault="000D7175" w:rsidP="000D7175">
            <w:pPr>
              <w:pStyle w:val="Tablewriting"/>
            </w:pPr>
            <w:r>
              <w:t>250 mg tablet, 30</w:t>
            </w:r>
          </w:p>
          <w:p w14:paraId="5E59FA53" w14:textId="025783EE" w:rsidR="000D7175" w:rsidRPr="002142AD" w:rsidRDefault="000D7175" w:rsidP="000D7175">
            <w:pPr>
              <w:pStyle w:val="Tablewriting"/>
            </w:pPr>
            <w:r>
              <w:t>250 mg tablet, 30</w:t>
            </w:r>
          </w:p>
        </w:tc>
        <w:tc>
          <w:tcPr>
            <w:tcW w:w="709" w:type="dxa"/>
            <w:tcBorders>
              <w:top w:val="single" w:sz="4" w:space="0" w:color="auto"/>
              <w:left w:val="single" w:sz="4" w:space="0" w:color="auto"/>
              <w:bottom w:val="single" w:sz="4" w:space="0" w:color="auto"/>
              <w:right w:val="single" w:sz="4" w:space="0" w:color="auto"/>
            </w:tcBorders>
          </w:tcPr>
          <w:p w14:paraId="726CED5E" w14:textId="77777777" w:rsidR="000D7175" w:rsidRDefault="000D7175" w:rsidP="000D7175">
            <w:pPr>
              <w:pStyle w:val="Tablewriting"/>
              <w:jc w:val="center"/>
            </w:pPr>
          </w:p>
          <w:p w14:paraId="57DB19EC" w14:textId="77777777" w:rsidR="000D7175" w:rsidRDefault="000D7175" w:rsidP="000D7175">
            <w:pPr>
              <w:pStyle w:val="Tablewriting"/>
              <w:jc w:val="center"/>
            </w:pPr>
            <w:r>
              <w:t>1</w:t>
            </w:r>
          </w:p>
          <w:p w14:paraId="3CE51912" w14:textId="0B7E5D5C" w:rsidR="000D7175" w:rsidRDefault="000D7175" w:rsidP="000D7175">
            <w:pPr>
              <w:pStyle w:val="Tablewriting"/>
              <w:jc w:val="center"/>
            </w:pPr>
            <w:r>
              <w:t>1</w:t>
            </w:r>
          </w:p>
        </w:tc>
        <w:tc>
          <w:tcPr>
            <w:tcW w:w="720" w:type="dxa"/>
            <w:tcBorders>
              <w:top w:val="single" w:sz="4" w:space="0" w:color="auto"/>
              <w:left w:val="single" w:sz="4" w:space="0" w:color="auto"/>
              <w:bottom w:val="single" w:sz="4" w:space="0" w:color="auto"/>
              <w:right w:val="single" w:sz="4" w:space="0" w:color="auto"/>
            </w:tcBorders>
          </w:tcPr>
          <w:p w14:paraId="09D0581C" w14:textId="77777777" w:rsidR="000D7175" w:rsidRDefault="000D7175" w:rsidP="000D7175">
            <w:pPr>
              <w:pStyle w:val="Tablewriting"/>
              <w:jc w:val="center"/>
            </w:pPr>
          </w:p>
          <w:p w14:paraId="18D0DACE" w14:textId="77777777" w:rsidR="000D7175" w:rsidRDefault="000D7175" w:rsidP="000D7175">
            <w:pPr>
              <w:pStyle w:val="Tablewriting"/>
              <w:jc w:val="center"/>
            </w:pPr>
            <w:r>
              <w:t>30</w:t>
            </w:r>
          </w:p>
          <w:p w14:paraId="3BFF95FD" w14:textId="1F66BFE5" w:rsidR="000D7175" w:rsidRDefault="000D7175" w:rsidP="000D7175">
            <w:pPr>
              <w:pStyle w:val="Tablewriting"/>
              <w:jc w:val="center"/>
            </w:pPr>
            <w:r>
              <w:t>30</w:t>
            </w:r>
          </w:p>
        </w:tc>
        <w:tc>
          <w:tcPr>
            <w:tcW w:w="709" w:type="dxa"/>
            <w:tcBorders>
              <w:top w:val="single" w:sz="4" w:space="0" w:color="auto"/>
              <w:left w:val="single" w:sz="4" w:space="0" w:color="auto"/>
              <w:bottom w:val="single" w:sz="4" w:space="0" w:color="auto"/>
              <w:right w:val="single" w:sz="4" w:space="0" w:color="auto"/>
            </w:tcBorders>
          </w:tcPr>
          <w:p w14:paraId="43DC6A5D" w14:textId="77777777" w:rsidR="000D7175" w:rsidRDefault="000D7175" w:rsidP="000D7175">
            <w:pPr>
              <w:pStyle w:val="Tablewriting"/>
              <w:jc w:val="center"/>
            </w:pPr>
          </w:p>
          <w:p w14:paraId="79E95822" w14:textId="77777777" w:rsidR="000D7175" w:rsidRDefault="000D7175" w:rsidP="000D7175">
            <w:pPr>
              <w:pStyle w:val="Tablewriting"/>
              <w:jc w:val="center"/>
            </w:pPr>
            <w:r>
              <w:t>3</w:t>
            </w:r>
          </w:p>
          <w:p w14:paraId="5729EB91" w14:textId="07E71534" w:rsidR="000D7175" w:rsidRDefault="000D7175" w:rsidP="000D7175">
            <w:pPr>
              <w:pStyle w:val="Tablewriting"/>
              <w:jc w:val="center"/>
            </w:pPr>
            <w:r>
              <w:t>3</w:t>
            </w:r>
          </w:p>
        </w:tc>
        <w:tc>
          <w:tcPr>
            <w:tcW w:w="1134" w:type="dxa"/>
            <w:tcBorders>
              <w:top w:val="single" w:sz="4" w:space="0" w:color="auto"/>
              <w:left w:val="single" w:sz="4" w:space="0" w:color="auto"/>
              <w:bottom w:val="single" w:sz="4" w:space="0" w:color="auto"/>
              <w:right w:val="single" w:sz="4" w:space="0" w:color="auto"/>
            </w:tcBorders>
          </w:tcPr>
          <w:p w14:paraId="47252150" w14:textId="77777777" w:rsidR="000D7175" w:rsidRDefault="000D7175" w:rsidP="000D7175">
            <w:pPr>
              <w:pStyle w:val="Tablewriting"/>
              <w:jc w:val="center"/>
            </w:pPr>
          </w:p>
          <w:p w14:paraId="767BE774" w14:textId="77777777" w:rsidR="000D7175" w:rsidRDefault="000D7175" w:rsidP="000D7175">
            <w:pPr>
              <w:pStyle w:val="Tablewriting"/>
              <w:jc w:val="center"/>
            </w:pPr>
            <w:r>
              <w:t>$926.73</w:t>
            </w:r>
          </w:p>
          <w:p w14:paraId="7E3EFFA6" w14:textId="0A6B54D7" w:rsidR="000D7175" w:rsidRDefault="000D7175" w:rsidP="000D7175">
            <w:pPr>
              <w:pStyle w:val="Tablewriting"/>
              <w:jc w:val="center"/>
            </w:pPr>
            <w:r>
              <w:t>$926.73</w:t>
            </w:r>
          </w:p>
        </w:tc>
        <w:tc>
          <w:tcPr>
            <w:tcW w:w="2268" w:type="dxa"/>
            <w:tcBorders>
              <w:top w:val="single" w:sz="4" w:space="0" w:color="auto"/>
              <w:left w:val="single" w:sz="4" w:space="0" w:color="auto"/>
              <w:bottom w:val="single" w:sz="4" w:space="0" w:color="auto"/>
              <w:right w:val="single" w:sz="4" w:space="0" w:color="auto"/>
            </w:tcBorders>
          </w:tcPr>
          <w:p w14:paraId="52A26DC8" w14:textId="77777777" w:rsidR="000D7175" w:rsidRPr="002142AD" w:rsidRDefault="000D7175" w:rsidP="000D7175">
            <w:pPr>
              <w:pStyle w:val="Tablewriting"/>
            </w:pPr>
            <w:r w:rsidRPr="002142AD">
              <w:t>Cipla Gefitinib®</w:t>
            </w:r>
          </w:p>
          <w:p w14:paraId="3C5A7BE8" w14:textId="77777777" w:rsidR="000D7175" w:rsidRDefault="000D7175" w:rsidP="000D7175">
            <w:pPr>
              <w:pStyle w:val="Tablewriting"/>
            </w:pPr>
            <w:r w:rsidRPr="002142AD">
              <w:t xml:space="preserve">Cipla Australia Pty Ltd </w:t>
            </w:r>
          </w:p>
          <w:p w14:paraId="76503C7C" w14:textId="77777777" w:rsidR="000D7175" w:rsidRPr="002142AD" w:rsidRDefault="000D7175" w:rsidP="000D7175">
            <w:pPr>
              <w:pStyle w:val="Tablewriting"/>
            </w:pPr>
            <w:r w:rsidRPr="002142AD">
              <w:t>Iressa®</w:t>
            </w:r>
          </w:p>
          <w:p w14:paraId="51E28BAC" w14:textId="7F2D4CA4" w:rsidR="000D7175" w:rsidRPr="002142AD" w:rsidRDefault="000D7175" w:rsidP="000D7175">
            <w:pPr>
              <w:pStyle w:val="Tablewriting"/>
            </w:pPr>
            <w:r w:rsidRPr="002142AD">
              <w:t>AstraZeneca Pty Ltd</w:t>
            </w:r>
          </w:p>
        </w:tc>
      </w:tr>
      <w:tr w:rsidR="000D7175" w:rsidRPr="0056392D" w14:paraId="761BBCF6" w14:textId="77777777" w:rsidTr="0073747B">
        <w:trPr>
          <w:trHeight w:val="488"/>
          <w:tblHeader/>
        </w:trPr>
        <w:tc>
          <w:tcPr>
            <w:tcW w:w="988" w:type="dxa"/>
            <w:tcBorders>
              <w:top w:val="single" w:sz="4" w:space="0" w:color="auto"/>
              <w:left w:val="single" w:sz="4" w:space="0" w:color="auto"/>
              <w:bottom w:val="single" w:sz="4" w:space="0" w:color="auto"/>
              <w:right w:val="single" w:sz="4" w:space="0" w:color="auto"/>
            </w:tcBorders>
          </w:tcPr>
          <w:p w14:paraId="07E2297D" w14:textId="77777777" w:rsidR="000D7175" w:rsidRPr="00BB5C0B" w:rsidRDefault="000D7175" w:rsidP="000D7175">
            <w:pPr>
              <w:pStyle w:val="Tablewriting"/>
              <w:rPr>
                <w:color w:val="auto"/>
              </w:rPr>
            </w:pPr>
          </w:p>
          <w:p w14:paraId="0A5E6845" w14:textId="77777777" w:rsidR="000D7175" w:rsidRPr="00BB5C0B" w:rsidRDefault="000D7175" w:rsidP="000D7175">
            <w:pPr>
              <w:pStyle w:val="Tablewriting"/>
              <w:rPr>
                <w:color w:val="auto"/>
              </w:rPr>
            </w:pPr>
            <w:r w:rsidRPr="00BB5C0B">
              <w:rPr>
                <w:color w:val="auto"/>
              </w:rPr>
              <w:t>11620N</w:t>
            </w:r>
          </w:p>
          <w:p w14:paraId="717373F5" w14:textId="77777777" w:rsidR="00BB5C0B" w:rsidRPr="00BB5C0B" w:rsidRDefault="00BB5C0B" w:rsidP="000D7175">
            <w:pPr>
              <w:pStyle w:val="Tablewriting"/>
              <w:rPr>
                <w:color w:val="auto"/>
              </w:rPr>
            </w:pPr>
            <w:r w:rsidRPr="00BB5C0B">
              <w:rPr>
                <w:color w:val="auto"/>
              </w:rPr>
              <w:t xml:space="preserve">12233W </w:t>
            </w:r>
          </w:p>
          <w:p w14:paraId="62D2D9F5" w14:textId="3FB3D808" w:rsidR="000D7175" w:rsidRPr="00BB5C0B" w:rsidRDefault="000D7175" w:rsidP="000D7175">
            <w:pPr>
              <w:pStyle w:val="Tablewriting"/>
              <w:rPr>
                <w:color w:val="auto"/>
              </w:rPr>
            </w:pPr>
            <w:r w:rsidRPr="00BB5C0B">
              <w:rPr>
                <w:color w:val="auto"/>
              </w:rPr>
              <w:t>11622Q</w:t>
            </w:r>
          </w:p>
          <w:p w14:paraId="6CDB232B" w14:textId="772774AC" w:rsidR="000D7175" w:rsidRPr="00BB5C0B" w:rsidRDefault="000D7175" w:rsidP="000D7175">
            <w:pPr>
              <w:pStyle w:val="Tablewriting"/>
              <w:rPr>
                <w:color w:val="auto"/>
              </w:rPr>
            </w:pPr>
            <w:r w:rsidRPr="00BB5C0B">
              <w:rPr>
                <w:color w:val="auto"/>
              </w:rPr>
              <w:t>12232T</w:t>
            </w:r>
          </w:p>
        </w:tc>
        <w:tc>
          <w:tcPr>
            <w:tcW w:w="2398" w:type="dxa"/>
            <w:tcBorders>
              <w:top w:val="single" w:sz="4" w:space="0" w:color="auto"/>
              <w:left w:val="single" w:sz="4" w:space="0" w:color="auto"/>
              <w:bottom w:val="single" w:sz="4" w:space="0" w:color="auto"/>
              <w:right w:val="single" w:sz="4" w:space="0" w:color="auto"/>
            </w:tcBorders>
          </w:tcPr>
          <w:p w14:paraId="4BDBF463" w14:textId="77777777" w:rsidR="000D7175" w:rsidRPr="00BB5C0B" w:rsidRDefault="000D7175" w:rsidP="000D7175">
            <w:pPr>
              <w:pStyle w:val="Tablewriting"/>
              <w:rPr>
                <w:color w:val="auto"/>
              </w:rPr>
            </w:pPr>
            <w:r w:rsidRPr="00BB5C0B">
              <w:rPr>
                <w:color w:val="auto"/>
              </w:rPr>
              <w:t>osimertinib,</w:t>
            </w:r>
          </w:p>
          <w:p w14:paraId="503B68B5" w14:textId="77777777" w:rsidR="000D7175" w:rsidRPr="00BB5C0B" w:rsidRDefault="000D7175" w:rsidP="000D7175">
            <w:pPr>
              <w:pStyle w:val="Tablewriting"/>
              <w:rPr>
                <w:color w:val="auto"/>
              </w:rPr>
            </w:pPr>
            <w:r w:rsidRPr="00BB5C0B">
              <w:rPr>
                <w:color w:val="auto"/>
              </w:rPr>
              <w:t>40 mg tablet, 30</w:t>
            </w:r>
          </w:p>
          <w:p w14:paraId="7446F7AB" w14:textId="77777777" w:rsidR="00BB5C0B" w:rsidRPr="00BB5C0B" w:rsidRDefault="00BB5C0B" w:rsidP="000D7175">
            <w:pPr>
              <w:pStyle w:val="Tablewriting"/>
              <w:rPr>
                <w:color w:val="auto"/>
              </w:rPr>
            </w:pPr>
            <w:r w:rsidRPr="00BB5C0B">
              <w:rPr>
                <w:color w:val="auto"/>
              </w:rPr>
              <w:t xml:space="preserve">40 mg tablet, 30 </w:t>
            </w:r>
          </w:p>
          <w:p w14:paraId="122CD36E" w14:textId="3A053174" w:rsidR="000D7175" w:rsidRPr="00BB5C0B" w:rsidRDefault="000D7175" w:rsidP="000D7175">
            <w:pPr>
              <w:pStyle w:val="Tablewriting"/>
              <w:rPr>
                <w:color w:val="auto"/>
              </w:rPr>
            </w:pPr>
            <w:r w:rsidRPr="00BB5C0B">
              <w:rPr>
                <w:color w:val="auto"/>
              </w:rPr>
              <w:t xml:space="preserve">80 mg tablet, 30 </w:t>
            </w:r>
          </w:p>
          <w:p w14:paraId="2DE11472" w14:textId="5A472A1D" w:rsidR="000D7175" w:rsidRPr="00BB5C0B" w:rsidRDefault="000D7175" w:rsidP="000D7175">
            <w:pPr>
              <w:pStyle w:val="Tablewriting"/>
              <w:rPr>
                <w:color w:val="auto"/>
              </w:rPr>
            </w:pPr>
            <w:r w:rsidRPr="00BB5C0B">
              <w:rPr>
                <w:color w:val="auto"/>
              </w:rPr>
              <w:t xml:space="preserve">80 mg tablet, 30 </w:t>
            </w:r>
          </w:p>
        </w:tc>
        <w:tc>
          <w:tcPr>
            <w:tcW w:w="709" w:type="dxa"/>
            <w:tcBorders>
              <w:top w:val="single" w:sz="4" w:space="0" w:color="auto"/>
              <w:left w:val="single" w:sz="4" w:space="0" w:color="auto"/>
              <w:bottom w:val="single" w:sz="4" w:space="0" w:color="auto"/>
              <w:right w:val="single" w:sz="4" w:space="0" w:color="auto"/>
            </w:tcBorders>
          </w:tcPr>
          <w:p w14:paraId="698653D3" w14:textId="77777777" w:rsidR="000D7175" w:rsidRPr="00BB5C0B" w:rsidRDefault="000D7175" w:rsidP="000D7175">
            <w:pPr>
              <w:pStyle w:val="Tablewriting"/>
              <w:jc w:val="center"/>
              <w:rPr>
                <w:color w:val="auto"/>
              </w:rPr>
            </w:pPr>
          </w:p>
          <w:p w14:paraId="614ABD9C" w14:textId="77777777" w:rsidR="000D7175" w:rsidRPr="00BB5C0B" w:rsidRDefault="000D7175" w:rsidP="000D7175">
            <w:pPr>
              <w:pStyle w:val="Tablewriting"/>
              <w:jc w:val="center"/>
              <w:rPr>
                <w:color w:val="auto"/>
              </w:rPr>
            </w:pPr>
            <w:r w:rsidRPr="00BB5C0B">
              <w:rPr>
                <w:color w:val="auto"/>
              </w:rPr>
              <w:t>1</w:t>
            </w:r>
          </w:p>
          <w:p w14:paraId="0B590276" w14:textId="77777777" w:rsidR="000D7175" w:rsidRPr="00BB5C0B" w:rsidRDefault="000D7175" w:rsidP="000D7175">
            <w:pPr>
              <w:pStyle w:val="Tablewriting"/>
              <w:jc w:val="center"/>
              <w:rPr>
                <w:color w:val="auto"/>
              </w:rPr>
            </w:pPr>
            <w:r w:rsidRPr="00BB5C0B">
              <w:rPr>
                <w:color w:val="auto"/>
              </w:rPr>
              <w:t>1</w:t>
            </w:r>
          </w:p>
          <w:p w14:paraId="70C014D9" w14:textId="77777777" w:rsidR="000D7175" w:rsidRPr="00BB5C0B" w:rsidRDefault="000D7175" w:rsidP="000D7175">
            <w:pPr>
              <w:pStyle w:val="Tablewriting"/>
              <w:jc w:val="center"/>
              <w:rPr>
                <w:color w:val="auto"/>
              </w:rPr>
            </w:pPr>
            <w:r w:rsidRPr="00BB5C0B">
              <w:rPr>
                <w:color w:val="auto"/>
              </w:rPr>
              <w:t>1</w:t>
            </w:r>
          </w:p>
          <w:p w14:paraId="2EDA1B94" w14:textId="13ECBA94" w:rsidR="000D7175" w:rsidRPr="00BB5C0B" w:rsidRDefault="000D7175" w:rsidP="000D7175">
            <w:pPr>
              <w:pStyle w:val="Tablewriting"/>
              <w:jc w:val="center"/>
              <w:rPr>
                <w:color w:val="auto"/>
              </w:rPr>
            </w:pPr>
            <w:r w:rsidRPr="00BB5C0B">
              <w:rPr>
                <w:color w:val="auto"/>
              </w:rPr>
              <w:t>1</w:t>
            </w:r>
          </w:p>
        </w:tc>
        <w:tc>
          <w:tcPr>
            <w:tcW w:w="720" w:type="dxa"/>
            <w:tcBorders>
              <w:top w:val="single" w:sz="4" w:space="0" w:color="auto"/>
              <w:left w:val="single" w:sz="4" w:space="0" w:color="auto"/>
              <w:bottom w:val="single" w:sz="4" w:space="0" w:color="auto"/>
              <w:right w:val="single" w:sz="4" w:space="0" w:color="auto"/>
            </w:tcBorders>
          </w:tcPr>
          <w:p w14:paraId="7BBE690C" w14:textId="77777777" w:rsidR="000D7175" w:rsidRPr="00BB5C0B" w:rsidRDefault="000D7175" w:rsidP="000D7175">
            <w:pPr>
              <w:pStyle w:val="Tablewriting"/>
              <w:jc w:val="center"/>
              <w:rPr>
                <w:color w:val="auto"/>
              </w:rPr>
            </w:pPr>
          </w:p>
          <w:p w14:paraId="52D0F4C8" w14:textId="77777777" w:rsidR="000D7175" w:rsidRPr="00BB5C0B" w:rsidRDefault="000D7175" w:rsidP="000D7175">
            <w:pPr>
              <w:pStyle w:val="Tablewriting"/>
              <w:jc w:val="center"/>
              <w:rPr>
                <w:color w:val="auto"/>
              </w:rPr>
            </w:pPr>
            <w:r w:rsidRPr="00BB5C0B">
              <w:rPr>
                <w:color w:val="auto"/>
              </w:rPr>
              <w:t>30</w:t>
            </w:r>
          </w:p>
          <w:p w14:paraId="354B8D93" w14:textId="77777777" w:rsidR="000D7175" w:rsidRPr="00BB5C0B" w:rsidRDefault="000D7175" w:rsidP="000D7175">
            <w:pPr>
              <w:pStyle w:val="Tablewriting"/>
              <w:jc w:val="center"/>
              <w:rPr>
                <w:color w:val="auto"/>
              </w:rPr>
            </w:pPr>
            <w:r w:rsidRPr="00BB5C0B">
              <w:rPr>
                <w:color w:val="auto"/>
              </w:rPr>
              <w:t>30</w:t>
            </w:r>
          </w:p>
          <w:p w14:paraId="2E830FFA" w14:textId="77777777" w:rsidR="000D7175" w:rsidRPr="00BB5C0B" w:rsidRDefault="000D7175" w:rsidP="000D7175">
            <w:pPr>
              <w:pStyle w:val="Tablewriting"/>
              <w:jc w:val="center"/>
              <w:rPr>
                <w:color w:val="auto"/>
              </w:rPr>
            </w:pPr>
            <w:r w:rsidRPr="00BB5C0B">
              <w:rPr>
                <w:color w:val="auto"/>
              </w:rPr>
              <w:t>30</w:t>
            </w:r>
          </w:p>
          <w:p w14:paraId="0060BF28" w14:textId="7508BFE9" w:rsidR="000D7175" w:rsidRPr="00BB5C0B" w:rsidRDefault="000D7175" w:rsidP="000D7175">
            <w:pPr>
              <w:pStyle w:val="Tablewriting"/>
              <w:jc w:val="center"/>
              <w:rPr>
                <w:color w:val="auto"/>
              </w:rPr>
            </w:pPr>
            <w:r w:rsidRPr="00BB5C0B">
              <w:rPr>
                <w:color w:val="auto"/>
              </w:rPr>
              <w:t>30</w:t>
            </w:r>
          </w:p>
        </w:tc>
        <w:tc>
          <w:tcPr>
            <w:tcW w:w="709" w:type="dxa"/>
            <w:tcBorders>
              <w:top w:val="single" w:sz="4" w:space="0" w:color="auto"/>
              <w:left w:val="single" w:sz="4" w:space="0" w:color="auto"/>
              <w:bottom w:val="single" w:sz="4" w:space="0" w:color="auto"/>
              <w:right w:val="single" w:sz="4" w:space="0" w:color="auto"/>
            </w:tcBorders>
          </w:tcPr>
          <w:p w14:paraId="6BB74288" w14:textId="77777777" w:rsidR="000D7175" w:rsidRPr="00BB5C0B" w:rsidRDefault="000D7175" w:rsidP="000D7175">
            <w:pPr>
              <w:pStyle w:val="Tablewriting"/>
              <w:jc w:val="center"/>
              <w:rPr>
                <w:color w:val="auto"/>
              </w:rPr>
            </w:pPr>
          </w:p>
          <w:p w14:paraId="70804308" w14:textId="77777777" w:rsidR="000D7175" w:rsidRPr="00BB5C0B" w:rsidRDefault="000D7175" w:rsidP="000D7175">
            <w:pPr>
              <w:pStyle w:val="Tablewriting"/>
              <w:jc w:val="center"/>
              <w:rPr>
                <w:color w:val="auto"/>
              </w:rPr>
            </w:pPr>
            <w:r w:rsidRPr="00BB5C0B">
              <w:rPr>
                <w:color w:val="auto"/>
              </w:rPr>
              <w:t>5</w:t>
            </w:r>
          </w:p>
          <w:p w14:paraId="03986BD7" w14:textId="77777777" w:rsidR="000D7175" w:rsidRPr="00BB5C0B" w:rsidRDefault="000D7175" w:rsidP="000D7175">
            <w:pPr>
              <w:pStyle w:val="Tablewriting"/>
              <w:jc w:val="center"/>
              <w:rPr>
                <w:color w:val="auto"/>
              </w:rPr>
            </w:pPr>
            <w:r w:rsidRPr="00BB5C0B">
              <w:rPr>
                <w:color w:val="auto"/>
              </w:rPr>
              <w:t>5</w:t>
            </w:r>
          </w:p>
          <w:p w14:paraId="096DDA2C" w14:textId="77777777" w:rsidR="000D7175" w:rsidRPr="00BB5C0B" w:rsidRDefault="000D7175" w:rsidP="000D7175">
            <w:pPr>
              <w:pStyle w:val="Tablewriting"/>
              <w:jc w:val="center"/>
              <w:rPr>
                <w:color w:val="auto"/>
              </w:rPr>
            </w:pPr>
            <w:r w:rsidRPr="00BB5C0B">
              <w:rPr>
                <w:color w:val="auto"/>
              </w:rPr>
              <w:t>5</w:t>
            </w:r>
          </w:p>
          <w:p w14:paraId="1A921276" w14:textId="56576CE6" w:rsidR="000D7175" w:rsidRPr="00BB5C0B" w:rsidRDefault="000D7175" w:rsidP="000D7175">
            <w:pPr>
              <w:pStyle w:val="Tablewriting"/>
              <w:jc w:val="center"/>
              <w:rPr>
                <w:color w:val="auto"/>
              </w:rPr>
            </w:pPr>
            <w:r w:rsidRPr="00BB5C0B">
              <w:rPr>
                <w:color w:val="auto"/>
              </w:rPr>
              <w:t>5</w:t>
            </w:r>
          </w:p>
        </w:tc>
        <w:tc>
          <w:tcPr>
            <w:tcW w:w="1134" w:type="dxa"/>
            <w:tcBorders>
              <w:top w:val="single" w:sz="4" w:space="0" w:color="auto"/>
              <w:left w:val="single" w:sz="4" w:space="0" w:color="auto"/>
              <w:bottom w:val="single" w:sz="4" w:space="0" w:color="auto"/>
              <w:right w:val="single" w:sz="4" w:space="0" w:color="auto"/>
            </w:tcBorders>
          </w:tcPr>
          <w:p w14:paraId="72F9A61E" w14:textId="77777777" w:rsidR="000D7175" w:rsidRPr="00BB5C0B" w:rsidRDefault="000D7175" w:rsidP="000D7175">
            <w:pPr>
              <w:pStyle w:val="Tablewriting"/>
              <w:jc w:val="center"/>
              <w:rPr>
                <w:color w:val="auto"/>
              </w:rPr>
            </w:pPr>
          </w:p>
          <w:p w14:paraId="6E66C2AF" w14:textId="77777777" w:rsidR="000D7175" w:rsidRPr="00BB5C0B" w:rsidRDefault="000D7175" w:rsidP="000D7175">
            <w:pPr>
              <w:pStyle w:val="Tablewriting"/>
              <w:jc w:val="center"/>
              <w:rPr>
                <w:color w:val="auto"/>
              </w:rPr>
            </w:pPr>
            <w:r w:rsidRPr="00BB5C0B">
              <w:rPr>
                <w:color w:val="auto"/>
              </w:rPr>
              <w:t>$7,971.28</w:t>
            </w:r>
          </w:p>
          <w:p w14:paraId="7747A217" w14:textId="77777777" w:rsidR="000D7175" w:rsidRPr="00BB5C0B" w:rsidRDefault="000D7175" w:rsidP="000D7175">
            <w:pPr>
              <w:pStyle w:val="Tablewriting"/>
              <w:jc w:val="center"/>
              <w:rPr>
                <w:color w:val="auto"/>
              </w:rPr>
            </w:pPr>
            <w:r w:rsidRPr="00BB5C0B">
              <w:rPr>
                <w:color w:val="auto"/>
              </w:rPr>
              <w:t>$7,971.28</w:t>
            </w:r>
          </w:p>
          <w:p w14:paraId="12224990" w14:textId="77777777" w:rsidR="000D7175" w:rsidRPr="00BB5C0B" w:rsidRDefault="000D7175" w:rsidP="000D7175">
            <w:pPr>
              <w:pStyle w:val="Tablewriting"/>
              <w:jc w:val="center"/>
              <w:rPr>
                <w:color w:val="auto"/>
              </w:rPr>
            </w:pPr>
            <w:r w:rsidRPr="00BB5C0B">
              <w:rPr>
                <w:color w:val="auto"/>
              </w:rPr>
              <w:t>$7,971.28</w:t>
            </w:r>
          </w:p>
          <w:p w14:paraId="70DB03CB" w14:textId="486CE0DE" w:rsidR="000D7175" w:rsidRPr="00BB5C0B" w:rsidRDefault="000D7175" w:rsidP="000D7175">
            <w:pPr>
              <w:pStyle w:val="Tablewriting"/>
              <w:jc w:val="center"/>
              <w:rPr>
                <w:color w:val="auto"/>
              </w:rPr>
            </w:pPr>
            <w:r w:rsidRPr="00BB5C0B">
              <w:rPr>
                <w:color w:val="auto"/>
              </w:rPr>
              <w:t>$7,971.28</w:t>
            </w:r>
          </w:p>
        </w:tc>
        <w:tc>
          <w:tcPr>
            <w:tcW w:w="2268" w:type="dxa"/>
            <w:tcBorders>
              <w:top w:val="single" w:sz="4" w:space="0" w:color="auto"/>
              <w:left w:val="single" w:sz="4" w:space="0" w:color="auto"/>
              <w:bottom w:val="single" w:sz="4" w:space="0" w:color="auto"/>
              <w:right w:val="single" w:sz="4" w:space="0" w:color="auto"/>
            </w:tcBorders>
          </w:tcPr>
          <w:p w14:paraId="13FB9066" w14:textId="77777777" w:rsidR="000D7175" w:rsidRPr="002142AD" w:rsidRDefault="000D7175" w:rsidP="000D7175">
            <w:pPr>
              <w:pStyle w:val="Tablewriting"/>
            </w:pPr>
            <w:r w:rsidRPr="002142AD">
              <w:t>Tagrisso®</w:t>
            </w:r>
          </w:p>
          <w:p w14:paraId="1D2D8388" w14:textId="34DF542D" w:rsidR="000D7175" w:rsidRPr="002142AD" w:rsidRDefault="000D7175" w:rsidP="000D7175">
            <w:pPr>
              <w:pStyle w:val="Tablewriting"/>
            </w:pPr>
            <w:r w:rsidRPr="002142AD">
              <w:t>AstraZeneca Pty Ltd</w:t>
            </w:r>
          </w:p>
        </w:tc>
      </w:tr>
    </w:tbl>
    <w:p w14:paraId="1785A714" w14:textId="77777777" w:rsidR="008B28B5" w:rsidRDefault="008B28B5"/>
    <w:tbl>
      <w:tblPr>
        <w:tblStyle w:val="TableGrid"/>
        <w:tblW w:w="8926" w:type="dxa"/>
        <w:tblLayout w:type="fixed"/>
        <w:tblLook w:val="04A0" w:firstRow="1" w:lastRow="0" w:firstColumn="1" w:lastColumn="0" w:noHBand="0" w:noVBand="1"/>
      </w:tblPr>
      <w:tblGrid>
        <w:gridCol w:w="988"/>
        <w:gridCol w:w="2398"/>
        <w:gridCol w:w="709"/>
        <w:gridCol w:w="720"/>
        <w:gridCol w:w="709"/>
        <w:gridCol w:w="1134"/>
        <w:gridCol w:w="2268"/>
      </w:tblGrid>
      <w:tr w:rsidR="000D7175" w:rsidRPr="0056392D" w14:paraId="1180328A" w14:textId="77777777" w:rsidTr="000D7175">
        <w:trPr>
          <w:trHeight w:val="483"/>
          <w:tblHeader/>
        </w:trPr>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7BEF0C" w14:textId="71D0D9E4" w:rsidR="000D7175" w:rsidRPr="000D7175" w:rsidRDefault="000D7175" w:rsidP="000D7175">
            <w:pPr>
              <w:pStyle w:val="Tablewriting"/>
              <w:jc w:val="center"/>
              <w:rPr>
                <w:b/>
                <w:bCs/>
              </w:rPr>
            </w:pPr>
            <w:r w:rsidRPr="000D7175">
              <w:rPr>
                <w:b/>
                <w:bCs/>
              </w:rPr>
              <w:lastRenderedPageBreak/>
              <w:t>Item code</w:t>
            </w:r>
          </w:p>
        </w:tc>
        <w:tc>
          <w:tcPr>
            <w:tcW w:w="239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A545EAB" w14:textId="7443EB59" w:rsidR="000D7175" w:rsidRPr="000D7175" w:rsidRDefault="000D7175" w:rsidP="000D7175">
            <w:pPr>
              <w:pStyle w:val="Tablewriting"/>
              <w:jc w:val="center"/>
              <w:rPr>
                <w:b/>
                <w:bCs/>
              </w:rPr>
            </w:pPr>
            <w:r w:rsidRPr="000D7175">
              <w:rPr>
                <w:b/>
                <w:bCs/>
              </w:rPr>
              <w:t>Name, form &amp; strength, pack size</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09C0E6" w14:textId="6CA8A858" w:rsidR="000D7175" w:rsidRPr="000D7175" w:rsidRDefault="000D7175" w:rsidP="000D7175">
            <w:pPr>
              <w:pStyle w:val="Tablewriting"/>
              <w:jc w:val="center"/>
              <w:rPr>
                <w:b/>
                <w:bCs/>
              </w:rPr>
            </w:pPr>
            <w:r w:rsidRPr="000D7175">
              <w:rPr>
                <w:b/>
                <w:bCs/>
              </w:rPr>
              <w:t>Max qty packs</w:t>
            </w: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F75832" w14:textId="1D4F3148" w:rsidR="000D7175" w:rsidRPr="000D7175" w:rsidRDefault="000D7175" w:rsidP="000D7175">
            <w:pPr>
              <w:pStyle w:val="Tablewriting"/>
              <w:jc w:val="center"/>
              <w:rPr>
                <w:b/>
                <w:bCs/>
              </w:rPr>
            </w:pPr>
            <w:r w:rsidRPr="000D7175">
              <w:rPr>
                <w:b/>
                <w:bCs/>
              </w:rPr>
              <w:t>Max qty units</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C0A499" w14:textId="02224DA2" w:rsidR="000D7175" w:rsidRPr="000D7175" w:rsidRDefault="000D7175" w:rsidP="000D7175">
            <w:pPr>
              <w:pStyle w:val="Tablewriting"/>
              <w:jc w:val="center"/>
              <w:rPr>
                <w:b/>
                <w:bCs/>
              </w:rPr>
            </w:pPr>
            <w:r w:rsidRPr="000D7175">
              <w:rPr>
                <w:b/>
                <w:bCs/>
              </w:rPr>
              <w:t>Rpts</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2B6B2D" w14:textId="7908F559" w:rsidR="000D7175" w:rsidRPr="000D7175" w:rsidRDefault="000D7175" w:rsidP="000D7175">
            <w:pPr>
              <w:pStyle w:val="Tablewriting"/>
              <w:jc w:val="center"/>
              <w:rPr>
                <w:b/>
                <w:bCs/>
              </w:rPr>
            </w:pPr>
            <w:r w:rsidRPr="000D7175">
              <w:rPr>
                <w:b/>
                <w:bCs/>
              </w:rPr>
              <w:t>DPMQ</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9B5E60" w14:textId="67B94BB2" w:rsidR="000D7175" w:rsidRPr="000D7175" w:rsidRDefault="000D7175" w:rsidP="000D7175">
            <w:pPr>
              <w:pStyle w:val="Tablewriting"/>
              <w:jc w:val="center"/>
              <w:rPr>
                <w:b/>
                <w:bCs/>
              </w:rPr>
            </w:pPr>
            <w:r w:rsidRPr="000D7175">
              <w:rPr>
                <w:b/>
                <w:bCs/>
              </w:rPr>
              <w:t>Brand name and manufacturer</w:t>
            </w:r>
          </w:p>
        </w:tc>
      </w:tr>
      <w:tr w:rsidR="000D7175" w:rsidRPr="0056392D" w14:paraId="6B80A82E" w14:textId="77777777" w:rsidTr="000D7175">
        <w:trPr>
          <w:trHeight w:val="70"/>
          <w:tblHeader/>
        </w:trPr>
        <w:tc>
          <w:tcPr>
            <w:tcW w:w="8926"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8DBC61" w14:textId="2B91A8A4" w:rsidR="000D7175" w:rsidRPr="000D7175" w:rsidRDefault="000D7175" w:rsidP="000D7175">
            <w:pPr>
              <w:pStyle w:val="Tablewriting"/>
              <w:rPr>
                <w:b/>
                <w:bCs/>
              </w:rPr>
            </w:pPr>
            <w:r w:rsidRPr="000D7175">
              <w:rPr>
                <w:b/>
                <w:bCs/>
              </w:rPr>
              <w:t>ALK</w:t>
            </w:r>
            <w:r w:rsidR="00BB5C0B">
              <w:rPr>
                <w:b/>
                <w:bCs/>
              </w:rPr>
              <w:t xml:space="preserve"> inhibitor</w:t>
            </w:r>
            <w:r w:rsidR="003F35BC">
              <w:rPr>
                <w:b/>
                <w:bCs/>
              </w:rPr>
              <w:t>s</w:t>
            </w:r>
          </w:p>
        </w:tc>
      </w:tr>
      <w:tr w:rsidR="000D7175" w:rsidRPr="0056392D" w14:paraId="37FC8109" w14:textId="77777777" w:rsidTr="0073747B">
        <w:trPr>
          <w:trHeight w:val="483"/>
          <w:tblHeader/>
        </w:trPr>
        <w:tc>
          <w:tcPr>
            <w:tcW w:w="988" w:type="dxa"/>
            <w:tcBorders>
              <w:top w:val="single" w:sz="4" w:space="0" w:color="auto"/>
              <w:left w:val="single" w:sz="4" w:space="0" w:color="auto"/>
              <w:bottom w:val="single" w:sz="4" w:space="0" w:color="auto"/>
              <w:right w:val="single" w:sz="4" w:space="0" w:color="auto"/>
            </w:tcBorders>
          </w:tcPr>
          <w:p w14:paraId="1B0A9A7C" w14:textId="77777777" w:rsidR="000D7175" w:rsidRDefault="000D7175" w:rsidP="000D7175">
            <w:pPr>
              <w:pStyle w:val="Tablewriting"/>
            </w:pPr>
          </w:p>
          <w:p w14:paraId="15327B04" w14:textId="00D54BC3" w:rsidR="000D7175" w:rsidRPr="002142AD" w:rsidRDefault="000D7175" w:rsidP="000D7175">
            <w:pPr>
              <w:pStyle w:val="Tablewriting"/>
            </w:pPr>
            <w:r w:rsidRPr="00400900">
              <w:t>11226W</w:t>
            </w:r>
          </w:p>
        </w:tc>
        <w:tc>
          <w:tcPr>
            <w:tcW w:w="2398" w:type="dxa"/>
            <w:tcBorders>
              <w:top w:val="single" w:sz="4" w:space="0" w:color="auto"/>
              <w:left w:val="single" w:sz="4" w:space="0" w:color="auto"/>
              <w:bottom w:val="single" w:sz="4" w:space="0" w:color="auto"/>
              <w:right w:val="single" w:sz="4" w:space="0" w:color="auto"/>
            </w:tcBorders>
          </w:tcPr>
          <w:p w14:paraId="11C81A9C" w14:textId="77777777" w:rsidR="000D7175" w:rsidRDefault="000D7175" w:rsidP="000D7175">
            <w:pPr>
              <w:pStyle w:val="Tablewriting"/>
            </w:pPr>
            <w:r>
              <w:t>a</w:t>
            </w:r>
            <w:r w:rsidRPr="002142AD">
              <w:t>lectinib</w:t>
            </w:r>
            <w:r>
              <w:t>,</w:t>
            </w:r>
          </w:p>
          <w:p w14:paraId="353E6EAD" w14:textId="44B190F0" w:rsidR="000D7175" w:rsidRPr="002142AD" w:rsidRDefault="000D7175" w:rsidP="000D7175">
            <w:pPr>
              <w:pStyle w:val="Tablewriting"/>
            </w:pPr>
            <w:r>
              <w:t xml:space="preserve">150 mg capsule, 4 </w:t>
            </w:r>
            <w:r>
              <w:rPr>
                <w:rFonts w:cstheme="minorHAnsi"/>
              </w:rPr>
              <w:t>×</w:t>
            </w:r>
            <w:r>
              <w:t xml:space="preserve"> 56</w:t>
            </w:r>
          </w:p>
        </w:tc>
        <w:tc>
          <w:tcPr>
            <w:tcW w:w="709" w:type="dxa"/>
            <w:tcBorders>
              <w:top w:val="single" w:sz="4" w:space="0" w:color="auto"/>
              <w:left w:val="single" w:sz="4" w:space="0" w:color="auto"/>
              <w:bottom w:val="single" w:sz="4" w:space="0" w:color="auto"/>
              <w:right w:val="single" w:sz="4" w:space="0" w:color="auto"/>
            </w:tcBorders>
          </w:tcPr>
          <w:p w14:paraId="6B122A5A" w14:textId="77777777" w:rsidR="000D7175" w:rsidRDefault="000D7175" w:rsidP="000D7175">
            <w:pPr>
              <w:pStyle w:val="Tablewriting"/>
              <w:jc w:val="center"/>
            </w:pPr>
          </w:p>
          <w:p w14:paraId="40CE7CFC" w14:textId="32EFBB14" w:rsidR="000D7175" w:rsidRPr="002142AD" w:rsidRDefault="000D7175" w:rsidP="000D7175">
            <w:pPr>
              <w:pStyle w:val="Tablewriting"/>
              <w:jc w:val="center"/>
            </w:pPr>
            <w:r>
              <w:t>1</w:t>
            </w:r>
          </w:p>
        </w:tc>
        <w:tc>
          <w:tcPr>
            <w:tcW w:w="720" w:type="dxa"/>
            <w:tcBorders>
              <w:top w:val="single" w:sz="4" w:space="0" w:color="auto"/>
              <w:left w:val="single" w:sz="4" w:space="0" w:color="auto"/>
              <w:bottom w:val="single" w:sz="4" w:space="0" w:color="auto"/>
              <w:right w:val="single" w:sz="4" w:space="0" w:color="auto"/>
            </w:tcBorders>
          </w:tcPr>
          <w:p w14:paraId="31E8B5D3" w14:textId="77777777" w:rsidR="000D7175" w:rsidRDefault="000D7175" w:rsidP="000D7175">
            <w:pPr>
              <w:pStyle w:val="Tablewriting"/>
              <w:jc w:val="center"/>
            </w:pPr>
          </w:p>
          <w:p w14:paraId="02F2397B" w14:textId="47942509" w:rsidR="000D7175" w:rsidRPr="002142AD" w:rsidRDefault="000D7175" w:rsidP="000D7175">
            <w:pPr>
              <w:pStyle w:val="Tablewriting"/>
              <w:jc w:val="center"/>
            </w:pPr>
            <w:r>
              <w:t>224</w:t>
            </w:r>
          </w:p>
        </w:tc>
        <w:tc>
          <w:tcPr>
            <w:tcW w:w="709" w:type="dxa"/>
            <w:tcBorders>
              <w:top w:val="single" w:sz="4" w:space="0" w:color="auto"/>
              <w:left w:val="single" w:sz="4" w:space="0" w:color="auto"/>
              <w:bottom w:val="single" w:sz="4" w:space="0" w:color="auto"/>
              <w:right w:val="single" w:sz="4" w:space="0" w:color="auto"/>
            </w:tcBorders>
          </w:tcPr>
          <w:p w14:paraId="195DABC1" w14:textId="77777777" w:rsidR="000D7175" w:rsidRDefault="000D7175" w:rsidP="000D7175">
            <w:pPr>
              <w:pStyle w:val="Tablewriting"/>
              <w:jc w:val="center"/>
            </w:pPr>
          </w:p>
          <w:p w14:paraId="468F0A0E" w14:textId="3992CAA7" w:rsidR="000D7175" w:rsidRPr="002142AD" w:rsidRDefault="000D7175" w:rsidP="000D7175">
            <w:pPr>
              <w:pStyle w:val="Tablewriting"/>
              <w:jc w:val="center"/>
            </w:pPr>
            <w:r>
              <w:t>3</w:t>
            </w:r>
          </w:p>
        </w:tc>
        <w:tc>
          <w:tcPr>
            <w:tcW w:w="1134" w:type="dxa"/>
            <w:tcBorders>
              <w:top w:val="single" w:sz="4" w:space="0" w:color="auto"/>
              <w:left w:val="single" w:sz="4" w:space="0" w:color="auto"/>
              <w:bottom w:val="single" w:sz="4" w:space="0" w:color="auto"/>
              <w:right w:val="single" w:sz="4" w:space="0" w:color="auto"/>
            </w:tcBorders>
          </w:tcPr>
          <w:p w14:paraId="4F7543B5" w14:textId="77777777" w:rsidR="000D7175" w:rsidRDefault="000D7175" w:rsidP="000D7175">
            <w:pPr>
              <w:pStyle w:val="Tablewriting"/>
              <w:jc w:val="center"/>
            </w:pPr>
          </w:p>
          <w:p w14:paraId="1D5FCA2D" w14:textId="60B344D4" w:rsidR="000D7175" w:rsidRPr="002142AD" w:rsidRDefault="000D7175" w:rsidP="000D7175">
            <w:pPr>
              <w:pStyle w:val="Tablewriting"/>
              <w:jc w:val="center"/>
            </w:pPr>
            <w:r>
              <w:t>$6,814.36</w:t>
            </w:r>
          </w:p>
        </w:tc>
        <w:tc>
          <w:tcPr>
            <w:tcW w:w="2268" w:type="dxa"/>
            <w:tcBorders>
              <w:top w:val="single" w:sz="4" w:space="0" w:color="auto"/>
              <w:left w:val="single" w:sz="4" w:space="0" w:color="auto"/>
              <w:bottom w:val="single" w:sz="4" w:space="0" w:color="auto"/>
              <w:right w:val="single" w:sz="4" w:space="0" w:color="auto"/>
            </w:tcBorders>
          </w:tcPr>
          <w:p w14:paraId="58645D32" w14:textId="77777777" w:rsidR="000D7175" w:rsidRPr="002142AD" w:rsidRDefault="000D7175" w:rsidP="000D7175">
            <w:pPr>
              <w:pStyle w:val="Tablewriting"/>
            </w:pPr>
            <w:r w:rsidRPr="002142AD">
              <w:t>Alecensa®</w:t>
            </w:r>
          </w:p>
          <w:p w14:paraId="44DEF226" w14:textId="1D581B63" w:rsidR="000D7175" w:rsidRPr="002142AD" w:rsidRDefault="000D7175" w:rsidP="000D7175">
            <w:pPr>
              <w:pStyle w:val="Tablewriting"/>
            </w:pPr>
            <w:r w:rsidRPr="002142AD">
              <w:t>Roche Products Pty Ltd</w:t>
            </w:r>
          </w:p>
        </w:tc>
      </w:tr>
      <w:tr w:rsidR="000D7175" w:rsidRPr="0056392D" w14:paraId="1D6F2C08" w14:textId="77777777" w:rsidTr="0073747B">
        <w:trPr>
          <w:trHeight w:val="483"/>
          <w:tblHeader/>
        </w:trPr>
        <w:tc>
          <w:tcPr>
            <w:tcW w:w="988" w:type="dxa"/>
            <w:tcBorders>
              <w:top w:val="single" w:sz="4" w:space="0" w:color="auto"/>
              <w:left w:val="single" w:sz="4" w:space="0" w:color="auto"/>
              <w:bottom w:val="single" w:sz="4" w:space="0" w:color="auto"/>
              <w:right w:val="single" w:sz="4" w:space="0" w:color="auto"/>
            </w:tcBorders>
          </w:tcPr>
          <w:p w14:paraId="581F5EBC" w14:textId="77777777" w:rsidR="000D7175" w:rsidRPr="00BB5C0B" w:rsidRDefault="000D7175" w:rsidP="000D7175">
            <w:pPr>
              <w:pStyle w:val="Tablewriting"/>
              <w:rPr>
                <w:color w:val="auto"/>
              </w:rPr>
            </w:pPr>
          </w:p>
          <w:p w14:paraId="2B34E92D" w14:textId="77777777" w:rsidR="00BB5C0B" w:rsidRPr="00BB5C0B" w:rsidRDefault="00BB5C0B" w:rsidP="00BB5C0B">
            <w:pPr>
              <w:pStyle w:val="Tablewriting"/>
              <w:rPr>
                <w:color w:val="auto"/>
              </w:rPr>
            </w:pPr>
            <w:r w:rsidRPr="00BB5C0B">
              <w:rPr>
                <w:color w:val="auto"/>
              </w:rPr>
              <w:t>11980M</w:t>
            </w:r>
          </w:p>
          <w:p w14:paraId="7FFB1737" w14:textId="317E2FA8" w:rsidR="00316C2F" w:rsidRPr="00BB5C0B" w:rsidRDefault="000D7175" w:rsidP="000D7175">
            <w:pPr>
              <w:pStyle w:val="Tablewriting"/>
              <w:rPr>
                <w:color w:val="auto"/>
              </w:rPr>
            </w:pPr>
            <w:r w:rsidRPr="00BB5C0B">
              <w:rPr>
                <w:color w:val="auto"/>
              </w:rPr>
              <w:t>11974F</w:t>
            </w:r>
          </w:p>
          <w:p w14:paraId="2DE9BB36" w14:textId="77777777" w:rsidR="00BB5C0B" w:rsidRPr="00BB5C0B" w:rsidRDefault="000D7175" w:rsidP="00BB5C0B">
            <w:pPr>
              <w:pStyle w:val="Tablewriting"/>
              <w:rPr>
                <w:color w:val="auto"/>
              </w:rPr>
            </w:pPr>
            <w:r w:rsidRPr="00BB5C0B">
              <w:rPr>
                <w:color w:val="auto"/>
              </w:rPr>
              <w:t>11984R</w:t>
            </w:r>
          </w:p>
          <w:p w14:paraId="026D7A16" w14:textId="123C49D9" w:rsidR="00BB5C0B" w:rsidRPr="00BB5C0B" w:rsidRDefault="00BB5C0B" w:rsidP="00BB5C0B">
            <w:pPr>
              <w:pStyle w:val="Tablewriting"/>
              <w:rPr>
                <w:color w:val="auto"/>
              </w:rPr>
            </w:pPr>
            <w:r w:rsidRPr="00BB5C0B">
              <w:rPr>
                <w:color w:val="auto"/>
              </w:rPr>
              <w:t>11976H</w:t>
            </w:r>
          </w:p>
          <w:p w14:paraId="52530EB8" w14:textId="3CF15AFC" w:rsidR="000D7175" w:rsidRPr="00BB5C0B" w:rsidRDefault="000D7175" w:rsidP="000D7175">
            <w:pPr>
              <w:pStyle w:val="Tablewriting"/>
              <w:rPr>
                <w:color w:val="auto"/>
              </w:rPr>
            </w:pPr>
          </w:p>
        </w:tc>
        <w:tc>
          <w:tcPr>
            <w:tcW w:w="2398" w:type="dxa"/>
            <w:tcBorders>
              <w:top w:val="single" w:sz="4" w:space="0" w:color="auto"/>
              <w:left w:val="single" w:sz="4" w:space="0" w:color="auto"/>
              <w:bottom w:val="single" w:sz="4" w:space="0" w:color="auto"/>
              <w:right w:val="single" w:sz="4" w:space="0" w:color="auto"/>
            </w:tcBorders>
          </w:tcPr>
          <w:p w14:paraId="20428842" w14:textId="77777777" w:rsidR="000D7175" w:rsidRPr="00BB5C0B" w:rsidRDefault="000D7175" w:rsidP="000D7175">
            <w:pPr>
              <w:pStyle w:val="Tablewriting"/>
              <w:rPr>
                <w:color w:val="auto"/>
              </w:rPr>
            </w:pPr>
            <w:r w:rsidRPr="00BB5C0B">
              <w:rPr>
                <w:color w:val="auto"/>
              </w:rPr>
              <w:t>brigatinib,</w:t>
            </w:r>
          </w:p>
          <w:p w14:paraId="70BFC1BA" w14:textId="77777777" w:rsidR="00BB5C0B" w:rsidRPr="00BB5C0B" w:rsidRDefault="00BB5C0B" w:rsidP="00BB5C0B">
            <w:pPr>
              <w:pStyle w:val="Tablewriting"/>
              <w:rPr>
                <w:rFonts w:cstheme="minorHAnsi"/>
                <w:color w:val="auto"/>
                <w:shd w:val="clear" w:color="auto" w:fill="FFFFFF"/>
              </w:rPr>
            </w:pPr>
            <w:r w:rsidRPr="00BB5C0B">
              <w:rPr>
                <w:rFonts w:cstheme="minorHAnsi"/>
                <w:color w:val="auto"/>
                <w:shd w:val="clear" w:color="auto" w:fill="FFFFFF"/>
              </w:rPr>
              <w:t xml:space="preserve">30 mg tablet, 28 </w:t>
            </w:r>
          </w:p>
          <w:p w14:paraId="33720B38" w14:textId="77777777" w:rsidR="000D7175" w:rsidRPr="00BB5C0B" w:rsidRDefault="000D7175" w:rsidP="000D7175">
            <w:pPr>
              <w:pStyle w:val="Tablewriting"/>
              <w:rPr>
                <w:color w:val="auto"/>
              </w:rPr>
            </w:pPr>
            <w:r w:rsidRPr="00BB5C0B">
              <w:rPr>
                <w:color w:val="auto"/>
              </w:rPr>
              <w:t xml:space="preserve">90 mg tablet, 28 </w:t>
            </w:r>
          </w:p>
          <w:p w14:paraId="2B8BE934" w14:textId="77777777" w:rsidR="00BB5C0B" w:rsidRPr="00BB5C0B" w:rsidRDefault="000D7175" w:rsidP="00BB5C0B">
            <w:pPr>
              <w:pStyle w:val="Tablewriting"/>
              <w:rPr>
                <w:rFonts w:cstheme="minorHAnsi"/>
                <w:color w:val="auto"/>
                <w:shd w:val="clear" w:color="auto" w:fill="FFFFFF"/>
              </w:rPr>
            </w:pPr>
            <w:r w:rsidRPr="00BB5C0B">
              <w:rPr>
                <w:rFonts w:cstheme="minorHAnsi"/>
                <w:color w:val="auto"/>
                <w:shd w:val="clear" w:color="auto" w:fill="FFFFFF"/>
              </w:rPr>
              <w:t xml:space="preserve">180 mg tablet, 28 </w:t>
            </w:r>
          </w:p>
          <w:p w14:paraId="7567FD09" w14:textId="2B828D9F" w:rsidR="000D7175" w:rsidRPr="00BB5C0B" w:rsidRDefault="00BB5C0B" w:rsidP="000D7175">
            <w:pPr>
              <w:pStyle w:val="Tablewriting"/>
              <w:rPr>
                <w:rFonts w:cstheme="minorHAnsi"/>
                <w:color w:val="auto"/>
                <w:shd w:val="clear" w:color="auto" w:fill="FFFFFF"/>
              </w:rPr>
            </w:pPr>
            <w:r w:rsidRPr="00BB5C0B">
              <w:rPr>
                <w:rFonts w:cstheme="minorHAnsi"/>
                <w:color w:val="auto"/>
                <w:shd w:val="clear" w:color="auto" w:fill="FFFFFF"/>
              </w:rPr>
              <w:t>90 mg tablet [7] (&amp;) brigatinib 180 mg tablet [21], 1 pack</w:t>
            </w:r>
          </w:p>
        </w:tc>
        <w:tc>
          <w:tcPr>
            <w:tcW w:w="709" w:type="dxa"/>
            <w:tcBorders>
              <w:top w:val="single" w:sz="4" w:space="0" w:color="auto"/>
              <w:left w:val="single" w:sz="4" w:space="0" w:color="auto"/>
              <w:bottom w:val="single" w:sz="4" w:space="0" w:color="auto"/>
              <w:right w:val="single" w:sz="4" w:space="0" w:color="auto"/>
            </w:tcBorders>
          </w:tcPr>
          <w:p w14:paraId="17519D56" w14:textId="77777777" w:rsidR="000D7175" w:rsidRPr="00BB5C0B" w:rsidRDefault="000D7175" w:rsidP="000D7175">
            <w:pPr>
              <w:pStyle w:val="Tablewriting"/>
              <w:jc w:val="center"/>
              <w:rPr>
                <w:color w:val="auto"/>
              </w:rPr>
            </w:pPr>
          </w:p>
          <w:p w14:paraId="5563DA42" w14:textId="77777777" w:rsidR="00BB5C0B" w:rsidRPr="00BB5C0B" w:rsidRDefault="00BB5C0B" w:rsidP="00BB5C0B">
            <w:pPr>
              <w:pStyle w:val="Tablewriting"/>
              <w:jc w:val="center"/>
              <w:rPr>
                <w:color w:val="auto"/>
              </w:rPr>
            </w:pPr>
            <w:r w:rsidRPr="00BB5C0B">
              <w:rPr>
                <w:color w:val="auto"/>
              </w:rPr>
              <w:t>4</w:t>
            </w:r>
          </w:p>
          <w:p w14:paraId="1F58C3A7" w14:textId="5AB34C4A" w:rsidR="00316C2F" w:rsidRPr="00BB5C0B" w:rsidRDefault="000D7175" w:rsidP="00BB5C0B">
            <w:pPr>
              <w:pStyle w:val="Tablewriting"/>
              <w:jc w:val="center"/>
              <w:rPr>
                <w:color w:val="auto"/>
              </w:rPr>
            </w:pPr>
            <w:r w:rsidRPr="00BB5C0B">
              <w:rPr>
                <w:color w:val="auto"/>
              </w:rPr>
              <w:t>1</w:t>
            </w:r>
          </w:p>
          <w:p w14:paraId="4C8EE8DF" w14:textId="77777777" w:rsidR="00BB5C0B" w:rsidRPr="00BB5C0B" w:rsidRDefault="000D7175" w:rsidP="00BB5C0B">
            <w:pPr>
              <w:pStyle w:val="Tablewriting"/>
              <w:jc w:val="center"/>
              <w:rPr>
                <w:color w:val="auto"/>
              </w:rPr>
            </w:pPr>
            <w:r w:rsidRPr="00BB5C0B">
              <w:rPr>
                <w:color w:val="auto"/>
              </w:rPr>
              <w:t>1</w:t>
            </w:r>
          </w:p>
          <w:p w14:paraId="3B39A7C8" w14:textId="7ECAFE68" w:rsidR="00BB5C0B" w:rsidRPr="00BB5C0B" w:rsidRDefault="00BB5C0B" w:rsidP="00BB5C0B">
            <w:pPr>
              <w:pStyle w:val="Tablewriting"/>
              <w:jc w:val="center"/>
              <w:rPr>
                <w:color w:val="auto"/>
              </w:rPr>
            </w:pPr>
            <w:r w:rsidRPr="00BB5C0B">
              <w:rPr>
                <w:color w:val="auto"/>
              </w:rPr>
              <w:t>1</w:t>
            </w:r>
          </w:p>
          <w:p w14:paraId="36ADC688" w14:textId="2DE6800B" w:rsidR="000D7175" w:rsidRPr="00BB5C0B" w:rsidRDefault="000D7175" w:rsidP="000D7175">
            <w:pPr>
              <w:pStyle w:val="Tablewriting"/>
              <w:jc w:val="center"/>
              <w:rPr>
                <w:color w:val="auto"/>
              </w:rPr>
            </w:pPr>
          </w:p>
        </w:tc>
        <w:tc>
          <w:tcPr>
            <w:tcW w:w="720" w:type="dxa"/>
            <w:tcBorders>
              <w:top w:val="single" w:sz="4" w:space="0" w:color="auto"/>
              <w:left w:val="single" w:sz="4" w:space="0" w:color="auto"/>
              <w:bottom w:val="single" w:sz="4" w:space="0" w:color="auto"/>
              <w:right w:val="single" w:sz="4" w:space="0" w:color="auto"/>
            </w:tcBorders>
          </w:tcPr>
          <w:p w14:paraId="3D842D45" w14:textId="77777777" w:rsidR="000D7175" w:rsidRPr="00BB5C0B" w:rsidRDefault="000D7175" w:rsidP="000D7175">
            <w:pPr>
              <w:pStyle w:val="Tablewriting"/>
              <w:jc w:val="center"/>
              <w:rPr>
                <w:color w:val="auto"/>
              </w:rPr>
            </w:pPr>
          </w:p>
          <w:p w14:paraId="61AB4E2B" w14:textId="77777777" w:rsidR="00BB5C0B" w:rsidRPr="00BB5C0B" w:rsidRDefault="00BB5C0B" w:rsidP="00BB5C0B">
            <w:pPr>
              <w:pStyle w:val="Tablewriting"/>
              <w:jc w:val="center"/>
              <w:rPr>
                <w:color w:val="auto"/>
              </w:rPr>
            </w:pPr>
            <w:r w:rsidRPr="00BB5C0B">
              <w:rPr>
                <w:color w:val="auto"/>
              </w:rPr>
              <w:t>112</w:t>
            </w:r>
          </w:p>
          <w:p w14:paraId="34A6179F" w14:textId="76D4BF14" w:rsidR="00316C2F" w:rsidRPr="00BB5C0B" w:rsidRDefault="000D7175" w:rsidP="00BB5C0B">
            <w:pPr>
              <w:pStyle w:val="Tablewriting"/>
              <w:jc w:val="center"/>
              <w:rPr>
                <w:color w:val="auto"/>
              </w:rPr>
            </w:pPr>
            <w:r w:rsidRPr="00BB5C0B">
              <w:rPr>
                <w:color w:val="auto"/>
              </w:rPr>
              <w:t>28</w:t>
            </w:r>
          </w:p>
          <w:p w14:paraId="3FDB9241" w14:textId="77777777" w:rsidR="00BB5C0B" w:rsidRPr="00BB5C0B" w:rsidRDefault="000D7175" w:rsidP="00BB5C0B">
            <w:pPr>
              <w:pStyle w:val="Tablewriting"/>
              <w:jc w:val="center"/>
              <w:rPr>
                <w:color w:val="auto"/>
              </w:rPr>
            </w:pPr>
            <w:r w:rsidRPr="00BB5C0B">
              <w:rPr>
                <w:color w:val="auto"/>
              </w:rPr>
              <w:t>28</w:t>
            </w:r>
          </w:p>
          <w:p w14:paraId="25FD8E5A" w14:textId="5064A35A" w:rsidR="00BB5C0B" w:rsidRPr="00BB5C0B" w:rsidRDefault="00BB5C0B" w:rsidP="00BB5C0B">
            <w:pPr>
              <w:pStyle w:val="Tablewriting"/>
              <w:jc w:val="center"/>
              <w:rPr>
                <w:color w:val="auto"/>
              </w:rPr>
            </w:pPr>
            <w:r w:rsidRPr="00BB5C0B">
              <w:rPr>
                <w:color w:val="auto"/>
              </w:rPr>
              <w:t>1</w:t>
            </w:r>
          </w:p>
          <w:p w14:paraId="79BCB834" w14:textId="0B4AD1F0" w:rsidR="000D7175" w:rsidRPr="00BB5C0B" w:rsidRDefault="000D7175" w:rsidP="000D7175">
            <w:pPr>
              <w:pStyle w:val="Tablewriting"/>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14:paraId="4019C981" w14:textId="77777777" w:rsidR="000D7175" w:rsidRPr="00BB5C0B" w:rsidRDefault="000D7175" w:rsidP="000D7175">
            <w:pPr>
              <w:pStyle w:val="Tablewriting"/>
              <w:jc w:val="center"/>
              <w:rPr>
                <w:color w:val="auto"/>
              </w:rPr>
            </w:pPr>
          </w:p>
          <w:p w14:paraId="0562C653" w14:textId="4D0FEBC5" w:rsidR="00316C2F" w:rsidRPr="00BB5C0B" w:rsidRDefault="000D7175" w:rsidP="00BB5C0B">
            <w:pPr>
              <w:pStyle w:val="Tablewriting"/>
              <w:jc w:val="center"/>
              <w:rPr>
                <w:color w:val="auto"/>
              </w:rPr>
            </w:pPr>
            <w:r w:rsidRPr="00BB5C0B">
              <w:rPr>
                <w:color w:val="auto"/>
              </w:rPr>
              <w:t>3</w:t>
            </w:r>
          </w:p>
          <w:p w14:paraId="72F3D061" w14:textId="62E4FA4A" w:rsidR="000D7175" w:rsidRPr="00BB5C0B" w:rsidRDefault="000D7175" w:rsidP="000D7175">
            <w:pPr>
              <w:pStyle w:val="Tablewriting"/>
              <w:jc w:val="center"/>
              <w:rPr>
                <w:color w:val="auto"/>
              </w:rPr>
            </w:pPr>
            <w:r w:rsidRPr="00BB5C0B">
              <w:rPr>
                <w:color w:val="auto"/>
              </w:rPr>
              <w:t>3</w:t>
            </w:r>
          </w:p>
          <w:p w14:paraId="5C9395FB" w14:textId="77777777" w:rsidR="00BB5C0B" w:rsidRPr="00BB5C0B" w:rsidRDefault="000D7175" w:rsidP="00BB5C0B">
            <w:pPr>
              <w:pStyle w:val="Tablewriting"/>
              <w:jc w:val="center"/>
              <w:rPr>
                <w:color w:val="auto"/>
              </w:rPr>
            </w:pPr>
            <w:r w:rsidRPr="00BB5C0B">
              <w:rPr>
                <w:color w:val="auto"/>
              </w:rPr>
              <w:t>3</w:t>
            </w:r>
          </w:p>
          <w:p w14:paraId="6CCC1337" w14:textId="59924CA7" w:rsidR="00BB5C0B" w:rsidRPr="00BB5C0B" w:rsidRDefault="00BB5C0B" w:rsidP="00BB5C0B">
            <w:pPr>
              <w:pStyle w:val="Tablewriting"/>
              <w:jc w:val="center"/>
              <w:rPr>
                <w:color w:val="auto"/>
              </w:rPr>
            </w:pPr>
            <w:r w:rsidRPr="00BB5C0B">
              <w:rPr>
                <w:color w:val="auto"/>
              </w:rPr>
              <w:t>0</w:t>
            </w:r>
          </w:p>
          <w:p w14:paraId="7C68230A" w14:textId="6C0A1346" w:rsidR="000D7175" w:rsidRPr="00BB5C0B" w:rsidRDefault="000D7175" w:rsidP="000D7175">
            <w:pPr>
              <w:pStyle w:val="Tablewriting"/>
              <w:jc w:val="center"/>
              <w:rPr>
                <w:color w:val="auto"/>
              </w:rPr>
            </w:pPr>
          </w:p>
        </w:tc>
        <w:tc>
          <w:tcPr>
            <w:tcW w:w="1134" w:type="dxa"/>
            <w:tcBorders>
              <w:top w:val="single" w:sz="4" w:space="0" w:color="auto"/>
              <w:left w:val="single" w:sz="4" w:space="0" w:color="auto"/>
              <w:bottom w:val="single" w:sz="4" w:space="0" w:color="auto"/>
              <w:right w:val="single" w:sz="4" w:space="0" w:color="auto"/>
            </w:tcBorders>
          </w:tcPr>
          <w:p w14:paraId="7D222DD5" w14:textId="77777777" w:rsidR="000D7175" w:rsidRPr="00BB5C0B" w:rsidRDefault="000D7175" w:rsidP="000D7175">
            <w:pPr>
              <w:pStyle w:val="Tablewriting"/>
              <w:jc w:val="center"/>
              <w:rPr>
                <w:color w:val="auto"/>
              </w:rPr>
            </w:pPr>
          </w:p>
          <w:p w14:paraId="23452EEE" w14:textId="77777777" w:rsidR="000D7175" w:rsidRPr="00BB5C0B" w:rsidRDefault="000D7175" w:rsidP="000D7175">
            <w:pPr>
              <w:pStyle w:val="Tablewriting"/>
              <w:jc w:val="center"/>
              <w:rPr>
                <w:color w:val="auto"/>
              </w:rPr>
            </w:pPr>
            <w:r w:rsidRPr="00BB5C0B">
              <w:rPr>
                <w:color w:val="auto"/>
              </w:rPr>
              <w:t>$6,814.36</w:t>
            </w:r>
          </w:p>
          <w:p w14:paraId="0C5CDFE2" w14:textId="24EDACEE" w:rsidR="00316C2F" w:rsidRPr="00BB5C0B" w:rsidRDefault="000D7175" w:rsidP="00BB5C0B">
            <w:pPr>
              <w:pStyle w:val="Tablewriting"/>
              <w:jc w:val="center"/>
              <w:rPr>
                <w:color w:val="auto"/>
              </w:rPr>
            </w:pPr>
            <w:r w:rsidRPr="00BB5C0B">
              <w:rPr>
                <w:color w:val="auto"/>
              </w:rPr>
              <w:t>$6,814.36</w:t>
            </w:r>
          </w:p>
          <w:p w14:paraId="4A5143B1" w14:textId="395EFEAC" w:rsidR="000D7175" w:rsidRPr="00BB5C0B" w:rsidRDefault="000D7175" w:rsidP="000D7175">
            <w:pPr>
              <w:pStyle w:val="Tablewriting"/>
              <w:jc w:val="center"/>
              <w:rPr>
                <w:color w:val="auto"/>
              </w:rPr>
            </w:pPr>
            <w:r w:rsidRPr="00BB5C0B">
              <w:rPr>
                <w:color w:val="auto"/>
              </w:rPr>
              <w:t>$6,814.38</w:t>
            </w:r>
          </w:p>
          <w:p w14:paraId="1BAE355A" w14:textId="2A9EBE1C" w:rsidR="000D7175" w:rsidRPr="00BB5C0B" w:rsidRDefault="000D7175" w:rsidP="000D7175">
            <w:pPr>
              <w:pStyle w:val="Tablewriting"/>
              <w:jc w:val="center"/>
              <w:rPr>
                <w:color w:val="auto"/>
              </w:rPr>
            </w:pPr>
            <w:r w:rsidRPr="00BB5C0B">
              <w:rPr>
                <w:color w:val="auto"/>
              </w:rPr>
              <w:t>$6,814.36</w:t>
            </w:r>
          </w:p>
        </w:tc>
        <w:tc>
          <w:tcPr>
            <w:tcW w:w="2268" w:type="dxa"/>
            <w:tcBorders>
              <w:top w:val="single" w:sz="4" w:space="0" w:color="auto"/>
              <w:left w:val="single" w:sz="4" w:space="0" w:color="auto"/>
              <w:bottom w:val="single" w:sz="4" w:space="0" w:color="auto"/>
              <w:right w:val="single" w:sz="4" w:space="0" w:color="auto"/>
            </w:tcBorders>
          </w:tcPr>
          <w:p w14:paraId="26F005B9" w14:textId="77777777" w:rsidR="000D7175" w:rsidRPr="002142AD" w:rsidRDefault="000D7175" w:rsidP="000D7175">
            <w:pPr>
              <w:pStyle w:val="Tablewriting"/>
            </w:pPr>
            <w:r w:rsidRPr="002142AD">
              <w:t>Alunbrig®</w:t>
            </w:r>
          </w:p>
          <w:p w14:paraId="63DFD805" w14:textId="611863F8" w:rsidR="000D7175" w:rsidRPr="002142AD" w:rsidRDefault="000D7175" w:rsidP="000D7175">
            <w:pPr>
              <w:pStyle w:val="Tablewriting"/>
            </w:pPr>
            <w:r w:rsidRPr="002142AD">
              <w:t>Takeda Pharmaceuticals Australia Pty. Ltd</w:t>
            </w:r>
          </w:p>
        </w:tc>
      </w:tr>
      <w:tr w:rsidR="000D7175" w:rsidRPr="0056392D" w14:paraId="72BC06B8" w14:textId="77777777" w:rsidTr="0073747B">
        <w:trPr>
          <w:trHeight w:val="483"/>
          <w:tblHeader/>
        </w:trPr>
        <w:tc>
          <w:tcPr>
            <w:tcW w:w="988" w:type="dxa"/>
            <w:tcBorders>
              <w:top w:val="single" w:sz="4" w:space="0" w:color="auto"/>
              <w:left w:val="single" w:sz="4" w:space="0" w:color="auto"/>
              <w:bottom w:val="single" w:sz="4" w:space="0" w:color="auto"/>
              <w:right w:val="single" w:sz="4" w:space="0" w:color="auto"/>
            </w:tcBorders>
          </w:tcPr>
          <w:p w14:paraId="7FC01228" w14:textId="77777777" w:rsidR="000D7175" w:rsidRDefault="000D7175" w:rsidP="000D7175">
            <w:pPr>
              <w:pStyle w:val="Tablewriting"/>
            </w:pPr>
          </w:p>
          <w:p w14:paraId="2606B0C3" w14:textId="06858C69" w:rsidR="000D7175" w:rsidRPr="002142AD" w:rsidRDefault="000D7175" w:rsidP="000D7175">
            <w:pPr>
              <w:pStyle w:val="Tablewriting"/>
            </w:pPr>
            <w:r w:rsidRPr="00400900">
              <w:t>11056X</w:t>
            </w:r>
          </w:p>
        </w:tc>
        <w:tc>
          <w:tcPr>
            <w:tcW w:w="2398" w:type="dxa"/>
            <w:tcBorders>
              <w:top w:val="single" w:sz="4" w:space="0" w:color="auto"/>
              <w:left w:val="single" w:sz="4" w:space="0" w:color="auto"/>
              <w:bottom w:val="single" w:sz="4" w:space="0" w:color="auto"/>
              <w:right w:val="single" w:sz="4" w:space="0" w:color="auto"/>
            </w:tcBorders>
          </w:tcPr>
          <w:p w14:paraId="4C683FA2" w14:textId="77777777" w:rsidR="000D7175" w:rsidRDefault="000D7175" w:rsidP="000D7175">
            <w:pPr>
              <w:pStyle w:val="Tablewriting"/>
            </w:pPr>
            <w:r w:rsidRPr="002142AD">
              <w:t>ceritinib</w:t>
            </w:r>
          </w:p>
          <w:p w14:paraId="50B7F0B1" w14:textId="565DF920" w:rsidR="000D7175" w:rsidRPr="002142AD" w:rsidRDefault="000D7175" w:rsidP="000D7175">
            <w:pPr>
              <w:pStyle w:val="Tablewriting"/>
            </w:pPr>
            <w:r>
              <w:t xml:space="preserve">150 mg capsule, 3 </w:t>
            </w:r>
            <w:r>
              <w:rPr>
                <w:rFonts w:cstheme="minorHAnsi"/>
              </w:rPr>
              <w:t>×</w:t>
            </w:r>
            <w:r>
              <w:t xml:space="preserve"> 50 </w:t>
            </w:r>
          </w:p>
        </w:tc>
        <w:tc>
          <w:tcPr>
            <w:tcW w:w="709" w:type="dxa"/>
            <w:tcBorders>
              <w:top w:val="single" w:sz="4" w:space="0" w:color="auto"/>
              <w:left w:val="single" w:sz="4" w:space="0" w:color="auto"/>
              <w:bottom w:val="single" w:sz="4" w:space="0" w:color="auto"/>
              <w:right w:val="single" w:sz="4" w:space="0" w:color="auto"/>
            </w:tcBorders>
          </w:tcPr>
          <w:p w14:paraId="6E2B2134" w14:textId="77777777" w:rsidR="000D7175" w:rsidRDefault="000D7175" w:rsidP="000D7175">
            <w:pPr>
              <w:pStyle w:val="Tablewriting"/>
              <w:jc w:val="center"/>
            </w:pPr>
          </w:p>
          <w:p w14:paraId="481D0768" w14:textId="07A5CD44" w:rsidR="000D7175" w:rsidRPr="002142AD" w:rsidRDefault="000D7175" w:rsidP="000D7175">
            <w:pPr>
              <w:pStyle w:val="Tablewriting"/>
              <w:jc w:val="center"/>
            </w:pPr>
            <w:r>
              <w:t>1</w:t>
            </w:r>
          </w:p>
        </w:tc>
        <w:tc>
          <w:tcPr>
            <w:tcW w:w="720" w:type="dxa"/>
            <w:tcBorders>
              <w:top w:val="single" w:sz="4" w:space="0" w:color="auto"/>
              <w:left w:val="single" w:sz="4" w:space="0" w:color="auto"/>
              <w:bottom w:val="single" w:sz="4" w:space="0" w:color="auto"/>
              <w:right w:val="single" w:sz="4" w:space="0" w:color="auto"/>
            </w:tcBorders>
          </w:tcPr>
          <w:p w14:paraId="7EC06977" w14:textId="77777777" w:rsidR="000D7175" w:rsidRDefault="000D7175" w:rsidP="000D7175">
            <w:pPr>
              <w:pStyle w:val="Tablewriting"/>
              <w:jc w:val="center"/>
            </w:pPr>
          </w:p>
          <w:p w14:paraId="7EA2BB5E" w14:textId="369AEA2D" w:rsidR="000D7175" w:rsidRPr="002142AD" w:rsidRDefault="000D7175" w:rsidP="000D7175">
            <w:pPr>
              <w:pStyle w:val="Tablewriting"/>
              <w:jc w:val="center"/>
            </w:pPr>
            <w:r>
              <w:t>150</w:t>
            </w:r>
          </w:p>
        </w:tc>
        <w:tc>
          <w:tcPr>
            <w:tcW w:w="709" w:type="dxa"/>
            <w:tcBorders>
              <w:top w:val="single" w:sz="4" w:space="0" w:color="auto"/>
              <w:left w:val="single" w:sz="4" w:space="0" w:color="auto"/>
              <w:bottom w:val="single" w:sz="4" w:space="0" w:color="auto"/>
              <w:right w:val="single" w:sz="4" w:space="0" w:color="auto"/>
            </w:tcBorders>
          </w:tcPr>
          <w:p w14:paraId="70168235" w14:textId="77777777" w:rsidR="000D7175" w:rsidRDefault="000D7175" w:rsidP="000D7175">
            <w:pPr>
              <w:pStyle w:val="Tablewriting"/>
              <w:jc w:val="center"/>
            </w:pPr>
          </w:p>
          <w:p w14:paraId="4E3FDCE4" w14:textId="2A8E1E7F" w:rsidR="000D7175" w:rsidRPr="002142AD" w:rsidRDefault="000D7175" w:rsidP="000D7175">
            <w:pPr>
              <w:pStyle w:val="Tablewriting"/>
              <w:jc w:val="center"/>
            </w:pPr>
            <w:r>
              <w:t>3</w:t>
            </w:r>
          </w:p>
        </w:tc>
        <w:tc>
          <w:tcPr>
            <w:tcW w:w="1134" w:type="dxa"/>
            <w:tcBorders>
              <w:top w:val="single" w:sz="4" w:space="0" w:color="auto"/>
              <w:left w:val="single" w:sz="4" w:space="0" w:color="auto"/>
              <w:bottom w:val="single" w:sz="4" w:space="0" w:color="auto"/>
              <w:right w:val="single" w:sz="4" w:space="0" w:color="auto"/>
            </w:tcBorders>
          </w:tcPr>
          <w:p w14:paraId="2934AFB3" w14:textId="77777777" w:rsidR="000D7175" w:rsidRDefault="000D7175" w:rsidP="000D7175">
            <w:pPr>
              <w:pStyle w:val="Tablewriting"/>
              <w:jc w:val="center"/>
            </w:pPr>
          </w:p>
          <w:p w14:paraId="65453D64" w14:textId="77777777" w:rsidR="000D7175" w:rsidRDefault="000D7175" w:rsidP="000D7175">
            <w:pPr>
              <w:pStyle w:val="Tablewriting"/>
              <w:jc w:val="center"/>
            </w:pPr>
            <w:r>
              <w:t>$6,933.17</w:t>
            </w:r>
          </w:p>
          <w:p w14:paraId="209DEBF3" w14:textId="6B84BD9C" w:rsidR="000D7175" w:rsidRPr="002142AD" w:rsidRDefault="000D7175" w:rsidP="000D7175">
            <w:pPr>
              <w:pStyle w:val="Tablewriting"/>
              <w:jc w:val="center"/>
            </w:pPr>
          </w:p>
        </w:tc>
        <w:tc>
          <w:tcPr>
            <w:tcW w:w="2268" w:type="dxa"/>
            <w:tcBorders>
              <w:top w:val="single" w:sz="4" w:space="0" w:color="auto"/>
              <w:left w:val="single" w:sz="4" w:space="0" w:color="auto"/>
              <w:bottom w:val="single" w:sz="4" w:space="0" w:color="auto"/>
              <w:right w:val="single" w:sz="4" w:space="0" w:color="auto"/>
            </w:tcBorders>
          </w:tcPr>
          <w:p w14:paraId="2C511D97" w14:textId="77777777" w:rsidR="000D7175" w:rsidRPr="002142AD" w:rsidRDefault="000D7175" w:rsidP="000D7175">
            <w:pPr>
              <w:pStyle w:val="Tablewriting"/>
            </w:pPr>
            <w:r w:rsidRPr="002142AD">
              <w:t>Zykadia®</w:t>
            </w:r>
          </w:p>
          <w:p w14:paraId="4DA94B56" w14:textId="11A97EFA" w:rsidR="000D7175" w:rsidRPr="002142AD" w:rsidRDefault="000D7175" w:rsidP="000D7175">
            <w:pPr>
              <w:pStyle w:val="Tablewriting"/>
            </w:pPr>
            <w:r w:rsidRPr="002142AD">
              <w:t>Novartis</w:t>
            </w:r>
            <w:r w:rsidR="00C26E6D">
              <w:t xml:space="preserve"> </w:t>
            </w:r>
            <w:r w:rsidRPr="002142AD">
              <w:t>Pharmaceuticals Australia Pty Limited</w:t>
            </w:r>
          </w:p>
        </w:tc>
      </w:tr>
      <w:tr w:rsidR="000D7175" w:rsidRPr="0056392D" w14:paraId="40E94E6B" w14:textId="77777777" w:rsidTr="0073747B">
        <w:trPr>
          <w:trHeight w:val="483"/>
          <w:tblHeader/>
        </w:trPr>
        <w:tc>
          <w:tcPr>
            <w:tcW w:w="988" w:type="dxa"/>
            <w:tcBorders>
              <w:top w:val="single" w:sz="4" w:space="0" w:color="auto"/>
              <w:left w:val="single" w:sz="4" w:space="0" w:color="auto"/>
              <w:bottom w:val="single" w:sz="4" w:space="0" w:color="auto"/>
              <w:right w:val="single" w:sz="4" w:space="0" w:color="auto"/>
            </w:tcBorders>
          </w:tcPr>
          <w:p w14:paraId="09909440" w14:textId="77777777" w:rsidR="000D7175" w:rsidRDefault="000D7175" w:rsidP="000D7175">
            <w:pPr>
              <w:pStyle w:val="Tablewriting"/>
            </w:pPr>
          </w:p>
          <w:p w14:paraId="1BC137D3" w14:textId="77777777" w:rsidR="00BB5C0B" w:rsidRDefault="00BB5C0B" w:rsidP="000D7175">
            <w:pPr>
              <w:pStyle w:val="Tablewriting"/>
            </w:pPr>
            <w:r w:rsidRPr="000D7175">
              <w:t>10323H</w:t>
            </w:r>
          </w:p>
          <w:p w14:paraId="18A60221" w14:textId="3640F2F5" w:rsidR="000D7175" w:rsidRDefault="000D7175" w:rsidP="000D7175">
            <w:pPr>
              <w:pStyle w:val="Tablewriting"/>
            </w:pPr>
            <w:r w:rsidRPr="000D7175">
              <w:t>10322G</w:t>
            </w:r>
          </w:p>
        </w:tc>
        <w:tc>
          <w:tcPr>
            <w:tcW w:w="2398" w:type="dxa"/>
            <w:tcBorders>
              <w:top w:val="single" w:sz="4" w:space="0" w:color="auto"/>
              <w:left w:val="single" w:sz="4" w:space="0" w:color="auto"/>
              <w:bottom w:val="single" w:sz="4" w:space="0" w:color="auto"/>
              <w:right w:val="single" w:sz="4" w:space="0" w:color="auto"/>
            </w:tcBorders>
          </w:tcPr>
          <w:p w14:paraId="0C23DFD5" w14:textId="77777777" w:rsidR="000D7175" w:rsidRDefault="000D7175" w:rsidP="000D7175">
            <w:pPr>
              <w:pStyle w:val="Tablewriting"/>
            </w:pPr>
            <w:r w:rsidRPr="002142AD">
              <w:t>crizotinib</w:t>
            </w:r>
          </w:p>
          <w:p w14:paraId="2E67DAD2" w14:textId="77777777" w:rsidR="00BB5C0B" w:rsidRDefault="00BB5C0B" w:rsidP="000D7175">
            <w:pPr>
              <w:pStyle w:val="Tablewriting"/>
            </w:pPr>
            <w:r>
              <w:t xml:space="preserve">200 mg capsule, 60 </w:t>
            </w:r>
          </w:p>
          <w:p w14:paraId="33AC6130" w14:textId="61427E0F" w:rsidR="000D7175" w:rsidRPr="002142AD" w:rsidRDefault="000D7175" w:rsidP="000D7175">
            <w:pPr>
              <w:pStyle w:val="Tablewriting"/>
            </w:pPr>
            <w:r>
              <w:t xml:space="preserve">250 mg capsule, 60 </w:t>
            </w:r>
          </w:p>
        </w:tc>
        <w:tc>
          <w:tcPr>
            <w:tcW w:w="709" w:type="dxa"/>
            <w:tcBorders>
              <w:top w:val="single" w:sz="4" w:space="0" w:color="auto"/>
              <w:left w:val="single" w:sz="4" w:space="0" w:color="auto"/>
              <w:bottom w:val="single" w:sz="4" w:space="0" w:color="auto"/>
              <w:right w:val="single" w:sz="4" w:space="0" w:color="auto"/>
            </w:tcBorders>
          </w:tcPr>
          <w:p w14:paraId="328EF863" w14:textId="77777777" w:rsidR="000D7175" w:rsidRDefault="000D7175" w:rsidP="000D7175">
            <w:pPr>
              <w:pStyle w:val="Tablewriting"/>
              <w:jc w:val="center"/>
            </w:pPr>
          </w:p>
          <w:p w14:paraId="31DBBDC4" w14:textId="77777777" w:rsidR="000D7175" w:rsidRDefault="000D7175" w:rsidP="000D7175">
            <w:pPr>
              <w:pStyle w:val="Tablewriting"/>
              <w:jc w:val="center"/>
            </w:pPr>
            <w:r>
              <w:t>1</w:t>
            </w:r>
          </w:p>
          <w:p w14:paraId="771946ED" w14:textId="560BCCD6" w:rsidR="000D7175" w:rsidRDefault="000D7175" w:rsidP="000D7175">
            <w:pPr>
              <w:pStyle w:val="Tablewriting"/>
              <w:jc w:val="center"/>
            </w:pPr>
            <w:r>
              <w:t>1</w:t>
            </w:r>
          </w:p>
        </w:tc>
        <w:tc>
          <w:tcPr>
            <w:tcW w:w="720" w:type="dxa"/>
            <w:tcBorders>
              <w:top w:val="single" w:sz="4" w:space="0" w:color="auto"/>
              <w:left w:val="single" w:sz="4" w:space="0" w:color="auto"/>
              <w:bottom w:val="single" w:sz="4" w:space="0" w:color="auto"/>
              <w:right w:val="single" w:sz="4" w:space="0" w:color="auto"/>
            </w:tcBorders>
          </w:tcPr>
          <w:p w14:paraId="1DBE1645" w14:textId="77777777" w:rsidR="000D7175" w:rsidRDefault="000D7175" w:rsidP="000D7175">
            <w:pPr>
              <w:pStyle w:val="Tablewriting"/>
              <w:jc w:val="center"/>
            </w:pPr>
          </w:p>
          <w:p w14:paraId="20691775" w14:textId="77777777" w:rsidR="000D7175" w:rsidRDefault="000D7175" w:rsidP="000D7175">
            <w:pPr>
              <w:pStyle w:val="Tablewriting"/>
              <w:jc w:val="center"/>
            </w:pPr>
            <w:r>
              <w:t>60</w:t>
            </w:r>
          </w:p>
          <w:p w14:paraId="1FC2DFCC" w14:textId="7AB5946E" w:rsidR="000D7175" w:rsidRDefault="000D7175" w:rsidP="000D7175">
            <w:pPr>
              <w:pStyle w:val="Tablewriting"/>
              <w:jc w:val="center"/>
            </w:pPr>
            <w:r>
              <w:t>60</w:t>
            </w:r>
          </w:p>
        </w:tc>
        <w:tc>
          <w:tcPr>
            <w:tcW w:w="709" w:type="dxa"/>
            <w:tcBorders>
              <w:top w:val="single" w:sz="4" w:space="0" w:color="auto"/>
              <w:left w:val="single" w:sz="4" w:space="0" w:color="auto"/>
              <w:bottom w:val="single" w:sz="4" w:space="0" w:color="auto"/>
              <w:right w:val="single" w:sz="4" w:space="0" w:color="auto"/>
            </w:tcBorders>
          </w:tcPr>
          <w:p w14:paraId="230C3141" w14:textId="77777777" w:rsidR="000D7175" w:rsidRDefault="000D7175" w:rsidP="000D7175">
            <w:pPr>
              <w:pStyle w:val="Tablewriting"/>
              <w:jc w:val="center"/>
            </w:pPr>
          </w:p>
          <w:p w14:paraId="25CA56AB" w14:textId="77777777" w:rsidR="000D7175" w:rsidRDefault="000D7175" w:rsidP="000D7175">
            <w:pPr>
              <w:pStyle w:val="Tablewriting"/>
              <w:jc w:val="center"/>
            </w:pPr>
            <w:r>
              <w:t>3</w:t>
            </w:r>
          </w:p>
          <w:p w14:paraId="12104597" w14:textId="5E6B9F9B" w:rsidR="000D7175" w:rsidRDefault="000D7175" w:rsidP="000D7175">
            <w:pPr>
              <w:pStyle w:val="Tablewriting"/>
              <w:jc w:val="center"/>
            </w:pPr>
            <w:r>
              <w:t>3</w:t>
            </w:r>
          </w:p>
        </w:tc>
        <w:tc>
          <w:tcPr>
            <w:tcW w:w="1134" w:type="dxa"/>
            <w:tcBorders>
              <w:top w:val="single" w:sz="4" w:space="0" w:color="auto"/>
              <w:left w:val="single" w:sz="4" w:space="0" w:color="auto"/>
              <w:bottom w:val="single" w:sz="4" w:space="0" w:color="auto"/>
              <w:right w:val="single" w:sz="4" w:space="0" w:color="auto"/>
            </w:tcBorders>
          </w:tcPr>
          <w:p w14:paraId="61D6F411" w14:textId="77777777" w:rsidR="000D7175" w:rsidRDefault="000D7175" w:rsidP="000D7175">
            <w:pPr>
              <w:pStyle w:val="Tablewriting"/>
              <w:jc w:val="center"/>
            </w:pPr>
          </w:p>
          <w:p w14:paraId="0E5E2C8F" w14:textId="77777777" w:rsidR="000D7175" w:rsidRDefault="000D7175" w:rsidP="000D7175">
            <w:pPr>
              <w:pStyle w:val="Tablewriting"/>
              <w:jc w:val="center"/>
            </w:pPr>
            <w:r>
              <w:t>$6,933.17</w:t>
            </w:r>
          </w:p>
          <w:p w14:paraId="154A7957" w14:textId="4DE03181" w:rsidR="000D7175" w:rsidRDefault="000D7175" w:rsidP="000D7175">
            <w:pPr>
              <w:pStyle w:val="Tablewriting"/>
              <w:jc w:val="center"/>
            </w:pPr>
            <w:r>
              <w:t>$6,933.17</w:t>
            </w:r>
          </w:p>
        </w:tc>
        <w:tc>
          <w:tcPr>
            <w:tcW w:w="2268" w:type="dxa"/>
            <w:tcBorders>
              <w:top w:val="single" w:sz="4" w:space="0" w:color="auto"/>
              <w:left w:val="single" w:sz="4" w:space="0" w:color="auto"/>
              <w:bottom w:val="single" w:sz="4" w:space="0" w:color="auto"/>
              <w:right w:val="single" w:sz="4" w:space="0" w:color="auto"/>
            </w:tcBorders>
          </w:tcPr>
          <w:p w14:paraId="2CD80D9D" w14:textId="77777777" w:rsidR="000D7175" w:rsidRPr="002142AD" w:rsidRDefault="000D7175" w:rsidP="000D7175">
            <w:pPr>
              <w:pStyle w:val="Tablewriting"/>
            </w:pPr>
            <w:r w:rsidRPr="002142AD">
              <w:t>Xalkori®</w:t>
            </w:r>
          </w:p>
          <w:p w14:paraId="651DBD05" w14:textId="778EFB27" w:rsidR="000D7175" w:rsidRPr="002142AD" w:rsidRDefault="000D7175" w:rsidP="000D7175">
            <w:pPr>
              <w:pStyle w:val="Tablewriting"/>
            </w:pPr>
            <w:r w:rsidRPr="002142AD">
              <w:t>Pfizer Australia Pty Ltd</w:t>
            </w:r>
          </w:p>
        </w:tc>
      </w:tr>
      <w:tr w:rsidR="000D7175" w:rsidRPr="0056392D" w14:paraId="2A5C0772" w14:textId="77777777" w:rsidTr="0073747B">
        <w:trPr>
          <w:trHeight w:val="483"/>
          <w:tblHeader/>
        </w:trPr>
        <w:tc>
          <w:tcPr>
            <w:tcW w:w="988" w:type="dxa"/>
            <w:tcBorders>
              <w:top w:val="single" w:sz="4" w:space="0" w:color="auto"/>
              <w:left w:val="single" w:sz="4" w:space="0" w:color="auto"/>
              <w:bottom w:val="single" w:sz="4" w:space="0" w:color="auto"/>
              <w:right w:val="single" w:sz="4" w:space="0" w:color="auto"/>
            </w:tcBorders>
          </w:tcPr>
          <w:p w14:paraId="1711781E" w14:textId="77777777" w:rsidR="000D7175" w:rsidRDefault="000D7175" w:rsidP="000D7175">
            <w:pPr>
              <w:pStyle w:val="Tablewriting"/>
            </w:pPr>
          </w:p>
          <w:p w14:paraId="22B4A70B" w14:textId="77777777" w:rsidR="003F35BC" w:rsidRDefault="003F35BC" w:rsidP="000D7175">
            <w:pPr>
              <w:pStyle w:val="Tablewriting"/>
            </w:pPr>
            <w:r w:rsidRPr="00A04282">
              <w:t xml:space="preserve">12096P </w:t>
            </w:r>
          </w:p>
          <w:p w14:paraId="18A72469" w14:textId="479E65D0" w:rsidR="000D7175" w:rsidRDefault="000D7175" w:rsidP="000D7175">
            <w:pPr>
              <w:pStyle w:val="Tablewriting"/>
            </w:pPr>
            <w:r w:rsidRPr="00A04282">
              <w:t>12091J</w:t>
            </w:r>
          </w:p>
        </w:tc>
        <w:tc>
          <w:tcPr>
            <w:tcW w:w="2398" w:type="dxa"/>
            <w:tcBorders>
              <w:top w:val="single" w:sz="4" w:space="0" w:color="auto"/>
              <w:left w:val="single" w:sz="4" w:space="0" w:color="auto"/>
              <w:bottom w:val="single" w:sz="4" w:space="0" w:color="auto"/>
              <w:right w:val="single" w:sz="4" w:space="0" w:color="auto"/>
            </w:tcBorders>
          </w:tcPr>
          <w:p w14:paraId="52BEAF50" w14:textId="77777777" w:rsidR="000D7175" w:rsidRDefault="000D7175" w:rsidP="000D7175">
            <w:pPr>
              <w:pStyle w:val="Tablewriting"/>
            </w:pPr>
            <w:r>
              <w:t>l</w:t>
            </w:r>
            <w:r w:rsidRPr="002142AD">
              <w:t>orlatinib</w:t>
            </w:r>
            <w:r>
              <w:t>,</w:t>
            </w:r>
          </w:p>
          <w:p w14:paraId="2143BABD" w14:textId="77777777" w:rsidR="003F35BC" w:rsidRDefault="003F35BC" w:rsidP="000D7175">
            <w:pPr>
              <w:pStyle w:val="Tablewriting"/>
            </w:pPr>
            <w:r>
              <w:t xml:space="preserve">25 mg tablet, 90 </w:t>
            </w:r>
          </w:p>
          <w:p w14:paraId="5F2C9D2B" w14:textId="31532858" w:rsidR="000D7175" w:rsidRPr="002142AD" w:rsidRDefault="000D7175" w:rsidP="000D7175">
            <w:pPr>
              <w:pStyle w:val="Tablewriting"/>
            </w:pPr>
            <w:r>
              <w:t xml:space="preserve">100 mg tablet, 30 </w:t>
            </w:r>
          </w:p>
        </w:tc>
        <w:tc>
          <w:tcPr>
            <w:tcW w:w="709" w:type="dxa"/>
            <w:tcBorders>
              <w:top w:val="single" w:sz="4" w:space="0" w:color="auto"/>
              <w:left w:val="single" w:sz="4" w:space="0" w:color="auto"/>
              <w:bottom w:val="single" w:sz="4" w:space="0" w:color="auto"/>
              <w:right w:val="single" w:sz="4" w:space="0" w:color="auto"/>
            </w:tcBorders>
          </w:tcPr>
          <w:p w14:paraId="3CACF299" w14:textId="77777777" w:rsidR="000D7175" w:rsidRDefault="000D7175" w:rsidP="000D7175">
            <w:pPr>
              <w:pStyle w:val="Tablewriting"/>
              <w:jc w:val="center"/>
            </w:pPr>
          </w:p>
          <w:p w14:paraId="51E3BB03" w14:textId="77777777" w:rsidR="000D7175" w:rsidRDefault="000D7175" w:rsidP="000D7175">
            <w:pPr>
              <w:pStyle w:val="Tablewriting"/>
              <w:jc w:val="center"/>
            </w:pPr>
            <w:r>
              <w:t>1</w:t>
            </w:r>
          </w:p>
          <w:p w14:paraId="4D967055" w14:textId="288A3D5B" w:rsidR="000D7175" w:rsidRDefault="000D7175" w:rsidP="000D7175">
            <w:pPr>
              <w:pStyle w:val="Tablewriting"/>
              <w:jc w:val="center"/>
            </w:pPr>
            <w:r>
              <w:t>1</w:t>
            </w:r>
          </w:p>
        </w:tc>
        <w:tc>
          <w:tcPr>
            <w:tcW w:w="720" w:type="dxa"/>
            <w:tcBorders>
              <w:top w:val="single" w:sz="4" w:space="0" w:color="auto"/>
              <w:left w:val="single" w:sz="4" w:space="0" w:color="auto"/>
              <w:bottom w:val="single" w:sz="4" w:space="0" w:color="auto"/>
              <w:right w:val="single" w:sz="4" w:space="0" w:color="auto"/>
            </w:tcBorders>
          </w:tcPr>
          <w:p w14:paraId="5A6088AD" w14:textId="77777777" w:rsidR="000D7175" w:rsidRDefault="000D7175" w:rsidP="000D7175">
            <w:pPr>
              <w:pStyle w:val="Tablewriting"/>
              <w:jc w:val="center"/>
            </w:pPr>
          </w:p>
          <w:p w14:paraId="5ECB7860" w14:textId="77777777" w:rsidR="003F35BC" w:rsidRDefault="003F35BC" w:rsidP="000D7175">
            <w:pPr>
              <w:pStyle w:val="Tablewriting"/>
              <w:jc w:val="center"/>
            </w:pPr>
            <w:r>
              <w:t>90</w:t>
            </w:r>
          </w:p>
          <w:p w14:paraId="1F60546F" w14:textId="3ED5F635" w:rsidR="000D7175" w:rsidRDefault="000D7175" w:rsidP="003F35BC">
            <w:pPr>
              <w:pStyle w:val="Tablewriting"/>
              <w:jc w:val="center"/>
            </w:pPr>
            <w:r>
              <w:t>30</w:t>
            </w:r>
          </w:p>
        </w:tc>
        <w:tc>
          <w:tcPr>
            <w:tcW w:w="709" w:type="dxa"/>
            <w:tcBorders>
              <w:top w:val="single" w:sz="4" w:space="0" w:color="auto"/>
              <w:left w:val="single" w:sz="4" w:space="0" w:color="auto"/>
              <w:bottom w:val="single" w:sz="4" w:space="0" w:color="auto"/>
              <w:right w:val="single" w:sz="4" w:space="0" w:color="auto"/>
            </w:tcBorders>
          </w:tcPr>
          <w:p w14:paraId="19FBFA04" w14:textId="77777777" w:rsidR="000D7175" w:rsidRDefault="000D7175" w:rsidP="000D7175">
            <w:pPr>
              <w:pStyle w:val="Tablewriting"/>
              <w:jc w:val="center"/>
            </w:pPr>
          </w:p>
          <w:p w14:paraId="72B32FB6" w14:textId="77777777" w:rsidR="000D7175" w:rsidRDefault="000D7175" w:rsidP="000D7175">
            <w:pPr>
              <w:pStyle w:val="Tablewriting"/>
              <w:jc w:val="center"/>
            </w:pPr>
            <w:r>
              <w:t>3</w:t>
            </w:r>
          </w:p>
          <w:p w14:paraId="4D93DAD9" w14:textId="5F3A452A" w:rsidR="000D7175" w:rsidRDefault="000D7175" w:rsidP="000D7175">
            <w:pPr>
              <w:pStyle w:val="Tablewriting"/>
              <w:jc w:val="center"/>
            </w:pPr>
            <w:r>
              <w:t>3</w:t>
            </w:r>
          </w:p>
        </w:tc>
        <w:tc>
          <w:tcPr>
            <w:tcW w:w="1134" w:type="dxa"/>
            <w:tcBorders>
              <w:top w:val="single" w:sz="4" w:space="0" w:color="auto"/>
              <w:left w:val="single" w:sz="4" w:space="0" w:color="auto"/>
              <w:bottom w:val="single" w:sz="4" w:space="0" w:color="auto"/>
              <w:right w:val="single" w:sz="4" w:space="0" w:color="auto"/>
            </w:tcBorders>
          </w:tcPr>
          <w:p w14:paraId="597C3366" w14:textId="77777777" w:rsidR="000D7175" w:rsidRDefault="000D7175" w:rsidP="000D7175">
            <w:pPr>
              <w:pStyle w:val="Tablewriting"/>
              <w:jc w:val="center"/>
            </w:pPr>
          </w:p>
          <w:p w14:paraId="0CCCB36A" w14:textId="77777777" w:rsidR="000D7175" w:rsidRDefault="000D7175" w:rsidP="000D7175">
            <w:pPr>
              <w:pStyle w:val="Tablewriting"/>
              <w:jc w:val="center"/>
            </w:pPr>
            <w:r>
              <w:t>$7,289.58</w:t>
            </w:r>
          </w:p>
          <w:p w14:paraId="3C3F9D56" w14:textId="240B9771" w:rsidR="000D7175" w:rsidRDefault="000D7175" w:rsidP="000D7175">
            <w:pPr>
              <w:pStyle w:val="Tablewriting"/>
              <w:jc w:val="center"/>
            </w:pPr>
            <w:r>
              <w:t>$7,289.58</w:t>
            </w:r>
          </w:p>
        </w:tc>
        <w:tc>
          <w:tcPr>
            <w:tcW w:w="2268" w:type="dxa"/>
            <w:tcBorders>
              <w:top w:val="single" w:sz="4" w:space="0" w:color="auto"/>
              <w:left w:val="single" w:sz="4" w:space="0" w:color="auto"/>
              <w:bottom w:val="single" w:sz="4" w:space="0" w:color="auto"/>
              <w:right w:val="single" w:sz="4" w:space="0" w:color="auto"/>
            </w:tcBorders>
          </w:tcPr>
          <w:p w14:paraId="6BBD8AC9" w14:textId="77777777" w:rsidR="000D7175" w:rsidRPr="002142AD" w:rsidRDefault="000D7175" w:rsidP="000D7175">
            <w:pPr>
              <w:pStyle w:val="Tablewriting"/>
            </w:pPr>
            <w:r w:rsidRPr="002142AD">
              <w:t>Lorviqua®</w:t>
            </w:r>
          </w:p>
          <w:p w14:paraId="6F83B24C" w14:textId="61823ED3" w:rsidR="000D7175" w:rsidRPr="002142AD" w:rsidRDefault="000D7175" w:rsidP="000D7175">
            <w:pPr>
              <w:pStyle w:val="Tablewriting"/>
            </w:pPr>
            <w:r w:rsidRPr="002142AD">
              <w:t>Pfizer Australia Pty Ltd</w:t>
            </w:r>
          </w:p>
        </w:tc>
      </w:tr>
      <w:tr w:rsidR="000D7175" w:rsidRPr="0056392D" w14:paraId="357DCA29" w14:textId="77777777" w:rsidTr="00116597">
        <w:trPr>
          <w:trHeight w:val="60"/>
          <w:tblHeader/>
        </w:trPr>
        <w:tc>
          <w:tcPr>
            <w:tcW w:w="8926"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831306" w14:textId="0DFF739F" w:rsidR="000D7175" w:rsidRPr="000D7175" w:rsidRDefault="000D7175" w:rsidP="000D7175">
            <w:pPr>
              <w:pStyle w:val="Tablewriting"/>
              <w:rPr>
                <w:b/>
                <w:bCs/>
              </w:rPr>
            </w:pPr>
            <w:r w:rsidRPr="000D7175">
              <w:rPr>
                <w:b/>
                <w:bCs/>
              </w:rPr>
              <w:t>ROS</w:t>
            </w:r>
            <w:r w:rsidR="00D93D1E">
              <w:rPr>
                <w:b/>
                <w:bCs/>
              </w:rPr>
              <w:t>1</w:t>
            </w:r>
            <w:r w:rsidR="00BB5C0B">
              <w:rPr>
                <w:b/>
                <w:bCs/>
              </w:rPr>
              <w:t xml:space="preserve"> inhibitor</w:t>
            </w:r>
            <w:r w:rsidR="003F35BC">
              <w:rPr>
                <w:b/>
                <w:bCs/>
              </w:rPr>
              <w:t>s</w:t>
            </w:r>
          </w:p>
        </w:tc>
      </w:tr>
      <w:tr w:rsidR="000D7175" w:rsidRPr="0056392D" w14:paraId="5C79F7CF" w14:textId="77777777" w:rsidTr="0073747B">
        <w:trPr>
          <w:trHeight w:val="483"/>
          <w:tblHeader/>
        </w:trPr>
        <w:tc>
          <w:tcPr>
            <w:tcW w:w="988" w:type="dxa"/>
            <w:tcBorders>
              <w:top w:val="single" w:sz="4" w:space="0" w:color="auto"/>
              <w:left w:val="single" w:sz="4" w:space="0" w:color="auto"/>
              <w:bottom w:val="single" w:sz="4" w:space="0" w:color="auto"/>
              <w:right w:val="single" w:sz="4" w:space="0" w:color="auto"/>
            </w:tcBorders>
          </w:tcPr>
          <w:p w14:paraId="333CE16D" w14:textId="77777777" w:rsidR="000D7175" w:rsidRDefault="000D7175" w:rsidP="000D7175">
            <w:pPr>
              <w:pStyle w:val="Tablewriting"/>
            </w:pPr>
          </w:p>
          <w:p w14:paraId="25AD7DE5" w14:textId="77777777" w:rsidR="000D7175" w:rsidRDefault="000D7175" w:rsidP="000D7175">
            <w:pPr>
              <w:pStyle w:val="Tablewriting"/>
            </w:pPr>
            <w:r w:rsidRPr="00400900">
              <w:t>11589Y</w:t>
            </w:r>
          </w:p>
          <w:p w14:paraId="00C63AFD" w14:textId="0BC372EA" w:rsidR="000D7175" w:rsidRDefault="000D7175" w:rsidP="000D7175">
            <w:pPr>
              <w:pStyle w:val="Tablewriting"/>
            </w:pPr>
            <w:r w:rsidRPr="00400900">
              <w:t>11594F</w:t>
            </w:r>
          </w:p>
        </w:tc>
        <w:tc>
          <w:tcPr>
            <w:tcW w:w="2398" w:type="dxa"/>
            <w:tcBorders>
              <w:top w:val="single" w:sz="4" w:space="0" w:color="auto"/>
              <w:left w:val="single" w:sz="4" w:space="0" w:color="auto"/>
              <w:bottom w:val="single" w:sz="4" w:space="0" w:color="auto"/>
              <w:right w:val="single" w:sz="4" w:space="0" w:color="auto"/>
            </w:tcBorders>
          </w:tcPr>
          <w:p w14:paraId="641C41BD" w14:textId="77777777" w:rsidR="000D7175" w:rsidRDefault="000D7175" w:rsidP="000D7175">
            <w:pPr>
              <w:pStyle w:val="Tablewriting"/>
            </w:pPr>
            <w:r w:rsidRPr="002142AD">
              <w:t>crizotinib</w:t>
            </w:r>
          </w:p>
          <w:p w14:paraId="3EDB8822" w14:textId="77777777" w:rsidR="000D7175" w:rsidRDefault="000D7175" w:rsidP="000D7175">
            <w:pPr>
              <w:pStyle w:val="Tablewriting"/>
            </w:pPr>
            <w:r>
              <w:t xml:space="preserve">200 mg capsule, 60 </w:t>
            </w:r>
          </w:p>
          <w:p w14:paraId="4FD1A379" w14:textId="07025BC5" w:rsidR="000D7175" w:rsidRPr="002142AD" w:rsidRDefault="000D7175" w:rsidP="000D7175">
            <w:pPr>
              <w:pStyle w:val="Tablewriting"/>
            </w:pPr>
            <w:r>
              <w:t xml:space="preserve">250 mg capsule, 60 </w:t>
            </w:r>
          </w:p>
        </w:tc>
        <w:tc>
          <w:tcPr>
            <w:tcW w:w="709" w:type="dxa"/>
            <w:tcBorders>
              <w:top w:val="single" w:sz="4" w:space="0" w:color="auto"/>
              <w:left w:val="single" w:sz="4" w:space="0" w:color="auto"/>
              <w:bottom w:val="single" w:sz="4" w:space="0" w:color="auto"/>
              <w:right w:val="single" w:sz="4" w:space="0" w:color="auto"/>
            </w:tcBorders>
          </w:tcPr>
          <w:p w14:paraId="008738C3" w14:textId="77777777" w:rsidR="000D7175" w:rsidRDefault="000D7175" w:rsidP="000D7175">
            <w:pPr>
              <w:pStyle w:val="Tablewriting"/>
              <w:jc w:val="center"/>
            </w:pPr>
          </w:p>
          <w:p w14:paraId="4D5B5DEA" w14:textId="77777777" w:rsidR="000D7175" w:rsidRDefault="000D7175" w:rsidP="000D7175">
            <w:pPr>
              <w:pStyle w:val="Tablewriting"/>
              <w:jc w:val="center"/>
            </w:pPr>
            <w:r>
              <w:t>1</w:t>
            </w:r>
          </w:p>
          <w:p w14:paraId="38792F34" w14:textId="452EB99E" w:rsidR="000D7175" w:rsidRDefault="000D7175" w:rsidP="000D7175">
            <w:pPr>
              <w:pStyle w:val="Tablewriting"/>
              <w:jc w:val="center"/>
            </w:pPr>
            <w:r>
              <w:t>1</w:t>
            </w:r>
          </w:p>
        </w:tc>
        <w:tc>
          <w:tcPr>
            <w:tcW w:w="720" w:type="dxa"/>
            <w:tcBorders>
              <w:top w:val="single" w:sz="4" w:space="0" w:color="auto"/>
              <w:left w:val="single" w:sz="4" w:space="0" w:color="auto"/>
              <w:bottom w:val="single" w:sz="4" w:space="0" w:color="auto"/>
              <w:right w:val="single" w:sz="4" w:space="0" w:color="auto"/>
            </w:tcBorders>
          </w:tcPr>
          <w:p w14:paraId="2C93B38C" w14:textId="77777777" w:rsidR="000D7175" w:rsidRDefault="000D7175" w:rsidP="000D7175">
            <w:pPr>
              <w:pStyle w:val="Tablewriting"/>
              <w:jc w:val="center"/>
            </w:pPr>
          </w:p>
          <w:p w14:paraId="23D23946" w14:textId="77777777" w:rsidR="000D7175" w:rsidRDefault="000D7175" w:rsidP="000D7175">
            <w:pPr>
              <w:pStyle w:val="Tablewriting"/>
              <w:jc w:val="center"/>
            </w:pPr>
            <w:r>
              <w:t>60</w:t>
            </w:r>
          </w:p>
          <w:p w14:paraId="1C149F75" w14:textId="52EBF0B2" w:rsidR="000D7175" w:rsidRDefault="000D7175" w:rsidP="000D7175">
            <w:pPr>
              <w:pStyle w:val="Tablewriting"/>
              <w:jc w:val="center"/>
            </w:pPr>
            <w:r>
              <w:t>60</w:t>
            </w:r>
          </w:p>
        </w:tc>
        <w:tc>
          <w:tcPr>
            <w:tcW w:w="709" w:type="dxa"/>
            <w:tcBorders>
              <w:top w:val="single" w:sz="4" w:space="0" w:color="auto"/>
              <w:left w:val="single" w:sz="4" w:space="0" w:color="auto"/>
              <w:bottom w:val="single" w:sz="4" w:space="0" w:color="auto"/>
              <w:right w:val="single" w:sz="4" w:space="0" w:color="auto"/>
            </w:tcBorders>
          </w:tcPr>
          <w:p w14:paraId="407DB455" w14:textId="77777777" w:rsidR="000D7175" w:rsidRDefault="000D7175" w:rsidP="000D7175">
            <w:pPr>
              <w:pStyle w:val="Tablewriting"/>
              <w:jc w:val="center"/>
            </w:pPr>
          </w:p>
          <w:p w14:paraId="67E47E3D" w14:textId="77777777" w:rsidR="000D7175" w:rsidRDefault="000D7175" w:rsidP="000D7175">
            <w:pPr>
              <w:pStyle w:val="Tablewriting"/>
              <w:jc w:val="center"/>
            </w:pPr>
            <w:r>
              <w:t>3</w:t>
            </w:r>
          </w:p>
          <w:p w14:paraId="5E35FC81" w14:textId="43CBCF63" w:rsidR="000D7175" w:rsidRDefault="000D7175" w:rsidP="000D7175">
            <w:pPr>
              <w:pStyle w:val="Tablewriting"/>
              <w:jc w:val="center"/>
            </w:pPr>
            <w:r>
              <w:t>3</w:t>
            </w:r>
          </w:p>
        </w:tc>
        <w:tc>
          <w:tcPr>
            <w:tcW w:w="1134" w:type="dxa"/>
            <w:tcBorders>
              <w:top w:val="single" w:sz="4" w:space="0" w:color="auto"/>
              <w:left w:val="single" w:sz="4" w:space="0" w:color="auto"/>
              <w:bottom w:val="single" w:sz="4" w:space="0" w:color="auto"/>
              <w:right w:val="single" w:sz="4" w:space="0" w:color="auto"/>
            </w:tcBorders>
          </w:tcPr>
          <w:p w14:paraId="7CDFF203" w14:textId="77777777" w:rsidR="000D7175" w:rsidRDefault="000D7175" w:rsidP="000D7175">
            <w:pPr>
              <w:pStyle w:val="Tablewriting"/>
              <w:jc w:val="center"/>
            </w:pPr>
          </w:p>
          <w:p w14:paraId="650E12A7" w14:textId="77777777" w:rsidR="000D7175" w:rsidRDefault="000D7175" w:rsidP="000D7175">
            <w:pPr>
              <w:pStyle w:val="Tablewriting"/>
              <w:jc w:val="center"/>
            </w:pPr>
            <w:r>
              <w:t>$6,933.17</w:t>
            </w:r>
          </w:p>
          <w:p w14:paraId="5824D91F" w14:textId="67EE8CAC" w:rsidR="000D7175" w:rsidRDefault="000D7175" w:rsidP="000D7175">
            <w:pPr>
              <w:pStyle w:val="Tablewriting"/>
              <w:jc w:val="center"/>
            </w:pPr>
            <w:r>
              <w:t>$6,933.17</w:t>
            </w:r>
          </w:p>
        </w:tc>
        <w:tc>
          <w:tcPr>
            <w:tcW w:w="2268" w:type="dxa"/>
            <w:tcBorders>
              <w:top w:val="single" w:sz="4" w:space="0" w:color="auto"/>
              <w:left w:val="single" w:sz="4" w:space="0" w:color="auto"/>
              <w:bottom w:val="single" w:sz="4" w:space="0" w:color="auto"/>
              <w:right w:val="single" w:sz="4" w:space="0" w:color="auto"/>
            </w:tcBorders>
          </w:tcPr>
          <w:p w14:paraId="459793ED" w14:textId="77777777" w:rsidR="000D7175" w:rsidRPr="002142AD" w:rsidRDefault="000D7175" w:rsidP="000D7175">
            <w:pPr>
              <w:pStyle w:val="Tablewriting"/>
            </w:pPr>
            <w:r w:rsidRPr="002142AD">
              <w:t>Xalkori®</w:t>
            </w:r>
          </w:p>
          <w:p w14:paraId="18AA688F" w14:textId="6312C516" w:rsidR="000D7175" w:rsidRPr="002142AD" w:rsidRDefault="000D7175" w:rsidP="000D7175">
            <w:pPr>
              <w:pStyle w:val="Tablewriting"/>
            </w:pPr>
            <w:r w:rsidRPr="002142AD">
              <w:t>Pfizer Australia Pty Ltd</w:t>
            </w:r>
          </w:p>
        </w:tc>
      </w:tr>
      <w:tr w:rsidR="000D7175" w:rsidRPr="0056392D" w14:paraId="040E86F1" w14:textId="77777777" w:rsidTr="0073747B">
        <w:trPr>
          <w:trHeight w:val="483"/>
          <w:tblHeader/>
        </w:trPr>
        <w:tc>
          <w:tcPr>
            <w:tcW w:w="988" w:type="dxa"/>
            <w:tcBorders>
              <w:top w:val="single" w:sz="4" w:space="0" w:color="auto"/>
              <w:left w:val="single" w:sz="4" w:space="0" w:color="auto"/>
              <w:bottom w:val="single" w:sz="4" w:space="0" w:color="auto"/>
              <w:right w:val="single" w:sz="4" w:space="0" w:color="auto"/>
            </w:tcBorders>
          </w:tcPr>
          <w:p w14:paraId="4B8041A9" w14:textId="77777777" w:rsidR="000D7175" w:rsidRDefault="000D7175" w:rsidP="000D7175">
            <w:pPr>
              <w:pStyle w:val="Tablewriting"/>
            </w:pPr>
          </w:p>
          <w:p w14:paraId="133BE329" w14:textId="1263C105" w:rsidR="000D7175" w:rsidRDefault="000D7175" w:rsidP="000D7175">
            <w:pPr>
              <w:pStyle w:val="Tablewriting"/>
            </w:pPr>
            <w:r w:rsidRPr="00400900">
              <w:t>12092K</w:t>
            </w:r>
          </w:p>
        </w:tc>
        <w:tc>
          <w:tcPr>
            <w:tcW w:w="2398" w:type="dxa"/>
            <w:tcBorders>
              <w:top w:val="single" w:sz="4" w:space="0" w:color="auto"/>
              <w:left w:val="single" w:sz="4" w:space="0" w:color="auto"/>
              <w:bottom w:val="single" w:sz="4" w:space="0" w:color="auto"/>
              <w:right w:val="single" w:sz="4" w:space="0" w:color="auto"/>
            </w:tcBorders>
          </w:tcPr>
          <w:p w14:paraId="17F0A161" w14:textId="77777777" w:rsidR="000D7175" w:rsidRDefault="000D7175" w:rsidP="000D7175">
            <w:pPr>
              <w:pStyle w:val="Tablewriting"/>
            </w:pPr>
            <w:r w:rsidRPr="002142AD">
              <w:t>entrectinib</w:t>
            </w:r>
            <w:r>
              <w:t>,</w:t>
            </w:r>
          </w:p>
          <w:p w14:paraId="7B86622D" w14:textId="056BC16F" w:rsidR="000D7175" w:rsidRPr="002142AD" w:rsidRDefault="000D7175" w:rsidP="000D7175">
            <w:pPr>
              <w:pStyle w:val="Tablewriting"/>
            </w:pPr>
            <w:r>
              <w:t xml:space="preserve">200 mg capsule, 90 </w:t>
            </w:r>
          </w:p>
        </w:tc>
        <w:tc>
          <w:tcPr>
            <w:tcW w:w="709" w:type="dxa"/>
            <w:tcBorders>
              <w:top w:val="single" w:sz="4" w:space="0" w:color="auto"/>
              <w:left w:val="single" w:sz="4" w:space="0" w:color="auto"/>
              <w:bottom w:val="single" w:sz="4" w:space="0" w:color="auto"/>
              <w:right w:val="single" w:sz="4" w:space="0" w:color="auto"/>
            </w:tcBorders>
          </w:tcPr>
          <w:p w14:paraId="11E885D6" w14:textId="77777777" w:rsidR="000D7175" w:rsidRDefault="000D7175" w:rsidP="000D7175">
            <w:pPr>
              <w:pStyle w:val="Tablewriting"/>
              <w:jc w:val="center"/>
            </w:pPr>
          </w:p>
          <w:p w14:paraId="6D7140B8" w14:textId="2063134C" w:rsidR="000D7175" w:rsidRDefault="000D7175" w:rsidP="000D7175">
            <w:pPr>
              <w:pStyle w:val="Tablewriting"/>
              <w:jc w:val="center"/>
            </w:pPr>
            <w:r>
              <w:t>1</w:t>
            </w:r>
          </w:p>
        </w:tc>
        <w:tc>
          <w:tcPr>
            <w:tcW w:w="720" w:type="dxa"/>
            <w:tcBorders>
              <w:top w:val="single" w:sz="4" w:space="0" w:color="auto"/>
              <w:left w:val="single" w:sz="4" w:space="0" w:color="auto"/>
              <w:bottom w:val="single" w:sz="4" w:space="0" w:color="auto"/>
              <w:right w:val="single" w:sz="4" w:space="0" w:color="auto"/>
            </w:tcBorders>
          </w:tcPr>
          <w:p w14:paraId="13E81910" w14:textId="77777777" w:rsidR="000D7175" w:rsidRDefault="000D7175" w:rsidP="000D7175">
            <w:pPr>
              <w:pStyle w:val="Tablewriting"/>
              <w:jc w:val="center"/>
            </w:pPr>
          </w:p>
          <w:p w14:paraId="2CCCD419" w14:textId="4A16351B" w:rsidR="000D7175" w:rsidRDefault="000D7175" w:rsidP="000D7175">
            <w:pPr>
              <w:pStyle w:val="Tablewriting"/>
              <w:jc w:val="center"/>
            </w:pPr>
            <w:r>
              <w:t>90</w:t>
            </w:r>
          </w:p>
        </w:tc>
        <w:tc>
          <w:tcPr>
            <w:tcW w:w="709" w:type="dxa"/>
            <w:tcBorders>
              <w:top w:val="single" w:sz="4" w:space="0" w:color="auto"/>
              <w:left w:val="single" w:sz="4" w:space="0" w:color="auto"/>
              <w:bottom w:val="single" w:sz="4" w:space="0" w:color="auto"/>
              <w:right w:val="single" w:sz="4" w:space="0" w:color="auto"/>
            </w:tcBorders>
          </w:tcPr>
          <w:p w14:paraId="510032C9" w14:textId="77777777" w:rsidR="000D7175" w:rsidRDefault="000D7175" w:rsidP="000D7175">
            <w:pPr>
              <w:pStyle w:val="Tablewriting"/>
              <w:jc w:val="center"/>
            </w:pPr>
          </w:p>
          <w:p w14:paraId="48F1834C" w14:textId="0FA92B07" w:rsidR="000D7175" w:rsidRDefault="000D7175" w:rsidP="000D7175">
            <w:pPr>
              <w:pStyle w:val="Tablewriting"/>
              <w:jc w:val="center"/>
            </w:pPr>
            <w:r>
              <w:t>3</w:t>
            </w:r>
          </w:p>
        </w:tc>
        <w:tc>
          <w:tcPr>
            <w:tcW w:w="1134" w:type="dxa"/>
            <w:tcBorders>
              <w:top w:val="single" w:sz="4" w:space="0" w:color="auto"/>
              <w:left w:val="single" w:sz="4" w:space="0" w:color="auto"/>
              <w:bottom w:val="single" w:sz="4" w:space="0" w:color="auto"/>
              <w:right w:val="single" w:sz="4" w:space="0" w:color="auto"/>
            </w:tcBorders>
          </w:tcPr>
          <w:p w14:paraId="67E4757F" w14:textId="77777777" w:rsidR="000D7175" w:rsidRDefault="000D7175" w:rsidP="000D7175">
            <w:pPr>
              <w:pStyle w:val="Tablewriting"/>
              <w:jc w:val="center"/>
            </w:pPr>
          </w:p>
          <w:p w14:paraId="7446C7A2" w14:textId="427C6DB1" w:rsidR="000D7175" w:rsidRDefault="000D7175" w:rsidP="000D7175">
            <w:pPr>
              <w:pStyle w:val="Tablewriting"/>
              <w:jc w:val="center"/>
            </w:pPr>
            <w:r>
              <w:t>$7,289.58</w:t>
            </w:r>
          </w:p>
        </w:tc>
        <w:tc>
          <w:tcPr>
            <w:tcW w:w="2268" w:type="dxa"/>
            <w:tcBorders>
              <w:top w:val="single" w:sz="4" w:space="0" w:color="auto"/>
              <w:left w:val="single" w:sz="4" w:space="0" w:color="auto"/>
              <w:bottom w:val="single" w:sz="4" w:space="0" w:color="auto"/>
              <w:right w:val="single" w:sz="4" w:space="0" w:color="auto"/>
            </w:tcBorders>
          </w:tcPr>
          <w:p w14:paraId="3A88F000" w14:textId="77777777" w:rsidR="000D7175" w:rsidRPr="002142AD" w:rsidRDefault="000D7175" w:rsidP="000D7175">
            <w:pPr>
              <w:pStyle w:val="Tablewriting"/>
            </w:pPr>
            <w:r w:rsidRPr="002142AD">
              <w:t>Rozlytrek®</w:t>
            </w:r>
          </w:p>
          <w:p w14:paraId="5A658790" w14:textId="326BFB87" w:rsidR="000D7175" w:rsidRPr="002142AD" w:rsidRDefault="000D7175" w:rsidP="000D7175">
            <w:pPr>
              <w:pStyle w:val="Tablewriting"/>
            </w:pPr>
            <w:r w:rsidRPr="002142AD">
              <w:t>Roche Products Pty Ltd</w:t>
            </w:r>
          </w:p>
        </w:tc>
      </w:tr>
    </w:tbl>
    <w:p w14:paraId="1A7C89A2" w14:textId="2E78F205" w:rsidR="0073747B" w:rsidRDefault="0073747B" w:rsidP="0073747B">
      <w:pPr>
        <w:pStyle w:val="Notes"/>
      </w:pPr>
      <w:r>
        <w:t xml:space="preserve">Source: the </w:t>
      </w:r>
      <w:hyperlink r:id="rId65" w:history="1">
        <w:r>
          <w:rPr>
            <w:rStyle w:val="Hyperlink"/>
          </w:rPr>
          <w:t>PBS website</w:t>
        </w:r>
      </w:hyperlink>
      <w:r>
        <w:t xml:space="preserve">.  </w:t>
      </w:r>
    </w:p>
    <w:p w14:paraId="4F5A88B4" w14:textId="265A65AA" w:rsidR="0073747B" w:rsidRDefault="0073747B" w:rsidP="00614A7D">
      <w:pPr>
        <w:rPr>
          <w:b/>
        </w:rPr>
      </w:pPr>
    </w:p>
    <w:p w14:paraId="74FAF2E9" w14:textId="5A45D1C6" w:rsidR="00A12130" w:rsidRDefault="00A12130" w:rsidP="00614A7D">
      <w:pPr>
        <w:rPr>
          <w:b/>
        </w:rPr>
      </w:pPr>
    </w:p>
    <w:p w14:paraId="438D7FF5" w14:textId="2672AA7B" w:rsidR="00A12130" w:rsidRDefault="00A12130" w:rsidP="00614A7D">
      <w:pPr>
        <w:rPr>
          <w:b/>
        </w:rPr>
      </w:pPr>
    </w:p>
    <w:p w14:paraId="1802E74F" w14:textId="42708523" w:rsidR="00A12130" w:rsidRDefault="00A12130" w:rsidP="00614A7D">
      <w:pPr>
        <w:rPr>
          <w:b/>
        </w:rPr>
      </w:pPr>
    </w:p>
    <w:p w14:paraId="71B05578" w14:textId="14CBE0EC" w:rsidR="00A12130" w:rsidRDefault="00A12130" w:rsidP="00614A7D">
      <w:pPr>
        <w:rPr>
          <w:b/>
        </w:rPr>
      </w:pPr>
    </w:p>
    <w:p w14:paraId="6C8068D1" w14:textId="154204C7" w:rsidR="00A12130" w:rsidRDefault="00A12130" w:rsidP="00614A7D">
      <w:pPr>
        <w:rPr>
          <w:b/>
        </w:rPr>
      </w:pPr>
    </w:p>
    <w:p w14:paraId="20BDFAAC" w14:textId="33464AB0" w:rsidR="00A12130" w:rsidRDefault="00A12130" w:rsidP="00614A7D">
      <w:pPr>
        <w:rPr>
          <w:b/>
        </w:rPr>
      </w:pPr>
    </w:p>
    <w:p w14:paraId="65DD0983" w14:textId="77777777" w:rsidR="00A12130" w:rsidRPr="00614A7D" w:rsidRDefault="00A12130" w:rsidP="00614A7D">
      <w:pPr>
        <w:rPr>
          <w:b/>
        </w:rPr>
      </w:pPr>
    </w:p>
    <w:sectPr w:rsidR="00A12130" w:rsidRPr="00614A7D" w:rsidSect="00DD188C">
      <w:headerReference w:type="even" r:id="rId66"/>
      <w:headerReference w:type="default" r:id="rId67"/>
      <w:footerReference w:type="even" r:id="rId68"/>
      <w:footerReference w:type="default" r:id="rId69"/>
      <w:headerReference w:type="first" r:id="rId70"/>
      <w:footerReference w:type="first" r:id="rId71"/>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515B3" w14:textId="77777777" w:rsidR="001D3600" w:rsidRDefault="001D3600" w:rsidP="00A35800">
      <w:r>
        <w:separator/>
      </w:r>
    </w:p>
  </w:endnote>
  <w:endnote w:type="continuationSeparator" w:id="0">
    <w:p w14:paraId="585BFCB2" w14:textId="77777777" w:rsidR="001D3600" w:rsidRDefault="001D3600"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D5E5" w14:textId="77777777" w:rsidR="0084343F" w:rsidRDefault="0084343F"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84343F" w:rsidRDefault="0084343F"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0682B98" w14:textId="06F2E44A" w:rsidR="0084343F" w:rsidRPr="000E72C6" w:rsidRDefault="00344014" w:rsidP="000E72C6">
            <w:pPr>
              <w:pStyle w:val="Footer"/>
              <w:jc w:val="center"/>
              <w:rPr>
                <w:i/>
                <w:sz w:val="20"/>
              </w:rPr>
            </w:pPr>
            <w:r>
              <w:rPr>
                <w:i/>
                <w:sz w:val="20"/>
              </w:rPr>
              <w:t>Public Release Document, September 2022 DUSC Meeting</w:t>
            </w:r>
          </w:p>
          <w:p w14:paraId="10292A9A" w14:textId="2C40BBEC" w:rsidR="0084343F" w:rsidRDefault="0084343F"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noProof/>
                <w:sz w:val="20"/>
              </w:rPr>
              <w:t>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noProof/>
                <w:sz w:val="20"/>
              </w:rPr>
              <w:t>13</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2E1F" w14:textId="77777777" w:rsidR="0084343F" w:rsidRDefault="0084343F" w:rsidP="007A5733">
    <w:pPr>
      <w:pStyle w:val="Footer"/>
      <w:jc w:val="center"/>
      <w:rPr>
        <w:rStyle w:val="PageNumber"/>
      </w:rPr>
    </w:pPr>
    <w:r>
      <w:rPr>
        <w:rStyle w:val="PageNumber"/>
      </w:rPr>
      <w:t>Committee-in-Confidence</w:t>
    </w:r>
  </w:p>
  <w:p w14:paraId="3CE6880B" w14:textId="77777777" w:rsidR="0084343F" w:rsidRDefault="0084343F"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B8AC" w14:textId="77777777" w:rsidR="001D3600" w:rsidRDefault="001D3600" w:rsidP="00A35800">
      <w:r>
        <w:separator/>
      </w:r>
    </w:p>
  </w:footnote>
  <w:footnote w:type="continuationSeparator" w:id="0">
    <w:p w14:paraId="56E768D3" w14:textId="77777777" w:rsidR="001D3600" w:rsidRDefault="001D3600" w:rsidP="00A35800">
      <w:r>
        <w:continuationSeparator/>
      </w:r>
    </w:p>
  </w:footnote>
  <w:footnote w:id="1">
    <w:p w14:paraId="2BD802F8" w14:textId="77777777" w:rsidR="0084343F" w:rsidRDefault="0084343F" w:rsidP="00027D4C">
      <w:pPr>
        <w:pStyle w:val="FootnoteText"/>
      </w:pPr>
      <w:r>
        <w:rPr>
          <w:rStyle w:val="FootnoteReference"/>
        </w:rPr>
        <w:footnoteRef/>
      </w:r>
      <w:r>
        <w:t xml:space="preserve"> Australian Institute of Health and Welfare. Cancer data in Australia [Internet]. Canberra: Australian Institute of Health and Welfare, 2020 [cited 2020 Aug. 19]. Available from: https://www.aihw.gov.au/reports/cancer/cancer-data-in-australia</w:t>
      </w:r>
    </w:p>
  </w:footnote>
  <w:footnote w:id="2">
    <w:p w14:paraId="1EB5EE54" w14:textId="77777777" w:rsidR="0084343F" w:rsidRDefault="0084343F" w:rsidP="00027D4C">
      <w:pPr>
        <w:pStyle w:val="FootnoteText"/>
      </w:pPr>
      <w:r>
        <w:rPr>
          <w:rStyle w:val="FootnoteReference"/>
        </w:rPr>
        <w:footnoteRef/>
      </w:r>
      <w:r>
        <w:t xml:space="preserve"> </w:t>
      </w:r>
      <w:r>
        <w:t>Zarogoulidis K, Zarogoulidis P, Darwiche K, et al. Treatment of non-small cell lung cancer (NSCLC). J Thorac Dis. 2013;5 Suppl 4(Suppl 4):S389-S396. doi:10.3978/j.issn.2072-1439.2013.07.10</w:t>
      </w:r>
    </w:p>
  </w:footnote>
  <w:footnote w:id="3">
    <w:p w14:paraId="486C0312" w14:textId="4F1E66AB" w:rsidR="0084343F" w:rsidRDefault="0084343F">
      <w:pPr>
        <w:pStyle w:val="FootnoteText"/>
      </w:pPr>
      <w:r>
        <w:rPr>
          <w:rStyle w:val="FootnoteReference"/>
        </w:rPr>
        <w:footnoteRef/>
      </w:r>
      <w:r>
        <w:t xml:space="preserve"> </w:t>
      </w:r>
      <w:r>
        <w:rPr>
          <w:szCs w:val="18"/>
        </w:rPr>
        <w:t>Imfinzi (durvalumab). Australian Approved Product Information. Macquarie Park: AstraZeneca Pty Ltd. Approved 2 October 2018, updated 27 October 2021. Available from &lt;</w:t>
      </w:r>
      <w:r w:rsidRPr="00CD4486">
        <w:t xml:space="preserve"> </w:t>
      </w:r>
      <w:r w:rsidRPr="00CD4486">
        <w:rPr>
          <w:szCs w:val="18"/>
        </w:rPr>
        <w:t>https://www.tga.gov.au/product-information-pi</w:t>
      </w:r>
      <w:r>
        <w:rPr>
          <w:szCs w:val="18"/>
        </w:rPr>
        <w:t>.&gt;</w:t>
      </w:r>
    </w:p>
  </w:footnote>
  <w:footnote w:id="4">
    <w:p w14:paraId="78981E6B" w14:textId="77777777" w:rsidR="0084343F" w:rsidRDefault="0084343F" w:rsidP="00365DA6">
      <w:pPr>
        <w:pStyle w:val="FootnoteText"/>
      </w:pPr>
      <w:r>
        <w:rPr>
          <w:rStyle w:val="FootnoteReference"/>
        </w:rPr>
        <w:footnoteRef/>
      </w:r>
      <w:r>
        <w:t xml:space="preserve"> </w:t>
      </w:r>
      <w:r>
        <w:rPr>
          <w:szCs w:val="18"/>
        </w:rPr>
        <w:t>Tecentriq (atezolizumab). Australian Approved Product Information. Sydney: Pfizer Australia Pty Ltd. Approved 27 July 2017, updated 12 May 2022. Available from &lt;</w:t>
      </w:r>
      <w:r w:rsidRPr="00CD4486">
        <w:t xml:space="preserve"> </w:t>
      </w:r>
      <w:r w:rsidRPr="00CD4486">
        <w:rPr>
          <w:szCs w:val="18"/>
        </w:rPr>
        <w:t>https://www.tga.gov.au/product-information-pi</w:t>
      </w:r>
      <w:r>
        <w:rPr>
          <w:szCs w:val="18"/>
        </w:rPr>
        <w:t>.&gt;</w:t>
      </w:r>
    </w:p>
  </w:footnote>
  <w:footnote w:id="5">
    <w:p w14:paraId="3F789EBC" w14:textId="67FE1471" w:rsidR="0084343F" w:rsidRDefault="0084343F">
      <w:pPr>
        <w:pStyle w:val="FootnoteText"/>
      </w:pPr>
      <w:r>
        <w:rPr>
          <w:rStyle w:val="FootnoteReference"/>
        </w:rPr>
        <w:footnoteRef/>
      </w:r>
      <w:r>
        <w:t xml:space="preserve"> </w:t>
      </w:r>
      <w:r>
        <w:t xml:space="preserve">Opdivo (nivolumab). </w:t>
      </w:r>
      <w:r>
        <w:rPr>
          <w:szCs w:val="18"/>
        </w:rPr>
        <w:t>Australian Approved Product Information. Mulgrave: Bristol-Myers Squibb Australia Pty Ltd. Approved 11 January 2016, updated 18 July 2022. Available from &lt;</w:t>
      </w:r>
      <w:r w:rsidRPr="00CD4486">
        <w:t xml:space="preserve"> </w:t>
      </w:r>
      <w:r w:rsidRPr="00CD4486">
        <w:rPr>
          <w:szCs w:val="18"/>
        </w:rPr>
        <w:t>https://www.tga.gov.au/product-information-pi</w:t>
      </w:r>
      <w:r>
        <w:rPr>
          <w:szCs w:val="18"/>
        </w:rPr>
        <w:t>.&gt;</w:t>
      </w:r>
    </w:p>
  </w:footnote>
  <w:footnote w:id="6">
    <w:p w14:paraId="6CD417E9" w14:textId="77777777" w:rsidR="0084343F" w:rsidRDefault="0084343F">
      <w:pPr>
        <w:pStyle w:val="FootnoteText"/>
      </w:pPr>
      <w:r>
        <w:rPr>
          <w:rStyle w:val="FootnoteReference"/>
        </w:rPr>
        <w:footnoteRef/>
      </w:r>
      <w:r>
        <w:t xml:space="preserve"> </w:t>
      </w:r>
      <w:r>
        <w:rPr>
          <w:szCs w:val="18"/>
        </w:rPr>
        <w:t>Keytruda (pembrolizumab). Australian Approved Product Information. Macquarie Park: Merck Sharp &amp; Dome (Australia) Pty Limited. Approved 16 April 2015, updated 18 May 2022. Available from &lt;</w:t>
      </w:r>
      <w:r w:rsidRPr="00CD4486">
        <w:t xml:space="preserve"> </w:t>
      </w:r>
      <w:r w:rsidRPr="00CD4486">
        <w:rPr>
          <w:szCs w:val="18"/>
        </w:rPr>
        <w:t>https://www.tga.gov.au/product-information-pi</w:t>
      </w:r>
      <w:r>
        <w:rPr>
          <w:szCs w:val="18"/>
        </w:rPr>
        <w:t>.&gt;</w:t>
      </w:r>
    </w:p>
  </w:footnote>
  <w:footnote w:id="7">
    <w:p w14:paraId="23AD9D1F" w14:textId="10D2A0FB" w:rsidR="0084343F" w:rsidRDefault="0084343F">
      <w:pPr>
        <w:pStyle w:val="FootnoteText"/>
      </w:pPr>
      <w:r>
        <w:rPr>
          <w:rStyle w:val="FootnoteReference"/>
        </w:rPr>
        <w:footnoteRef/>
      </w:r>
      <w:r>
        <w:t xml:space="preserve"> </w:t>
      </w:r>
      <w:r>
        <w:rPr>
          <w:szCs w:val="18"/>
        </w:rPr>
        <w:t>Giotrif (afatinib). Australian Approved Product Information. North Ryde: Boehringer Ingelheim Pty Limited. Approved 7 November 2013, updated 17 December 2020. Available from &lt;</w:t>
      </w:r>
      <w:r w:rsidRPr="00CD4486">
        <w:t xml:space="preserve"> </w:t>
      </w:r>
      <w:r w:rsidRPr="00CD4486">
        <w:rPr>
          <w:szCs w:val="18"/>
        </w:rPr>
        <w:t>https://www.tga.gov.au/product-information-pi</w:t>
      </w:r>
      <w:r>
        <w:rPr>
          <w:szCs w:val="18"/>
        </w:rPr>
        <w:t>.&gt;</w:t>
      </w:r>
    </w:p>
  </w:footnote>
  <w:footnote w:id="8">
    <w:p w14:paraId="79E976B3" w14:textId="77777777" w:rsidR="0084343F" w:rsidRDefault="0084343F">
      <w:pPr>
        <w:pStyle w:val="FootnoteText"/>
      </w:pPr>
      <w:r>
        <w:rPr>
          <w:rStyle w:val="FootnoteReference"/>
        </w:rPr>
        <w:footnoteRef/>
      </w:r>
      <w:r>
        <w:t xml:space="preserve"> </w:t>
      </w:r>
      <w:r>
        <w:rPr>
          <w:szCs w:val="18"/>
        </w:rPr>
        <w:t>Alecensa (alectinib). Australian Approved Product Information. Sydney: Roche Products Pty Limited. Approved 14 March 2017, updated 7 May 2021. Available from &lt;</w:t>
      </w:r>
      <w:r w:rsidRPr="00CD4486">
        <w:t xml:space="preserve"> </w:t>
      </w:r>
      <w:r w:rsidRPr="00CD4486">
        <w:rPr>
          <w:szCs w:val="18"/>
        </w:rPr>
        <w:t>https://www.tga.gov.au/product-information-pi</w:t>
      </w:r>
      <w:r>
        <w:rPr>
          <w:szCs w:val="18"/>
        </w:rPr>
        <w:t>.&gt;</w:t>
      </w:r>
    </w:p>
  </w:footnote>
  <w:footnote w:id="9">
    <w:p w14:paraId="3DD9A631" w14:textId="77777777" w:rsidR="0084343F" w:rsidRDefault="0084343F" w:rsidP="00930CE4">
      <w:pPr>
        <w:pStyle w:val="FootnoteText"/>
      </w:pPr>
      <w:r>
        <w:rPr>
          <w:rStyle w:val="FootnoteReference"/>
        </w:rPr>
        <w:footnoteRef/>
      </w:r>
      <w:r>
        <w:t xml:space="preserve"> </w:t>
      </w:r>
      <w:r>
        <w:rPr>
          <w:szCs w:val="18"/>
        </w:rPr>
        <w:t>Alunbrig (brigatinib). Australian Approved Product Information. Sydney: Takeda Pharmaceuticals Australia Pty Ltd. Approved 6 March 2019, updated 3 June 2022. Available from &lt;</w:t>
      </w:r>
      <w:r w:rsidRPr="00CD4486">
        <w:t xml:space="preserve"> </w:t>
      </w:r>
      <w:r w:rsidRPr="00CD4486">
        <w:rPr>
          <w:szCs w:val="18"/>
        </w:rPr>
        <w:t>https://www.tga.gov.au/product-information-pi</w:t>
      </w:r>
      <w:r>
        <w:rPr>
          <w:szCs w:val="18"/>
        </w:rPr>
        <w:t>.&gt;</w:t>
      </w:r>
    </w:p>
  </w:footnote>
  <w:footnote w:id="10">
    <w:p w14:paraId="4CAADFA0" w14:textId="77777777" w:rsidR="0084343F" w:rsidRDefault="0084343F">
      <w:pPr>
        <w:pStyle w:val="FootnoteText"/>
      </w:pPr>
      <w:r>
        <w:rPr>
          <w:rStyle w:val="FootnoteReference"/>
        </w:rPr>
        <w:footnoteRef/>
      </w:r>
      <w:r>
        <w:t xml:space="preserve"> </w:t>
      </w:r>
      <w:r>
        <w:rPr>
          <w:szCs w:val="18"/>
        </w:rPr>
        <w:t>Zykadia (ceritinib). Australian Approved Product Information. Macquarie Park: Novartis Pharmaceuticals Australia Pty Limited. Approved 31 March 2016, updated 23 March 2022. Available from &lt;</w:t>
      </w:r>
      <w:r w:rsidRPr="00CD4486">
        <w:t xml:space="preserve"> </w:t>
      </w:r>
      <w:r w:rsidRPr="00CD4486">
        <w:rPr>
          <w:szCs w:val="18"/>
        </w:rPr>
        <w:t>https://www.tga.gov.au/product-information-pi</w:t>
      </w:r>
      <w:r>
        <w:rPr>
          <w:szCs w:val="18"/>
        </w:rPr>
        <w:t>.&gt;</w:t>
      </w:r>
    </w:p>
  </w:footnote>
  <w:footnote w:id="11">
    <w:p w14:paraId="5BEE05E7" w14:textId="77777777" w:rsidR="0084343F" w:rsidRDefault="0084343F">
      <w:pPr>
        <w:pStyle w:val="FootnoteText"/>
      </w:pPr>
      <w:r>
        <w:rPr>
          <w:rStyle w:val="FootnoteReference"/>
        </w:rPr>
        <w:footnoteRef/>
      </w:r>
      <w:r>
        <w:t xml:space="preserve"> </w:t>
      </w:r>
      <w:r>
        <w:rPr>
          <w:szCs w:val="18"/>
        </w:rPr>
        <w:t>Xalkori (crizotinib). Australian Approved Product Information. Sydney: Pfizer Australia Pty Ltd. Approved 27 September 2013, updated 10 September 2020. Available from &lt;</w:t>
      </w:r>
      <w:r w:rsidRPr="00CD4486">
        <w:t xml:space="preserve"> </w:t>
      </w:r>
      <w:r w:rsidRPr="00CD4486">
        <w:rPr>
          <w:szCs w:val="18"/>
        </w:rPr>
        <w:t>https://www.tga.gov.au/product-information-pi</w:t>
      </w:r>
      <w:r>
        <w:rPr>
          <w:szCs w:val="18"/>
        </w:rPr>
        <w:t>.&gt;</w:t>
      </w:r>
    </w:p>
  </w:footnote>
  <w:footnote w:id="12">
    <w:p w14:paraId="3C5E427C" w14:textId="77777777" w:rsidR="0084343F" w:rsidRDefault="0084343F">
      <w:pPr>
        <w:pStyle w:val="FootnoteText"/>
      </w:pPr>
      <w:r>
        <w:rPr>
          <w:rStyle w:val="FootnoteReference"/>
        </w:rPr>
        <w:footnoteRef/>
      </w:r>
      <w:r>
        <w:t xml:space="preserve"> </w:t>
      </w:r>
      <w:r>
        <w:rPr>
          <w:szCs w:val="18"/>
        </w:rPr>
        <w:t>Rozlytrek (entrectinib). Australian Approved Product Information.</w:t>
      </w:r>
      <w:r w:rsidRPr="00EF4647">
        <w:rPr>
          <w:szCs w:val="18"/>
        </w:rPr>
        <w:t xml:space="preserve"> </w:t>
      </w:r>
      <w:r>
        <w:rPr>
          <w:szCs w:val="18"/>
        </w:rPr>
        <w:t>Sydney: Roche Products Pty Limited. Approved 15 May 2020, updated 25 March 2022. Available from &lt;</w:t>
      </w:r>
      <w:r w:rsidRPr="00CD4486">
        <w:t xml:space="preserve"> </w:t>
      </w:r>
      <w:r w:rsidRPr="00CD4486">
        <w:rPr>
          <w:szCs w:val="18"/>
        </w:rPr>
        <w:t>https://www.tga.gov.au/product-information-pi</w:t>
      </w:r>
      <w:r>
        <w:rPr>
          <w:szCs w:val="18"/>
        </w:rPr>
        <w:t>.&gt;</w:t>
      </w:r>
    </w:p>
  </w:footnote>
  <w:footnote w:id="13">
    <w:p w14:paraId="7DE2F630" w14:textId="77777777" w:rsidR="0084343F" w:rsidRDefault="0084343F">
      <w:pPr>
        <w:pStyle w:val="FootnoteText"/>
      </w:pPr>
      <w:r>
        <w:rPr>
          <w:rStyle w:val="FootnoteReference"/>
        </w:rPr>
        <w:footnoteRef/>
      </w:r>
      <w:r>
        <w:t xml:space="preserve"> </w:t>
      </w:r>
      <w:r>
        <w:rPr>
          <w:szCs w:val="18"/>
        </w:rPr>
        <w:t xml:space="preserve">Erlotinib </w:t>
      </w:r>
      <w:r>
        <w:rPr>
          <w:szCs w:val="18"/>
        </w:rPr>
        <w:t>Apotex (erlotinib). Australian Approved Product Information. Kew East: Accelagen Pty Ltd. Approved 13 August 2020. Available from &lt;</w:t>
      </w:r>
      <w:r w:rsidRPr="00CD4486">
        <w:t xml:space="preserve"> </w:t>
      </w:r>
      <w:r w:rsidRPr="00CD4486">
        <w:rPr>
          <w:szCs w:val="18"/>
        </w:rPr>
        <w:t>https://www.tga.gov.au/product-information-pi</w:t>
      </w:r>
      <w:r>
        <w:rPr>
          <w:szCs w:val="18"/>
        </w:rPr>
        <w:t>.&gt;</w:t>
      </w:r>
    </w:p>
  </w:footnote>
  <w:footnote w:id="14">
    <w:p w14:paraId="070B79B1" w14:textId="77777777" w:rsidR="0084343F" w:rsidRDefault="0084343F">
      <w:pPr>
        <w:pStyle w:val="FootnoteText"/>
      </w:pPr>
      <w:r>
        <w:rPr>
          <w:rStyle w:val="FootnoteReference"/>
        </w:rPr>
        <w:footnoteRef/>
      </w:r>
      <w:r>
        <w:t xml:space="preserve"> </w:t>
      </w:r>
      <w:r>
        <w:rPr>
          <w:szCs w:val="18"/>
        </w:rPr>
        <w:t>Erlotinib Sandoz (erlotinib). Australian Approved Product Information. Macquarie Park: Sandoz Pty Ltd. Approved 2 September 2020. Available from &lt;</w:t>
      </w:r>
      <w:r w:rsidRPr="00CD4486">
        <w:t xml:space="preserve"> </w:t>
      </w:r>
      <w:r w:rsidRPr="00CD4486">
        <w:rPr>
          <w:szCs w:val="18"/>
        </w:rPr>
        <w:t>https://www.tga.gov.au/product-information-pi</w:t>
      </w:r>
      <w:r>
        <w:rPr>
          <w:szCs w:val="18"/>
        </w:rPr>
        <w:t>.&gt;</w:t>
      </w:r>
    </w:p>
  </w:footnote>
  <w:footnote w:id="15">
    <w:p w14:paraId="28E1EF1C" w14:textId="77777777" w:rsidR="0084343F" w:rsidRDefault="0084343F">
      <w:pPr>
        <w:pStyle w:val="FootnoteText"/>
      </w:pPr>
      <w:r>
        <w:rPr>
          <w:rStyle w:val="FootnoteReference"/>
        </w:rPr>
        <w:footnoteRef/>
      </w:r>
      <w:r>
        <w:t xml:space="preserve"> </w:t>
      </w:r>
      <w:r>
        <w:rPr>
          <w:szCs w:val="18"/>
        </w:rPr>
        <w:t>Iressa (gefitinib). Australian Approved Product Information. Macquarie Park: AstraZeneca Pty Ltd. Approved 28 April 2003, updated 13 January 2021. Available from &lt;</w:t>
      </w:r>
      <w:r w:rsidRPr="00CD4486">
        <w:t xml:space="preserve"> </w:t>
      </w:r>
      <w:r w:rsidRPr="00CD4486">
        <w:rPr>
          <w:szCs w:val="18"/>
        </w:rPr>
        <w:t>https://www.tga.gov.au/product-information-pi</w:t>
      </w:r>
      <w:r>
        <w:rPr>
          <w:szCs w:val="18"/>
        </w:rPr>
        <w:t>.&gt;</w:t>
      </w:r>
    </w:p>
  </w:footnote>
  <w:footnote w:id="16">
    <w:p w14:paraId="7E9EC921" w14:textId="77777777" w:rsidR="0084343F" w:rsidRDefault="0084343F">
      <w:pPr>
        <w:pStyle w:val="FootnoteText"/>
      </w:pPr>
      <w:r>
        <w:rPr>
          <w:rStyle w:val="FootnoteReference"/>
        </w:rPr>
        <w:footnoteRef/>
      </w:r>
      <w:r>
        <w:t xml:space="preserve"> </w:t>
      </w:r>
      <w:r>
        <w:rPr>
          <w:szCs w:val="18"/>
        </w:rPr>
        <w:t>Cipla Gefitinib (gefitinib). Australian Approved Product Information. South Melbourne: Cipla Australia Pty Ltd. Approved 23 April 2020, updated 30 April 2021. Available from &lt;</w:t>
      </w:r>
      <w:r w:rsidRPr="00CD4486">
        <w:t xml:space="preserve"> </w:t>
      </w:r>
      <w:r w:rsidRPr="00CD4486">
        <w:rPr>
          <w:szCs w:val="18"/>
        </w:rPr>
        <w:t>https://www.tga.gov.au/product-information-pi</w:t>
      </w:r>
      <w:r>
        <w:rPr>
          <w:szCs w:val="18"/>
        </w:rPr>
        <w:t>.&gt;</w:t>
      </w:r>
    </w:p>
  </w:footnote>
  <w:footnote w:id="17">
    <w:p w14:paraId="32ADB07E" w14:textId="77777777" w:rsidR="0084343F" w:rsidRDefault="0084343F">
      <w:pPr>
        <w:pStyle w:val="FootnoteText"/>
      </w:pPr>
      <w:r>
        <w:rPr>
          <w:rStyle w:val="FootnoteReference"/>
        </w:rPr>
        <w:footnoteRef/>
      </w:r>
      <w:r>
        <w:t xml:space="preserve"> </w:t>
      </w:r>
      <w:r>
        <w:rPr>
          <w:szCs w:val="18"/>
        </w:rPr>
        <w:t>Lorviqua (lorlatinib). Australian Approved Product Information. Sydney: Pfizer Australia Pty Ltd. Approved 19 November 2019, updated 22 December 2021. Available from &lt;</w:t>
      </w:r>
      <w:r w:rsidRPr="00CD4486">
        <w:t xml:space="preserve"> </w:t>
      </w:r>
      <w:r w:rsidRPr="00CD4486">
        <w:rPr>
          <w:szCs w:val="18"/>
        </w:rPr>
        <w:t>https://www.tga.gov.au/product-information-pi</w:t>
      </w:r>
      <w:r>
        <w:rPr>
          <w:szCs w:val="18"/>
        </w:rPr>
        <w:t>.&gt;</w:t>
      </w:r>
    </w:p>
  </w:footnote>
  <w:footnote w:id="18">
    <w:p w14:paraId="76E0A95C" w14:textId="77777777" w:rsidR="0084343F" w:rsidRDefault="0084343F">
      <w:pPr>
        <w:pStyle w:val="FootnoteText"/>
      </w:pPr>
      <w:r>
        <w:rPr>
          <w:rStyle w:val="FootnoteReference"/>
        </w:rPr>
        <w:footnoteRef/>
      </w:r>
      <w:r>
        <w:t xml:space="preserve"> </w:t>
      </w:r>
      <w:r>
        <w:rPr>
          <w:szCs w:val="18"/>
        </w:rPr>
        <w:t>Tagrisso (osimertinib). Australian Approved Product Information. Macquarie Park: AstraZeneca Pty Ltd. Approved 3 August 2016, updated 14 September 2021. Available from &lt;</w:t>
      </w:r>
      <w:r w:rsidRPr="00CD4486">
        <w:t xml:space="preserve"> </w:t>
      </w:r>
      <w:r w:rsidRPr="00CD4486">
        <w:rPr>
          <w:szCs w:val="18"/>
        </w:rPr>
        <w:t>https://www.tga.gov.au/product-information-pi</w:t>
      </w:r>
      <w:r>
        <w:rPr>
          <w:szCs w:val="18"/>
        </w:rPr>
        <w:t>.&gt;</w:t>
      </w:r>
    </w:p>
  </w:footnote>
  <w:footnote w:id="19">
    <w:p w14:paraId="76F66F7B" w14:textId="301DBEF1" w:rsidR="0084343F" w:rsidRDefault="0084343F">
      <w:pPr>
        <w:pStyle w:val="FootnoteText"/>
      </w:pPr>
      <w:r>
        <w:rPr>
          <w:rStyle w:val="FootnoteReference"/>
        </w:rPr>
        <w:footnoteRef/>
      </w:r>
      <w:r>
        <w:t xml:space="preserve"> Department of Health and Aged Care. Pharmaceutical Benefits Scheme (PBS). Bevacizumab on the PBS. Available from &lt;</w:t>
      </w:r>
      <w:r w:rsidRPr="00764B0A">
        <w:t>https://www.pbs.gov.au/info/news/2021/07/bevacizumab-on-the-pbs</w:t>
      </w:r>
      <w:r>
        <w:t>&gt;</w:t>
      </w:r>
    </w:p>
  </w:footnote>
  <w:footnote w:id="20">
    <w:p w14:paraId="701EA48D" w14:textId="41918EA9" w:rsidR="0084343F" w:rsidRPr="00BC5AE2" w:rsidRDefault="0084343F" w:rsidP="00292AB5">
      <w:pPr>
        <w:pStyle w:val="FootnoteText"/>
        <w:rPr>
          <w:sz w:val="20"/>
        </w:rPr>
      </w:pPr>
      <w:r w:rsidRPr="00BC5AE2">
        <w:rPr>
          <w:rStyle w:val="FootnoteReference"/>
          <w:sz w:val="20"/>
        </w:rPr>
        <w:footnoteRef/>
      </w:r>
      <w:r w:rsidRPr="00BC5AE2">
        <w:rPr>
          <w:sz w:val="20"/>
        </w:rPr>
        <w:t xml:space="preserve"> PBS statistics</w:t>
      </w:r>
      <w:r>
        <w:rPr>
          <w:sz w:val="20"/>
        </w:rPr>
        <w:t>. Australian Government Services Australia. Canberra. Available from &lt;</w:t>
      </w:r>
      <w:hyperlink r:id="rId1" w:history="1">
        <w:r>
          <w:rPr>
            <w:rStyle w:val="Hyperlink"/>
            <w:sz w:val="20"/>
          </w:rPr>
          <w:t>http://www.medicareaustralia.gov.au/provider/pbs/stats.jsp</w:t>
        </w:r>
      </w:hyperlink>
      <w:r>
        <w:rPr>
          <w:sz w:val="20"/>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8D92" w14:textId="77777777" w:rsidR="00344014" w:rsidRDefault="00344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7B84" w14:textId="1330A3DC" w:rsidR="0084343F" w:rsidRDefault="0084343F" w:rsidP="00FB77FA">
    <w:pPr>
      <w:pStyle w:val="Header"/>
    </w:pPr>
  </w:p>
  <w:p w14:paraId="3A96F15D" w14:textId="77777777" w:rsidR="0084343F" w:rsidRDefault="008434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3A2B" w14:textId="77777777" w:rsidR="00344014" w:rsidRDefault="00344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B0AEF"/>
    <w:multiLevelType w:val="hybridMultilevel"/>
    <w:tmpl w:val="5928E680"/>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00E25F9"/>
    <w:multiLevelType w:val="hybridMultilevel"/>
    <w:tmpl w:val="F8EE4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1744A8"/>
    <w:multiLevelType w:val="hybridMultilevel"/>
    <w:tmpl w:val="6D4C9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8F13E9"/>
    <w:multiLevelType w:val="multilevel"/>
    <w:tmpl w:val="88F0FAAC"/>
    <w:styleLink w:val="ListBullets"/>
    <w:lvl w:ilvl="0">
      <w:start w:val="1"/>
      <w:numFmt w:val="bullet"/>
      <w:pStyle w:val="ListBullet"/>
      <w:lvlText w:val=""/>
      <w:lvlJc w:val="left"/>
      <w:pPr>
        <w:ind w:left="360" w:hanging="360"/>
      </w:pPr>
      <w:rPr>
        <w:rFonts w:ascii="Wingdings" w:hAnsi="Wingdings"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18594001"/>
    <w:multiLevelType w:val="hybridMultilevel"/>
    <w:tmpl w:val="3A1CD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7203CC"/>
    <w:multiLevelType w:val="hybridMultilevel"/>
    <w:tmpl w:val="9304822E"/>
    <w:lvl w:ilvl="0" w:tplc="0C090009">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12375F7"/>
    <w:multiLevelType w:val="hybridMultilevel"/>
    <w:tmpl w:val="79AAEC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995010"/>
    <w:multiLevelType w:val="hybridMultilevel"/>
    <w:tmpl w:val="63041CFE"/>
    <w:lvl w:ilvl="0" w:tplc="292E2F54">
      <w:start w:val="202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BE677D"/>
    <w:multiLevelType w:val="multilevel"/>
    <w:tmpl w:val="FB44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132053"/>
    <w:multiLevelType w:val="hybridMultilevel"/>
    <w:tmpl w:val="ADBEF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A9558B"/>
    <w:multiLevelType w:val="hybridMultilevel"/>
    <w:tmpl w:val="15360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0A1A11"/>
    <w:multiLevelType w:val="hybridMultilevel"/>
    <w:tmpl w:val="8638B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6A4349"/>
    <w:multiLevelType w:val="hybridMultilevel"/>
    <w:tmpl w:val="016604D4"/>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C00982"/>
    <w:multiLevelType w:val="hybridMultilevel"/>
    <w:tmpl w:val="C3004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C97BE3"/>
    <w:multiLevelType w:val="hybridMultilevel"/>
    <w:tmpl w:val="30E8B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D60624"/>
    <w:multiLevelType w:val="hybridMultilevel"/>
    <w:tmpl w:val="0AB06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D7276F"/>
    <w:multiLevelType w:val="hybridMultilevel"/>
    <w:tmpl w:val="120CA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5F4620"/>
    <w:multiLevelType w:val="hybridMultilevel"/>
    <w:tmpl w:val="A70AC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FC4E3A"/>
    <w:multiLevelType w:val="hybridMultilevel"/>
    <w:tmpl w:val="75FEF6CE"/>
    <w:lvl w:ilvl="0" w:tplc="292E2F54">
      <w:start w:val="2022"/>
      <w:numFmt w:val="bullet"/>
      <w:lvlText w:val="-"/>
      <w:lvlJc w:val="left"/>
      <w:pPr>
        <w:ind w:left="1440" w:hanging="360"/>
      </w:pPr>
      <w:rPr>
        <w:rFonts w:ascii="Calibri" w:eastAsiaTheme="minorEastAsia"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EE22F5E"/>
    <w:multiLevelType w:val="hybridMultilevel"/>
    <w:tmpl w:val="A7088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880EB7"/>
    <w:multiLevelType w:val="hybridMultilevel"/>
    <w:tmpl w:val="C602D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84D033C"/>
    <w:multiLevelType w:val="multilevel"/>
    <w:tmpl w:val="1E448BF4"/>
    <w:lvl w:ilvl="0">
      <w:start w:val="1"/>
      <w:numFmt w:val="decimal"/>
      <w:pStyle w:val="2Sections"/>
      <w:lvlText w:val="%1"/>
      <w:lvlJc w:val="left"/>
      <w:pPr>
        <w:ind w:left="720" w:hanging="720"/>
      </w:pPr>
      <w:rPr>
        <w:rFonts w:asciiTheme="minorHAnsi" w:hAnsiTheme="minorHAnsi" w:cstheme="minorHAnsi" w:hint="default"/>
        <w:b/>
        <w:color w:val="000000" w:themeColor="text1"/>
        <w:sz w:val="32"/>
      </w:rPr>
    </w:lvl>
    <w:lvl w:ilvl="1">
      <w:start w:val="1"/>
      <w:numFmt w:val="decimal"/>
      <w:pStyle w:val="Bodytextitalics"/>
      <w:lvlText w:val="%1.%2"/>
      <w:lvlJc w:val="left"/>
      <w:pPr>
        <w:ind w:left="862"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631B13"/>
    <w:multiLevelType w:val="hybridMultilevel"/>
    <w:tmpl w:val="CD68830A"/>
    <w:lvl w:ilvl="0" w:tplc="292E2F54">
      <w:start w:val="2022"/>
      <w:numFmt w:val="bullet"/>
      <w:lvlText w:val="-"/>
      <w:lvlJc w:val="left"/>
      <w:pPr>
        <w:ind w:left="1440" w:hanging="360"/>
      </w:pPr>
      <w:rPr>
        <w:rFonts w:ascii="Calibri" w:eastAsiaTheme="minorEastAsia"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AFE452E"/>
    <w:multiLevelType w:val="hybridMultilevel"/>
    <w:tmpl w:val="53E4E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FE7C76"/>
    <w:multiLevelType w:val="hybridMultilevel"/>
    <w:tmpl w:val="3528B95C"/>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0"/>
  </w:num>
  <w:num w:numId="2">
    <w:abstractNumId w:val="12"/>
  </w:num>
  <w:num w:numId="3">
    <w:abstractNumId w:val="3"/>
  </w:num>
  <w:num w:numId="4">
    <w:abstractNumId w:val="16"/>
  </w:num>
  <w:num w:numId="5">
    <w:abstractNumId w:val="14"/>
  </w:num>
  <w:num w:numId="6">
    <w:abstractNumId w:val="10"/>
  </w:num>
  <w:num w:numId="7">
    <w:abstractNumId w:val="15"/>
  </w:num>
  <w:num w:numId="8">
    <w:abstractNumId w:val="24"/>
  </w:num>
  <w:num w:numId="9">
    <w:abstractNumId w:val="9"/>
  </w:num>
  <w:num w:numId="10">
    <w:abstractNumId w:val="21"/>
  </w:num>
  <w:num w:numId="11">
    <w:abstractNumId w:val="2"/>
  </w:num>
  <w:num w:numId="12">
    <w:abstractNumId w:val="0"/>
  </w:num>
  <w:num w:numId="13">
    <w:abstractNumId w:val="5"/>
  </w:num>
  <w:num w:numId="14">
    <w:abstractNumId w:val="19"/>
  </w:num>
  <w:num w:numId="15">
    <w:abstractNumId w:val="23"/>
  </w:num>
  <w:num w:numId="16">
    <w:abstractNumId w:val="4"/>
  </w:num>
  <w:num w:numId="17">
    <w:abstractNumId w:val="17"/>
  </w:num>
  <w:num w:numId="18">
    <w:abstractNumId w:val="8"/>
  </w:num>
  <w:num w:numId="19">
    <w:abstractNumId w:val="13"/>
  </w:num>
  <w:num w:numId="20">
    <w:abstractNumId w:val="7"/>
  </w:num>
  <w:num w:numId="21">
    <w:abstractNumId w:val="1"/>
  </w:num>
  <w:num w:numId="22">
    <w:abstractNumId w:val="11"/>
  </w:num>
  <w:num w:numId="23">
    <w:abstractNumId w:val="6"/>
  </w:num>
  <w:num w:numId="24">
    <w:abstractNumId w:val="18"/>
  </w:num>
  <w:num w:numId="25">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1"/>
    <w:rsid w:val="000003BB"/>
    <w:rsid w:val="00005827"/>
    <w:rsid w:val="00006FB8"/>
    <w:rsid w:val="00007E85"/>
    <w:rsid w:val="00011B09"/>
    <w:rsid w:val="00013465"/>
    <w:rsid w:val="000165EB"/>
    <w:rsid w:val="00017E14"/>
    <w:rsid w:val="00017FBF"/>
    <w:rsid w:val="00020139"/>
    <w:rsid w:val="000226B3"/>
    <w:rsid w:val="00022954"/>
    <w:rsid w:val="00024549"/>
    <w:rsid w:val="00027D4C"/>
    <w:rsid w:val="0004160F"/>
    <w:rsid w:val="00043103"/>
    <w:rsid w:val="000444AF"/>
    <w:rsid w:val="00053276"/>
    <w:rsid w:val="000544B6"/>
    <w:rsid w:val="00060403"/>
    <w:rsid w:val="000604AF"/>
    <w:rsid w:val="00061E52"/>
    <w:rsid w:val="000637C8"/>
    <w:rsid w:val="00072EE6"/>
    <w:rsid w:val="00080AA7"/>
    <w:rsid w:val="000844B5"/>
    <w:rsid w:val="00084557"/>
    <w:rsid w:val="000850B1"/>
    <w:rsid w:val="00086C11"/>
    <w:rsid w:val="00094DCF"/>
    <w:rsid w:val="000A36AB"/>
    <w:rsid w:val="000A6CFD"/>
    <w:rsid w:val="000B0982"/>
    <w:rsid w:val="000B6152"/>
    <w:rsid w:val="000B796C"/>
    <w:rsid w:val="000C36E1"/>
    <w:rsid w:val="000C46BB"/>
    <w:rsid w:val="000C4D9D"/>
    <w:rsid w:val="000C52C1"/>
    <w:rsid w:val="000C6657"/>
    <w:rsid w:val="000C75F9"/>
    <w:rsid w:val="000C7C4B"/>
    <w:rsid w:val="000C7D8B"/>
    <w:rsid w:val="000D1639"/>
    <w:rsid w:val="000D7175"/>
    <w:rsid w:val="000D7DE1"/>
    <w:rsid w:val="000E485D"/>
    <w:rsid w:val="000E5F3B"/>
    <w:rsid w:val="000E72C6"/>
    <w:rsid w:val="000E73D5"/>
    <w:rsid w:val="000F1893"/>
    <w:rsid w:val="000F2F51"/>
    <w:rsid w:val="000F4641"/>
    <w:rsid w:val="000F4E6B"/>
    <w:rsid w:val="000F5A81"/>
    <w:rsid w:val="000F6503"/>
    <w:rsid w:val="001019A4"/>
    <w:rsid w:val="00107C73"/>
    <w:rsid w:val="00110327"/>
    <w:rsid w:val="00111D01"/>
    <w:rsid w:val="00113CF8"/>
    <w:rsid w:val="00113D74"/>
    <w:rsid w:val="00113F84"/>
    <w:rsid w:val="00116282"/>
    <w:rsid w:val="00116597"/>
    <w:rsid w:val="0011736A"/>
    <w:rsid w:val="00117C5C"/>
    <w:rsid w:val="00122CD1"/>
    <w:rsid w:val="0013093C"/>
    <w:rsid w:val="001310AE"/>
    <w:rsid w:val="0013521B"/>
    <w:rsid w:val="00137099"/>
    <w:rsid w:val="001420B3"/>
    <w:rsid w:val="001460C4"/>
    <w:rsid w:val="00146257"/>
    <w:rsid w:val="0014755F"/>
    <w:rsid w:val="0015691C"/>
    <w:rsid w:val="0016164D"/>
    <w:rsid w:val="001621F7"/>
    <w:rsid w:val="001624D7"/>
    <w:rsid w:val="0017336B"/>
    <w:rsid w:val="0017525D"/>
    <w:rsid w:val="001758D1"/>
    <w:rsid w:val="00177B86"/>
    <w:rsid w:val="00182585"/>
    <w:rsid w:val="00185355"/>
    <w:rsid w:val="00191182"/>
    <w:rsid w:val="00193582"/>
    <w:rsid w:val="0019664D"/>
    <w:rsid w:val="00196F76"/>
    <w:rsid w:val="00197221"/>
    <w:rsid w:val="001A6103"/>
    <w:rsid w:val="001A75FE"/>
    <w:rsid w:val="001A7633"/>
    <w:rsid w:val="001A7CD0"/>
    <w:rsid w:val="001B1B97"/>
    <w:rsid w:val="001B5D37"/>
    <w:rsid w:val="001B7DE1"/>
    <w:rsid w:val="001C0793"/>
    <w:rsid w:val="001C0CE3"/>
    <w:rsid w:val="001C2940"/>
    <w:rsid w:val="001C4016"/>
    <w:rsid w:val="001C548D"/>
    <w:rsid w:val="001C591F"/>
    <w:rsid w:val="001C6A5D"/>
    <w:rsid w:val="001C7B50"/>
    <w:rsid w:val="001D3600"/>
    <w:rsid w:val="001D5663"/>
    <w:rsid w:val="001D7D4A"/>
    <w:rsid w:val="001E31A6"/>
    <w:rsid w:val="001E42C7"/>
    <w:rsid w:val="001E4CAB"/>
    <w:rsid w:val="001E7A31"/>
    <w:rsid w:val="001F0A4E"/>
    <w:rsid w:val="001F0CDA"/>
    <w:rsid w:val="001F2F3E"/>
    <w:rsid w:val="001F4071"/>
    <w:rsid w:val="001F4906"/>
    <w:rsid w:val="001F502C"/>
    <w:rsid w:val="001F7C4A"/>
    <w:rsid w:val="0020578A"/>
    <w:rsid w:val="00207631"/>
    <w:rsid w:val="0021164E"/>
    <w:rsid w:val="00214013"/>
    <w:rsid w:val="00220FC1"/>
    <w:rsid w:val="00222E9A"/>
    <w:rsid w:val="0022749C"/>
    <w:rsid w:val="0023179D"/>
    <w:rsid w:val="002325A4"/>
    <w:rsid w:val="00233495"/>
    <w:rsid w:val="00233499"/>
    <w:rsid w:val="002349B3"/>
    <w:rsid w:val="002410E2"/>
    <w:rsid w:val="00241FAF"/>
    <w:rsid w:val="002451D6"/>
    <w:rsid w:val="00245B44"/>
    <w:rsid w:val="00246F5F"/>
    <w:rsid w:val="0025389D"/>
    <w:rsid w:val="00254E02"/>
    <w:rsid w:val="0026265F"/>
    <w:rsid w:val="00262AC9"/>
    <w:rsid w:val="002639CF"/>
    <w:rsid w:val="00264767"/>
    <w:rsid w:val="0026656C"/>
    <w:rsid w:val="002673C8"/>
    <w:rsid w:val="0027448A"/>
    <w:rsid w:val="00274876"/>
    <w:rsid w:val="00275315"/>
    <w:rsid w:val="00280DD9"/>
    <w:rsid w:val="002835E3"/>
    <w:rsid w:val="00283864"/>
    <w:rsid w:val="00286C3A"/>
    <w:rsid w:val="0029264D"/>
    <w:rsid w:val="00292AB5"/>
    <w:rsid w:val="002930F5"/>
    <w:rsid w:val="00294B0E"/>
    <w:rsid w:val="002A06B7"/>
    <w:rsid w:val="002A7D50"/>
    <w:rsid w:val="002B672E"/>
    <w:rsid w:val="002B7778"/>
    <w:rsid w:val="002B7FD5"/>
    <w:rsid w:val="002C3029"/>
    <w:rsid w:val="002C6E0C"/>
    <w:rsid w:val="002D144A"/>
    <w:rsid w:val="002D21E2"/>
    <w:rsid w:val="002D66E1"/>
    <w:rsid w:val="002E19A3"/>
    <w:rsid w:val="002E212B"/>
    <w:rsid w:val="002E3337"/>
    <w:rsid w:val="002E6D03"/>
    <w:rsid w:val="002E7F1F"/>
    <w:rsid w:val="002F49A8"/>
    <w:rsid w:val="002F5E66"/>
    <w:rsid w:val="002F61CA"/>
    <w:rsid w:val="0030010D"/>
    <w:rsid w:val="00305BE9"/>
    <w:rsid w:val="00305FDC"/>
    <w:rsid w:val="00316189"/>
    <w:rsid w:val="00316C2F"/>
    <w:rsid w:val="00317A72"/>
    <w:rsid w:val="0032076C"/>
    <w:rsid w:val="0032534A"/>
    <w:rsid w:val="0033504C"/>
    <w:rsid w:val="00336816"/>
    <w:rsid w:val="003370D0"/>
    <w:rsid w:val="00337355"/>
    <w:rsid w:val="003402E4"/>
    <w:rsid w:val="00340F95"/>
    <w:rsid w:val="00343E79"/>
    <w:rsid w:val="00344014"/>
    <w:rsid w:val="00347E15"/>
    <w:rsid w:val="003531ED"/>
    <w:rsid w:val="00354E69"/>
    <w:rsid w:val="00360B9A"/>
    <w:rsid w:val="0036146C"/>
    <w:rsid w:val="0036178C"/>
    <w:rsid w:val="0036184C"/>
    <w:rsid w:val="00365DA6"/>
    <w:rsid w:val="003679E4"/>
    <w:rsid w:val="00372644"/>
    <w:rsid w:val="00372C96"/>
    <w:rsid w:val="003731FB"/>
    <w:rsid w:val="00375DD4"/>
    <w:rsid w:val="003820A4"/>
    <w:rsid w:val="00382E43"/>
    <w:rsid w:val="0039017F"/>
    <w:rsid w:val="00394AEE"/>
    <w:rsid w:val="003A0611"/>
    <w:rsid w:val="003A3796"/>
    <w:rsid w:val="003C115E"/>
    <w:rsid w:val="003C2D98"/>
    <w:rsid w:val="003D0116"/>
    <w:rsid w:val="003D16D8"/>
    <w:rsid w:val="003D1D29"/>
    <w:rsid w:val="003D3A96"/>
    <w:rsid w:val="003D3B9C"/>
    <w:rsid w:val="003D4D24"/>
    <w:rsid w:val="003E0575"/>
    <w:rsid w:val="003E1B7B"/>
    <w:rsid w:val="003E7BE2"/>
    <w:rsid w:val="003F0D08"/>
    <w:rsid w:val="003F35BC"/>
    <w:rsid w:val="003F7024"/>
    <w:rsid w:val="00401353"/>
    <w:rsid w:val="00404F03"/>
    <w:rsid w:val="00405EF5"/>
    <w:rsid w:val="0041065C"/>
    <w:rsid w:val="00412051"/>
    <w:rsid w:val="00415E61"/>
    <w:rsid w:val="00423B94"/>
    <w:rsid w:val="004255A1"/>
    <w:rsid w:val="004273E1"/>
    <w:rsid w:val="0043784A"/>
    <w:rsid w:val="0043790D"/>
    <w:rsid w:val="00441B00"/>
    <w:rsid w:val="00447304"/>
    <w:rsid w:val="00451255"/>
    <w:rsid w:val="004603F1"/>
    <w:rsid w:val="004612E8"/>
    <w:rsid w:val="00461F86"/>
    <w:rsid w:val="00463731"/>
    <w:rsid w:val="0046400A"/>
    <w:rsid w:val="00465654"/>
    <w:rsid w:val="00466C22"/>
    <w:rsid w:val="00467B25"/>
    <w:rsid w:val="004721C5"/>
    <w:rsid w:val="00473040"/>
    <w:rsid w:val="00474234"/>
    <w:rsid w:val="004756F7"/>
    <w:rsid w:val="00481108"/>
    <w:rsid w:val="004859F4"/>
    <w:rsid w:val="0049042B"/>
    <w:rsid w:val="00491CC6"/>
    <w:rsid w:val="00493E69"/>
    <w:rsid w:val="00495473"/>
    <w:rsid w:val="00496C73"/>
    <w:rsid w:val="004A0752"/>
    <w:rsid w:val="004A35A6"/>
    <w:rsid w:val="004A458E"/>
    <w:rsid w:val="004B0C17"/>
    <w:rsid w:val="004B12E6"/>
    <w:rsid w:val="004B23E7"/>
    <w:rsid w:val="004B306F"/>
    <w:rsid w:val="004B7963"/>
    <w:rsid w:val="004C2563"/>
    <w:rsid w:val="004C3186"/>
    <w:rsid w:val="004C5042"/>
    <w:rsid w:val="004C7CA4"/>
    <w:rsid w:val="004D10E7"/>
    <w:rsid w:val="004E21F6"/>
    <w:rsid w:val="004E28F4"/>
    <w:rsid w:val="004E4422"/>
    <w:rsid w:val="004E65F6"/>
    <w:rsid w:val="004E7B5F"/>
    <w:rsid w:val="004F01B1"/>
    <w:rsid w:val="004F0548"/>
    <w:rsid w:val="004F0FCE"/>
    <w:rsid w:val="004F5C33"/>
    <w:rsid w:val="004F69C8"/>
    <w:rsid w:val="00500899"/>
    <w:rsid w:val="00503998"/>
    <w:rsid w:val="0050623B"/>
    <w:rsid w:val="005073D8"/>
    <w:rsid w:val="00507664"/>
    <w:rsid w:val="00516690"/>
    <w:rsid w:val="00523181"/>
    <w:rsid w:val="00524D13"/>
    <w:rsid w:val="005301C8"/>
    <w:rsid w:val="005339F6"/>
    <w:rsid w:val="00536531"/>
    <w:rsid w:val="005420A3"/>
    <w:rsid w:val="00543C02"/>
    <w:rsid w:val="00554251"/>
    <w:rsid w:val="005554C1"/>
    <w:rsid w:val="00567C04"/>
    <w:rsid w:val="00576B18"/>
    <w:rsid w:val="00580564"/>
    <w:rsid w:val="00587724"/>
    <w:rsid w:val="00591512"/>
    <w:rsid w:val="00593933"/>
    <w:rsid w:val="005939C4"/>
    <w:rsid w:val="005A2081"/>
    <w:rsid w:val="005A3583"/>
    <w:rsid w:val="005B2D91"/>
    <w:rsid w:val="005B48B4"/>
    <w:rsid w:val="005B65E6"/>
    <w:rsid w:val="005C06D9"/>
    <w:rsid w:val="005C375D"/>
    <w:rsid w:val="005C3F24"/>
    <w:rsid w:val="005C6661"/>
    <w:rsid w:val="005C6E3B"/>
    <w:rsid w:val="005D474B"/>
    <w:rsid w:val="005E085C"/>
    <w:rsid w:val="005E147D"/>
    <w:rsid w:val="005E1DF6"/>
    <w:rsid w:val="005E22C2"/>
    <w:rsid w:val="005E57BB"/>
    <w:rsid w:val="005E6435"/>
    <w:rsid w:val="005F0017"/>
    <w:rsid w:val="005F2D20"/>
    <w:rsid w:val="005F6C71"/>
    <w:rsid w:val="006014F1"/>
    <w:rsid w:val="00610D11"/>
    <w:rsid w:val="00611830"/>
    <w:rsid w:val="0061357B"/>
    <w:rsid w:val="00614A7D"/>
    <w:rsid w:val="006166E6"/>
    <w:rsid w:val="00617751"/>
    <w:rsid w:val="00631CC1"/>
    <w:rsid w:val="00634E0B"/>
    <w:rsid w:val="0063631C"/>
    <w:rsid w:val="0063757B"/>
    <w:rsid w:val="006377CE"/>
    <w:rsid w:val="00637FA9"/>
    <w:rsid w:val="00637FE9"/>
    <w:rsid w:val="00642906"/>
    <w:rsid w:val="006537D9"/>
    <w:rsid w:val="0066487C"/>
    <w:rsid w:val="00664A48"/>
    <w:rsid w:val="00665DB1"/>
    <w:rsid w:val="00665DEF"/>
    <w:rsid w:val="00665FD1"/>
    <w:rsid w:val="00673528"/>
    <w:rsid w:val="00675BB1"/>
    <w:rsid w:val="00675C78"/>
    <w:rsid w:val="006775F1"/>
    <w:rsid w:val="0068011A"/>
    <w:rsid w:val="006808FD"/>
    <w:rsid w:val="00683F4B"/>
    <w:rsid w:val="00692AA7"/>
    <w:rsid w:val="00692DD3"/>
    <w:rsid w:val="00697FEC"/>
    <w:rsid w:val="006A175F"/>
    <w:rsid w:val="006A44F5"/>
    <w:rsid w:val="006A49AF"/>
    <w:rsid w:val="006B3557"/>
    <w:rsid w:val="006B4537"/>
    <w:rsid w:val="006B5F85"/>
    <w:rsid w:val="006B6929"/>
    <w:rsid w:val="006B709B"/>
    <w:rsid w:val="006C54AF"/>
    <w:rsid w:val="006D7394"/>
    <w:rsid w:val="006E0181"/>
    <w:rsid w:val="006E0BF9"/>
    <w:rsid w:val="006E3270"/>
    <w:rsid w:val="006E542A"/>
    <w:rsid w:val="006E7C84"/>
    <w:rsid w:val="006F0A17"/>
    <w:rsid w:val="00700655"/>
    <w:rsid w:val="00700C0E"/>
    <w:rsid w:val="00702AF7"/>
    <w:rsid w:val="00705DAD"/>
    <w:rsid w:val="007120D3"/>
    <w:rsid w:val="00713C2F"/>
    <w:rsid w:val="0072177B"/>
    <w:rsid w:val="00723D26"/>
    <w:rsid w:val="007247B9"/>
    <w:rsid w:val="0072517C"/>
    <w:rsid w:val="00727D85"/>
    <w:rsid w:val="007346C7"/>
    <w:rsid w:val="00735B8F"/>
    <w:rsid w:val="00735E54"/>
    <w:rsid w:val="00736041"/>
    <w:rsid w:val="0073747B"/>
    <w:rsid w:val="007408C7"/>
    <w:rsid w:val="0074279A"/>
    <w:rsid w:val="00744AB3"/>
    <w:rsid w:val="007465DA"/>
    <w:rsid w:val="007476A5"/>
    <w:rsid w:val="007527EC"/>
    <w:rsid w:val="00752C7F"/>
    <w:rsid w:val="00756C14"/>
    <w:rsid w:val="00763031"/>
    <w:rsid w:val="00764B0A"/>
    <w:rsid w:val="00771E03"/>
    <w:rsid w:val="007731E8"/>
    <w:rsid w:val="0077382C"/>
    <w:rsid w:val="00776598"/>
    <w:rsid w:val="00780D37"/>
    <w:rsid w:val="007819CA"/>
    <w:rsid w:val="007901E3"/>
    <w:rsid w:val="007913D3"/>
    <w:rsid w:val="00792948"/>
    <w:rsid w:val="00792968"/>
    <w:rsid w:val="00796E84"/>
    <w:rsid w:val="007A0BC3"/>
    <w:rsid w:val="007A3ADE"/>
    <w:rsid w:val="007A5733"/>
    <w:rsid w:val="007A5774"/>
    <w:rsid w:val="007B0531"/>
    <w:rsid w:val="007B3829"/>
    <w:rsid w:val="007B4782"/>
    <w:rsid w:val="007C0D33"/>
    <w:rsid w:val="007C303D"/>
    <w:rsid w:val="007C5486"/>
    <w:rsid w:val="007C69C9"/>
    <w:rsid w:val="007D38BC"/>
    <w:rsid w:val="007E4117"/>
    <w:rsid w:val="007E6B41"/>
    <w:rsid w:val="007F30E2"/>
    <w:rsid w:val="007F3B52"/>
    <w:rsid w:val="007F721D"/>
    <w:rsid w:val="008017C7"/>
    <w:rsid w:val="00801E74"/>
    <w:rsid w:val="00801FF7"/>
    <w:rsid w:val="0080485E"/>
    <w:rsid w:val="0080655E"/>
    <w:rsid w:val="0081286D"/>
    <w:rsid w:val="008142B4"/>
    <w:rsid w:val="0081736F"/>
    <w:rsid w:val="00821986"/>
    <w:rsid w:val="008265FC"/>
    <w:rsid w:val="00832324"/>
    <w:rsid w:val="00835337"/>
    <w:rsid w:val="00841787"/>
    <w:rsid w:val="0084343F"/>
    <w:rsid w:val="00846666"/>
    <w:rsid w:val="00846DCD"/>
    <w:rsid w:val="008478CF"/>
    <w:rsid w:val="00847A9A"/>
    <w:rsid w:val="00850B69"/>
    <w:rsid w:val="00851D85"/>
    <w:rsid w:val="00860BAD"/>
    <w:rsid w:val="00860CCB"/>
    <w:rsid w:val="00861DCE"/>
    <w:rsid w:val="00863C21"/>
    <w:rsid w:val="008648ED"/>
    <w:rsid w:val="008661F5"/>
    <w:rsid w:val="008667EB"/>
    <w:rsid w:val="00867424"/>
    <w:rsid w:val="008721F6"/>
    <w:rsid w:val="008740A3"/>
    <w:rsid w:val="00874AB4"/>
    <w:rsid w:val="00877051"/>
    <w:rsid w:val="008843FC"/>
    <w:rsid w:val="008869AD"/>
    <w:rsid w:val="008908FD"/>
    <w:rsid w:val="0089297B"/>
    <w:rsid w:val="00893920"/>
    <w:rsid w:val="00893F7F"/>
    <w:rsid w:val="008B04E5"/>
    <w:rsid w:val="008B28B5"/>
    <w:rsid w:val="008C0122"/>
    <w:rsid w:val="008C0466"/>
    <w:rsid w:val="008C1354"/>
    <w:rsid w:val="008C36CA"/>
    <w:rsid w:val="008C3874"/>
    <w:rsid w:val="008C5144"/>
    <w:rsid w:val="008C6905"/>
    <w:rsid w:val="008D2DE7"/>
    <w:rsid w:val="008D2EF5"/>
    <w:rsid w:val="008D725D"/>
    <w:rsid w:val="008E3F8C"/>
    <w:rsid w:val="008F3907"/>
    <w:rsid w:val="008F4037"/>
    <w:rsid w:val="00902FD0"/>
    <w:rsid w:val="009053D3"/>
    <w:rsid w:val="0090691F"/>
    <w:rsid w:val="00910641"/>
    <w:rsid w:val="009138C4"/>
    <w:rsid w:val="009227B3"/>
    <w:rsid w:val="00930CE4"/>
    <w:rsid w:val="00931050"/>
    <w:rsid w:val="0093111F"/>
    <w:rsid w:val="00935689"/>
    <w:rsid w:val="00944A7A"/>
    <w:rsid w:val="00945B2F"/>
    <w:rsid w:val="009465B0"/>
    <w:rsid w:val="009523B4"/>
    <w:rsid w:val="009524A0"/>
    <w:rsid w:val="00952BBA"/>
    <w:rsid w:val="00952D82"/>
    <w:rsid w:val="0095303B"/>
    <w:rsid w:val="00965E4D"/>
    <w:rsid w:val="009663B6"/>
    <w:rsid w:val="00967293"/>
    <w:rsid w:val="00974A47"/>
    <w:rsid w:val="00980286"/>
    <w:rsid w:val="00981A97"/>
    <w:rsid w:val="00982806"/>
    <w:rsid w:val="00983F7D"/>
    <w:rsid w:val="009853E9"/>
    <w:rsid w:val="0099075D"/>
    <w:rsid w:val="00990DCF"/>
    <w:rsid w:val="009A4CD6"/>
    <w:rsid w:val="009A537C"/>
    <w:rsid w:val="009B1003"/>
    <w:rsid w:val="009B5661"/>
    <w:rsid w:val="009B6712"/>
    <w:rsid w:val="009C0886"/>
    <w:rsid w:val="009C0AB8"/>
    <w:rsid w:val="009C19EE"/>
    <w:rsid w:val="009C28D0"/>
    <w:rsid w:val="009C35F2"/>
    <w:rsid w:val="009C7782"/>
    <w:rsid w:val="009C794C"/>
    <w:rsid w:val="009D1ED5"/>
    <w:rsid w:val="009D4C13"/>
    <w:rsid w:val="009D6207"/>
    <w:rsid w:val="009E172E"/>
    <w:rsid w:val="009E21A7"/>
    <w:rsid w:val="009E226C"/>
    <w:rsid w:val="009E4572"/>
    <w:rsid w:val="009F034E"/>
    <w:rsid w:val="00A01448"/>
    <w:rsid w:val="00A053B3"/>
    <w:rsid w:val="00A06D2F"/>
    <w:rsid w:val="00A103ED"/>
    <w:rsid w:val="00A11E5E"/>
    <w:rsid w:val="00A12130"/>
    <w:rsid w:val="00A13C60"/>
    <w:rsid w:val="00A15134"/>
    <w:rsid w:val="00A24C01"/>
    <w:rsid w:val="00A33369"/>
    <w:rsid w:val="00A341A3"/>
    <w:rsid w:val="00A35800"/>
    <w:rsid w:val="00A42129"/>
    <w:rsid w:val="00A432D9"/>
    <w:rsid w:val="00A45F3F"/>
    <w:rsid w:val="00A47326"/>
    <w:rsid w:val="00A52918"/>
    <w:rsid w:val="00A547B3"/>
    <w:rsid w:val="00A547C7"/>
    <w:rsid w:val="00A54D31"/>
    <w:rsid w:val="00A611D8"/>
    <w:rsid w:val="00A63928"/>
    <w:rsid w:val="00A655ED"/>
    <w:rsid w:val="00A70E48"/>
    <w:rsid w:val="00A70E82"/>
    <w:rsid w:val="00A72AEB"/>
    <w:rsid w:val="00A72F05"/>
    <w:rsid w:val="00A7344A"/>
    <w:rsid w:val="00A758B9"/>
    <w:rsid w:val="00A774AC"/>
    <w:rsid w:val="00A80490"/>
    <w:rsid w:val="00A81E7F"/>
    <w:rsid w:val="00A83FA4"/>
    <w:rsid w:val="00A84CAD"/>
    <w:rsid w:val="00A86F84"/>
    <w:rsid w:val="00A87712"/>
    <w:rsid w:val="00A90E50"/>
    <w:rsid w:val="00A92CEE"/>
    <w:rsid w:val="00A95FA5"/>
    <w:rsid w:val="00A960FF"/>
    <w:rsid w:val="00A96D92"/>
    <w:rsid w:val="00AA2599"/>
    <w:rsid w:val="00AA7414"/>
    <w:rsid w:val="00AA7770"/>
    <w:rsid w:val="00AB08A7"/>
    <w:rsid w:val="00AB199C"/>
    <w:rsid w:val="00AB2BC6"/>
    <w:rsid w:val="00AB3733"/>
    <w:rsid w:val="00AB588C"/>
    <w:rsid w:val="00AB715B"/>
    <w:rsid w:val="00AB7897"/>
    <w:rsid w:val="00AB7ABA"/>
    <w:rsid w:val="00AC5054"/>
    <w:rsid w:val="00AC61B7"/>
    <w:rsid w:val="00AD393B"/>
    <w:rsid w:val="00AE385C"/>
    <w:rsid w:val="00AE4BAC"/>
    <w:rsid w:val="00AE669E"/>
    <w:rsid w:val="00AE67C3"/>
    <w:rsid w:val="00AF6676"/>
    <w:rsid w:val="00B015FB"/>
    <w:rsid w:val="00B034FC"/>
    <w:rsid w:val="00B05310"/>
    <w:rsid w:val="00B05BA0"/>
    <w:rsid w:val="00B10A0B"/>
    <w:rsid w:val="00B1133C"/>
    <w:rsid w:val="00B15615"/>
    <w:rsid w:val="00B1727E"/>
    <w:rsid w:val="00B17522"/>
    <w:rsid w:val="00B22958"/>
    <w:rsid w:val="00B22B81"/>
    <w:rsid w:val="00B2312F"/>
    <w:rsid w:val="00B2320F"/>
    <w:rsid w:val="00B2797D"/>
    <w:rsid w:val="00B30D85"/>
    <w:rsid w:val="00B3553C"/>
    <w:rsid w:val="00B35A4A"/>
    <w:rsid w:val="00B4007E"/>
    <w:rsid w:val="00B40DAD"/>
    <w:rsid w:val="00B4232A"/>
    <w:rsid w:val="00B453CF"/>
    <w:rsid w:val="00B473A4"/>
    <w:rsid w:val="00B50344"/>
    <w:rsid w:val="00B53B70"/>
    <w:rsid w:val="00B54107"/>
    <w:rsid w:val="00B54542"/>
    <w:rsid w:val="00B56334"/>
    <w:rsid w:val="00B63379"/>
    <w:rsid w:val="00B63FD7"/>
    <w:rsid w:val="00B67B8C"/>
    <w:rsid w:val="00B7407B"/>
    <w:rsid w:val="00B759E0"/>
    <w:rsid w:val="00B816D9"/>
    <w:rsid w:val="00B84190"/>
    <w:rsid w:val="00B87C20"/>
    <w:rsid w:val="00B9120F"/>
    <w:rsid w:val="00B9216C"/>
    <w:rsid w:val="00B924A4"/>
    <w:rsid w:val="00B93B68"/>
    <w:rsid w:val="00B94924"/>
    <w:rsid w:val="00BA0B4A"/>
    <w:rsid w:val="00BA16E0"/>
    <w:rsid w:val="00BA173F"/>
    <w:rsid w:val="00BA675C"/>
    <w:rsid w:val="00BB0117"/>
    <w:rsid w:val="00BB0D1A"/>
    <w:rsid w:val="00BB18DD"/>
    <w:rsid w:val="00BB1D3B"/>
    <w:rsid w:val="00BB2FEE"/>
    <w:rsid w:val="00BB5C0B"/>
    <w:rsid w:val="00BB7BC2"/>
    <w:rsid w:val="00BC0467"/>
    <w:rsid w:val="00BC1440"/>
    <w:rsid w:val="00BC35ED"/>
    <w:rsid w:val="00BC4225"/>
    <w:rsid w:val="00BD4C92"/>
    <w:rsid w:val="00BD79C2"/>
    <w:rsid w:val="00BE205A"/>
    <w:rsid w:val="00BE2404"/>
    <w:rsid w:val="00BE3802"/>
    <w:rsid w:val="00BE5B19"/>
    <w:rsid w:val="00BE7D1A"/>
    <w:rsid w:val="00BF238E"/>
    <w:rsid w:val="00BF2E4F"/>
    <w:rsid w:val="00BF2F4A"/>
    <w:rsid w:val="00BF544D"/>
    <w:rsid w:val="00BF7124"/>
    <w:rsid w:val="00BF7DF1"/>
    <w:rsid w:val="00C0076F"/>
    <w:rsid w:val="00C00ACE"/>
    <w:rsid w:val="00C01EF2"/>
    <w:rsid w:val="00C02CED"/>
    <w:rsid w:val="00C0301C"/>
    <w:rsid w:val="00C04305"/>
    <w:rsid w:val="00C050B6"/>
    <w:rsid w:val="00C10F12"/>
    <w:rsid w:val="00C245EA"/>
    <w:rsid w:val="00C256F6"/>
    <w:rsid w:val="00C2578C"/>
    <w:rsid w:val="00C26E6D"/>
    <w:rsid w:val="00C3097E"/>
    <w:rsid w:val="00C35ECC"/>
    <w:rsid w:val="00C361A8"/>
    <w:rsid w:val="00C41246"/>
    <w:rsid w:val="00C41F9E"/>
    <w:rsid w:val="00C43D51"/>
    <w:rsid w:val="00C44073"/>
    <w:rsid w:val="00C45C1C"/>
    <w:rsid w:val="00C45E5F"/>
    <w:rsid w:val="00C46291"/>
    <w:rsid w:val="00C47A0D"/>
    <w:rsid w:val="00C51B1E"/>
    <w:rsid w:val="00C63412"/>
    <w:rsid w:val="00C6576B"/>
    <w:rsid w:val="00C70A08"/>
    <w:rsid w:val="00C714D0"/>
    <w:rsid w:val="00C71832"/>
    <w:rsid w:val="00C865C5"/>
    <w:rsid w:val="00C90EF4"/>
    <w:rsid w:val="00C9544F"/>
    <w:rsid w:val="00CA015A"/>
    <w:rsid w:val="00CA427C"/>
    <w:rsid w:val="00CA4FE7"/>
    <w:rsid w:val="00CA7904"/>
    <w:rsid w:val="00CB3080"/>
    <w:rsid w:val="00CC0453"/>
    <w:rsid w:val="00CC1446"/>
    <w:rsid w:val="00CC1AA3"/>
    <w:rsid w:val="00CC3F21"/>
    <w:rsid w:val="00CC735C"/>
    <w:rsid w:val="00CD09FC"/>
    <w:rsid w:val="00CD1263"/>
    <w:rsid w:val="00CD2922"/>
    <w:rsid w:val="00CD4486"/>
    <w:rsid w:val="00CD53DD"/>
    <w:rsid w:val="00CD64D2"/>
    <w:rsid w:val="00CD6F12"/>
    <w:rsid w:val="00CE38D1"/>
    <w:rsid w:val="00CE5DB5"/>
    <w:rsid w:val="00CF5E22"/>
    <w:rsid w:val="00CF6A5A"/>
    <w:rsid w:val="00D06A44"/>
    <w:rsid w:val="00D151EB"/>
    <w:rsid w:val="00D1559B"/>
    <w:rsid w:val="00D16F30"/>
    <w:rsid w:val="00D226AB"/>
    <w:rsid w:val="00D2358D"/>
    <w:rsid w:val="00D300E0"/>
    <w:rsid w:val="00D34F3C"/>
    <w:rsid w:val="00D36935"/>
    <w:rsid w:val="00D374CD"/>
    <w:rsid w:val="00D40BB2"/>
    <w:rsid w:val="00D52233"/>
    <w:rsid w:val="00D6387D"/>
    <w:rsid w:val="00D650CE"/>
    <w:rsid w:val="00D67D4C"/>
    <w:rsid w:val="00D71719"/>
    <w:rsid w:val="00D728D8"/>
    <w:rsid w:val="00D776DA"/>
    <w:rsid w:val="00D80202"/>
    <w:rsid w:val="00D81C93"/>
    <w:rsid w:val="00D86AA7"/>
    <w:rsid w:val="00D8758B"/>
    <w:rsid w:val="00D9001A"/>
    <w:rsid w:val="00D93D1E"/>
    <w:rsid w:val="00D942B3"/>
    <w:rsid w:val="00D94863"/>
    <w:rsid w:val="00D95769"/>
    <w:rsid w:val="00DA01D5"/>
    <w:rsid w:val="00DA106C"/>
    <w:rsid w:val="00DA2285"/>
    <w:rsid w:val="00DA4DF8"/>
    <w:rsid w:val="00DA61E8"/>
    <w:rsid w:val="00DA7D09"/>
    <w:rsid w:val="00DA7FF0"/>
    <w:rsid w:val="00DB3C29"/>
    <w:rsid w:val="00DB6606"/>
    <w:rsid w:val="00DB76EC"/>
    <w:rsid w:val="00DB7921"/>
    <w:rsid w:val="00DC0984"/>
    <w:rsid w:val="00DC0F1D"/>
    <w:rsid w:val="00DC1C0C"/>
    <w:rsid w:val="00DC2630"/>
    <w:rsid w:val="00DC49E9"/>
    <w:rsid w:val="00DC55E4"/>
    <w:rsid w:val="00DC7D71"/>
    <w:rsid w:val="00DD188C"/>
    <w:rsid w:val="00DD29A3"/>
    <w:rsid w:val="00DD48EE"/>
    <w:rsid w:val="00DE013A"/>
    <w:rsid w:val="00DE0B96"/>
    <w:rsid w:val="00DE10B9"/>
    <w:rsid w:val="00DE1D85"/>
    <w:rsid w:val="00DE2B72"/>
    <w:rsid w:val="00DE49C4"/>
    <w:rsid w:val="00DF0B13"/>
    <w:rsid w:val="00DF2EB8"/>
    <w:rsid w:val="00DF4A94"/>
    <w:rsid w:val="00DF6003"/>
    <w:rsid w:val="00DF6951"/>
    <w:rsid w:val="00E00095"/>
    <w:rsid w:val="00E066C3"/>
    <w:rsid w:val="00E101C7"/>
    <w:rsid w:val="00E10D8C"/>
    <w:rsid w:val="00E12E74"/>
    <w:rsid w:val="00E1353A"/>
    <w:rsid w:val="00E1564B"/>
    <w:rsid w:val="00E208A0"/>
    <w:rsid w:val="00E25B49"/>
    <w:rsid w:val="00E34781"/>
    <w:rsid w:val="00E34B7C"/>
    <w:rsid w:val="00E371EA"/>
    <w:rsid w:val="00E40F26"/>
    <w:rsid w:val="00E433C9"/>
    <w:rsid w:val="00E441F2"/>
    <w:rsid w:val="00E460D3"/>
    <w:rsid w:val="00E469E5"/>
    <w:rsid w:val="00E47024"/>
    <w:rsid w:val="00E52913"/>
    <w:rsid w:val="00E52A64"/>
    <w:rsid w:val="00E60AE1"/>
    <w:rsid w:val="00E64429"/>
    <w:rsid w:val="00E677DD"/>
    <w:rsid w:val="00E67B76"/>
    <w:rsid w:val="00E74140"/>
    <w:rsid w:val="00E75420"/>
    <w:rsid w:val="00E7594B"/>
    <w:rsid w:val="00E76464"/>
    <w:rsid w:val="00E7797A"/>
    <w:rsid w:val="00E801B2"/>
    <w:rsid w:val="00E83F55"/>
    <w:rsid w:val="00EA2374"/>
    <w:rsid w:val="00EA355C"/>
    <w:rsid w:val="00EA749F"/>
    <w:rsid w:val="00EB368D"/>
    <w:rsid w:val="00EB4688"/>
    <w:rsid w:val="00EB50AB"/>
    <w:rsid w:val="00EB6C07"/>
    <w:rsid w:val="00EC028D"/>
    <w:rsid w:val="00EC0B20"/>
    <w:rsid w:val="00EC3CE8"/>
    <w:rsid w:val="00ED1D38"/>
    <w:rsid w:val="00ED456D"/>
    <w:rsid w:val="00ED633B"/>
    <w:rsid w:val="00EE2BBB"/>
    <w:rsid w:val="00EE4787"/>
    <w:rsid w:val="00EE478C"/>
    <w:rsid w:val="00EE5B67"/>
    <w:rsid w:val="00EE6AA4"/>
    <w:rsid w:val="00EF4647"/>
    <w:rsid w:val="00EF4C15"/>
    <w:rsid w:val="00EF62BD"/>
    <w:rsid w:val="00EF6647"/>
    <w:rsid w:val="00F0282D"/>
    <w:rsid w:val="00F03835"/>
    <w:rsid w:val="00F06A24"/>
    <w:rsid w:val="00F1132C"/>
    <w:rsid w:val="00F15DD5"/>
    <w:rsid w:val="00F17D4B"/>
    <w:rsid w:val="00F23139"/>
    <w:rsid w:val="00F253CC"/>
    <w:rsid w:val="00F272CD"/>
    <w:rsid w:val="00F274D7"/>
    <w:rsid w:val="00F3163B"/>
    <w:rsid w:val="00F36823"/>
    <w:rsid w:val="00F377EB"/>
    <w:rsid w:val="00F43DE0"/>
    <w:rsid w:val="00F44A0D"/>
    <w:rsid w:val="00F468BA"/>
    <w:rsid w:val="00F46E19"/>
    <w:rsid w:val="00F572DD"/>
    <w:rsid w:val="00F60102"/>
    <w:rsid w:val="00F61F4C"/>
    <w:rsid w:val="00F66CD5"/>
    <w:rsid w:val="00F67A9A"/>
    <w:rsid w:val="00F70F4E"/>
    <w:rsid w:val="00F73113"/>
    <w:rsid w:val="00F7579F"/>
    <w:rsid w:val="00F75FC4"/>
    <w:rsid w:val="00F76823"/>
    <w:rsid w:val="00F77F90"/>
    <w:rsid w:val="00F85981"/>
    <w:rsid w:val="00F863A5"/>
    <w:rsid w:val="00F87263"/>
    <w:rsid w:val="00F93725"/>
    <w:rsid w:val="00FA3199"/>
    <w:rsid w:val="00FA4890"/>
    <w:rsid w:val="00FA5E44"/>
    <w:rsid w:val="00FA722B"/>
    <w:rsid w:val="00FB0D48"/>
    <w:rsid w:val="00FB6525"/>
    <w:rsid w:val="00FB77FA"/>
    <w:rsid w:val="00FC1E69"/>
    <w:rsid w:val="00FC27E8"/>
    <w:rsid w:val="00FC2BC1"/>
    <w:rsid w:val="00FC3C70"/>
    <w:rsid w:val="00FC4A73"/>
    <w:rsid w:val="00FC559C"/>
    <w:rsid w:val="00FC7139"/>
    <w:rsid w:val="00FC7F0D"/>
    <w:rsid w:val="00FD2994"/>
    <w:rsid w:val="00FD3EA3"/>
    <w:rsid w:val="00FD5564"/>
    <w:rsid w:val="00FD5AC8"/>
    <w:rsid w:val="00FE3EE6"/>
    <w:rsid w:val="00FE608A"/>
    <w:rsid w:val="00FE631E"/>
    <w:rsid w:val="00FE645A"/>
    <w:rsid w:val="00FF5760"/>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01F9B"/>
  <w15:docId w15:val="{AC3E8643-D0DA-4F5C-ABA4-F64CC8D6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unhideWhenUsed/>
    <w:qFormat/>
    <w:rsid w:val="0063631C"/>
    <w:pPr>
      <w:keepNext/>
      <w:keepLines/>
      <w:spacing w:before="240"/>
      <w:outlineLvl w:val="4"/>
    </w:pPr>
    <w:rPr>
      <w:rFonts w:eastAsiaTheme="majorEastAsia" w:cstheme="majorBidi"/>
    </w:rPr>
  </w:style>
  <w:style w:type="paragraph" w:styleId="Heading6">
    <w:name w:val="heading 6"/>
    <w:basedOn w:val="Normal"/>
    <w:next w:val="Normal"/>
    <w:link w:val="Heading6Char"/>
    <w:uiPriority w:val="9"/>
    <w:unhideWhenUsed/>
    <w:qFormat/>
    <w:rsid w:val="00E801B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aliases w:val="Table Title"/>
    <w:basedOn w:val="DefaultParagraphFont"/>
    <w:uiPriority w:val="99"/>
    <w:unhideWhenUsed/>
    <w:qFormat/>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aliases w:val="Summary box"/>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UnresolvedMention">
    <w:name w:val="Unresolved Mention"/>
    <w:basedOn w:val="DefaultParagraphFont"/>
    <w:uiPriority w:val="99"/>
    <w:semiHidden/>
    <w:unhideWhenUsed/>
    <w:rsid w:val="00043103"/>
    <w:rPr>
      <w:color w:val="605E5C"/>
      <w:shd w:val="clear" w:color="auto" w:fill="E1DFDD"/>
    </w:rPr>
  </w:style>
  <w:style w:type="paragraph" w:styleId="NormalWeb">
    <w:name w:val="Normal (Web)"/>
    <w:basedOn w:val="Normal"/>
    <w:uiPriority w:val="99"/>
    <w:unhideWhenUsed/>
    <w:rsid w:val="000C6657"/>
    <w:pPr>
      <w:spacing w:before="100" w:beforeAutospacing="1" w:after="100" w:afterAutospacing="1"/>
    </w:pPr>
    <w:rPr>
      <w:rFonts w:ascii="Times New Roman" w:eastAsia="Times New Roman" w:hAnsi="Times New Roman" w:cs="Times New Roman"/>
    </w:rPr>
  </w:style>
  <w:style w:type="paragraph" w:styleId="ListBullet">
    <w:name w:val="List Bullet"/>
    <w:basedOn w:val="Normal"/>
    <w:uiPriority w:val="2"/>
    <w:qFormat/>
    <w:rsid w:val="004F69C8"/>
    <w:pPr>
      <w:numPr>
        <w:numId w:val="3"/>
      </w:numPr>
      <w:spacing w:before="120" w:after="120" w:line="240" w:lineRule="atLeast"/>
    </w:pPr>
    <w:rPr>
      <w:rFonts w:ascii="Cambria" w:eastAsia="Cambria" w:hAnsi="Cambria" w:cs="Times New Roman"/>
      <w:sz w:val="22"/>
      <w:szCs w:val="22"/>
      <w:lang w:eastAsia="en-US"/>
    </w:rPr>
  </w:style>
  <w:style w:type="paragraph" w:styleId="ListBullet2">
    <w:name w:val="List Bullet 2"/>
    <w:basedOn w:val="Normal"/>
    <w:uiPriority w:val="2"/>
    <w:qFormat/>
    <w:rsid w:val="004F69C8"/>
    <w:pPr>
      <w:numPr>
        <w:ilvl w:val="1"/>
        <w:numId w:val="3"/>
      </w:numPr>
      <w:spacing w:before="120" w:after="120" w:line="240" w:lineRule="atLeast"/>
    </w:pPr>
    <w:rPr>
      <w:rFonts w:ascii="Cambria" w:eastAsia="Cambria" w:hAnsi="Cambria" w:cs="Times New Roman"/>
      <w:sz w:val="22"/>
      <w:szCs w:val="22"/>
      <w:lang w:eastAsia="en-US"/>
    </w:rPr>
  </w:style>
  <w:style w:type="paragraph" w:styleId="ListBullet3">
    <w:name w:val="List Bullet 3"/>
    <w:basedOn w:val="Normal"/>
    <w:uiPriority w:val="2"/>
    <w:qFormat/>
    <w:rsid w:val="004F69C8"/>
    <w:pPr>
      <w:numPr>
        <w:ilvl w:val="2"/>
        <w:numId w:val="3"/>
      </w:numPr>
      <w:spacing w:before="120" w:after="120" w:line="240" w:lineRule="atLeast"/>
    </w:pPr>
    <w:rPr>
      <w:rFonts w:ascii="Cambria" w:eastAsia="Cambria" w:hAnsi="Cambria" w:cs="Times New Roman"/>
      <w:sz w:val="22"/>
      <w:szCs w:val="22"/>
      <w:lang w:eastAsia="en-US"/>
    </w:rPr>
  </w:style>
  <w:style w:type="numbering" w:customStyle="1" w:styleId="ListBullets">
    <w:name w:val="ListBullets"/>
    <w:uiPriority w:val="99"/>
    <w:locked/>
    <w:rsid w:val="004F69C8"/>
    <w:pPr>
      <w:numPr>
        <w:numId w:val="3"/>
      </w:numPr>
    </w:pPr>
  </w:style>
  <w:style w:type="paragraph" w:customStyle="1" w:styleId="2Sections">
    <w:name w:val="2. Sections"/>
    <w:qFormat/>
    <w:rsid w:val="00080AA7"/>
    <w:pPr>
      <w:numPr>
        <w:numId w:val="10"/>
      </w:numPr>
      <w:spacing w:before="240" w:after="120" w:line="240" w:lineRule="auto"/>
      <w:outlineLvl w:val="0"/>
    </w:pPr>
    <w:rPr>
      <w:rFonts w:eastAsia="Times New Roman" w:cs="Arial"/>
      <w:b/>
      <w:snapToGrid w:val="0"/>
      <w:sz w:val="32"/>
      <w:szCs w:val="32"/>
      <w:lang w:eastAsia="en-US"/>
    </w:rPr>
  </w:style>
  <w:style w:type="paragraph" w:customStyle="1" w:styleId="3Bodytext">
    <w:name w:val="3. Body text"/>
    <w:basedOn w:val="Bodytextitalics"/>
    <w:link w:val="3BodytextChar"/>
    <w:qFormat/>
    <w:rsid w:val="00080AA7"/>
    <w:pPr>
      <w:ind w:left="862"/>
    </w:pPr>
    <w:rPr>
      <w:i w:val="0"/>
    </w:rPr>
  </w:style>
  <w:style w:type="character" w:customStyle="1" w:styleId="3BodytextChar">
    <w:name w:val="3. Body text Char"/>
    <w:basedOn w:val="DefaultParagraphFont"/>
    <w:link w:val="3Bodytext"/>
    <w:rsid w:val="00080AA7"/>
    <w:rPr>
      <w:rFonts w:eastAsiaTheme="minorHAnsi"/>
      <w:sz w:val="24"/>
    </w:rPr>
  </w:style>
  <w:style w:type="paragraph" w:customStyle="1" w:styleId="Bodytextitalics">
    <w:name w:val="Body text italics"/>
    <w:basedOn w:val="BodyText"/>
    <w:qFormat/>
    <w:rsid w:val="00080AA7"/>
    <w:pPr>
      <w:numPr>
        <w:ilvl w:val="1"/>
        <w:numId w:val="10"/>
      </w:numPr>
      <w:ind w:left="720"/>
    </w:pPr>
    <w:rPr>
      <w:rFonts w:eastAsiaTheme="minorHAnsi"/>
      <w:i/>
      <w:szCs w:val="22"/>
    </w:rPr>
  </w:style>
  <w:style w:type="paragraph" w:styleId="BodyText">
    <w:name w:val="Body Text"/>
    <w:basedOn w:val="Normal"/>
    <w:link w:val="BodyTextChar"/>
    <w:uiPriority w:val="99"/>
    <w:semiHidden/>
    <w:unhideWhenUsed/>
    <w:rsid w:val="00080AA7"/>
    <w:pPr>
      <w:spacing w:after="120"/>
    </w:pPr>
  </w:style>
  <w:style w:type="character" w:customStyle="1" w:styleId="BodyTextChar">
    <w:name w:val="Body Text Char"/>
    <w:basedOn w:val="DefaultParagraphFont"/>
    <w:link w:val="BodyText"/>
    <w:uiPriority w:val="99"/>
    <w:semiHidden/>
    <w:rsid w:val="00080AA7"/>
    <w:rPr>
      <w:sz w:val="24"/>
      <w:szCs w:val="24"/>
    </w:rPr>
  </w:style>
  <w:style w:type="character" w:customStyle="1" w:styleId="Heading6Char">
    <w:name w:val="Heading 6 Char"/>
    <w:basedOn w:val="DefaultParagraphFont"/>
    <w:link w:val="Heading6"/>
    <w:uiPriority w:val="9"/>
    <w:rsid w:val="00E801B2"/>
    <w:rPr>
      <w:rFonts w:asciiTheme="majorHAnsi" w:eastAsiaTheme="majorEastAsia" w:hAnsiTheme="majorHAnsi" w:cstheme="majorBidi"/>
      <w:color w:val="243F60" w:themeColor="accent1" w:themeShade="7F"/>
      <w:sz w:val="24"/>
      <w:szCs w:val="24"/>
    </w:rPr>
  </w:style>
  <w:style w:type="paragraph" w:customStyle="1" w:styleId="TableText">
    <w:name w:val="Table Text"/>
    <w:basedOn w:val="Normal"/>
    <w:link w:val="TableTextChar"/>
    <w:qFormat/>
    <w:rsid w:val="00BF2E4F"/>
    <w:pPr>
      <w:spacing w:before="20" w:after="20" w:line="276" w:lineRule="auto"/>
    </w:pPr>
    <w:rPr>
      <w:rFonts w:ascii="Arial Narrow" w:eastAsiaTheme="majorEastAsia" w:hAnsi="Arial Narrow" w:cs="Arial"/>
      <w:sz w:val="20"/>
      <w:szCs w:val="20"/>
      <w:lang w:eastAsia="en-US" w:bidi="en-US"/>
    </w:rPr>
  </w:style>
  <w:style w:type="paragraph" w:styleId="Caption">
    <w:name w:val="caption"/>
    <w:aliases w:val="Bullet,- H17,Bayer Caption,IB Caption,Medical Caption,B Caption,Caption Char2 Char,Caption Char Char Char2,Caption Char1 Char Char Char1,Caption Char2 Char Char Char1 Char1,Caption Char Char1 Char Char Char1 Char1,Caption Char Char1,NICE Caption"/>
    <w:basedOn w:val="Normal"/>
    <w:next w:val="Normal"/>
    <w:link w:val="CaptionChar"/>
    <w:unhideWhenUsed/>
    <w:qFormat/>
    <w:rsid w:val="00BF2E4F"/>
    <w:pPr>
      <w:keepNext/>
      <w:keepLines/>
    </w:pPr>
    <w:rPr>
      <w:rFonts w:ascii="Arial" w:eastAsiaTheme="minorHAnsi" w:hAnsi="Arial"/>
      <w:b/>
      <w:iCs/>
      <w:color w:val="000000" w:themeColor="text1"/>
      <w:sz w:val="22"/>
      <w:szCs w:val="18"/>
      <w:lang w:eastAsia="en-US"/>
    </w:rPr>
  </w:style>
  <w:style w:type="paragraph" w:customStyle="1" w:styleId="TableHeading0">
    <w:name w:val="Table Heading"/>
    <w:basedOn w:val="TableText"/>
    <w:link w:val="TableHeadingChar"/>
    <w:qFormat/>
    <w:rsid w:val="00BF2E4F"/>
    <w:pPr>
      <w:keepNext/>
      <w:keepLines/>
    </w:pPr>
    <w:rPr>
      <w:b/>
      <w:lang w:eastAsia="en-AU"/>
    </w:rPr>
  </w:style>
  <w:style w:type="table" w:customStyle="1" w:styleId="AZTable">
    <w:name w:val="AZ Table"/>
    <w:basedOn w:val="TableNormal"/>
    <w:uiPriority w:val="99"/>
    <w:rsid w:val="00BF2E4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customStyle="1" w:styleId="TableTextChar">
    <w:name w:val="Table Text Char"/>
    <w:basedOn w:val="DefaultParagraphFont"/>
    <w:link w:val="TableText"/>
    <w:rsid w:val="00BF2E4F"/>
    <w:rPr>
      <w:rFonts w:ascii="Arial Narrow" w:eastAsiaTheme="majorEastAsia" w:hAnsi="Arial Narrow" w:cs="Arial"/>
      <w:sz w:val="20"/>
      <w:szCs w:val="20"/>
      <w:lang w:eastAsia="en-US" w:bidi="en-US"/>
    </w:rPr>
  </w:style>
  <w:style w:type="character" w:customStyle="1" w:styleId="TableHeadingChar">
    <w:name w:val="Table Heading Char"/>
    <w:basedOn w:val="DefaultParagraphFont"/>
    <w:link w:val="TableHeading0"/>
    <w:locked/>
    <w:rsid w:val="00BF2E4F"/>
    <w:rPr>
      <w:rFonts w:ascii="Arial Narrow" w:eastAsiaTheme="majorEastAsia" w:hAnsi="Arial Narrow" w:cs="Arial"/>
      <w:b/>
      <w:sz w:val="20"/>
      <w:szCs w:val="20"/>
      <w:lang w:bidi="en-US"/>
    </w:rPr>
  </w:style>
  <w:style w:type="character" w:customStyle="1" w:styleId="CaptionChar">
    <w:name w:val="Caption Char"/>
    <w:aliases w:val="Bullet Char,- H17 Char,Bayer Caption Char,IB Caption Char,Medical Caption Char,B Caption Char,Caption Char2 Char Char,Caption Char Char Char2 Char,Caption Char1 Char Char Char1 Char,Caption Char2 Char Char Char1 Char1 Char,NICE Caption Char"/>
    <w:link w:val="Caption"/>
    <w:locked/>
    <w:rsid w:val="00BF2E4F"/>
    <w:rPr>
      <w:rFonts w:ascii="Arial" w:eastAsiaTheme="minorHAnsi" w:hAnsi="Arial"/>
      <w:b/>
      <w:iCs/>
      <w:color w:val="000000" w:themeColor="text1"/>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339">
      <w:bodyDiv w:val="1"/>
      <w:marLeft w:val="0"/>
      <w:marRight w:val="0"/>
      <w:marTop w:val="0"/>
      <w:marBottom w:val="0"/>
      <w:divBdr>
        <w:top w:val="none" w:sz="0" w:space="0" w:color="auto"/>
        <w:left w:val="none" w:sz="0" w:space="0" w:color="auto"/>
        <w:bottom w:val="none" w:sz="0" w:space="0" w:color="auto"/>
        <w:right w:val="none" w:sz="0" w:space="0" w:color="auto"/>
      </w:divBdr>
    </w:div>
    <w:div w:id="45036245">
      <w:bodyDiv w:val="1"/>
      <w:marLeft w:val="0"/>
      <w:marRight w:val="0"/>
      <w:marTop w:val="0"/>
      <w:marBottom w:val="0"/>
      <w:divBdr>
        <w:top w:val="none" w:sz="0" w:space="0" w:color="auto"/>
        <w:left w:val="none" w:sz="0" w:space="0" w:color="auto"/>
        <w:bottom w:val="none" w:sz="0" w:space="0" w:color="auto"/>
        <w:right w:val="none" w:sz="0" w:space="0" w:color="auto"/>
      </w:divBdr>
    </w:div>
    <w:div w:id="65419825">
      <w:bodyDiv w:val="1"/>
      <w:marLeft w:val="0"/>
      <w:marRight w:val="0"/>
      <w:marTop w:val="0"/>
      <w:marBottom w:val="0"/>
      <w:divBdr>
        <w:top w:val="none" w:sz="0" w:space="0" w:color="auto"/>
        <w:left w:val="none" w:sz="0" w:space="0" w:color="auto"/>
        <w:bottom w:val="none" w:sz="0" w:space="0" w:color="auto"/>
        <w:right w:val="none" w:sz="0" w:space="0" w:color="auto"/>
      </w:divBdr>
    </w:div>
    <w:div w:id="86849850">
      <w:bodyDiv w:val="1"/>
      <w:marLeft w:val="0"/>
      <w:marRight w:val="0"/>
      <w:marTop w:val="0"/>
      <w:marBottom w:val="0"/>
      <w:divBdr>
        <w:top w:val="none" w:sz="0" w:space="0" w:color="auto"/>
        <w:left w:val="none" w:sz="0" w:space="0" w:color="auto"/>
        <w:bottom w:val="none" w:sz="0" w:space="0" w:color="auto"/>
        <w:right w:val="none" w:sz="0" w:space="0" w:color="auto"/>
      </w:divBdr>
    </w:div>
    <w:div w:id="189730827">
      <w:bodyDiv w:val="1"/>
      <w:marLeft w:val="0"/>
      <w:marRight w:val="0"/>
      <w:marTop w:val="0"/>
      <w:marBottom w:val="0"/>
      <w:divBdr>
        <w:top w:val="none" w:sz="0" w:space="0" w:color="auto"/>
        <w:left w:val="none" w:sz="0" w:space="0" w:color="auto"/>
        <w:bottom w:val="none" w:sz="0" w:space="0" w:color="auto"/>
        <w:right w:val="none" w:sz="0" w:space="0" w:color="auto"/>
      </w:divBdr>
    </w:div>
    <w:div w:id="212543900">
      <w:bodyDiv w:val="1"/>
      <w:marLeft w:val="0"/>
      <w:marRight w:val="0"/>
      <w:marTop w:val="0"/>
      <w:marBottom w:val="0"/>
      <w:divBdr>
        <w:top w:val="none" w:sz="0" w:space="0" w:color="auto"/>
        <w:left w:val="none" w:sz="0" w:space="0" w:color="auto"/>
        <w:bottom w:val="none" w:sz="0" w:space="0" w:color="auto"/>
        <w:right w:val="none" w:sz="0" w:space="0" w:color="auto"/>
      </w:divBdr>
    </w:div>
    <w:div w:id="245573860">
      <w:bodyDiv w:val="1"/>
      <w:marLeft w:val="0"/>
      <w:marRight w:val="0"/>
      <w:marTop w:val="0"/>
      <w:marBottom w:val="0"/>
      <w:divBdr>
        <w:top w:val="none" w:sz="0" w:space="0" w:color="auto"/>
        <w:left w:val="none" w:sz="0" w:space="0" w:color="auto"/>
        <w:bottom w:val="none" w:sz="0" w:space="0" w:color="auto"/>
        <w:right w:val="none" w:sz="0" w:space="0" w:color="auto"/>
      </w:divBdr>
    </w:div>
    <w:div w:id="248849260">
      <w:bodyDiv w:val="1"/>
      <w:marLeft w:val="0"/>
      <w:marRight w:val="0"/>
      <w:marTop w:val="0"/>
      <w:marBottom w:val="0"/>
      <w:divBdr>
        <w:top w:val="none" w:sz="0" w:space="0" w:color="auto"/>
        <w:left w:val="none" w:sz="0" w:space="0" w:color="auto"/>
        <w:bottom w:val="none" w:sz="0" w:space="0" w:color="auto"/>
        <w:right w:val="none" w:sz="0" w:space="0" w:color="auto"/>
      </w:divBdr>
    </w:div>
    <w:div w:id="308246893">
      <w:bodyDiv w:val="1"/>
      <w:marLeft w:val="0"/>
      <w:marRight w:val="0"/>
      <w:marTop w:val="0"/>
      <w:marBottom w:val="0"/>
      <w:divBdr>
        <w:top w:val="none" w:sz="0" w:space="0" w:color="auto"/>
        <w:left w:val="none" w:sz="0" w:space="0" w:color="auto"/>
        <w:bottom w:val="none" w:sz="0" w:space="0" w:color="auto"/>
        <w:right w:val="none" w:sz="0" w:space="0" w:color="auto"/>
      </w:divBdr>
    </w:div>
    <w:div w:id="322860317">
      <w:bodyDiv w:val="1"/>
      <w:marLeft w:val="0"/>
      <w:marRight w:val="0"/>
      <w:marTop w:val="0"/>
      <w:marBottom w:val="0"/>
      <w:divBdr>
        <w:top w:val="none" w:sz="0" w:space="0" w:color="auto"/>
        <w:left w:val="none" w:sz="0" w:space="0" w:color="auto"/>
        <w:bottom w:val="none" w:sz="0" w:space="0" w:color="auto"/>
        <w:right w:val="none" w:sz="0" w:space="0" w:color="auto"/>
      </w:divBdr>
    </w:div>
    <w:div w:id="333534889">
      <w:bodyDiv w:val="1"/>
      <w:marLeft w:val="0"/>
      <w:marRight w:val="0"/>
      <w:marTop w:val="0"/>
      <w:marBottom w:val="0"/>
      <w:divBdr>
        <w:top w:val="none" w:sz="0" w:space="0" w:color="auto"/>
        <w:left w:val="none" w:sz="0" w:space="0" w:color="auto"/>
        <w:bottom w:val="none" w:sz="0" w:space="0" w:color="auto"/>
        <w:right w:val="none" w:sz="0" w:space="0" w:color="auto"/>
      </w:divBdr>
    </w:div>
    <w:div w:id="368185959">
      <w:bodyDiv w:val="1"/>
      <w:marLeft w:val="0"/>
      <w:marRight w:val="0"/>
      <w:marTop w:val="0"/>
      <w:marBottom w:val="0"/>
      <w:divBdr>
        <w:top w:val="none" w:sz="0" w:space="0" w:color="auto"/>
        <w:left w:val="none" w:sz="0" w:space="0" w:color="auto"/>
        <w:bottom w:val="none" w:sz="0" w:space="0" w:color="auto"/>
        <w:right w:val="none" w:sz="0" w:space="0" w:color="auto"/>
      </w:divBdr>
    </w:div>
    <w:div w:id="394859417">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11049720">
      <w:bodyDiv w:val="1"/>
      <w:marLeft w:val="0"/>
      <w:marRight w:val="0"/>
      <w:marTop w:val="0"/>
      <w:marBottom w:val="0"/>
      <w:divBdr>
        <w:top w:val="none" w:sz="0" w:space="0" w:color="auto"/>
        <w:left w:val="none" w:sz="0" w:space="0" w:color="auto"/>
        <w:bottom w:val="none" w:sz="0" w:space="0" w:color="auto"/>
        <w:right w:val="none" w:sz="0" w:space="0" w:color="auto"/>
      </w:divBdr>
    </w:div>
    <w:div w:id="421604410">
      <w:bodyDiv w:val="1"/>
      <w:marLeft w:val="0"/>
      <w:marRight w:val="0"/>
      <w:marTop w:val="0"/>
      <w:marBottom w:val="0"/>
      <w:divBdr>
        <w:top w:val="none" w:sz="0" w:space="0" w:color="auto"/>
        <w:left w:val="none" w:sz="0" w:space="0" w:color="auto"/>
        <w:bottom w:val="none" w:sz="0" w:space="0" w:color="auto"/>
        <w:right w:val="none" w:sz="0" w:space="0" w:color="auto"/>
      </w:divBdr>
    </w:div>
    <w:div w:id="454175623">
      <w:bodyDiv w:val="1"/>
      <w:marLeft w:val="0"/>
      <w:marRight w:val="0"/>
      <w:marTop w:val="0"/>
      <w:marBottom w:val="0"/>
      <w:divBdr>
        <w:top w:val="none" w:sz="0" w:space="0" w:color="auto"/>
        <w:left w:val="none" w:sz="0" w:space="0" w:color="auto"/>
        <w:bottom w:val="none" w:sz="0" w:space="0" w:color="auto"/>
        <w:right w:val="none" w:sz="0" w:space="0" w:color="auto"/>
      </w:divBdr>
    </w:div>
    <w:div w:id="470710266">
      <w:bodyDiv w:val="1"/>
      <w:marLeft w:val="0"/>
      <w:marRight w:val="0"/>
      <w:marTop w:val="0"/>
      <w:marBottom w:val="0"/>
      <w:divBdr>
        <w:top w:val="none" w:sz="0" w:space="0" w:color="auto"/>
        <w:left w:val="none" w:sz="0" w:space="0" w:color="auto"/>
        <w:bottom w:val="none" w:sz="0" w:space="0" w:color="auto"/>
        <w:right w:val="none" w:sz="0" w:space="0" w:color="auto"/>
      </w:divBdr>
    </w:div>
    <w:div w:id="482282179">
      <w:bodyDiv w:val="1"/>
      <w:marLeft w:val="0"/>
      <w:marRight w:val="0"/>
      <w:marTop w:val="0"/>
      <w:marBottom w:val="0"/>
      <w:divBdr>
        <w:top w:val="none" w:sz="0" w:space="0" w:color="auto"/>
        <w:left w:val="none" w:sz="0" w:space="0" w:color="auto"/>
        <w:bottom w:val="none" w:sz="0" w:space="0" w:color="auto"/>
        <w:right w:val="none" w:sz="0" w:space="0" w:color="auto"/>
      </w:divBdr>
    </w:div>
    <w:div w:id="537133209">
      <w:bodyDiv w:val="1"/>
      <w:marLeft w:val="0"/>
      <w:marRight w:val="0"/>
      <w:marTop w:val="0"/>
      <w:marBottom w:val="0"/>
      <w:divBdr>
        <w:top w:val="none" w:sz="0" w:space="0" w:color="auto"/>
        <w:left w:val="none" w:sz="0" w:space="0" w:color="auto"/>
        <w:bottom w:val="none" w:sz="0" w:space="0" w:color="auto"/>
        <w:right w:val="none" w:sz="0" w:space="0" w:color="auto"/>
      </w:divBdr>
    </w:div>
    <w:div w:id="599221676">
      <w:bodyDiv w:val="1"/>
      <w:marLeft w:val="0"/>
      <w:marRight w:val="0"/>
      <w:marTop w:val="0"/>
      <w:marBottom w:val="0"/>
      <w:divBdr>
        <w:top w:val="none" w:sz="0" w:space="0" w:color="auto"/>
        <w:left w:val="none" w:sz="0" w:space="0" w:color="auto"/>
        <w:bottom w:val="none" w:sz="0" w:space="0" w:color="auto"/>
        <w:right w:val="none" w:sz="0" w:space="0" w:color="auto"/>
      </w:divBdr>
    </w:div>
    <w:div w:id="628899180">
      <w:bodyDiv w:val="1"/>
      <w:marLeft w:val="0"/>
      <w:marRight w:val="0"/>
      <w:marTop w:val="0"/>
      <w:marBottom w:val="0"/>
      <w:divBdr>
        <w:top w:val="none" w:sz="0" w:space="0" w:color="auto"/>
        <w:left w:val="none" w:sz="0" w:space="0" w:color="auto"/>
        <w:bottom w:val="none" w:sz="0" w:space="0" w:color="auto"/>
        <w:right w:val="none" w:sz="0" w:space="0" w:color="auto"/>
      </w:divBdr>
    </w:div>
    <w:div w:id="682437031">
      <w:bodyDiv w:val="1"/>
      <w:marLeft w:val="0"/>
      <w:marRight w:val="0"/>
      <w:marTop w:val="0"/>
      <w:marBottom w:val="0"/>
      <w:divBdr>
        <w:top w:val="none" w:sz="0" w:space="0" w:color="auto"/>
        <w:left w:val="none" w:sz="0" w:space="0" w:color="auto"/>
        <w:bottom w:val="none" w:sz="0" w:space="0" w:color="auto"/>
        <w:right w:val="none" w:sz="0" w:space="0" w:color="auto"/>
      </w:divBdr>
    </w:div>
    <w:div w:id="744843189">
      <w:bodyDiv w:val="1"/>
      <w:marLeft w:val="0"/>
      <w:marRight w:val="0"/>
      <w:marTop w:val="0"/>
      <w:marBottom w:val="0"/>
      <w:divBdr>
        <w:top w:val="none" w:sz="0" w:space="0" w:color="auto"/>
        <w:left w:val="none" w:sz="0" w:space="0" w:color="auto"/>
        <w:bottom w:val="none" w:sz="0" w:space="0" w:color="auto"/>
        <w:right w:val="none" w:sz="0" w:space="0" w:color="auto"/>
      </w:divBdr>
    </w:div>
    <w:div w:id="769008982">
      <w:bodyDiv w:val="1"/>
      <w:marLeft w:val="0"/>
      <w:marRight w:val="0"/>
      <w:marTop w:val="0"/>
      <w:marBottom w:val="0"/>
      <w:divBdr>
        <w:top w:val="none" w:sz="0" w:space="0" w:color="auto"/>
        <w:left w:val="none" w:sz="0" w:space="0" w:color="auto"/>
        <w:bottom w:val="none" w:sz="0" w:space="0" w:color="auto"/>
        <w:right w:val="none" w:sz="0" w:space="0" w:color="auto"/>
      </w:divBdr>
    </w:div>
    <w:div w:id="932709918">
      <w:bodyDiv w:val="1"/>
      <w:marLeft w:val="0"/>
      <w:marRight w:val="0"/>
      <w:marTop w:val="0"/>
      <w:marBottom w:val="0"/>
      <w:divBdr>
        <w:top w:val="none" w:sz="0" w:space="0" w:color="auto"/>
        <w:left w:val="none" w:sz="0" w:space="0" w:color="auto"/>
        <w:bottom w:val="none" w:sz="0" w:space="0" w:color="auto"/>
        <w:right w:val="none" w:sz="0" w:space="0" w:color="auto"/>
      </w:divBdr>
    </w:div>
    <w:div w:id="1015225468">
      <w:bodyDiv w:val="1"/>
      <w:marLeft w:val="0"/>
      <w:marRight w:val="0"/>
      <w:marTop w:val="0"/>
      <w:marBottom w:val="0"/>
      <w:divBdr>
        <w:top w:val="none" w:sz="0" w:space="0" w:color="auto"/>
        <w:left w:val="none" w:sz="0" w:space="0" w:color="auto"/>
        <w:bottom w:val="none" w:sz="0" w:space="0" w:color="auto"/>
        <w:right w:val="none" w:sz="0" w:space="0" w:color="auto"/>
      </w:divBdr>
    </w:div>
    <w:div w:id="1059012724">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29133429">
      <w:bodyDiv w:val="1"/>
      <w:marLeft w:val="0"/>
      <w:marRight w:val="0"/>
      <w:marTop w:val="0"/>
      <w:marBottom w:val="0"/>
      <w:divBdr>
        <w:top w:val="none" w:sz="0" w:space="0" w:color="auto"/>
        <w:left w:val="none" w:sz="0" w:space="0" w:color="auto"/>
        <w:bottom w:val="none" w:sz="0" w:space="0" w:color="auto"/>
        <w:right w:val="none" w:sz="0" w:space="0" w:color="auto"/>
      </w:divBdr>
    </w:div>
    <w:div w:id="1172525409">
      <w:bodyDiv w:val="1"/>
      <w:marLeft w:val="0"/>
      <w:marRight w:val="0"/>
      <w:marTop w:val="0"/>
      <w:marBottom w:val="0"/>
      <w:divBdr>
        <w:top w:val="none" w:sz="0" w:space="0" w:color="auto"/>
        <w:left w:val="none" w:sz="0" w:space="0" w:color="auto"/>
        <w:bottom w:val="none" w:sz="0" w:space="0" w:color="auto"/>
        <w:right w:val="none" w:sz="0" w:space="0" w:color="auto"/>
      </w:divBdr>
    </w:div>
    <w:div w:id="1176383417">
      <w:bodyDiv w:val="1"/>
      <w:marLeft w:val="0"/>
      <w:marRight w:val="0"/>
      <w:marTop w:val="0"/>
      <w:marBottom w:val="0"/>
      <w:divBdr>
        <w:top w:val="none" w:sz="0" w:space="0" w:color="auto"/>
        <w:left w:val="none" w:sz="0" w:space="0" w:color="auto"/>
        <w:bottom w:val="none" w:sz="0" w:space="0" w:color="auto"/>
        <w:right w:val="none" w:sz="0" w:space="0" w:color="auto"/>
      </w:divBdr>
    </w:div>
    <w:div w:id="1254626470">
      <w:bodyDiv w:val="1"/>
      <w:marLeft w:val="0"/>
      <w:marRight w:val="0"/>
      <w:marTop w:val="0"/>
      <w:marBottom w:val="0"/>
      <w:divBdr>
        <w:top w:val="none" w:sz="0" w:space="0" w:color="auto"/>
        <w:left w:val="none" w:sz="0" w:space="0" w:color="auto"/>
        <w:bottom w:val="none" w:sz="0" w:space="0" w:color="auto"/>
        <w:right w:val="none" w:sz="0" w:space="0" w:color="auto"/>
      </w:divBdr>
    </w:div>
    <w:div w:id="1308440662">
      <w:bodyDiv w:val="1"/>
      <w:marLeft w:val="0"/>
      <w:marRight w:val="0"/>
      <w:marTop w:val="0"/>
      <w:marBottom w:val="0"/>
      <w:divBdr>
        <w:top w:val="none" w:sz="0" w:space="0" w:color="auto"/>
        <w:left w:val="none" w:sz="0" w:space="0" w:color="auto"/>
        <w:bottom w:val="none" w:sz="0" w:space="0" w:color="auto"/>
        <w:right w:val="none" w:sz="0" w:space="0" w:color="auto"/>
      </w:divBdr>
    </w:div>
    <w:div w:id="1313287454">
      <w:bodyDiv w:val="1"/>
      <w:marLeft w:val="0"/>
      <w:marRight w:val="0"/>
      <w:marTop w:val="0"/>
      <w:marBottom w:val="0"/>
      <w:divBdr>
        <w:top w:val="none" w:sz="0" w:space="0" w:color="auto"/>
        <w:left w:val="none" w:sz="0" w:space="0" w:color="auto"/>
        <w:bottom w:val="none" w:sz="0" w:space="0" w:color="auto"/>
        <w:right w:val="none" w:sz="0" w:space="0" w:color="auto"/>
      </w:divBdr>
    </w:div>
    <w:div w:id="1507552169">
      <w:bodyDiv w:val="1"/>
      <w:marLeft w:val="0"/>
      <w:marRight w:val="0"/>
      <w:marTop w:val="0"/>
      <w:marBottom w:val="0"/>
      <w:divBdr>
        <w:top w:val="none" w:sz="0" w:space="0" w:color="auto"/>
        <w:left w:val="none" w:sz="0" w:space="0" w:color="auto"/>
        <w:bottom w:val="none" w:sz="0" w:space="0" w:color="auto"/>
        <w:right w:val="none" w:sz="0" w:space="0" w:color="auto"/>
      </w:divBdr>
    </w:div>
    <w:div w:id="1508906523">
      <w:bodyDiv w:val="1"/>
      <w:marLeft w:val="0"/>
      <w:marRight w:val="0"/>
      <w:marTop w:val="0"/>
      <w:marBottom w:val="0"/>
      <w:divBdr>
        <w:top w:val="none" w:sz="0" w:space="0" w:color="auto"/>
        <w:left w:val="none" w:sz="0" w:space="0" w:color="auto"/>
        <w:bottom w:val="none" w:sz="0" w:space="0" w:color="auto"/>
        <w:right w:val="none" w:sz="0" w:space="0" w:color="auto"/>
      </w:divBdr>
    </w:div>
    <w:div w:id="1540818844">
      <w:bodyDiv w:val="1"/>
      <w:marLeft w:val="0"/>
      <w:marRight w:val="0"/>
      <w:marTop w:val="0"/>
      <w:marBottom w:val="0"/>
      <w:divBdr>
        <w:top w:val="none" w:sz="0" w:space="0" w:color="auto"/>
        <w:left w:val="none" w:sz="0" w:space="0" w:color="auto"/>
        <w:bottom w:val="none" w:sz="0" w:space="0" w:color="auto"/>
        <w:right w:val="none" w:sz="0" w:space="0" w:color="auto"/>
      </w:divBdr>
    </w:div>
    <w:div w:id="1543326621">
      <w:bodyDiv w:val="1"/>
      <w:marLeft w:val="0"/>
      <w:marRight w:val="0"/>
      <w:marTop w:val="0"/>
      <w:marBottom w:val="0"/>
      <w:divBdr>
        <w:top w:val="none" w:sz="0" w:space="0" w:color="auto"/>
        <w:left w:val="none" w:sz="0" w:space="0" w:color="auto"/>
        <w:bottom w:val="none" w:sz="0" w:space="0" w:color="auto"/>
        <w:right w:val="none" w:sz="0" w:space="0" w:color="auto"/>
      </w:divBdr>
    </w:div>
    <w:div w:id="1548106851">
      <w:bodyDiv w:val="1"/>
      <w:marLeft w:val="0"/>
      <w:marRight w:val="0"/>
      <w:marTop w:val="0"/>
      <w:marBottom w:val="0"/>
      <w:divBdr>
        <w:top w:val="none" w:sz="0" w:space="0" w:color="auto"/>
        <w:left w:val="none" w:sz="0" w:space="0" w:color="auto"/>
        <w:bottom w:val="none" w:sz="0" w:space="0" w:color="auto"/>
        <w:right w:val="none" w:sz="0" w:space="0" w:color="auto"/>
      </w:divBdr>
    </w:div>
    <w:div w:id="1578829272">
      <w:bodyDiv w:val="1"/>
      <w:marLeft w:val="0"/>
      <w:marRight w:val="0"/>
      <w:marTop w:val="0"/>
      <w:marBottom w:val="0"/>
      <w:divBdr>
        <w:top w:val="none" w:sz="0" w:space="0" w:color="auto"/>
        <w:left w:val="none" w:sz="0" w:space="0" w:color="auto"/>
        <w:bottom w:val="none" w:sz="0" w:space="0" w:color="auto"/>
        <w:right w:val="none" w:sz="0" w:space="0" w:color="auto"/>
      </w:divBdr>
    </w:div>
    <w:div w:id="1595165576">
      <w:bodyDiv w:val="1"/>
      <w:marLeft w:val="0"/>
      <w:marRight w:val="0"/>
      <w:marTop w:val="0"/>
      <w:marBottom w:val="0"/>
      <w:divBdr>
        <w:top w:val="none" w:sz="0" w:space="0" w:color="auto"/>
        <w:left w:val="none" w:sz="0" w:space="0" w:color="auto"/>
        <w:bottom w:val="none" w:sz="0" w:space="0" w:color="auto"/>
        <w:right w:val="none" w:sz="0" w:space="0" w:color="auto"/>
      </w:divBdr>
    </w:div>
    <w:div w:id="1612470168">
      <w:bodyDiv w:val="1"/>
      <w:marLeft w:val="0"/>
      <w:marRight w:val="0"/>
      <w:marTop w:val="0"/>
      <w:marBottom w:val="0"/>
      <w:divBdr>
        <w:top w:val="none" w:sz="0" w:space="0" w:color="auto"/>
        <w:left w:val="none" w:sz="0" w:space="0" w:color="auto"/>
        <w:bottom w:val="none" w:sz="0" w:space="0" w:color="auto"/>
        <w:right w:val="none" w:sz="0" w:space="0" w:color="auto"/>
      </w:divBdr>
    </w:div>
    <w:div w:id="1627471931">
      <w:bodyDiv w:val="1"/>
      <w:marLeft w:val="0"/>
      <w:marRight w:val="0"/>
      <w:marTop w:val="0"/>
      <w:marBottom w:val="0"/>
      <w:divBdr>
        <w:top w:val="none" w:sz="0" w:space="0" w:color="auto"/>
        <w:left w:val="none" w:sz="0" w:space="0" w:color="auto"/>
        <w:bottom w:val="none" w:sz="0" w:space="0" w:color="auto"/>
        <w:right w:val="none" w:sz="0" w:space="0" w:color="auto"/>
      </w:divBdr>
    </w:div>
    <w:div w:id="1629048046">
      <w:bodyDiv w:val="1"/>
      <w:marLeft w:val="0"/>
      <w:marRight w:val="0"/>
      <w:marTop w:val="0"/>
      <w:marBottom w:val="0"/>
      <w:divBdr>
        <w:top w:val="none" w:sz="0" w:space="0" w:color="auto"/>
        <w:left w:val="none" w:sz="0" w:space="0" w:color="auto"/>
        <w:bottom w:val="none" w:sz="0" w:space="0" w:color="auto"/>
        <w:right w:val="none" w:sz="0" w:space="0" w:color="auto"/>
      </w:divBdr>
    </w:div>
    <w:div w:id="1661226483">
      <w:bodyDiv w:val="1"/>
      <w:marLeft w:val="0"/>
      <w:marRight w:val="0"/>
      <w:marTop w:val="0"/>
      <w:marBottom w:val="0"/>
      <w:divBdr>
        <w:top w:val="none" w:sz="0" w:space="0" w:color="auto"/>
        <w:left w:val="none" w:sz="0" w:space="0" w:color="auto"/>
        <w:bottom w:val="none" w:sz="0" w:space="0" w:color="auto"/>
        <w:right w:val="none" w:sz="0" w:space="0" w:color="auto"/>
      </w:divBdr>
    </w:div>
    <w:div w:id="1692730249">
      <w:bodyDiv w:val="1"/>
      <w:marLeft w:val="0"/>
      <w:marRight w:val="0"/>
      <w:marTop w:val="0"/>
      <w:marBottom w:val="0"/>
      <w:divBdr>
        <w:top w:val="none" w:sz="0" w:space="0" w:color="auto"/>
        <w:left w:val="none" w:sz="0" w:space="0" w:color="auto"/>
        <w:bottom w:val="none" w:sz="0" w:space="0" w:color="auto"/>
        <w:right w:val="none" w:sz="0" w:space="0" w:color="auto"/>
      </w:divBdr>
    </w:div>
    <w:div w:id="1720938731">
      <w:bodyDiv w:val="1"/>
      <w:marLeft w:val="0"/>
      <w:marRight w:val="0"/>
      <w:marTop w:val="0"/>
      <w:marBottom w:val="0"/>
      <w:divBdr>
        <w:top w:val="none" w:sz="0" w:space="0" w:color="auto"/>
        <w:left w:val="none" w:sz="0" w:space="0" w:color="auto"/>
        <w:bottom w:val="none" w:sz="0" w:space="0" w:color="auto"/>
        <w:right w:val="none" w:sz="0" w:space="0" w:color="auto"/>
      </w:divBdr>
    </w:div>
    <w:div w:id="1723410138">
      <w:bodyDiv w:val="1"/>
      <w:marLeft w:val="0"/>
      <w:marRight w:val="0"/>
      <w:marTop w:val="0"/>
      <w:marBottom w:val="0"/>
      <w:divBdr>
        <w:top w:val="none" w:sz="0" w:space="0" w:color="auto"/>
        <w:left w:val="none" w:sz="0" w:space="0" w:color="auto"/>
        <w:bottom w:val="none" w:sz="0" w:space="0" w:color="auto"/>
        <w:right w:val="none" w:sz="0" w:space="0" w:color="auto"/>
      </w:divBdr>
    </w:div>
    <w:div w:id="1763404941">
      <w:bodyDiv w:val="1"/>
      <w:marLeft w:val="0"/>
      <w:marRight w:val="0"/>
      <w:marTop w:val="0"/>
      <w:marBottom w:val="0"/>
      <w:divBdr>
        <w:top w:val="none" w:sz="0" w:space="0" w:color="auto"/>
        <w:left w:val="none" w:sz="0" w:space="0" w:color="auto"/>
        <w:bottom w:val="none" w:sz="0" w:space="0" w:color="auto"/>
        <w:right w:val="none" w:sz="0" w:space="0" w:color="auto"/>
      </w:divBdr>
    </w:div>
    <w:div w:id="1764646945">
      <w:bodyDiv w:val="1"/>
      <w:marLeft w:val="0"/>
      <w:marRight w:val="0"/>
      <w:marTop w:val="0"/>
      <w:marBottom w:val="0"/>
      <w:divBdr>
        <w:top w:val="none" w:sz="0" w:space="0" w:color="auto"/>
        <w:left w:val="none" w:sz="0" w:space="0" w:color="auto"/>
        <w:bottom w:val="none" w:sz="0" w:space="0" w:color="auto"/>
        <w:right w:val="none" w:sz="0" w:space="0" w:color="auto"/>
      </w:divBdr>
    </w:div>
    <w:div w:id="1833452876">
      <w:bodyDiv w:val="1"/>
      <w:marLeft w:val="0"/>
      <w:marRight w:val="0"/>
      <w:marTop w:val="0"/>
      <w:marBottom w:val="0"/>
      <w:divBdr>
        <w:top w:val="none" w:sz="0" w:space="0" w:color="auto"/>
        <w:left w:val="none" w:sz="0" w:space="0" w:color="auto"/>
        <w:bottom w:val="none" w:sz="0" w:space="0" w:color="auto"/>
        <w:right w:val="none" w:sz="0" w:space="0" w:color="auto"/>
      </w:divBdr>
    </w:div>
    <w:div w:id="1852837289">
      <w:bodyDiv w:val="1"/>
      <w:marLeft w:val="0"/>
      <w:marRight w:val="0"/>
      <w:marTop w:val="0"/>
      <w:marBottom w:val="0"/>
      <w:divBdr>
        <w:top w:val="none" w:sz="0" w:space="0" w:color="auto"/>
        <w:left w:val="none" w:sz="0" w:space="0" w:color="auto"/>
        <w:bottom w:val="none" w:sz="0" w:space="0" w:color="auto"/>
        <w:right w:val="none" w:sz="0" w:space="0" w:color="auto"/>
      </w:divBdr>
    </w:div>
    <w:div w:id="1893734260">
      <w:bodyDiv w:val="1"/>
      <w:marLeft w:val="0"/>
      <w:marRight w:val="0"/>
      <w:marTop w:val="0"/>
      <w:marBottom w:val="0"/>
      <w:divBdr>
        <w:top w:val="none" w:sz="0" w:space="0" w:color="auto"/>
        <w:left w:val="none" w:sz="0" w:space="0" w:color="auto"/>
        <w:bottom w:val="none" w:sz="0" w:space="0" w:color="auto"/>
        <w:right w:val="none" w:sz="0" w:space="0" w:color="auto"/>
      </w:divBdr>
    </w:div>
    <w:div w:id="1903834753">
      <w:bodyDiv w:val="1"/>
      <w:marLeft w:val="0"/>
      <w:marRight w:val="0"/>
      <w:marTop w:val="0"/>
      <w:marBottom w:val="0"/>
      <w:divBdr>
        <w:top w:val="none" w:sz="0" w:space="0" w:color="auto"/>
        <w:left w:val="none" w:sz="0" w:space="0" w:color="auto"/>
        <w:bottom w:val="none" w:sz="0" w:space="0" w:color="auto"/>
        <w:right w:val="none" w:sz="0" w:space="0" w:color="auto"/>
      </w:divBdr>
    </w:div>
    <w:div w:id="1925912651">
      <w:bodyDiv w:val="1"/>
      <w:marLeft w:val="0"/>
      <w:marRight w:val="0"/>
      <w:marTop w:val="0"/>
      <w:marBottom w:val="0"/>
      <w:divBdr>
        <w:top w:val="none" w:sz="0" w:space="0" w:color="auto"/>
        <w:left w:val="none" w:sz="0" w:space="0" w:color="auto"/>
        <w:bottom w:val="none" w:sz="0" w:space="0" w:color="auto"/>
        <w:right w:val="none" w:sz="0" w:space="0" w:color="auto"/>
      </w:divBdr>
    </w:div>
    <w:div w:id="1954481745">
      <w:bodyDiv w:val="1"/>
      <w:marLeft w:val="0"/>
      <w:marRight w:val="0"/>
      <w:marTop w:val="0"/>
      <w:marBottom w:val="0"/>
      <w:divBdr>
        <w:top w:val="none" w:sz="0" w:space="0" w:color="auto"/>
        <w:left w:val="none" w:sz="0" w:space="0" w:color="auto"/>
        <w:bottom w:val="none" w:sz="0" w:space="0" w:color="auto"/>
        <w:right w:val="none" w:sz="0" w:space="0" w:color="auto"/>
      </w:divBdr>
    </w:div>
    <w:div w:id="2031026575">
      <w:bodyDiv w:val="1"/>
      <w:marLeft w:val="0"/>
      <w:marRight w:val="0"/>
      <w:marTop w:val="0"/>
      <w:marBottom w:val="0"/>
      <w:divBdr>
        <w:top w:val="none" w:sz="0" w:space="0" w:color="auto"/>
        <w:left w:val="none" w:sz="0" w:space="0" w:color="auto"/>
        <w:bottom w:val="none" w:sz="0" w:space="0" w:color="auto"/>
        <w:right w:val="none" w:sz="0" w:space="0" w:color="auto"/>
      </w:divBdr>
    </w:div>
    <w:div w:id="2034645792">
      <w:bodyDiv w:val="1"/>
      <w:marLeft w:val="0"/>
      <w:marRight w:val="0"/>
      <w:marTop w:val="0"/>
      <w:marBottom w:val="0"/>
      <w:divBdr>
        <w:top w:val="none" w:sz="0" w:space="0" w:color="auto"/>
        <w:left w:val="none" w:sz="0" w:space="0" w:color="auto"/>
        <w:bottom w:val="none" w:sz="0" w:space="0" w:color="auto"/>
        <w:right w:val="none" w:sz="0" w:space="0" w:color="auto"/>
      </w:divBdr>
    </w:div>
    <w:div w:id="206047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bs.gov.au/pbs/home" TargetMode="External"/><Relationship Id="rId18" Type="http://schemas.openxmlformats.org/officeDocument/2006/relationships/hyperlink" Target="https://www.pbs.gov.au/info/industry/listing/elements/pbac-meetings/psd/2019-11/durvalumab-solution-concentrate-for-i-v-infusion-120-mg-in-2-4-ml" TargetMode="External"/><Relationship Id="rId26" Type="http://schemas.openxmlformats.org/officeDocument/2006/relationships/chart" Target="charts/chart4.xml"/><Relationship Id="rId39" Type="http://schemas.openxmlformats.org/officeDocument/2006/relationships/chart" Target="charts/chart14.xml"/><Relationship Id="rId21" Type="http://schemas.openxmlformats.org/officeDocument/2006/relationships/hyperlink" Target="https://www.pbs.gov.au/info/industry/listing/participants/public-release-docs/2020-06/nivolumab-treatment-of-non-small-cell-lung-cancer-actual-analysis" TargetMode="External"/><Relationship Id="rId34" Type="http://schemas.openxmlformats.org/officeDocument/2006/relationships/chart" Target="charts/chart9.xml"/><Relationship Id="rId42" Type="http://schemas.openxmlformats.org/officeDocument/2006/relationships/image" Target="media/image2.svg"/><Relationship Id="rId47" Type="http://schemas.openxmlformats.org/officeDocument/2006/relationships/hyperlink" Target="https://www.aihw.gov.au/reports/cancer/cancer-data-in-australia" TargetMode="External"/><Relationship Id="rId50" Type="http://schemas.openxmlformats.org/officeDocument/2006/relationships/hyperlink" Target="https://www.tga.gov.au/product-information-pi" TargetMode="External"/><Relationship Id="rId55" Type="http://schemas.openxmlformats.org/officeDocument/2006/relationships/hyperlink" Target="https://www.tga.gov.au/product-information-pi" TargetMode="External"/><Relationship Id="rId63" Type="http://schemas.openxmlformats.org/officeDocument/2006/relationships/hyperlink" Target="https://www.tga.gov.au/product-information-pi" TargetMode="External"/><Relationship Id="rId68"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pbs.gov.au/info/industry/listing/elements/pbac-meetings/psd/2018-11/Durvalumab-psd-november-2018" TargetMode="External"/><Relationship Id="rId29" Type="http://schemas.openxmlformats.org/officeDocument/2006/relationships/chart" Target="charts/chart6.xml"/><Relationship Id="rId11" Type="http://schemas.openxmlformats.org/officeDocument/2006/relationships/hyperlink" Target="http://tga.gov.au/hp/information-medicines-pi.htm" TargetMode="External"/><Relationship Id="rId24" Type="http://schemas.openxmlformats.org/officeDocument/2006/relationships/chart" Target="charts/chart2.xml"/><Relationship Id="rId32" Type="http://schemas.openxmlformats.org/officeDocument/2006/relationships/chart" Target="charts/chart8.xml"/><Relationship Id="rId37" Type="http://schemas.openxmlformats.org/officeDocument/2006/relationships/chart" Target="charts/chart12.xml"/><Relationship Id="rId40" Type="http://schemas.openxmlformats.org/officeDocument/2006/relationships/chart" Target="charts/chart15.xml"/><Relationship Id="rId45" Type="http://schemas.openxmlformats.org/officeDocument/2006/relationships/hyperlink" Target="https://www.tga.gov.au/product-information-pi" TargetMode="External"/><Relationship Id="rId53" Type="http://schemas.openxmlformats.org/officeDocument/2006/relationships/hyperlink" Target="https://www.tga.gov.au/product-information-pi" TargetMode="External"/><Relationship Id="rId58" Type="http://schemas.openxmlformats.org/officeDocument/2006/relationships/hyperlink" Target="http://www.medicareaustralia.gov.au/provider/pbs/stats.jsp" TargetMode="External"/><Relationship Id="rId66"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entral.health\DFSGroupData\Sites\CO1\CO\PBD\PEB\EVAL\DUSC\DUSC%20Documents\Predicted%20vs%20actual%20usage\pbs.gov.au" TargetMode="External"/><Relationship Id="rId23" Type="http://schemas.openxmlformats.org/officeDocument/2006/relationships/chart" Target="charts/chart1.xml"/><Relationship Id="rId28" Type="http://schemas.openxmlformats.org/officeDocument/2006/relationships/chart" Target="charts/chart5.xml"/><Relationship Id="rId36" Type="http://schemas.openxmlformats.org/officeDocument/2006/relationships/chart" Target="charts/chart11.xml"/><Relationship Id="rId49" Type="http://schemas.openxmlformats.org/officeDocument/2006/relationships/hyperlink" Target="https://www.pbs.gov.au/info/news/2021/07/bevacizumab-on-the-pbs" TargetMode="External"/><Relationship Id="rId57" Type="http://schemas.openxmlformats.org/officeDocument/2006/relationships/hyperlink" Target="https://www.tga.gov.au/product-information-pi" TargetMode="External"/><Relationship Id="rId61" Type="http://schemas.openxmlformats.org/officeDocument/2006/relationships/hyperlink" Target="https://www.tga.gov.au/product-information-pi" TargetMode="External"/><Relationship Id="rId10" Type="http://schemas.openxmlformats.org/officeDocument/2006/relationships/endnotes" Target="endnotes.xml"/><Relationship Id="rId19" Type="http://schemas.openxmlformats.org/officeDocument/2006/relationships/hyperlink" Target="https://www.pbs.gov.au/info/industry/listing/elements/pbac-meetings/psd/2022-03/durvalumab-solution-concentrate-for-iv-infusion-500-mg-in-10-ml-imfinzi" TargetMode="External"/><Relationship Id="rId31" Type="http://schemas.openxmlformats.org/officeDocument/2006/relationships/chart" Target="charts/chart7.xml"/><Relationship Id="rId44" Type="http://schemas.openxmlformats.org/officeDocument/2006/relationships/image" Target="media/image4.svg"/><Relationship Id="rId52" Type="http://schemas.openxmlformats.org/officeDocument/2006/relationships/hyperlink" Target="https://www.tga.gov.au/product-information-pi" TargetMode="External"/><Relationship Id="rId60" Type="http://schemas.openxmlformats.org/officeDocument/2006/relationships/hyperlink" Target="https://www.tga.gov.au/product-information-pi" TargetMode="External"/><Relationship Id="rId65" Type="http://schemas.openxmlformats.org/officeDocument/2006/relationships/hyperlink" Target="http://www.pbs.gov.au/pbs/home"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entral.health\DFSGroupData\Sites\CO1\CO\PBD\PEB\EVAL\DUSC\DUSC%20Documents\Predicted%20vs%20actual%20usage\pbs.gov.au" TargetMode="External"/><Relationship Id="rId22" Type="http://schemas.openxmlformats.org/officeDocument/2006/relationships/hyperlink" Target="https://www.pbs.gov.au/info/industry/listing/participants/public-release-docs/2020-10/alectinib-for-non-small-cell-lung-cancer-october-2020" TargetMode="External"/><Relationship Id="rId27" Type="http://schemas.openxmlformats.org/officeDocument/2006/relationships/hyperlink" Target="https://www.pbs.gov.au/info/industry/listing/elements/pbac-meetings/psd/2019-07/pembrolizumab-nsclc-solution-concentrate-for-iv-infusion" TargetMode="External"/><Relationship Id="rId30" Type="http://schemas.openxmlformats.org/officeDocument/2006/relationships/hyperlink" Target="https://www.pbs.gov.au/info/industry/listing/elements/pbac-meetings/psd/2021-12/lorlatinib-tablet-25-mg-tablet-100-mg-lorviqua" TargetMode="External"/><Relationship Id="rId35" Type="http://schemas.openxmlformats.org/officeDocument/2006/relationships/chart" Target="charts/chart10.xml"/><Relationship Id="rId43" Type="http://schemas.openxmlformats.org/officeDocument/2006/relationships/image" Target="media/image3.png"/><Relationship Id="rId48" Type="http://schemas.openxmlformats.org/officeDocument/2006/relationships/hyperlink" Target="https://www.tga.gov.au/product-information-pi" TargetMode="External"/><Relationship Id="rId56" Type="http://schemas.openxmlformats.org/officeDocument/2006/relationships/hyperlink" Target="https://www.tga.gov.au/product-information-pi" TargetMode="External"/><Relationship Id="rId64" Type="http://schemas.openxmlformats.org/officeDocument/2006/relationships/hyperlink" Target="http://www.pbs.gov.au/pbs/home"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tga.gov.au/product-information-pi"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tga.gov.au/consumers/information-medicines-cmi.htm" TargetMode="External"/><Relationship Id="rId17" Type="http://schemas.openxmlformats.org/officeDocument/2006/relationships/hyperlink" Target="https://www.pbs.gov.au/info/industry/listing/elements/pbac-meetings/psd/2019-07/durvalumab-nsclc-solution-concentrate-for-iv-infusion" TargetMode="External"/><Relationship Id="rId25" Type="http://schemas.openxmlformats.org/officeDocument/2006/relationships/chart" Target="charts/chart3.xml"/><Relationship Id="rId33" Type="http://schemas.openxmlformats.org/officeDocument/2006/relationships/hyperlink" Target="https://www.pbs.gov.au/info/industry/listing/elements/pbac-meetings/psd/2020-07/osimertinib-tablet-40-mg-tablet-80-mg-tagrisso" TargetMode="External"/><Relationship Id="rId38" Type="http://schemas.openxmlformats.org/officeDocument/2006/relationships/chart" Target="charts/chart13.xml"/><Relationship Id="rId46" Type="http://schemas.openxmlformats.org/officeDocument/2006/relationships/hyperlink" Target="https://www.tga.gov.au/product-information-pi" TargetMode="External"/><Relationship Id="rId59" Type="http://schemas.openxmlformats.org/officeDocument/2006/relationships/hyperlink" Target="https://www.tga.gov.au/product-information-pi" TargetMode="External"/><Relationship Id="rId67" Type="http://schemas.openxmlformats.org/officeDocument/2006/relationships/header" Target="header2.xml"/><Relationship Id="rId20" Type="http://schemas.openxmlformats.org/officeDocument/2006/relationships/hyperlink" Target="https://www.pbs.gov.au/info/industry/listing/participants/public-release-docs/2017-02/erlotinib-and-gefitinib-non-small-call-lung-cancer-feb-2017" TargetMode="External"/><Relationship Id="rId41" Type="http://schemas.openxmlformats.org/officeDocument/2006/relationships/image" Target="media/image1.png"/><Relationship Id="rId54" Type="http://schemas.openxmlformats.org/officeDocument/2006/relationships/hyperlink" Target="https://www.tga.gov.au/product-information-pi" TargetMode="External"/><Relationship Id="rId62" Type="http://schemas.openxmlformats.org/officeDocument/2006/relationships/hyperlink" Target="https://www.tga.gov.au/product-information-pi"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userenv\Users\User_04\HOMONI\Desktop\NSCLC\D1427%20-%20NSCLC%20review%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entral.health\dfsuserenv\Users\User_04\HOMONI\Desktop\NSCLC\D1427%20-%20NSCLC%20review%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entral.health\dfsuserenv\Users\User_04\HOMONI\Desktop\NSCLC\D1427%20-%20NSCLC%20review%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entral.health\dfsuserenv\Users\User_04\HOMONI\Desktop\NSCLC\D1427%20-%20NSCLC%20review%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entral.health\dfsuserenv\Users\User_04\HOMONI\Desktop\NSCLC\D1427%20-%20NSCLC%20review%2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entral.health\dfsuserenv\Users\User_04\HOMONI\Desktop\NSCLC\D1427%20-%20NSCLC%20review%20.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entral.health\dfsuserenv\Users\User_04\HOMONI\Desktop\NSCLC\D1427%20NSCLC(AutoRecovered).xlsx" TargetMode="External"/><Relationship Id="rId2" Type="http://schemas.microsoft.com/office/2011/relationships/chartColorStyle" Target="colors15.xml"/><Relationship Id="rId1" Type="http://schemas.microsoft.com/office/2011/relationships/chartStyle" Target="style15.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userenv\Users\User_04\HOMONI\Desktop\NSCLC\D1427%20-%20NSCLC%20review%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userenv\Users\User_04\HOMONI\Desktop\NSCLC\D1427%20-%20NSCLC%20review%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userenv\Users\User_04\HOMONI\Desktop\NSCLC\D1427%20-%20NSCLC%20review%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userenv\Users\User_04\HOMONI\Desktop\NSCLC\D1427%20-%20NSCLC%20review%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ntral.health\dfsuserenv\Users\User_04\HOMONI\Desktop\NSCLC\D1427%20-%20NSCLC%20review%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ntral.health\dfsuserenv\Users\User_04\HOMONI\Desktop\NSCLC\D1427%20-%20NSCLC%20review%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ntral.health\dfsuserenv\Users\User_04\HOMONI\Desktop\NSCLC\D1427%20-%20NSCLC%20review%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entral.health\dfsuserenv\Users\User_04\HOMONI\Desktop\NSCLC\D1427%20-%20NSCLC%20review%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[D1427 - NSCLC review .xlsx]Sheet12!PivotTable18</c:name>
    <c:fmtId val="-1"/>
  </c:pivotSource>
  <c:chart>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Sheet12!$V$1:$V$2</c:f>
              <c:strCache>
                <c:ptCount val="1"/>
                <c:pt idx="0">
                  <c:v>AFATINIB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Sheet12!$U$3:$U$29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Sheet12!$V$3:$V$29</c:f>
              <c:numCache>
                <c:formatCode>General</c:formatCode>
                <c:ptCount val="26"/>
                <c:pt idx="9">
                  <c:v>54</c:v>
                </c:pt>
                <c:pt idx="10">
                  <c:v>119</c:v>
                </c:pt>
                <c:pt idx="11">
                  <c:v>181</c:v>
                </c:pt>
                <c:pt idx="12">
                  <c:v>261</c:v>
                </c:pt>
                <c:pt idx="13">
                  <c:v>319</c:v>
                </c:pt>
                <c:pt idx="14">
                  <c:v>361</c:v>
                </c:pt>
                <c:pt idx="15">
                  <c:v>403</c:v>
                </c:pt>
                <c:pt idx="16">
                  <c:v>422</c:v>
                </c:pt>
                <c:pt idx="17">
                  <c:v>340</c:v>
                </c:pt>
                <c:pt idx="18">
                  <c:v>372</c:v>
                </c:pt>
                <c:pt idx="19">
                  <c:v>350</c:v>
                </c:pt>
                <c:pt idx="20">
                  <c:v>241</c:v>
                </c:pt>
                <c:pt idx="21">
                  <c:v>238</c:v>
                </c:pt>
                <c:pt idx="22">
                  <c:v>200</c:v>
                </c:pt>
                <c:pt idx="23">
                  <c:v>205</c:v>
                </c:pt>
                <c:pt idx="24">
                  <c:v>184</c:v>
                </c:pt>
                <c:pt idx="25">
                  <c:v>182</c:v>
                </c:pt>
              </c:numCache>
            </c:numRef>
          </c:val>
          <c:smooth val="0"/>
          <c:extLst>
            <c:ext xmlns:c16="http://schemas.microsoft.com/office/drawing/2014/chart" uri="{C3380CC4-5D6E-409C-BE32-E72D297353CC}">
              <c16:uniqueId val="{00000000-8050-417D-9C31-68AC7DF20A45}"/>
            </c:ext>
          </c:extLst>
        </c:ser>
        <c:ser>
          <c:idx val="1"/>
          <c:order val="1"/>
          <c:tx>
            <c:strRef>
              <c:f>Sheet12!$W$1:$W$2</c:f>
              <c:strCache>
                <c:ptCount val="1"/>
                <c:pt idx="0">
                  <c:v>ALECTINIB</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Sheet12!$U$3:$U$29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Sheet12!$W$3:$W$29</c:f>
              <c:numCache>
                <c:formatCode>General</c:formatCode>
                <c:ptCount val="26"/>
                <c:pt idx="8">
                  <c:v>286</c:v>
                </c:pt>
                <c:pt idx="9">
                  <c:v>411</c:v>
                </c:pt>
                <c:pt idx="10">
                  <c:v>474</c:v>
                </c:pt>
                <c:pt idx="11">
                  <c:v>544</c:v>
                </c:pt>
                <c:pt idx="12">
                  <c:v>565</c:v>
                </c:pt>
                <c:pt idx="13">
                  <c:v>616</c:v>
                </c:pt>
                <c:pt idx="14">
                  <c:v>678</c:v>
                </c:pt>
                <c:pt idx="15">
                  <c:v>687</c:v>
                </c:pt>
                <c:pt idx="16">
                  <c:v>780</c:v>
                </c:pt>
                <c:pt idx="17">
                  <c:v>721</c:v>
                </c:pt>
                <c:pt idx="18">
                  <c:v>874</c:v>
                </c:pt>
                <c:pt idx="19">
                  <c:v>873</c:v>
                </c:pt>
                <c:pt idx="20">
                  <c:v>856</c:v>
                </c:pt>
                <c:pt idx="21">
                  <c:v>884</c:v>
                </c:pt>
                <c:pt idx="22">
                  <c:v>916</c:v>
                </c:pt>
                <c:pt idx="23">
                  <c:v>958</c:v>
                </c:pt>
                <c:pt idx="24">
                  <c:v>939</c:v>
                </c:pt>
                <c:pt idx="25">
                  <c:v>1011</c:v>
                </c:pt>
              </c:numCache>
            </c:numRef>
          </c:val>
          <c:smooth val="0"/>
          <c:extLst>
            <c:ext xmlns:c16="http://schemas.microsoft.com/office/drawing/2014/chart" uri="{C3380CC4-5D6E-409C-BE32-E72D297353CC}">
              <c16:uniqueId val="{00000001-8050-417D-9C31-68AC7DF20A45}"/>
            </c:ext>
          </c:extLst>
        </c:ser>
        <c:ser>
          <c:idx val="2"/>
          <c:order val="2"/>
          <c:tx>
            <c:strRef>
              <c:f>Sheet12!$X$1:$X$2</c:f>
              <c:strCache>
                <c:ptCount val="1"/>
                <c:pt idx="0">
                  <c:v>ATEZOLIZUMAB</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Sheet12!$U$3:$U$29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Sheet12!$X$3:$X$29</c:f>
              <c:numCache>
                <c:formatCode>General</c:formatCode>
                <c:ptCount val="26"/>
                <c:pt idx="9">
                  <c:v>311</c:v>
                </c:pt>
                <c:pt idx="10">
                  <c:v>721</c:v>
                </c:pt>
                <c:pt idx="11">
                  <c:v>1001</c:v>
                </c:pt>
                <c:pt idx="12">
                  <c:v>1124</c:v>
                </c:pt>
                <c:pt idx="13">
                  <c:v>1164</c:v>
                </c:pt>
                <c:pt idx="14">
                  <c:v>1273</c:v>
                </c:pt>
                <c:pt idx="15">
                  <c:v>1911</c:v>
                </c:pt>
                <c:pt idx="16">
                  <c:v>1976</c:v>
                </c:pt>
                <c:pt idx="17">
                  <c:v>1975</c:v>
                </c:pt>
                <c:pt idx="18">
                  <c:v>1904</c:v>
                </c:pt>
                <c:pt idx="19">
                  <c:v>1808</c:v>
                </c:pt>
                <c:pt idx="20">
                  <c:v>1756</c:v>
                </c:pt>
                <c:pt idx="21">
                  <c:v>1592</c:v>
                </c:pt>
                <c:pt idx="22">
                  <c:v>1520</c:v>
                </c:pt>
                <c:pt idx="23">
                  <c:v>1429</c:v>
                </c:pt>
                <c:pt idx="24">
                  <c:v>1403</c:v>
                </c:pt>
                <c:pt idx="25">
                  <c:v>1375</c:v>
                </c:pt>
              </c:numCache>
            </c:numRef>
          </c:val>
          <c:smooth val="0"/>
          <c:extLst>
            <c:ext xmlns:c16="http://schemas.microsoft.com/office/drawing/2014/chart" uri="{C3380CC4-5D6E-409C-BE32-E72D297353CC}">
              <c16:uniqueId val="{00000002-8050-417D-9C31-68AC7DF20A45}"/>
            </c:ext>
          </c:extLst>
        </c:ser>
        <c:ser>
          <c:idx val="3"/>
          <c:order val="3"/>
          <c:tx>
            <c:strRef>
              <c:f>Sheet12!$Y$1:$Y$2</c:f>
              <c:strCache>
                <c:ptCount val="1"/>
                <c:pt idx="0">
                  <c:v>BEVACIZUMAB</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Sheet12!$U$3:$U$29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Sheet12!$Y$3:$Y$29</c:f>
              <c:numCache>
                <c:formatCode>General</c:formatCode>
                <c:ptCount val="26"/>
                <c:pt idx="15">
                  <c:v>746</c:v>
                </c:pt>
                <c:pt idx="16">
                  <c:v>1024</c:v>
                </c:pt>
                <c:pt idx="17">
                  <c:v>1008</c:v>
                </c:pt>
                <c:pt idx="18">
                  <c:v>987</c:v>
                </c:pt>
                <c:pt idx="19">
                  <c:v>955</c:v>
                </c:pt>
                <c:pt idx="20">
                  <c:v>874</c:v>
                </c:pt>
                <c:pt idx="21">
                  <c:v>569</c:v>
                </c:pt>
              </c:numCache>
            </c:numRef>
          </c:val>
          <c:smooth val="0"/>
          <c:extLst>
            <c:ext xmlns:c16="http://schemas.microsoft.com/office/drawing/2014/chart" uri="{C3380CC4-5D6E-409C-BE32-E72D297353CC}">
              <c16:uniqueId val="{00000003-8050-417D-9C31-68AC7DF20A45}"/>
            </c:ext>
          </c:extLst>
        </c:ser>
        <c:ser>
          <c:idx val="4"/>
          <c:order val="4"/>
          <c:tx>
            <c:strRef>
              <c:f>Sheet12!$Z$1:$Z$2</c:f>
              <c:strCache>
                <c:ptCount val="1"/>
                <c:pt idx="0">
                  <c:v>BRIGATINIB</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Sheet12!$U$3:$U$29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Sheet12!$Z$3:$Z$29</c:f>
              <c:numCache>
                <c:formatCode>General</c:formatCode>
                <c:ptCount val="26"/>
                <c:pt idx="17">
                  <c:v>11</c:v>
                </c:pt>
                <c:pt idx="18">
                  <c:v>41</c:v>
                </c:pt>
                <c:pt idx="19">
                  <c:v>44</c:v>
                </c:pt>
                <c:pt idx="20">
                  <c:v>40</c:v>
                </c:pt>
                <c:pt idx="21">
                  <c:v>45</c:v>
                </c:pt>
                <c:pt idx="22">
                  <c:v>46</c:v>
                </c:pt>
                <c:pt idx="23">
                  <c:v>60</c:v>
                </c:pt>
                <c:pt idx="24">
                  <c:v>73</c:v>
                </c:pt>
                <c:pt idx="25">
                  <c:v>76</c:v>
                </c:pt>
              </c:numCache>
            </c:numRef>
          </c:val>
          <c:smooth val="0"/>
          <c:extLst>
            <c:ext xmlns:c16="http://schemas.microsoft.com/office/drawing/2014/chart" uri="{C3380CC4-5D6E-409C-BE32-E72D297353CC}">
              <c16:uniqueId val="{00000004-8050-417D-9C31-68AC7DF20A45}"/>
            </c:ext>
          </c:extLst>
        </c:ser>
        <c:ser>
          <c:idx val="5"/>
          <c:order val="5"/>
          <c:tx>
            <c:strRef>
              <c:f>Sheet12!$AA$1:$AA$2</c:f>
              <c:strCache>
                <c:ptCount val="1"/>
                <c:pt idx="0">
                  <c:v>CERITINIB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Sheet12!$U$3:$U$29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Sheet12!$AA$3:$AA$29</c:f>
              <c:numCache>
                <c:formatCode>General</c:formatCode>
                <c:ptCount val="26"/>
                <c:pt idx="4">
                  <c:v>48</c:v>
                </c:pt>
                <c:pt idx="5">
                  <c:v>110</c:v>
                </c:pt>
                <c:pt idx="6">
                  <c:v>119</c:v>
                </c:pt>
                <c:pt idx="7">
                  <c:v>118</c:v>
                </c:pt>
                <c:pt idx="8">
                  <c:v>65</c:v>
                </c:pt>
                <c:pt idx="9">
                  <c:v>49</c:v>
                </c:pt>
                <c:pt idx="10">
                  <c:v>35</c:v>
                </c:pt>
                <c:pt idx="11">
                  <c:v>30</c:v>
                </c:pt>
                <c:pt idx="12">
                  <c:v>24</c:v>
                </c:pt>
                <c:pt idx="13">
                  <c:v>24</c:v>
                </c:pt>
                <c:pt idx="14">
                  <c:v>26</c:v>
                </c:pt>
                <c:pt idx="15">
                  <c:v>23</c:v>
                </c:pt>
                <c:pt idx="16">
                  <c:v>24</c:v>
                </c:pt>
                <c:pt idx="17">
                  <c:v>15</c:v>
                </c:pt>
                <c:pt idx="18">
                  <c:v>12</c:v>
                </c:pt>
                <c:pt idx="19">
                  <c:v>11</c:v>
                </c:pt>
                <c:pt idx="20">
                  <c:v>16</c:v>
                </c:pt>
                <c:pt idx="21">
                  <c:v>15</c:v>
                </c:pt>
                <c:pt idx="22">
                  <c:v>8</c:v>
                </c:pt>
                <c:pt idx="23">
                  <c:v>7</c:v>
                </c:pt>
                <c:pt idx="24">
                  <c:v>5</c:v>
                </c:pt>
                <c:pt idx="25">
                  <c:v>6</c:v>
                </c:pt>
              </c:numCache>
            </c:numRef>
          </c:val>
          <c:smooth val="0"/>
          <c:extLst>
            <c:ext xmlns:c16="http://schemas.microsoft.com/office/drawing/2014/chart" uri="{C3380CC4-5D6E-409C-BE32-E72D297353CC}">
              <c16:uniqueId val="{00000005-8050-417D-9C31-68AC7DF20A45}"/>
            </c:ext>
          </c:extLst>
        </c:ser>
        <c:ser>
          <c:idx val="6"/>
          <c:order val="6"/>
          <c:tx>
            <c:strRef>
              <c:f>Sheet12!$AB$1:$AB$2</c:f>
              <c:strCache>
                <c:ptCount val="1"/>
                <c:pt idx="0">
                  <c:v>CRIZOTINIB</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Sheet12!$U$3:$U$29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Sheet12!$AB$3:$AB$29</c:f>
              <c:numCache>
                <c:formatCode>General</c:formatCode>
                <c:ptCount val="26"/>
                <c:pt idx="0">
                  <c:v>273</c:v>
                </c:pt>
                <c:pt idx="1">
                  <c:v>289</c:v>
                </c:pt>
                <c:pt idx="2">
                  <c:v>326</c:v>
                </c:pt>
                <c:pt idx="3">
                  <c:v>360</c:v>
                </c:pt>
                <c:pt idx="4">
                  <c:v>324</c:v>
                </c:pt>
                <c:pt idx="5">
                  <c:v>311</c:v>
                </c:pt>
                <c:pt idx="6">
                  <c:v>320</c:v>
                </c:pt>
                <c:pt idx="7">
                  <c:v>303</c:v>
                </c:pt>
                <c:pt idx="8">
                  <c:v>257</c:v>
                </c:pt>
                <c:pt idx="9">
                  <c:v>204</c:v>
                </c:pt>
                <c:pt idx="10">
                  <c:v>174</c:v>
                </c:pt>
                <c:pt idx="11">
                  <c:v>149</c:v>
                </c:pt>
                <c:pt idx="12">
                  <c:v>157</c:v>
                </c:pt>
                <c:pt idx="13">
                  <c:v>162</c:v>
                </c:pt>
                <c:pt idx="14">
                  <c:v>172</c:v>
                </c:pt>
                <c:pt idx="15">
                  <c:v>149</c:v>
                </c:pt>
                <c:pt idx="16">
                  <c:v>156</c:v>
                </c:pt>
                <c:pt idx="17">
                  <c:v>156</c:v>
                </c:pt>
                <c:pt idx="18">
                  <c:v>166</c:v>
                </c:pt>
                <c:pt idx="19">
                  <c:v>176</c:v>
                </c:pt>
                <c:pt idx="20">
                  <c:v>132</c:v>
                </c:pt>
                <c:pt idx="21">
                  <c:v>139</c:v>
                </c:pt>
                <c:pt idx="22">
                  <c:v>132</c:v>
                </c:pt>
                <c:pt idx="23">
                  <c:v>112</c:v>
                </c:pt>
                <c:pt idx="24">
                  <c:v>93</c:v>
                </c:pt>
                <c:pt idx="25">
                  <c:v>110</c:v>
                </c:pt>
              </c:numCache>
            </c:numRef>
          </c:val>
          <c:smooth val="0"/>
          <c:extLst>
            <c:ext xmlns:c16="http://schemas.microsoft.com/office/drawing/2014/chart" uri="{C3380CC4-5D6E-409C-BE32-E72D297353CC}">
              <c16:uniqueId val="{00000006-8050-417D-9C31-68AC7DF20A45}"/>
            </c:ext>
          </c:extLst>
        </c:ser>
        <c:ser>
          <c:idx val="7"/>
          <c:order val="7"/>
          <c:tx>
            <c:strRef>
              <c:f>Sheet12!$AC$1:$AC$2</c:f>
              <c:strCache>
                <c:ptCount val="1"/>
                <c:pt idx="0">
                  <c:v>DURVALUMAB</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Sheet12!$U$3:$U$29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Sheet12!$AC$3:$AC$29</c:f>
              <c:numCache>
                <c:formatCode>General</c:formatCode>
                <c:ptCount val="26"/>
                <c:pt idx="16">
                  <c:v>700</c:v>
                </c:pt>
                <c:pt idx="17">
                  <c:v>2876</c:v>
                </c:pt>
                <c:pt idx="18">
                  <c:v>2961</c:v>
                </c:pt>
                <c:pt idx="19">
                  <c:v>2861</c:v>
                </c:pt>
                <c:pt idx="20">
                  <c:v>2758</c:v>
                </c:pt>
                <c:pt idx="21">
                  <c:v>2582</c:v>
                </c:pt>
                <c:pt idx="22">
                  <c:v>2772</c:v>
                </c:pt>
                <c:pt idx="23">
                  <c:v>2623</c:v>
                </c:pt>
                <c:pt idx="24">
                  <c:v>2654</c:v>
                </c:pt>
                <c:pt idx="25">
                  <c:v>2679</c:v>
                </c:pt>
              </c:numCache>
            </c:numRef>
          </c:val>
          <c:smooth val="0"/>
          <c:extLst>
            <c:ext xmlns:c16="http://schemas.microsoft.com/office/drawing/2014/chart" uri="{C3380CC4-5D6E-409C-BE32-E72D297353CC}">
              <c16:uniqueId val="{00000007-8050-417D-9C31-68AC7DF20A45}"/>
            </c:ext>
          </c:extLst>
        </c:ser>
        <c:ser>
          <c:idx val="8"/>
          <c:order val="8"/>
          <c:tx>
            <c:strRef>
              <c:f>Sheet12!$AD$1:$AD$2</c:f>
              <c:strCache>
                <c:ptCount val="1"/>
                <c:pt idx="0">
                  <c:v>ENTRECTINIB</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Sheet12!$U$3:$U$29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Sheet12!$AD$3:$AD$29</c:f>
              <c:numCache>
                <c:formatCode>General</c:formatCode>
                <c:ptCount val="26"/>
                <c:pt idx="18">
                  <c:v>6</c:v>
                </c:pt>
                <c:pt idx="19">
                  <c:v>17</c:v>
                </c:pt>
                <c:pt idx="20">
                  <c:v>19</c:v>
                </c:pt>
                <c:pt idx="21">
                  <c:v>49</c:v>
                </c:pt>
                <c:pt idx="22">
                  <c:v>55</c:v>
                </c:pt>
                <c:pt idx="23">
                  <c:v>81</c:v>
                </c:pt>
                <c:pt idx="24">
                  <c:v>69</c:v>
                </c:pt>
                <c:pt idx="25">
                  <c:v>92</c:v>
                </c:pt>
              </c:numCache>
            </c:numRef>
          </c:val>
          <c:smooth val="0"/>
          <c:extLst>
            <c:ext xmlns:c16="http://schemas.microsoft.com/office/drawing/2014/chart" uri="{C3380CC4-5D6E-409C-BE32-E72D297353CC}">
              <c16:uniqueId val="{00000008-8050-417D-9C31-68AC7DF20A45}"/>
            </c:ext>
          </c:extLst>
        </c:ser>
        <c:ser>
          <c:idx val="9"/>
          <c:order val="9"/>
          <c:tx>
            <c:strRef>
              <c:f>Sheet12!$AE$1:$AE$2</c:f>
              <c:strCache>
                <c:ptCount val="1"/>
                <c:pt idx="0">
                  <c:v>ERLOTINIB</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Sheet12!$U$3:$U$29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Sheet12!$AE$3:$AE$29</c:f>
              <c:numCache>
                <c:formatCode>General</c:formatCode>
                <c:ptCount val="26"/>
                <c:pt idx="0">
                  <c:v>1344</c:v>
                </c:pt>
                <c:pt idx="1">
                  <c:v>1421</c:v>
                </c:pt>
                <c:pt idx="2">
                  <c:v>1538</c:v>
                </c:pt>
                <c:pt idx="3">
                  <c:v>1571</c:v>
                </c:pt>
                <c:pt idx="4">
                  <c:v>1587</c:v>
                </c:pt>
                <c:pt idx="5">
                  <c:v>1663</c:v>
                </c:pt>
                <c:pt idx="6">
                  <c:v>1699</c:v>
                </c:pt>
                <c:pt idx="7">
                  <c:v>1756</c:v>
                </c:pt>
                <c:pt idx="8">
                  <c:v>1737</c:v>
                </c:pt>
                <c:pt idx="9">
                  <c:v>1732</c:v>
                </c:pt>
                <c:pt idx="10">
                  <c:v>1671</c:v>
                </c:pt>
                <c:pt idx="11">
                  <c:v>1615</c:v>
                </c:pt>
                <c:pt idx="12">
                  <c:v>1649</c:v>
                </c:pt>
                <c:pt idx="13">
                  <c:v>1583</c:v>
                </c:pt>
                <c:pt idx="14">
                  <c:v>1638</c:v>
                </c:pt>
                <c:pt idx="15">
                  <c:v>1692</c:v>
                </c:pt>
                <c:pt idx="16">
                  <c:v>1713</c:v>
                </c:pt>
                <c:pt idx="17">
                  <c:v>1634</c:v>
                </c:pt>
                <c:pt idx="18">
                  <c:v>1607</c:v>
                </c:pt>
                <c:pt idx="19">
                  <c:v>1304</c:v>
                </c:pt>
                <c:pt idx="20">
                  <c:v>972</c:v>
                </c:pt>
                <c:pt idx="21">
                  <c:v>722</c:v>
                </c:pt>
                <c:pt idx="22">
                  <c:v>630</c:v>
                </c:pt>
                <c:pt idx="23">
                  <c:v>533</c:v>
                </c:pt>
                <c:pt idx="24">
                  <c:v>424</c:v>
                </c:pt>
                <c:pt idx="25">
                  <c:v>331</c:v>
                </c:pt>
              </c:numCache>
            </c:numRef>
          </c:val>
          <c:smooth val="0"/>
          <c:extLst>
            <c:ext xmlns:c16="http://schemas.microsoft.com/office/drawing/2014/chart" uri="{C3380CC4-5D6E-409C-BE32-E72D297353CC}">
              <c16:uniqueId val="{00000009-8050-417D-9C31-68AC7DF20A45}"/>
            </c:ext>
          </c:extLst>
        </c:ser>
        <c:ser>
          <c:idx val="10"/>
          <c:order val="10"/>
          <c:tx>
            <c:strRef>
              <c:f>Sheet12!$AF$1:$AF$2</c:f>
              <c:strCache>
                <c:ptCount val="1"/>
                <c:pt idx="0">
                  <c:v>GEFITINIB</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Sheet12!$U$3:$U$29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Sheet12!$AF$3:$AF$29</c:f>
              <c:numCache>
                <c:formatCode>General</c:formatCode>
                <c:ptCount val="26"/>
                <c:pt idx="0">
                  <c:v>501</c:v>
                </c:pt>
                <c:pt idx="1">
                  <c:v>532</c:v>
                </c:pt>
                <c:pt idx="2">
                  <c:v>607</c:v>
                </c:pt>
                <c:pt idx="3">
                  <c:v>645</c:v>
                </c:pt>
                <c:pt idx="4">
                  <c:v>583</c:v>
                </c:pt>
                <c:pt idx="5">
                  <c:v>647</c:v>
                </c:pt>
                <c:pt idx="6">
                  <c:v>682</c:v>
                </c:pt>
                <c:pt idx="7">
                  <c:v>745</c:v>
                </c:pt>
                <c:pt idx="8">
                  <c:v>673</c:v>
                </c:pt>
                <c:pt idx="9">
                  <c:v>809</c:v>
                </c:pt>
                <c:pt idx="10">
                  <c:v>726</c:v>
                </c:pt>
                <c:pt idx="11">
                  <c:v>829</c:v>
                </c:pt>
                <c:pt idx="12">
                  <c:v>728</c:v>
                </c:pt>
                <c:pt idx="13">
                  <c:v>782</c:v>
                </c:pt>
                <c:pt idx="14">
                  <c:v>791</c:v>
                </c:pt>
                <c:pt idx="15">
                  <c:v>811</c:v>
                </c:pt>
                <c:pt idx="16">
                  <c:v>874</c:v>
                </c:pt>
                <c:pt idx="17">
                  <c:v>833</c:v>
                </c:pt>
                <c:pt idx="18">
                  <c:v>890</c:v>
                </c:pt>
                <c:pt idx="19">
                  <c:v>694</c:v>
                </c:pt>
                <c:pt idx="20">
                  <c:v>497</c:v>
                </c:pt>
                <c:pt idx="21">
                  <c:v>420</c:v>
                </c:pt>
                <c:pt idx="22">
                  <c:v>366</c:v>
                </c:pt>
                <c:pt idx="23">
                  <c:v>337</c:v>
                </c:pt>
                <c:pt idx="24">
                  <c:v>259</c:v>
                </c:pt>
                <c:pt idx="25">
                  <c:v>235</c:v>
                </c:pt>
              </c:numCache>
            </c:numRef>
          </c:val>
          <c:smooth val="0"/>
          <c:extLst>
            <c:ext xmlns:c16="http://schemas.microsoft.com/office/drawing/2014/chart" uri="{C3380CC4-5D6E-409C-BE32-E72D297353CC}">
              <c16:uniqueId val="{0000000A-8050-417D-9C31-68AC7DF20A45}"/>
            </c:ext>
          </c:extLst>
        </c:ser>
        <c:ser>
          <c:idx val="11"/>
          <c:order val="11"/>
          <c:tx>
            <c:strRef>
              <c:f>Sheet12!$AG$1:$AG$2</c:f>
              <c:strCache>
                <c:ptCount val="1"/>
                <c:pt idx="0">
                  <c:v>IPILIMUMAB</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Sheet12!$U$3:$U$29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Sheet12!$AG$3:$AG$29</c:f>
              <c:numCache>
                <c:formatCode>General</c:formatCode>
                <c:ptCount val="26"/>
                <c:pt idx="21">
                  <c:v>60</c:v>
                </c:pt>
                <c:pt idx="22">
                  <c:v>125</c:v>
                </c:pt>
                <c:pt idx="23">
                  <c:v>129</c:v>
                </c:pt>
                <c:pt idx="24">
                  <c:v>123</c:v>
                </c:pt>
                <c:pt idx="25">
                  <c:v>142</c:v>
                </c:pt>
              </c:numCache>
            </c:numRef>
          </c:val>
          <c:smooth val="0"/>
          <c:extLst>
            <c:ext xmlns:c16="http://schemas.microsoft.com/office/drawing/2014/chart" uri="{C3380CC4-5D6E-409C-BE32-E72D297353CC}">
              <c16:uniqueId val="{0000000B-8050-417D-9C31-68AC7DF20A45}"/>
            </c:ext>
          </c:extLst>
        </c:ser>
        <c:ser>
          <c:idx val="12"/>
          <c:order val="12"/>
          <c:tx>
            <c:strRef>
              <c:f>Sheet12!$AH$1:$AH$2</c:f>
              <c:strCache>
                <c:ptCount val="1"/>
                <c:pt idx="0">
                  <c:v>LORLATINIB</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Sheet12!$U$3:$U$29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Sheet12!$AH$3:$AH$29</c:f>
              <c:numCache>
                <c:formatCode>General</c:formatCode>
                <c:ptCount val="26"/>
                <c:pt idx="18">
                  <c:v>37</c:v>
                </c:pt>
                <c:pt idx="19">
                  <c:v>144</c:v>
                </c:pt>
                <c:pt idx="20">
                  <c:v>150</c:v>
                </c:pt>
                <c:pt idx="21">
                  <c:v>152</c:v>
                </c:pt>
                <c:pt idx="22">
                  <c:v>162</c:v>
                </c:pt>
                <c:pt idx="23">
                  <c:v>156</c:v>
                </c:pt>
                <c:pt idx="24">
                  <c:v>168</c:v>
                </c:pt>
                <c:pt idx="25">
                  <c:v>174</c:v>
                </c:pt>
              </c:numCache>
            </c:numRef>
          </c:val>
          <c:smooth val="0"/>
          <c:extLst>
            <c:ext xmlns:c16="http://schemas.microsoft.com/office/drawing/2014/chart" uri="{C3380CC4-5D6E-409C-BE32-E72D297353CC}">
              <c16:uniqueId val="{0000000C-8050-417D-9C31-68AC7DF20A45}"/>
            </c:ext>
          </c:extLst>
        </c:ser>
        <c:ser>
          <c:idx val="13"/>
          <c:order val="13"/>
          <c:tx>
            <c:strRef>
              <c:f>Sheet12!$AI$1:$AI$2</c:f>
              <c:strCache>
                <c:ptCount val="1"/>
                <c:pt idx="0">
                  <c:v>NIVOLUMAB</c:v>
                </c:pt>
              </c:strCache>
            </c:strRef>
          </c:tx>
          <c:spPr>
            <a:ln w="28575" cap="rnd">
              <a:solidFill>
                <a:schemeClr val="accent2">
                  <a:lumMod val="80000"/>
                  <a:lumOff val="20000"/>
                </a:schemeClr>
              </a:solidFill>
              <a:round/>
            </a:ln>
            <a:effectLst/>
          </c:spPr>
          <c:marker>
            <c:symbol val="x"/>
            <c:size val="5"/>
            <c:spPr>
              <a:solidFill>
                <a:schemeClr val="accent2">
                  <a:lumMod val="80000"/>
                  <a:lumOff val="20000"/>
                </a:schemeClr>
              </a:solidFill>
              <a:ln w="9525">
                <a:solidFill>
                  <a:schemeClr val="accent2">
                    <a:lumMod val="80000"/>
                    <a:lumOff val="20000"/>
                  </a:schemeClr>
                </a:solidFill>
              </a:ln>
              <a:effectLst/>
            </c:spPr>
          </c:marker>
          <c:cat>
            <c:strRef>
              <c:f>Sheet12!$U$3:$U$29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Sheet12!$AI$3:$AI$29</c:f>
              <c:numCache>
                <c:formatCode>General</c:formatCode>
                <c:ptCount val="26"/>
                <c:pt idx="6">
                  <c:v>5210</c:v>
                </c:pt>
                <c:pt idx="7">
                  <c:v>8589</c:v>
                </c:pt>
                <c:pt idx="8">
                  <c:v>9261</c:v>
                </c:pt>
                <c:pt idx="9">
                  <c:v>9381</c:v>
                </c:pt>
                <c:pt idx="10">
                  <c:v>8861</c:v>
                </c:pt>
                <c:pt idx="11">
                  <c:v>8244</c:v>
                </c:pt>
                <c:pt idx="12">
                  <c:v>7395</c:v>
                </c:pt>
                <c:pt idx="13">
                  <c:v>6997</c:v>
                </c:pt>
                <c:pt idx="14">
                  <c:v>6414</c:v>
                </c:pt>
                <c:pt idx="15">
                  <c:v>5010</c:v>
                </c:pt>
                <c:pt idx="16">
                  <c:v>4204</c:v>
                </c:pt>
                <c:pt idx="17">
                  <c:v>3682</c:v>
                </c:pt>
                <c:pt idx="18">
                  <c:v>3227</c:v>
                </c:pt>
                <c:pt idx="19">
                  <c:v>2879</c:v>
                </c:pt>
                <c:pt idx="20">
                  <c:v>2616</c:v>
                </c:pt>
                <c:pt idx="21">
                  <c:v>2373</c:v>
                </c:pt>
                <c:pt idx="22">
                  <c:v>2391</c:v>
                </c:pt>
                <c:pt idx="23">
                  <c:v>2119</c:v>
                </c:pt>
                <c:pt idx="24">
                  <c:v>1932</c:v>
                </c:pt>
                <c:pt idx="25">
                  <c:v>1785</c:v>
                </c:pt>
              </c:numCache>
            </c:numRef>
          </c:val>
          <c:smooth val="0"/>
          <c:extLst>
            <c:ext xmlns:c16="http://schemas.microsoft.com/office/drawing/2014/chart" uri="{C3380CC4-5D6E-409C-BE32-E72D297353CC}">
              <c16:uniqueId val="{0000000D-8050-417D-9C31-68AC7DF20A45}"/>
            </c:ext>
          </c:extLst>
        </c:ser>
        <c:ser>
          <c:idx val="14"/>
          <c:order val="14"/>
          <c:tx>
            <c:strRef>
              <c:f>Sheet12!$AJ$1:$AJ$2</c:f>
              <c:strCache>
                <c:ptCount val="1"/>
                <c:pt idx="0">
                  <c:v>OSIMERTINIB</c:v>
                </c:pt>
              </c:strCache>
            </c:strRef>
          </c:tx>
          <c:spPr>
            <a:ln w="28575" cap="rnd">
              <a:solidFill>
                <a:schemeClr val="accent3">
                  <a:lumMod val="80000"/>
                  <a:lumOff val="20000"/>
                </a:schemeClr>
              </a:solidFill>
              <a:round/>
            </a:ln>
            <a:effectLst/>
          </c:spPr>
          <c:marker>
            <c:symbol val="x"/>
            <c:size val="5"/>
            <c:spPr>
              <a:solidFill>
                <a:schemeClr val="accent3">
                  <a:lumMod val="80000"/>
                  <a:lumOff val="20000"/>
                </a:schemeClr>
              </a:solidFill>
              <a:ln w="9525">
                <a:solidFill>
                  <a:schemeClr val="accent3">
                    <a:lumMod val="80000"/>
                    <a:lumOff val="20000"/>
                  </a:schemeClr>
                </a:solidFill>
              </a:ln>
              <a:effectLst/>
            </c:spPr>
          </c:marker>
          <c:cat>
            <c:strRef>
              <c:f>Sheet12!$U$3:$U$29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Sheet12!$AJ$3:$AJ$29</c:f>
              <c:numCache>
                <c:formatCode>General</c:formatCode>
                <c:ptCount val="26"/>
                <c:pt idx="12">
                  <c:v>371</c:v>
                </c:pt>
                <c:pt idx="13">
                  <c:v>848</c:v>
                </c:pt>
                <c:pt idx="14">
                  <c:v>908</c:v>
                </c:pt>
                <c:pt idx="15">
                  <c:v>986</c:v>
                </c:pt>
                <c:pt idx="16">
                  <c:v>999</c:v>
                </c:pt>
                <c:pt idx="17">
                  <c:v>862</c:v>
                </c:pt>
                <c:pt idx="18">
                  <c:v>1019</c:v>
                </c:pt>
                <c:pt idx="19">
                  <c:v>1072</c:v>
                </c:pt>
                <c:pt idx="20">
                  <c:v>2554</c:v>
                </c:pt>
                <c:pt idx="21">
                  <c:v>3133</c:v>
                </c:pt>
                <c:pt idx="22">
                  <c:v>3375</c:v>
                </c:pt>
                <c:pt idx="23">
                  <c:v>3746</c:v>
                </c:pt>
                <c:pt idx="24">
                  <c:v>3919</c:v>
                </c:pt>
                <c:pt idx="25">
                  <c:v>4186</c:v>
                </c:pt>
              </c:numCache>
            </c:numRef>
          </c:val>
          <c:smooth val="0"/>
          <c:extLst>
            <c:ext xmlns:c16="http://schemas.microsoft.com/office/drawing/2014/chart" uri="{C3380CC4-5D6E-409C-BE32-E72D297353CC}">
              <c16:uniqueId val="{0000000E-8050-417D-9C31-68AC7DF20A45}"/>
            </c:ext>
          </c:extLst>
        </c:ser>
        <c:ser>
          <c:idx val="15"/>
          <c:order val="15"/>
          <c:tx>
            <c:strRef>
              <c:f>Sheet12!$AK$1:$AK$2</c:f>
              <c:strCache>
                <c:ptCount val="1"/>
                <c:pt idx="0">
                  <c:v>PEMBROLIZUMAB</c:v>
                </c:pt>
              </c:strCache>
            </c:strRef>
          </c:tx>
          <c:spPr>
            <a:ln w="28575" cap="rnd">
              <a:solidFill>
                <a:schemeClr val="accent4">
                  <a:lumMod val="80000"/>
                  <a:lumOff val="20000"/>
                </a:schemeClr>
              </a:solidFill>
              <a:round/>
            </a:ln>
            <a:effectLst/>
          </c:spPr>
          <c:marker>
            <c:symbol val="x"/>
            <c:size val="5"/>
            <c:spPr>
              <a:solidFill>
                <a:schemeClr val="accent4">
                  <a:lumMod val="80000"/>
                  <a:lumOff val="20000"/>
                </a:schemeClr>
              </a:solidFill>
              <a:ln w="9525">
                <a:solidFill>
                  <a:schemeClr val="accent4">
                    <a:lumMod val="80000"/>
                    <a:lumOff val="20000"/>
                  </a:schemeClr>
                </a:solidFill>
              </a:ln>
              <a:effectLst/>
            </c:spPr>
          </c:marker>
          <c:cat>
            <c:strRef>
              <c:f>Sheet12!$U$3:$U$29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Sheet12!$AK$3:$AK$29</c:f>
              <c:numCache>
                <c:formatCode>General</c:formatCode>
                <c:ptCount val="26"/>
                <c:pt idx="11">
                  <c:v>1062</c:v>
                </c:pt>
                <c:pt idx="12">
                  <c:v>2358</c:v>
                </c:pt>
                <c:pt idx="13">
                  <c:v>2817</c:v>
                </c:pt>
                <c:pt idx="14">
                  <c:v>2957</c:v>
                </c:pt>
                <c:pt idx="15">
                  <c:v>3714</c:v>
                </c:pt>
                <c:pt idx="16">
                  <c:v>5789</c:v>
                </c:pt>
                <c:pt idx="17">
                  <c:v>7033</c:v>
                </c:pt>
                <c:pt idx="18">
                  <c:v>7874</c:v>
                </c:pt>
                <c:pt idx="19">
                  <c:v>8237</c:v>
                </c:pt>
                <c:pt idx="20">
                  <c:v>8265</c:v>
                </c:pt>
                <c:pt idx="21">
                  <c:v>8229</c:v>
                </c:pt>
                <c:pt idx="22">
                  <c:v>8764</c:v>
                </c:pt>
                <c:pt idx="23">
                  <c:v>8701</c:v>
                </c:pt>
                <c:pt idx="24">
                  <c:v>8304</c:v>
                </c:pt>
                <c:pt idx="25">
                  <c:v>8270</c:v>
                </c:pt>
              </c:numCache>
            </c:numRef>
          </c:val>
          <c:smooth val="0"/>
          <c:extLst>
            <c:ext xmlns:c16="http://schemas.microsoft.com/office/drawing/2014/chart" uri="{C3380CC4-5D6E-409C-BE32-E72D297353CC}">
              <c16:uniqueId val="{0000000F-8050-417D-9C31-68AC7DF20A45}"/>
            </c:ext>
          </c:extLst>
        </c:ser>
        <c:ser>
          <c:idx val="16"/>
          <c:order val="16"/>
          <c:tx>
            <c:strRef>
              <c:f>Sheet12!$AL$1:$AL$2</c:f>
              <c:strCache>
                <c:ptCount val="1"/>
                <c:pt idx="0">
                  <c:v>TOTAL</c:v>
                </c:pt>
              </c:strCache>
            </c:strRef>
          </c:tx>
          <c:spPr>
            <a:ln w="28575" cap="rnd">
              <a:solidFill>
                <a:schemeClr val="accent5">
                  <a:lumMod val="80000"/>
                  <a:lumOff val="20000"/>
                </a:schemeClr>
              </a:solidFill>
              <a:round/>
            </a:ln>
            <a:effectLst/>
          </c:spPr>
          <c:marker>
            <c:symbol val="x"/>
            <c:size val="5"/>
            <c:spPr>
              <a:solidFill>
                <a:schemeClr val="accent5">
                  <a:lumMod val="80000"/>
                  <a:lumOff val="20000"/>
                </a:schemeClr>
              </a:solidFill>
              <a:ln w="9525">
                <a:solidFill>
                  <a:schemeClr val="accent5">
                    <a:lumMod val="80000"/>
                    <a:lumOff val="20000"/>
                  </a:schemeClr>
                </a:solidFill>
              </a:ln>
              <a:effectLst/>
            </c:spPr>
          </c:marker>
          <c:cat>
            <c:strRef>
              <c:f>Sheet12!$U$3:$U$29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Sheet12!$AL$3:$AL$29</c:f>
              <c:numCache>
                <c:formatCode>General</c:formatCode>
                <c:ptCount val="26"/>
                <c:pt idx="0">
                  <c:v>2118</c:v>
                </c:pt>
                <c:pt idx="1">
                  <c:v>2242</c:v>
                </c:pt>
                <c:pt idx="2">
                  <c:v>2471</c:v>
                </c:pt>
                <c:pt idx="3">
                  <c:v>2576</c:v>
                </c:pt>
                <c:pt idx="4">
                  <c:v>2542</c:v>
                </c:pt>
                <c:pt idx="5">
                  <c:v>2731</c:v>
                </c:pt>
                <c:pt idx="6">
                  <c:v>8030</c:v>
                </c:pt>
                <c:pt idx="7">
                  <c:v>11511</c:v>
                </c:pt>
                <c:pt idx="8">
                  <c:v>12279</c:v>
                </c:pt>
                <c:pt idx="9">
                  <c:v>12951</c:v>
                </c:pt>
                <c:pt idx="10">
                  <c:v>12781</c:v>
                </c:pt>
                <c:pt idx="11">
                  <c:v>13655</c:v>
                </c:pt>
                <c:pt idx="12">
                  <c:v>14632</c:v>
                </c:pt>
                <c:pt idx="13">
                  <c:v>15312</c:v>
                </c:pt>
                <c:pt idx="14">
                  <c:v>15218</c:v>
                </c:pt>
                <c:pt idx="15">
                  <c:v>16132</c:v>
                </c:pt>
                <c:pt idx="16">
                  <c:v>18661</c:v>
                </c:pt>
                <c:pt idx="17">
                  <c:v>21146</c:v>
                </c:pt>
                <c:pt idx="18">
                  <c:v>21977</c:v>
                </c:pt>
                <c:pt idx="19">
                  <c:v>21425</c:v>
                </c:pt>
                <c:pt idx="20">
                  <c:v>21746</c:v>
                </c:pt>
                <c:pt idx="21">
                  <c:v>21202</c:v>
                </c:pt>
                <c:pt idx="22">
                  <c:v>21462</c:v>
                </c:pt>
                <c:pt idx="23">
                  <c:v>21196</c:v>
                </c:pt>
                <c:pt idx="24">
                  <c:v>20549</c:v>
                </c:pt>
                <c:pt idx="25">
                  <c:v>20654</c:v>
                </c:pt>
              </c:numCache>
            </c:numRef>
          </c:val>
          <c:smooth val="0"/>
          <c:extLst>
            <c:ext xmlns:c16="http://schemas.microsoft.com/office/drawing/2014/chart" uri="{C3380CC4-5D6E-409C-BE32-E72D297353CC}">
              <c16:uniqueId val="{00000010-8050-417D-9C31-68AC7DF20A45}"/>
            </c:ext>
          </c:extLst>
        </c:ser>
        <c:dLbls>
          <c:showLegendKey val="0"/>
          <c:showVal val="0"/>
          <c:showCatName val="0"/>
          <c:showSerName val="0"/>
          <c:showPercent val="0"/>
          <c:showBubbleSize val="0"/>
        </c:dLbls>
        <c:marker val="1"/>
        <c:smooth val="0"/>
        <c:axId val="1091852120"/>
        <c:axId val="1091850808"/>
      </c:lineChart>
      <c:catAx>
        <c:axId val="1091852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850808"/>
        <c:crosses val="autoZero"/>
        <c:auto val="1"/>
        <c:lblAlgn val="ctr"/>
        <c:lblOffset val="100"/>
        <c:noMultiLvlLbl val="0"/>
      </c:catAx>
      <c:valAx>
        <c:axId val="1091850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852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[D1427 - NSCLC review .xlsx]EGFR!PivotTable7</c:name>
    <c:fmtId val="-1"/>
  </c:pivotSource>
  <c:chart>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EGFR!$U$32:$U$33</c:f>
              <c:strCache>
                <c:ptCount val="1"/>
                <c:pt idx="0">
                  <c:v>AFATINIB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EGFR!$T$34:$T$60</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EGFR!$U$34:$U$60</c:f>
              <c:numCache>
                <c:formatCode>General</c:formatCode>
                <c:ptCount val="26"/>
                <c:pt idx="9">
                  <c:v>27</c:v>
                </c:pt>
                <c:pt idx="10">
                  <c:v>46</c:v>
                </c:pt>
                <c:pt idx="11">
                  <c:v>69</c:v>
                </c:pt>
                <c:pt idx="12">
                  <c:v>92</c:v>
                </c:pt>
                <c:pt idx="13">
                  <c:v>114</c:v>
                </c:pt>
                <c:pt idx="14">
                  <c:v>134</c:v>
                </c:pt>
                <c:pt idx="15">
                  <c:v>135</c:v>
                </c:pt>
                <c:pt idx="16">
                  <c:v>136</c:v>
                </c:pt>
                <c:pt idx="17">
                  <c:v>131</c:v>
                </c:pt>
                <c:pt idx="18">
                  <c:v>132</c:v>
                </c:pt>
                <c:pt idx="19">
                  <c:v>122</c:v>
                </c:pt>
                <c:pt idx="20">
                  <c:v>89</c:v>
                </c:pt>
                <c:pt idx="21">
                  <c:v>77</c:v>
                </c:pt>
                <c:pt idx="22">
                  <c:v>69</c:v>
                </c:pt>
                <c:pt idx="23">
                  <c:v>73</c:v>
                </c:pt>
                <c:pt idx="24">
                  <c:v>70</c:v>
                </c:pt>
                <c:pt idx="25">
                  <c:v>57</c:v>
                </c:pt>
              </c:numCache>
            </c:numRef>
          </c:val>
          <c:smooth val="0"/>
          <c:extLst>
            <c:ext xmlns:c16="http://schemas.microsoft.com/office/drawing/2014/chart" uri="{C3380CC4-5D6E-409C-BE32-E72D297353CC}">
              <c16:uniqueId val="{00000000-D7BE-4976-AD25-F84EE4ADAB3A}"/>
            </c:ext>
          </c:extLst>
        </c:ser>
        <c:ser>
          <c:idx val="1"/>
          <c:order val="1"/>
          <c:tx>
            <c:strRef>
              <c:f>EGFR!$V$32:$V$33</c:f>
              <c:strCache>
                <c:ptCount val="1"/>
                <c:pt idx="0">
                  <c:v>ERLOTINIB</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EGFR!$T$34:$T$60</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EGFR!$V$34:$V$60</c:f>
              <c:numCache>
                <c:formatCode>General</c:formatCode>
                <c:ptCount val="26"/>
                <c:pt idx="0">
                  <c:v>508</c:v>
                </c:pt>
                <c:pt idx="1">
                  <c:v>520</c:v>
                </c:pt>
                <c:pt idx="2">
                  <c:v>572</c:v>
                </c:pt>
                <c:pt idx="3">
                  <c:v>580</c:v>
                </c:pt>
                <c:pt idx="4">
                  <c:v>597</c:v>
                </c:pt>
                <c:pt idx="5">
                  <c:v>614</c:v>
                </c:pt>
                <c:pt idx="6">
                  <c:v>628</c:v>
                </c:pt>
                <c:pt idx="7">
                  <c:v>648</c:v>
                </c:pt>
                <c:pt idx="8">
                  <c:v>646</c:v>
                </c:pt>
                <c:pt idx="9">
                  <c:v>636</c:v>
                </c:pt>
                <c:pt idx="10">
                  <c:v>615</c:v>
                </c:pt>
                <c:pt idx="11">
                  <c:v>590</c:v>
                </c:pt>
                <c:pt idx="12">
                  <c:v>599</c:v>
                </c:pt>
                <c:pt idx="13">
                  <c:v>585</c:v>
                </c:pt>
                <c:pt idx="14">
                  <c:v>585</c:v>
                </c:pt>
                <c:pt idx="15">
                  <c:v>581</c:v>
                </c:pt>
                <c:pt idx="16">
                  <c:v>593</c:v>
                </c:pt>
                <c:pt idx="17">
                  <c:v>599</c:v>
                </c:pt>
                <c:pt idx="18">
                  <c:v>581</c:v>
                </c:pt>
                <c:pt idx="19">
                  <c:v>445</c:v>
                </c:pt>
                <c:pt idx="20">
                  <c:v>357</c:v>
                </c:pt>
                <c:pt idx="21">
                  <c:v>271</c:v>
                </c:pt>
                <c:pt idx="22">
                  <c:v>231</c:v>
                </c:pt>
                <c:pt idx="23">
                  <c:v>184</c:v>
                </c:pt>
                <c:pt idx="24">
                  <c:v>151</c:v>
                </c:pt>
                <c:pt idx="25">
                  <c:v>117</c:v>
                </c:pt>
              </c:numCache>
            </c:numRef>
          </c:val>
          <c:smooth val="0"/>
          <c:extLst>
            <c:ext xmlns:c16="http://schemas.microsoft.com/office/drawing/2014/chart" uri="{C3380CC4-5D6E-409C-BE32-E72D297353CC}">
              <c16:uniqueId val="{00000001-D7BE-4976-AD25-F84EE4ADAB3A}"/>
            </c:ext>
          </c:extLst>
        </c:ser>
        <c:ser>
          <c:idx val="2"/>
          <c:order val="2"/>
          <c:tx>
            <c:strRef>
              <c:f>EGFR!$W$32:$W$33</c:f>
              <c:strCache>
                <c:ptCount val="1"/>
                <c:pt idx="0">
                  <c:v>GEFITINIB</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EGFR!$T$34:$T$60</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EGFR!$W$34:$W$60</c:f>
              <c:numCache>
                <c:formatCode>General</c:formatCode>
                <c:ptCount val="26"/>
                <c:pt idx="0">
                  <c:v>198</c:v>
                </c:pt>
                <c:pt idx="1">
                  <c:v>220</c:v>
                </c:pt>
                <c:pt idx="2">
                  <c:v>228</c:v>
                </c:pt>
                <c:pt idx="3">
                  <c:v>242</c:v>
                </c:pt>
                <c:pt idx="4">
                  <c:v>227</c:v>
                </c:pt>
                <c:pt idx="5">
                  <c:v>251</c:v>
                </c:pt>
                <c:pt idx="6">
                  <c:v>260</c:v>
                </c:pt>
                <c:pt idx="7">
                  <c:v>273</c:v>
                </c:pt>
                <c:pt idx="8">
                  <c:v>279</c:v>
                </c:pt>
                <c:pt idx="9">
                  <c:v>282</c:v>
                </c:pt>
                <c:pt idx="10">
                  <c:v>267</c:v>
                </c:pt>
                <c:pt idx="11">
                  <c:v>298</c:v>
                </c:pt>
                <c:pt idx="12">
                  <c:v>276</c:v>
                </c:pt>
                <c:pt idx="13">
                  <c:v>297</c:v>
                </c:pt>
                <c:pt idx="14">
                  <c:v>279</c:v>
                </c:pt>
                <c:pt idx="15">
                  <c:v>292</c:v>
                </c:pt>
                <c:pt idx="16">
                  <c:v>313</c:v>
                </c:pt>
                <c:pt idx="17">
                  <c:v>337</c:v>
                </c:pt>
                <c:pt idx="18">
                  <c:v>333</c:v>
                </c:pt>
                <c:pt idx="19">
                  <c:v>255</c:v>
                </c:pt>
                <c:pt idx="20">
                  <c:v>195</c:v>
                </c:pt>
                <c:pt idx="21">
                  <c:v>155</c:v>
                </c:pt>
                <c:pt idx="22">
                  <c:v>133</c:v>
                </c:pt>
                <c:pt idx="23">
                  <c:v>115</c:v>
                </c:pt>
                <c:pt idx="24">
                  <c:v>102</c:v>
                </c:pt>
                <c:pt idx="25">
                  <c:v>89</c:v>
                </c:pt>
              </c:numCache>
            </c:numRef>
          </c:val>
          <c:smooth val="0"/>
          <c:extLst>
            <c:ext xmlns:c16="http://schemas.microsoft.com/office/drawing/2014/chart" uri="{C3380CC4-5D6E-409C-BE32-E72D297353CC}">
              <c16:uniqueId val="{00000002-D7BE-4976-AD25-F84EE4ADAB3A}"/>
            </c:ext>
          </c:extLst>
        </c:ser>
        <c:ser>
          <c:idx val="3"/>
          <c:order val="3"/>
          <c:tx>
            <c:strRef>
              <c:f>EGFR!$X$32:$X$33</c:f>
              <c:strCache>
                <c:ptCount val="1"/>
                <c:pt idx="0">
                  <c:v>OSIMERTINIB</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EGFR!$T$34:$T$60</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EGFR!$X$34:$X$60</c:f>
              <c:numCache>
                <c:formatCode>General</c:formatCode>
                <c:ptCount val="26"/>
                <c:pt idx="12">
                  <c:v>241</c:v>
                </c:pt>
                <c:pt idx="13">
                  <c:v>296</c:v>
                </c:pt>
                <c:pt idx="14">
                  <c:v>325</c:v>
                </c:pt>
                <c:pt idx="15">
                  <c:v>332</c:v>
                </c:pt>
                <c:pt idx="16">
                  <c:v>342</c:v>
                </c:pt>
                <c:pt idx="17">
                  <c:v>336</c:v>
                </c:pt>
                <c:pt idx="18">
                  <c:v>357</c:v>
                </c:pt>
                <c:pt idx="19">
                  <c:v>360</c:v>
                </c:pt>
                <c:pt idx="20">
                  <c:v>993</c:v>
                </c:pt>
                <c:pt idx="21">
                  <c:v>1156</c:v>
                </c:pt>
                <c:pt idx="22">
                  <c:v>1218</c:v>
                </c:pt>
                <c:pt idx="23">
                  <c:v>1320</c:v>
                </c:pt>
                <c:pt idx="24">
                  <c:v>1409</c:v>
                </c:pt>
                <c:pt idx="25">
                  <c:v>1486</c:v>
                </c:pt>
              </c:numCache>
            </c:numRef>
          </c:val>
          <c:smooth val="0"/>
          <c:extLst>
            <c:ext xmlns:c16="http://schemas.microsoft.com/office/drawing/2014/chart" uri="{C3380CC4-5D6E-409C-BE32-E72D297353CC}">
              <c16:uniqueId val="{00000003-D7BE-4976-AD25-F84EE4ADAB3A}"/>
            </c:ext>
          </c:extLst>
        </c:ser>
        <c:dLbls>
          <c:showLegendKey val="0"/>
          <c:showVal val="0"/>
          <c:showCatName val="0"/>
          <c:showSerName val="0"/>
          <c:showPercent val="0"/>
          <c:showBubbleSize val="0"/>
        </c:dLbls>
        <c:marker val="1"/>
        <c:smooth val="0"/>
        <c:axId val="833730968"/>
        <c:axId val="833734248"/>
      </c:lineChart>
      <c:catAx>
        <c:axId val="833730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734248"/>
        <c:crosses val="autoZero"/>
        <c:auto val="1"/>
        <c:lblAlgn val="ctr"/>
        <c:lblOffset val="100"/>
        <c:noMultiLvlLbl val="0"/>
      </c:catAx>
      <c:valAx>
        <c:axId val="833734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730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[D1427 - NSCLC review .xlsx]ROS!PivotTable8</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areaChart>
        <c:grouping val="stacked"/>
        <c:varyColors val="0"/>
        <c:ser>
          <c:idx val="0"/>
          <c:order val="0"/>
          <c:tx>
            <c:strRef>
              <c:f>ROS!$U$1:$U$2</c:f>
              <c:strCache>
                <c:ptCount val="1"/>
                <c:pt idx="0">
                  <c:v>CRIZOTINIB</c:v>
                </c:pt>
              </c:strCache>
            </c:strRef>
          </c:tx>
          <c:spPr>
            <a:solidFill>
              <a:schemeClr val="accent1"/>
            </a:solidFill>
            <a:ln>
              <a:noFill/>
            </a:ln>
            <a:effectLst/>
          </c:spPr>
          <c:cat>
            <c:strRef>
              <c:f>ROS!$T$3:$T$17</c:f>
              <c:strCache>
                <c:ptCount val="14"/>
                <c:pt idx="0">
                  <c:v>2019Q1</c:v>
                </c:pt>
                <c:pt idx="1">
                  <c:v>2019Q2</c:v>
                </c:pt>
                <c:pt idx="2">
                  <c:v>2019Q3</c:v>
                </c:pt>
                <c:pt idx="3">
                  <c:v>2019Q4</c:v>
                </c:pt>
                <c:pt idx="4">
                  <c:v>2020Q1</c:v>
                </c:pt>
                <c:pt idx="5">
                  <c:v>2020Q2</c:v>
                </c:pt>
                <c:pt idx="6">
                  <c:v>2020Q3</c:v>
                </c:pt>
                <c:pt idx="7">
                  <c:v>2020Q4</c:v>
                </c:pt>
                <c:pt idx="8">
                  <c:v>2021Q1</c:v>
                </c:pt>
                <c:pt idx="9">
                  <c:v>2021Q2</c:v>
                </c:pt>
                <c:pt idx="10">
                  <c:v>2021Q3</c:v>
                </c:pt>
                <c:pt idx="11">
                  <c:v>2021Q4</c:v>
                </c:pt>
                <c:pt idx="12">
                  <c:v>2022Q1</c:v>
                </c:pt>
                <c:pt idx="13">
                  <c:v>2022Q2</c:v>
                </c:pt>
              </c:strCache>
            </c:strRef>
          </c:cat>
          <c:val>
            <c:numRef>
              <c:f>ROS!$U$3:$U$17</c:f>
              <c:numCache>
                <c:formatCode>General</c:formatCode>
                <c:ptCount val="14"/>
                <c:pt idx="0">
                  <c:v>42</c:v>
                </c:pt>
                <c:pt idx="1">
                  <c:v>59</c:v>
                </c:pt>
                <c:pt idx="2">
                  <c:v>70</c:v>
                </c:pt>
                <c:pt idx="3">
                  <c:v>60</c:v>
                </c:pt>
                <c:pt idx="4">
                  <c:v>70</c:v>
                </c:pt>
                <c:pt idx="5">
                  <c:v>84</c:v>
                </c:pt>
                <c:pt idx="6">
                  <c:v>96</c:v>
                </c:pt>
                <c:pt idx="7">
                  <c:v>97</c:v>
                </c:pt>
                <c:pt idx="8">
                  <c:v>69</c:v>
                </c:pt>
                <c:pt idx="9">
                  <c:v>77</c:v>
                </c:pt>
                <c:pt idx="10">
                  <c:v>70</c:v>
                </c:pt>
                <c:pt idx="11">
                  <c:v>59</c:v>
                </c:pt>
                <c:pt idx="12">
                  <c:v>55</c:v>
                </c:pt>
                <c:pt idx="13">
                  <c:v>74</c:v>
                </c:pt>
              </c:numCache>
            </c:numRef>
          </c:val>
          <c:extLst>
            <c:ext xmlns:c16="http://schemas.microsoft.com/office/drawing/2014/chart" uri="{C3380CC4-5D6E-409C-BE32-E72D297353CC}">
              <c16:uniqueId val="{00000000-9A79-449A-87D7-AD67FDE07779}"/>
            </c:ext>
          </c:extLst>
        </c:ser>
        <c:ser>
          <c:idx val="1"/>
          <c:order val="1"/>
          <c:tx>
            <c:strRef>
              <c:f>ROS!$V$1:$V$2</c:f>
              <c:strCache>
                <c:ptCount val="1"/>
                <c:pt idx="0">
                  <c:v>ENTRECTINIB</c:v>
                </c:pt>
              </c:strCache>
            </c:strRef>
          </c:tx>
          <c:spPr>
            <a:solidFill>
              <a:schemeClr val="accent2"/>
            </a:solidFill>
            <a:ln>
              <a:noFill/>
            </a:ln>
            <a:effectLst/>
          </c:spPr>
          <c:cat>
            <c:strRef>
              <c:f>ROS!$T$3:$T$17</c:f>
              <c:strCache>
                <c:ptCount val="14"/>
                <c:pt idx="0">
                  <c:v>2019Q1</c:v>
                </c:pt>
                <c:pt idx="1">
                  <c:v>2019Q2</c:v>
                </c:pt>
                <c:pt idx="2">
                  <c:v>2019Q3</c:v>
                </c:pt>
                <c:pt idx="3">
                  <c:v>2019Q4</c:v>
                </c:pt>
                <c:pt idx="4">
                  <c:v>2020Q1</c:v>
                </c:pt>
                <c:pt idx="5">
                  <c:v>2020Q2</c:v>
                </c:pt>
                <c:pt idx="6">
                  <c:v>2020Q3</c:v>
                </c:pt>
                <c:pt idx="7">
                  <c:v>2020Q4</c:v>
                </c:pt>
                <c:pt idx="8">
                  <c:v>2021Q1</c:v>
                </c:pt>
                <c:pt idx="9">
                  <c:v>2021Q2</c:v>
                </c:pt>
                <c:pt idx="10">
                  <c:v>2021Q3</c:v>
                </c:pt>
                <c:pt idx="11">
                  <c:v>2021Q4</c:v>
                </c:pt>
                <c:pt idx="12">
                  <c:v>2022Q1</c:v>
                </c:pt>
                <c:pt idx="13">
                  <c:v>2022Q2</c:v>
                </c:pt>
              </c:strCache>
            </c:strRef>
          </c:cat>
          <c:val>
            <c:numRef>
              <c:f>ROS!$V$3:$V$17</c:f>
              <c:numCache>
                <c:formatCode>General</c:formatCode>
                <c:ptCount val="14"/>
                <c:pt idx="6">
                  <c:v>6</c:v>
                </c:pt>
                <c:pt idx="7">
                  <c:v>17</c:v>
                </c:pt>
                <c:pt idx="8">
                  <c:v>19</c:v>
                </c:pt>
                <c:pt idx="9">
                  <c:v>49</c:v>
                </c:pt>
                <c:pt idx="10">
                  <c:v>55</c:v>
                </c:pt>
                <c:pt idx="11">
                  <c:v>81</c:v>
                </c:pt>
                <c:pt idx="12">
                  <c:v>69</c:v>
                </c:pt>
                <c:pt idx="13">
                  <c:v>92</c:v>
                </c:pt>
              </c:numCache>
            </c:numRef>
          </c:val>
          <c:extLst>
            <c:ext xmlns:c16="http://schemas.microsoft.com/office/drawing/2014/chart" uri="{C3380CC4-5D6E-409C-BE32-E72D297353CC}">
              <c16:uniqueId val="{00000001-9A79-449A-87D7-AD67FDE07779}"/>
            </c:ext>
          </c:extLst>
        </c:ser>
        <c:dLbls>
          <c:showLegendKey val="0"/>
          <c:showVal val="0"/>
          <c:showCatName val="0"/>
          <c:showSerName val="0"/>
          <c:showPercent val="0"/>
          <c:showBubbleSize val="0"/>
        </c:dLbls>
        <c:axId val="825314768"/>
        <c:axId val="825312472"/>
      </c:areaChart>
      <c:catAx>
        <c:axId val="8253147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5312472"/>
        <c:crosses val="autoZero"/>
        <c:auto val="1"/>
        <c:lblAlgn val="ctr"/>
        <c:lblOffset val="100"/>
        <c:noMultiLvlLbl val="0"/>
      </c:catAx>
      <c:valAx>
        <c:axId val="825312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53147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[D1427 - NSCLC review .xlsx]ROS!PivotTable9</c:name>
    <c:fmtId val="-1"/>
  </c:pivotSource>
  <c:chart>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ROS!$U$24:$U$25</c:f>
              <c:strCache>
                <c:ptCount val="1"/>
                <c:pt idx="0">
                  <c:v>CRIZOTINIB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ROS!$T$26:$T$40</c:f>
              <c:strCache>
                <c:ptCount val="14"/>
                <c:pt idx="0">
                  <c:v>2019Q1</c:v>
                </c:pt>
                <c:pt idx="1">
                  <c:v>2019Q2</c:v>
                </c:pt>
                <c:pt idx="2">
                  <c:v>2019Q3</c:v>
                </c:pt>
                <c:pt idx="3">
                  <c:v>2019Q4</c:v>
                </c:pt>
                <c:pt idx="4">
                  <c:v>2020Q1</c:v>
                </c:pt>
                <c:pt idx="5">
                  <c:v>2020Q2</c:v>
                </c:pt>
                <c:pt idx="6">
                  <c:v>2020Q3</c:v>
                </c:pt>
                <c:pt idx="7">
                  <c:v>2020Q4</c:v>
                </c:pt>
                <c:pt idx="8">
                  <c:v>2021Q1</c:v>
                </c:pt>
                <c:pt idx="9">
                  <c:v>2021Q2</c:v>
                </c:pt>
                <c:pt idx="10">
                  <c:v>2021Q3</c:v>
                </c:pt>
                <c:pt idx="11">
                  <c:v>2021Q4</c:v>
                </c:pt>
                <c:pt idx="12">
                  <c:v>2022Q1</c:v>
                </c:pt>
                <c:pt idx="13">
                  <c:v>2022Q2</c:v>
                </c:pt>
              </c:strCache>
            </c:strRef>
          </c:cat>
          <c:val>
            <c:numRef>
              <c:f>ROS!$U$26:$U$40</c:f>
              <c:numCache>
                <c:formatCode>General</c:formatCode>
                <c:ptCount val="14"/>
                <c:pt idx="0">
                  <c:v>20</c:v>
                </c:pt>
                <c:pt idx="1">
                  <c:v>23</c:v>
                </c:pt>
                <c:pt idx="2">
                  <c:v>30</c:v>
                </c:pt>
                <c:pt idx="3">
                  <c:v>24</c:v>
                </c:pt>
                <c:pt idx="4">
                  <c:v>30</c:v>
                </c:pt>
                <c:pt idx="5">
                  <c:v>40</c:v>
                </c:pt>
                <c:pt idx="6">
                  <c:v>36</c:v>
                </c:pt>
                <c:pt idx="7">
                  <c:v>33</c:v>
                </c:pt>
                <c:pt idx="8">
                  <c:v>30</c:v>
                </c:pt>
                <c:pt idx="9">
                  <c:v>32</c:v>
                </c:pt>
                <c:pt idx="10">
                  <c:v>31</c:v>
                </c:pt>
                <c:pt idx="11">
                  <c:v>25</c:v>
                </c:pt>
                <c:pt idx="12">
                  <c:v>22</c:v>
                </c:pt>
                <c:pt idx="13">
                  <c:v>26</c:v>
                </c:pt>
              </c:numCache>
            </c:numRef>
          </c:val>
          <c:smooth val="0"/>
          <c:extLst>
            <c:ext xmlns:c16="http://schemas.microsoft.com/office/drawing/2014/chart" uri="{C3380CC4-5D6E-409C-BE32-E72D297353CC}">
              <c16:uniqueId val="{00000000-3808-4301-A72A-E7D5BAEF42E6}"/>
            </c:ext>
          </c:extLst>
        </c:ser>
        <c:ser>
          <c:idx val="1"/>
          <c:order val="1"/>
          <c:tx>
            <c:strRef>
              <c:f>ROS!$V$24:$V$25</c:f>
              <c:strCache>
                <c:ptCount val="1"/>
                <c:pt idx="0">
                  <c:v>ENTRECTINIB</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ROS!$T$26:$T$40</c:f>
              <c:strCache>
                <c:ptCount val="14"/>
                <c:pt idx="0">
                  <c:v>2019Q1</c:v>
                </c:pt>
                <c:pt idx="1">
                  <c:v>2019Q2</c:v>
                </c:pt>
                <c:pt idx="2">
                  <c:v>2019Q3</c:v>
                </c:pt>
                <c:pt idx="3">
                  <c:v>2019Q4</c:v>
                </c:pt>
                <c:pt idx="4">
                  <c:v>2020Q1</c:v>
                </c:pt>
                <c:pt idx="5">
                  <c:v>2020Q2</c:v>
                </c:pt>
                <c:pt idx="6">
                  <c:v>2020Q3</c:v>
                </c:pt>
                <c:pt idx="7">
                  <c:v>2020Q4</c:v>
                </c:pt>
                <c:pt idx="8">
                  <c:v>2021Q1</c:v>
                </c:pt>
                <c:pt idx="9">
                  <c:v>2021Q2</c:v>
                </c:pt>
                <c:pt idx="10">
                  <c:v>2021Q3</c:v>
                </c:pt>
                <c:pt idx="11">
                  <c:v>2021Q4</c:v>
                </c:pt>
                <c:pt idx="12">
                  <c:v>2022Q1</c:v>
                </c:pt>
                <c:pt idx="13">
                  <c:v>2022Q2</c:v>
                </c:pt>
              </c:strCache>
            </c:strRef>
          </c:cat>
          <c:val>
            <c:numRef>
              <c:f>ROS!$V$26:$V$40</c:f>
              <c:numCache>
                <c:formatCode>General</c:formatCode>
                <c:ptCount val="14"/>
                <c:pt idx="6">
                  <c:v>6</c:v>
                </c:pt>
                <c:pt idx="7">
                  <c:v>9</c:v>
                </c:pt>
                <c:pt idx="8">
                  <c:v>9</c:v>
                </c:pt>
                <c:pt idx="9">
                  <c:v>20</c:v>
                </c:pt>
                <c:pt idx="10">
                  <c:v>28</c:v>
                </c:pt>
                <c:pt idx="11">
                  <c:v>35</c:v>
                </c:pt>
                <c:pt idx="12">
                  <c:v>35</c:v>
                </c:pt>
                <c:pt idx="13">
                  <c:v>42</c:v>
                </c:pt>
              </c:numCache>
            </c:numRef>
          </c:val>
          <c:smooth val="0"/>
          <c:extLst>
            <c:ext xmlns:c16="http://schemas.microsoft.com/office/drawing/2014/chart" uri="{C3380CC4-5D6E-409C-BE32-E72D297353CC}">
              <c16:uniqueId val="{00000001-3808-4301-A72A-E7D5BAEF42E6}"/>
            </c:ext>
          </c:extLst>
        </c:ser>
        <c:dLbls>
          <c:showLegendKey val="0"/>
          <c:showVal val="0"/>
          <c:showCatName val="0"/>
          <c:showSerName val="0"/>
          <c:showPercent val="0"/>
          <c:showBubbleSize val="0"/>
        </c:dLbls>
        <c:marker val="1"/>
        <c:smooth val="0"/>
        <c:axId val="868096344"/>
        <c:axId val="868094376"/>
      </c:lineChart>
      <c:catAx>
        <c:axId val="868096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094376"/>
        <c:crosses val="autoZero"/>
        <c:auto val="1"/>
        <c:lblAlgn val="ctr"/>
        <c:lblOffset val="100"/>
        <c:noMultiLvlLbl val="0"/>
      </c:catAx>
      <c:valAx>
        <c:axId val="868094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8096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[D1427 - NSCLC review .xlsx]Durvalumab!PivotTable10</c:name>
    <c:fmtId val="-1"/>
  </c:pivotSource>
  <c:chart>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Durvalumab!$V$1</c:f>
              <c:strCache>
                <c:ptCount val="1"/>
                <c:pt idx="0">
                  <c:v>Initiating patients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Durvalumab!$U$2:$U$12</c:f>
              <c:strCache>
                <c:ptCount val="10"/>
                <c:pt idx="0">
                  <c:v>2020Q1</c:v>
                </c:pt>
                <c:pt idx="1">
                  <c:v>2020Q2</c:v>
                </c:pt>
                <c:pt idx="2">
                  <c:v>2020Q3</c:v>
                </c:pt>
                <c:pt idx="3">
                  <c:v>2020Q4</c:v>
                </c:pt>
                <c:pt idx="4">
                  <c:v>2021Q1</c:v>
                </c:pt>
                <c:pt idx="5">
                  <c:v>2021Q2</c:v>
                </c:pt>
                <c:pt idx="6">
                  <c:v>2021Q3</c:v>
                </c:pt>
                <c:pt idx="7">
                  <c:v>2021Q4</c:v>
                </c:pt>
                <c:pt idx="8">
                  <c:v>2022Q1</c:v>
                </c:pt>
                <c:pt idx="9">
                  <c:v>2022Q2</c:v>
                </c:pt>
              </c:strCache>
            </c:strRef>
          </c:cat>
          <c:val>
            <c:numRef>
              <c:f>Durvalumab!$V$2:$V$12</c:f>
              <c:numCache>
                <c:formatCode>General</c:formatCode>
                <c:ptCount val="10"/>
                <c:pt idx="0">
                  <c:v>387</c:v>
                </c:pt>
                <c:pt idx="1">
                  <c:v>237</c:v>
                </c:pt>
                <c:pt idx="2">
                  <c:v>161</c:v>
                </c:pt>
                <c:pt idx="3">
                  <c:v>147</c:v>
                </c:pt>
                <c:pt idx="4">
                  <c:v>158</c:v>
                </c:pt>
                <c:pt idx="5">
                  <c:v>140</c:v>
                </c:pt>
                <c:pt idx="6">
                  <c:v>175</c:v>
                </c:pt>
                <c:pt idx="7">
                  <c:v>137</c:v>
                </c:pt>
                <c:pt idx="8">
                  <c:v>152</c:v>
                </c:pt>
                <c:pt idx="9">
                  <c:v>161</c:v>
                </c:pt>
              </c:numCache>
            </c:numRef>
          </c:val>
          <c:smooth val="0"/>
          <c:extLst>
            <c:ext xmlns:c16="http://schemas.microsoft.com/office/drawing/2014/chart" uri="{C3380CC4-5D6E-409C-BE32-E72D297353CC}">
              <c16:uniqueId val="{00000000-B399-41CD-801A-334CFC7D1CA3}"/>
            </c:ext>
          </c:extLst>
        </c:ser>
        <c:ser>
          <c:idx val="1"/>
          <c:order val="1"/>
          <c:tx>
            <c:strRef>
              <c:f>Durvalumab!$W$1</c:f>
              <c:strCache>
                <c:ptCount val="1"/>
                <c:pt idx="0">
                  <c:v>Prevalent patients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Durvalumab!$U$2:$U$12</c:f>
              <c:strCache>
                <c:ptCount val="10"/>
                <c:pt idx="0">
                  <c:v>2020Q1</c:v>
                </c:pt>
                <c:pt idx="1">
                  <c:v>2020Q2</c:v>
                </c:pt>
                <c:pt idx="2">
                  <c:v>2020Q3</c:v>
                </c:pt>
                <c:pt idx="3">
                  <c:v>2020Q4</c:v>
                </c:pt>
                <c:pt idx="4">
                  <c:v>2021Q1</c:v>
                </c:pt>
                <c:pt idx="5">
                  <c:v>2021Q2</c:v>
                </c:pt>
                <c:pt idx="6">
                  <c:v>2021Q3</c:v>
                </c:pt>
                <c:pt idx="7">
                  <c:v>2021Q4</c:v>
                </c:pt>
                <c:pt idx="8">
                  <c:v>2022Q1</c:v>
                </c:pt>
                <c:pt idx="9">
                  <c:v>2022Q2</c:v>
                </c:pt>
              </c:strCache>
            </c:strRef>
          </c:cat>
          <c:val>
            <c:numRef>
              <c:f>Durvalumab!$W$2:$W$12</c:f>
              <c:numCache>
                <c:formatCode>General</c:formatCode>
                <c:ptCount val="10"/>
                <c:pt idx="0">
                  <c:v>387</c:v>
                </c:pt>
                <c:pt idx="1">
                  <c:v>583</c:v>
                </c:pt>
                <c:pt idx="2">
                  <c:v>594</c:v>
                </c:pt>
                <c:pt idx="3">
                  <c:v>577</c:v>
                </c:pt>
                <c:pt idx="4">
                  <c:v>578</c:v>
                </c:pt>
                <c:pt idx="5">
                  <c:v>566</c:v>
                </c:pt>
                <c:pt idx="6">
                  <c:v>595</c:v>
                </c:pt>
                <c:pt idx="7">
                  <c:v>563</c:v>
                </c:pt>
                <c:pt idx="8">
                  <c:v>565</c:v>
                </c:pt>
                <c:pt idx="9">
                  <c:v>590</c:v>
                </c:pt>
              </c:numCache>
            </c:numRef>
          </c:val>
          <c:smooth val="0"/>
          <c:extLst>
            <c:ext xmlns:c16="http://schemas.microsoft.com/office/drawing/2014/chart" uri="{C3380CC4-5D6E-409C-BE32-E72D297353CC}">
              <c16:uniqueId val="{00000001-B399-41CD-801A-334CFC7D1CA3}"/>
            </c:ext>
          </c:extLst>
        </c:ser>
        <c:dLbls>
          <c:showLegendKey val="0"/>
          <c:showVal val="0"/>
          <c:showCatName val="0"/>
          <c:showSerName val="0"/>
          <c:showPercent val="0"/>
          <c:showBubbleSize val="0"/>
        </c:dLbls>
        <c:marker val="1"/>
        <c:smooth val="0"/>
        <c:axId val="836350360"/>
        <c:axId val="836351672"/>
      </c:lineChart>
      <c:catAx>
        <c:axId val="836350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351672"/>
        <c:crosses val="autoZero"/>
        <c:auto val="1"/>
        <c:lblAlgn val="ctr"/>
        <c:lblOffset val="100"/>
        <c:noMultiLvlLbl val="0"/>
      </c:catAx>
      <c:valAx>
        <c:axId val="836351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350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[D1427 - NSCLC review .xlsx]Age gender!PivotTable11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'Age gender'!$V$8:$V$9</c:f>
              <c:strCache>
                <c:ptCount val="1"/>
                <c:pt idx="0">
                  <c:v>Female</c:v>
                </c:pt>
              </c:strCache>
            </c:strRef>
          </c:tx>
          <c:spPr>
            <a:solidFill>
              <a:schemeClr val="accent1"/>
            </a:solidFill>
            <a:ln>
              <a:noFill/>
            </a:ln>
            <a:effectLst/>
          </c:spPr>
          <c:invertIfNegative val="0"/>
          <c:cat>
            <c:strRef>
              <c:f>'Age gender'!$U$10:$U$18</c:f>
              <c:strCache>
                <c:ptCount val="8"/>
                <c:pt idx="0">
                  <c:v>≤49 yrs</c:v>
                </c:pt>
                <c:pt idx="1">
                  <c:v>50-54 yrs</c:v>
                </c:pt>
                <c:pt idx="2">
                  <c:v>55-59 yrs</c:v>
                </c:pt>
                <c:pt idx="3">
                  <c:v>60-64 yrs</c:v>
                </c:pt>
                <c:pt idx="4">
                  <c:v>65-69 yrs</c:v>
                </c:pt>
                <c:pt idx="5">
                  <c:v>70-74 yrs</c:v>
                </c:pt>
                <c:pt idx="6">
                  <c:v>75-79 yrs</c:v>
                </c:pt>
                <c:pt idx="7">
                  <c:v>80+ yrs </c:v>
                </c:pt>
              </c:strCache>
            </c:strRef>
          </c:cat>
          <c:val>
            <c:numRef>
              <c:f>'Age gender'!$V$10:$V$18</c:f>
              <c:numCache>
                <c:formatCode>General</c:formatCode>
                <c:ptCount val="8"/>
                <c:pt idx="0">
                  <c:v>31</c:v>
                </c:pt>
                <c:pt idx="1">
                  <c:v>50</c:v>
                </c:pt>
                <c:pt idx="2">
                  <c:v>72</c:v>
                </c:pt>
                <c:pt idx="3">
                  <c:v>118</c:v>
                </c:pt>
                <c:pt idx="4">
                  <c:v>147</c:v>
                </c:pt>
                <c:pt idx="5">
                  <c:v>184</c:v>
                </c:pt>
                <c:pt idx="6">
                  <c:v>133</c:v>
                </c:pt>
                <c:pt idx="7">
                  <c:v>39</c:v>
                </c:pt>
              </c:numCache>
            </c:numRef>
          </c:val>
          <c:extLst>
            <c:ext xmlns:c16="http://schemas.microsoft.com/office/drawing/2014/chart" uri="{C3380CC4-5D6E-409C-BE32-E72D297353CC}">
              <c16:uniqueId val="{00000000-8D6B-4E96-A599-FF242751BE61}"/>
            </c:ext>
          </c:extLst>
        </c:ser>
        <c:ser>
          <c:idx val="1"/>
          <c:order val="1"/>
          <c:tx>
            <c:strRef>
              <c:f>'Age gender'!$W$8:$W$9</c:f>
              <c:strCache>
                <c:ptCount val="1"/>
                <c:pt idx="0">
                  <c:v>Male</c:v>
                </c:pt>
              </c:strCache>
            </c:strRef>
          </c:tx>
          <c:spPr>
            <a:solidFill>
              <a:schemeClr val="accent2"/>
            </a:solidFill>
            <a:ln>
              <a:noFill/>
            </a:ln>
            <a:effectLst/>
          </c:spPr>
          <c:invertIfNegative val="0"/>
          <c:cat>
            <c:strRef>
              <c:f>'Age gender'!$U$10:$U$18</c:f>
              <c:strCache>
                <c:ptCount val="8"/>
                <c:pt idx="0">
                  <c:v>≤49 yrs</c:v>
                </c:pt>
                <c:pt idx="1">
                  <c:v>50-54 yrs</c:v>
                </c:pt>
                <c:pt idx="2">
                  <c:v>55-59 yrs</c:v>
                </c:pt>
                <c:pt idx="3">
                  <c:v>60-64 yrs</c:v>
                </c:pt>
                <c:pt idx="4">
                  <c:v>65-69 yrs</c:v>
                </c:pt>
                <c:pt idx="5">
                  <c:v>70-74 yrs</c:v>
                </c:pt>
                <c:pt idx="6">
                  <c:v>75-79 yrs</c:v>
                </c:pt>
                <c:pt idx="7">
                  <c:v>80+ yrs </c:v>
                </c:pt>
              </c:strCache>
            </c:strRef>
          </c:cat>
          <c:val>
            <c:numRef>
              <c:f>'Age gender'!$W$10:$W$18</c:f>
              <c:numCache>
                <c:formatCode>General</c:formatCode>
                <c:ptCount val="8"/>
                <c:pt idx="0">
                  <c:v>37</c:v>
                </c:pt>
                <c:pt idx="1">
                  <c:v>58</c:v>
                </c:pt>
                <c:pt idx="2">
                  <c:v>114</c:v>
                </c:pt>
                <c:pt idx="3">
                  <c:v>165</c:v>
                </c:pt>
                <c:pt idx="4">
                  <c:v>193</c:v>
                </c:pt>
                <c:pt idx="5">
                  <c:v>240</c:v>
                </c:pt>
                <c:pt idx="6">
                  <c:v>192</c:v>
                </c:pt>
                <c:pt idx="7">
                  <c:v>82</c:v>
                </c:pt>
              </c:numCache>
            </c:numRef>
          </c:val>
          <c:extLst>
            <c:ext xmlns:c16="http://schemas.microsoft.com/office/drawing/2014/chart" uri="{C3380CC4-5D6E-409C-BE32-E72D297353CC}">
              <c16:uniqueId val="{00000001-8D6B-4E96-A599-FF242751BE61}"/>
            </c:ext>
          </c:extLst>
        </c:ser>
        <c:dLbls>
          <c:showLegendKey val="0"/>
          <c:showVal val="0"/>
          <c:showCatName val="0"/>
          <c:showSerName val="0"/>
          <c:showPercent val="0"/>
          <c:showBubbleSize val="0"/>
        </c:dLbls>
        <c:gapWidth val="219"/>
        <c:overlap val="-27"/>
        <c:axId val="859443248"/>
        <c:axId val="859446200"/>
      </c:barChart>
      <c:catAx>
        <c:axId val="859443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9446200"/>
        <c:crosses val="autoZero"/>
        <c:auto val="1"/>
        <c:lblAlgn val="ctr"/>
        <c:lblOffset val="100"/>
        <c:noMultiLvlLbl val="0"/>
      </c:catAx>
      <c:valAx>
        <c:axId val="859446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9443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[D1427 NSCLC(AutoRecovered).xlsx]Resupply!PivotTable9</c:name>
    <c:fmtId val="-1"/>
  </c:pivotSource>
  <c:chart>
    <c:autoTitleDeleted val="1"/>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Resupply!$U$1</c:f>
              <c:strCache>
                <c:ptCount val="1"/>
                <c:pt idx="0">
                  <c:v>Total</c:v>
                </c:pt>
              </c:strCache>
            </c:strRef>
          </c:tx>
          <c:spPr>
            <a:ln w="28575" cap="rnd">
              <a:solidFill>
                <a:schemeClr val="accent1"/>
              </a:solidFill>
              <a:round/>
            </a:ln>
            <a:effectLst/>
          </c:spPr>
          <c:marker>
            <c:symbol val="none"/>
          </c:marker>
          <c:cat>
            <c:strRef>
              <c:f>Resupply!$T$2:$T$109</c:f>
              <c:strCache>
                <c:ptCount val="10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82</c:v>
                </c:pt>
                <c:pt idx="80">
                  <c:v>83</c:v>
                </c:pt>
                <c:pt idx="81">
                  <c:v>84</c:v>
                </c:pt>
                <c:pt idx="82">
                  <c:v>85</c:v>
                </c:pt>
                <c:pt idx="83">
                  <c:v>86</c:v>
                </c:pt>
                <c:pt idx="84">
                  <c:v>89</c:v>
                </c:pt>
                <c:pt idx="85">
                  <c:v>91</c:v>
                </c:pt>
                <c:pt idx="86">
                  <c:v>92</c:v>
                </c:pt>
                <c:pt idx="87">
                  <c:v>93</c:v>
                </c:pt>
                <c:pt idx="88">
                  <c:v>94</c:v>
                </c:pt>
                <c:pt idx="89">
                  <c:v>95</c:v>
                </c:pt>
                <c:pt idx="90">
                  <c:v>97</c:v>
                </c:pt>
                <c:pt idx="91">
                  <c:v>98</c:v>
                </c:pt>
                <c:pt idx="92">
                  <c:v>101</c:v>
                </c:pt>
                <c:pt idx="93">
                  <c:v>102</c:v>
                </c:pt>
                <c:pt idx="94">
                  <c:v>116</c:v>
                </c:pt>
                <c:pt idx="95">
                  <c:v>121</c:v>
                </c:pt>
                <c:pt idx="96">
                  <c:v>135</c:v>
                </c:pt>
                <c:pt idx="97">
                  <c:v>139</c:v>
                </c:pt>
                <c:pt idx="98">
                  <c:v>147</c:v>
                </c:pt>
                <c:pt idx="99">
                  <c:v>148</c:v>
                </c:pt>
                <c:pt idx="100">
                  <c:v>153</c:v>
                </c:pt>
                <c:pt idx="101">
                  <c:v>155</c:v>
                </c:pt>
                <c:pt idx="102">
                  <c:v>168</c:v>
                </c:pt>
                <c:pt idx="103">
                  <c:v>169</c:v>
                </c:pt>
                <c:pt idx="104">
                  <c:v>211</c:v>
                </c:pt>
                <c:pt idx="105">
                  <c:v>275</c:v>
                </c:pt>
                <c:pt idx="106">
                  <c:v>289</c:v>
                </c:pt>
              </c:strCache>
            </c:strRef>
          </c:cat>
          <c:val>
            <c:numRef>
              <c:f>Resupply!$U$2:$U$109</c:f>
              <c:numCache>
                <c:formatCode>#,##0</c:formatCode>
                <c:ptCount val="107"/>
                <c:pt idx="0">
                  <c:v>97</c:v>
                </c:pt>
                <c:pt idx="1">
                  <c:v>58</c:v>
                </c:pt>
                <c:pt idx="2">
                  <c:v>58</c:v>
                </c:pt>
                <c:pt idx="3">
                  <c:v>52</c:v>
                </c:pt>
                <c:pt idx="4">
                  <c:v>60</c:v>
                </c:pt>
                <c:pt idx="5">
                  <c:v>130</c:v>
                </c:pt>
                <c:pt idx="6">
                  <c:v>249</c:v>
                </c:pt>
                <c:pt idx="7">
                  <c:v>233</c:v>
                </c:pt>
                <c:pt idx="8">
                  <c:v>306</c:v>
                </c:pt>
                <c:pt idx="9">
                  <c:v>454</c:v>
                </c:pt>
                <c:pt idx="10">
                  <c:v>607</c:v>
                </c:pt>
                <c:pt idx="11">
                  <c:v>612</c:v>
                </c:pt>
                <c:pt idx="12">
                  <c:v>2338</c:v>
                </c:pt>
                <c:pt idx="13">
                  <c:v>11477</c:v>
                </c:pt>
                <c:pt idx="14">
                  <c:v>2278</c:v>
                </c:pt>
                <c:pt idx="15">
                  <c:v>563</c:v>
                </c:pt>
                <c:pt idx="16">
                  <c:v>565</c:v>
                </c:pt>
                <c:pt idx="17">
                  <c:v>432</c:v>
                </c:pt>
                <c:pt idx="18">
                  <c:v>273</c:v>
                </c:pt>
                <c:pt idx="19">
                  <c:v>233</c:v>
                </c:pt>
                <c:pt idx="20">
                  <c:v>318</c:v>
                </c:pt>
                <c:pt idx="21">
                  <c:v>144</c:v>
                </c:pt>
                <c:pt idx="22">
                  <c:v>68</c:v>
                </c:pt>
                <c:pt idx="23">
                  <c:v>48</c:v>
                </c:pt>
                <c:pt idx="24">
                  <c:v>47</c:v>
                </c:pt>
                <c:pt idx="25">
                  <c:v>56</c:v>
                </c:pt>
                <c:pt idx="26">
                  <c:v>147</c:v>
                </c:pt>
                <c:pt idx="27">
                  <c:v>442</c:v>
                </c:pt>
                <c:pt idx="28">
                  <c:v>135</c:v>
                </c:pt>
                <c:pt idx="29">
                  <c:v>43</c:v>
                </c:pt>
                <c:pt idx="30">
                  <c:v>33</c:v>
                </c:pt>
                <c:pt idx="31">
                  <c:v>37</c:v>
                </c:pt>
                <c:pt idx="32">
                  <c:v>25</c:v>
                </c:pt>
                <c:pt idx="33">
                  <c:v>38</c:v>
                </c:pt>
                <c:pt idx="34">
                  <c:v>56</c:v>
                </c:pt>
                <c:pt idx="35">
                  <c:v>26</c:v>
                </c:pt>
                <c:pt idx="36">
                  <c:v>19</c:v>
                </c:pt>
                <c:pt idx="37">
                  <c:v>7</c:v>
                </c:pt>
                <c:pt idx="38">
                  <c:v>6</c:v>
                </c:pt>
                <c:pt idx="39">
                  <c:v>11</c:v>
                </c:pt>
                <c:pt idx="40">
                  <c:v>23</c:v>
                </c:pt>
                <c:pt idx="41">
                  <c:v>53</c:v>
                </c:pt>
                <c:pt idx="42">
                  <c:v>17</c:v>
                </c:pt>
                <c:pt idx="43">
                  <c:v>12</c:v>
                </c:pt>
                <c:pt idx="44">
                  <c:v>3</c:v>
                </c:pt>
                <c:pt idx="45">
                  <c:v>6</c:v>
                </c:pt>
                <c:pt idx="46">
                  <c:v>5</c:v>
                </c:pt>
                <c:pt idx="47">
                  <c:v>8</c:v>
                </c:pt>
                <c:pt idx="48">
                  <c:v>12</c:v>
                </c:pt>
                <c:pt idx="49">
                  <c:v>7</c:v>
                </c:pt>
                <c:pt idx="50">
                  <c:v>1</c:v>
                </c:pt>
                <c:pt idx="51">
                  <c:v>3</c:v>
                </c:pt>
                <c:pt idx="52">
                  <c:v>5</c:v>
                </c:pt>
                <c:pt idx="53">
                  <c:v>5</c:v>
                </c:pt>
                <c:pt idx="54">
                  <c:v>5</c:v>
                </c:pt>
                <c:pt idx="55">
                  <c:v>20</c:v>
                </c:pt>
                <c:pt idx="56">
                  <c:v>8</c:v>
                </c:pt>
                <c:pt idx="57">
                  <c:v>2</c:v>
                </c:pt>
                <c:pt idx="58">
                  <c:v>1</c:v>
                </c:pt>
                <c:pt idx="59">
                  <c:v>3</c:v>
                </c:pt>
                <c:pt idx="60">
                  <c:v>2</c:v>
                </c:pt>
                <c:pt idx="61">
                  <c:v>3</c:v>
                </c:pt>
                <c:pt idx="62">
                  <c:v>3</c:v>
                </c:pt>
                <c:pt idx="63">
                  <c:v>8</c:v>
                </c:pt>
                <c:pt idx="64">
                  <c:v>3</c:v>
                </c:pt>
                <c:pt idx="65">
                  <c:v>4</c:v>
                </c:pt>
                <c:pt idx="66">
                  <c:v>1</c:v>
                </c:pt>
                <c:pt idx="67">
                  <c:v>2</c:v>
                </c:pt>
                <c:pt idx="68">
                  <c:v>6</c:v>
                </c:pt>
                <c:pt idx="69">
                  <c:v>7</c:v>
                </c:pt>
                <c:pt idx="70">
                  <c:v>6</c:v>
                </c:pt>
                <c:pt idx="71">
                  <c:v>1</c:v>
                </c:pt>
                <c:pt idx="72">
                  <c:v>2</c:v>
                </c:pt>
                <c:pt idx="73">
                  <c:v>1</c:v>
                </c:pt>
                <c:pt idx="74">
                  <c:v>1</c:v>
                </c:pt>
                <c:pt idx="75">
                  <c:v>2</c:v>
                </c:pt>
                <c:pt idx="76">
                  <c:v>4</c:v>
                </c:pt>
                <c:pt idx="77">
                  <c:v>3</c:v>
                </c:pt>
                <c:pt idx="78">
                  <c:v>1</c:v>
                </c:pt>
                <c:pt idx="79">
                  <c:v>1</c:v>
                </c:pt>
                <c:pt idx="80">
                  <c:v>5</c:v>
                </c:pt>
                <c:pt idx="81">
                  <c:v>4</c:v>
                </c:pt>
                <c:pt idx="82">
                  <c:v>3</c:v>
                </c:pt>
                <c:pt idx="83">
                  <c:v>1</c:v>
                </c:pt>
                <c:pt idx="84">
                  <c:v>1</c:v>
                </c:pt>
                <c:pt idx="85">
                  <c:v>2</c:v>
                </c:pt>
                <c:pt idx="86">
                  <c:v>1</c:v>
                </c:pt>
                <c:pt idx="87">
                  <c:v>1</c:v>
                </c:pt>
                <c:pt idx="88">
                  <c:v>1</c:v>
                </c:pt>
                <c:pt idx="89">
                  <c:v>1</c:v>
                </c:pt>
                <c:pt idx="90">
                  <c:v>1</c:v>
                </c:pt>
                <c:pt idx="91">
                  <c:v>3</c:v>
                </c:pt>
                <c:pt idx="92">
                  <c:v>1</c:v>
                </c:pt>
                <c:pt idx="93">
                  <c:v>1</c:v>
                </c:pt>
                <c:pt idx="94">
                  <c:v>1</c:v>
                </c:pt>
                <c:pt idx="95">
                  <c:v>1</c:v>
                </c:pt>
                <c:pt idx="96">
                  <c:v>1</c:v>
                </c:pt>
                <c:pt idx="97">
                  <c:v>1</c:v>
                </c:pt>
                <c:pt idx="98">
                  <c:v>3</c:v>
                </c:pt>
                <c:pt idx="99">
                  <c:v>1</c:v>
                </c:pt>
                <c:pt idx="100">
                  <c:v>1</c:v>
                </c:pt>
                <c:pt idx="101">
                  <c:v>1</c:v>
                </c:pt>
                <c:pt idx="102">
                  <c:v>1</c:v>
                </c:pt>
                <c:pt idx="103">
                  <c:v>1</c:v>
                </c:pt>
                <c:pt idx="104">
                  <c:v>1</c:v>
                </c:pt>
                <c:pt idx="105">
                  <c:v>1</c:v>
                </c:pt>
                <c:pt idx="106">
                  <c:v>1</c:v>
                </c:pt>
              </c:numCache>
            </c:numRef>
          </c:val>
          <c:smooth val="0"/>
          <c:extLst>
            <c:ext xmlns:c16="http://schemas.microsoft.com/office/drawing/2014/chart" uri="{C3380CC4-5D6E-409C-BE32-E72D297353CC}">
              <c16:uniqueId val="{00000000-58F3-4365-8D62-ACD0C06D0838}"/>
            </c:ext>
          </c:extLst>
        </c:ser>
        <c:dLbls>
          <c:showLegendKey val="0"/>
          <c:showVal val="0"/>
          <c:showCatName val="0"/>
          <c:showSerName val="0"/>
          <c:showPercent val="0"/>
          <c:showBubbleSize val="0"/>
        </c:dLbls>
        <c:smooth val="0"/>
        <c:axId val="953232176"/>
        <c:axId val="953232504"/>
      </c:lineChart>
      <c:catAx>
        <c:axId val="953232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days between duvalumab prescriptions</a:t>
                </a:r>
                <a:endParaRPr lang="en-AU"/>
              </a:p>
            </c:rich>
          </c:tx>
          <c:layout>
            <c:manualLayout>
              <c:xMode val="edge"/>
              <c:yMode val="edge"/>
              <c:x val="0.2515327703602267"/>
              <c:y val="0.8823567256113188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232504"/>
        <c:crosses val="autoZero"/>
        <c:auto val="1"/>
        <c:lblAlgn val="ctr"/>
        <c:lblOffset val="100"/>
        <c:noMultiLvlLbl val="0"/>
      </c:catAx>
      <c:valAx>
        <c:axId val="953232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32321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[D1427 - NSCLC review .xlsx]Sheet12!PivotTable19</c:name>
    <c:fmtId val="-1"/>
  </c:pivotSource>
  <c:chart>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8"/>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9"/>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0"/>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1"/>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2"/>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3"/>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8"/>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9"/>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0"/>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1"/>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2"/>
        <c:spPr>
          <a:solidFill>
            <a:schemeClr val="accent1"/>
          </a:solidFill>
          <a:ln w="28575" cap="rnd">
            <a:solidFill>
              <a:schemeClr val="accent1"/>
            </a:solidFill>
            <a:round/>
          </a:ln>
          <a:effectLst/>
        </c:spPr>
        <c:marker>
          <c:symbol val="circle"/>
          <c:size val="5"/>
          <c:spPr>
            <a:solidFill>
              <a:schemeClr val="accent3">
                <a:lumMod val="60000"/>
              </a:schemeClr>
            </a:solidFill>
            <a:ln w="9525">
              <a:solidFill>
                <a:schemeClr val="accent3">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3"/>
        <c:spPr>
          <a:solidFill>
            <a:schemeClr val="accent1"/>
          </a:solidFill>
          <a:ln w="28575" cap="rnd">
            <a:solidFill>
              <a:schemeClr val="accent1"/>
            </a:solidFill>
            <a:round/>
          </a:ln>
          <a:effectLst/>
        </c:spPr>
        <c:marker>
          <c:symbol val="circle"/>
          <c:size val="5"/>
          <c:spPr>
            <a:solidFill>
              <a:schemeClr val="accent4">
                <a:lumMod val="60000"/>
              </a:schemeClr>
            </a:solidFill>
            <a:ln w="9525">
              <a:solidFill>
                <a:schemeClr val="accent4">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4"/>
        <c:spPr>
          <a:solidFill>
            <a:schemeClr val="accent1"/>
          </a:solidFill>
          <a:ln w="28575" cap="rnd">
            <a:solidFill>
              <a:schemeClr val="accent1"/>
            </a:solidFill>
            <a:round/>
          </a:ln>
          <a:effectLst/>
        </c:spPr>
        <c:marker>
          <c:symbol val="circle"/>
          <c:size val="5"/>
          <c:spPr>
            <a:solidFill>
              <a:schemeClr val="accent5">
                <a:lumMod val="60000"/>
              </a:schemeClr>
            </a:solidFill>
            <a:ln w="9525">
              <a:solidFill>
                <a:schemeClr val="accent5">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5"/>
        <c:spPr>
          <a:solidFill>
            <a:schemeClr val="accent1"/>
          </a:solidFill>
          <a:ln w="28575" cap="rnd">
            <a:solidFill>
              <a:schemeClr val="accent1"/>
            </a:solidFill>
            <a:round/>
          </a:ln>
          <a:effectLst/>
        </c:spPr>
        <c:marker>
          <c:symbol val="circle"/>
          <c:size val="5"/>
          <c:spPr>
            <a:solidFill>
              <a:schemeClr val="accent6">
                <a:lumMod val="60000"/>
              </a:schemeClr>
            </a:solidFill>
            <a:ln w="9525">
              <a:solidFill>
                <a:schemeClr val="accent6">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6"/>
        <c:spPr>
          <a:solidFill>
            <a:schemeClr val="accent1"/>
          </a:solidFill>
          <a:ln w="28575" cap="rnd">
            <a:solidFill>
              <a:schemeClr val="accent1"/>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7"/>
        <c:spPr>
          <a:solidFill>
            <a:schemeClr val="accent1"/>
          </a:solidFill>
          <a:ln w="28575" cap="rnd">
            <a:solidFill>
              <a:schemeClr val="accent1"/>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8"/>
        <c:spPr>
          <a:solidFill>
            <a:schemeClr val="accent1"/>
          </a:solidFill>
          <a:ln w="28575" cap="rnd">
            <a:solidFill>
              <a:schemeClr val="accent1"/>
            </a:solidFill>
            <a:round/>
          </a:ln>
          <a:effectLst/>
        </c:spPr>
        <c:marker>
          <c:symbol val="circle"/>
          <c:size val="5"/>
          <c:spPr>
            <a:solidFill>
              <a:schemeClr val="accent3">
                <a:lumMod val="80000"/>
                <a:lumOff val="20000"/>
              </a:schemeClr>
            </a:solidFill>
            <a:ln w="9525">
              <a:solidFill>
                <a:schemeClr val="accent3">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9"/>
        <c:spPr>
          <a:solidFill>
            <a:schemeClr val="accent1"/>
          </a:solidFill>
          <a:ln w="28575" cap="rnd">
            <a:solidFill>
              <a:schemeClr val="accent1"/>
            </a:solidFill>
            <a:round/>
          </a:ln>
          <a:effectLst/>
        </c:spPr>
        <c:marker>
          <c:symbol val="circle"/>
          <c:size val="5"/>
          <c:spPr>
            <a:solidFill>
              <a:schemeClr val="accent4">
                <a:lumMod val="80000"/>
                <a:lumOff val="20000"/>
              </a:schemeClr>
            </a:solidFill>
            <a:ln w="9525">
              <a:solidFill>
                <a:schemeClr val="accent4">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0"/>
        <c:spPr>
          <a:solidFill>
            <a:schemeClr val="accent1"/>
          </a:solidFill>
          <a:ln w="28575" cap="rnd">
            <a:solidFill>
              <a:schemeClr val="accent1"/>
            </a:solidFill>
            <a:round/>
          </a:ln>
          <a:effectLst/>
        </c:spPr>
        <c:marker>
          <c:symbol val="circle"/>
          <c:size val="5"/>
          <c:spPr>
            <a:solidFill>
              <a:schemeClr val="accent5">
                <a:lumMod val="80000"/>
                <a:lumOff val="20000"/>
              </a:schemeClr>
            </a:solidFill>
            <a:ln w="9525">
              <a:solidFill>
                <a:schemeClr val="accent5">
                  <a:lumMod val="80000"/>
                  <a:lumOff val="2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Sheet12!$V$34:$V$35</c:f>
              <c:strCache>
                <c:ptCount val="1"/>
                <c:pt idx="0">
                  <c:v>AFATINIB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Sheet12!$U$36:$U$62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Sheet12!$V$36:$V$62</c:f>
              <c:numCache>
                <c:formatCode>General</c:formatCode>
                <c:ptCount val="26"/>
                <c:pt idx="9">
                  <c:v>27</c:v>
                </c:pt>
                <c:pt idx="10">
                  <c:v>46</c:v>
                </c:pt>
                <c:pt idx="11">
                  <c:v>69</c:v>
                </c:pt>
                <c:pt idx="12">
                  <c:v>92</c:v>
                </c:pt>
                <c:pt idx="13">
                  <c:v>114</c:v>
                </c:pt>
                <c:pt idx="14">
                  <c:v>134</c:v>
                </c:pt>
                <c:pt idx="15">
                  <c:v>135</c:v>
                </c:pt>
                <c:pt idx="16">
                  <c:v>136</c:v>
                </c:pt>
                <c:pt idx="17">
                  <c:v>131</c:v>
                </c:pt>
                <c:pt idx="18">
                  <c:v>132</c:v>
                </c:pt>
                <c:pt idx="19">
                  <c:v>122</c:v>
                </c:pt>
                <c:pt idx="20">
                  <c:v>89</c:v>
                </c:pt>
                <c:pt idx="21">
                  <c:v>77</c:v>
                </c:pt>
                <c:pt idx="22">
                  <c:v>69</c:v>
                </c:pt>
                <c:pt idx="23">
                  <c:v>73</c:v>
                </c:pt>
                <c:pt idx="24">
                  <c:v>70</c:v>
                </c:pt>
                <c:pt idx="25">
                  <c:v>57</c:v>
                </c:pt>
              </c:numCache>
            </c:numRef>
          </c:val>
          <c:smooth val="0"/>
          <c:extLst>
            <c:ext xmlns:c16="http://schemas.microsoft.com/office/drawing/2014/chart" uri="{C3380CC4-5D6E-409C-BE32-E72D297353CC}">
              <c16:uniqueId val="{00000000-DDB3-4ED8-83B5-836FC347D371}"/>
            </c:ext>
          </c:extLst>
        </c:ser>
        <c:ser>
          <c:idx val="1"/>
          <c:order val="1"/>
          <c:tx>
            <c:strRef>
              <c:f>Sheet12!$W$34:$W$35</c:f>
              <c:strCache>
                <c:ptCount val="1"/>
                <c:pt idx="0">
                  <c:v>ALECTINIB</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Sheet12!$U$36:$U$62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Sheet12!$W$36:$W$62</c:f>
              <c:numCache>
                <c:formatCode>General</c:formatCode>
                <c:ptCount val="26"/>
                <c:pt idx="8">
                  <c:v>117</c:v>
                </c:pt>
                <c:pt idx="9">
                  <c:v>157</c:v>
                </c:pt>
                <c:pt idx="10">
                  <c:v>173</c:v>
                </c:pt>
                <c:pt idx="11">
                  <c:v>198</c:v>
                </c:pt>
                <c:pt idx="12">
                  <c:v>211</c:v>
                </c:pt>
                <c:pt idx="13">
                  <c:v>223</c:v>
                </c:pt>
                <c:pt idx="14">
                  <c:v>245</c:v>
                </c:pt>
                <c:pt idx="15">
                  <c:v>252</c:v>
                </c:pt>
                <c:pt idx="16">
                  <c:v>273</c:v>
                </c:pt>
                <c:pt idx="17">
                  <c:v>283</c:v>
                </c:pt>
                <c:pt idx="18">
                  <c:v>301</c:v>
                </c:pt>
                <c:pt idx="19">
                  <c:v>310</c:v>
                </c:pt>
                <c:pt idx="20">
                  <c:v>311</c:v>
                </c:pt>
                <c:pt idx="21">
                  <c:v>321</c:v>
                </c:pt>
                <c:pt idx="22">
                  <c:v>319</c:v>
                </c:pt>
                <c:pt idx="23">
                  <c:v>340</c:v>
                </c:pt>
                <c:pt idx="24">
                  <c:v>355</c:v>
                </c:pt>
                <c:pt idx="25">
                  <c:v>366</c:v>
                </c:pt>
              </c:numCache>
            </c:numRef>
          </c:val>
          <c:smooth val="0"/>
          <c:extLst>
            <c:ext xmlns:c16="http://schemas.microsoft.com/office/drawing/2014/chart" uri="{C3380CC4-5D6E-409C-BE32-E72D297353CC}">
              <c16:uniqueId val="{00000001-DDB3-4ED8-83B5-836FC347D371}"/>
            </c:ext>
          </c:extLst>
        </c:ser>
        <c:ser>
          <c:idx val="2"/>
          <c:order val="2"/>
          <c:tx>
            <c:strRef>
              <c:f>Sheet12!$X$34:$X$35</c:f>
              <c:strCache>
                <c:ptCount val="1"/>
                <c:pt idx="0">
                  <c:v>ATEZOLIZUMAB</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Sheet12!$U$36:$U$62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Sheet12!$X$36:$X$62</c:f>
              <c:numCache>
                <c:formatCode>General</c:formatCode>
                <c:ptCount val="26"/>
                <c:pt idx="9">
                  <c:v>141</c:v>
                </c:pt>
                <c:pt idx="10">
                  <c:v>275</c:v>
                </c:pt>
                <c:pt idx="11">
                  <c:v>349</c:v>
                </c:pt>
                <c:pt idx="12">
                  <c:v>383</c:v>
                </c:pt>
                <c:pt idx="13">
                  <c:v>389</c:v>
                </c:pt>
                <c:pt idx="14">
                  <c:v>392</c:v>
                </c:pt>
                <c:pt idx="15">
                  <c:v>636</c:v>
                </c:pt>
                <c:pt idx="16">
                  <c:v>599</c:v>
                </c:pt>
                <c:pt idx="17">
                  <c:v>610</c:v>
                </c:pt>
                <c:pt idx="18">
                  <c:v>575</c:v>
                </c:pt>
                <c:pt idx="19">
                  <c:v>546</c:v>
                </c:pt>
                <c:pt idx="20">
                  <c:v>544</c:v>
                </c:pt>
                <c:pt idx="21">
                  <c:v>507</c:v>
                </c:pt>
                <c:pt idx="22">
                  <c:v>469</c:v>
                </c:pt>
                <c:pt idx="23">
                  <c:v>453</c:v>
                </c:pt>
                <c:pt idx="24">
                  <c:v>460</c:v>
                </c:pt>
                <c:pt idx="25">
                  <c:v>437</c:v>
                </c:pt>
              </c:numCache>
            </c:numRef>
          </c:val>
          <c:smooth val="0"/>
          <c:extLst>
            <c:ext xmlns:c16="http://schemas.microsoft.com/office/drawing/2014/chart" uri="{C3380CC4-5D6E-409C-BE32-E72D297353CC}">
              <c16:uniqueId val="{00000002-DDB3-4ED8-83B5-836FC347D371}"/>
            </c:ext>
          </c:extLst>
        </c:ser>
        <c:ser>
          <c:idx val="3"/>
          <c:order val="3"/>
          <c:tx>
            <c:strRef>
              <c:f>Sheet12!$Y$34:$Y$35</c:f>
              <c:strCache>
                <c:ptCount val="1"/>
                <c:pt idx="0">
                  <c:v>BEVACIZUMAB</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Sheet12!$U$36:$U$62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Sheet12!$Y$36:$Y$62</c:f>
              <c:numCache>
                <c:formatCode>General</c:formatCode>
                <c:ptCount val="26"/>
                <c:pt idx="15">
                  <c:v>275</c:v>
                </c:pt>
                <c:pt idx="16">
                  <c:v>316</c:v>
                </c:pt>
                <c:pt idx="17">
                  <c:v>319</c:v>
                </c:pt>
                <c:pt idx="18">
                  <c:v>295</c:v>
                </c:pt>
                <c:pt idx="19">
                  <c:v>289</c:v>
                </c:pt>
                <c:pt idx="20">
                  <c:v>278</c:v>
                </c:pt>
                <c:pt idx="21">
                  <c:v>232</c:v>
                </c:pt>
              </c:numCache>
            </c:numRef>
          </c:val>
          <c:smooth val="0"/>
          <c:extLst>
            <c:ext xmlns:c16="http://schemas.microsoft.com/office/drawing/2014/chart" uri="{C3380CC4-5D6E-409C-BE32-E72D297353CC}">
              <c16:uniqueId val="{00000003-DDB3-4ED8-83B5-836FC347D371}"/>
            </c:ext>
          </c:extLst>
        </c:ser>
        <c:ser>
          <c:idx val="4"/>
          <c:order val="4"/>
          <c:tx>
            <c:strRef>
              <c:f>Sheet12!$Z$34:$Z$35</c:f>
              <c:strCache>
                <c:ptCount val="1"/>
                <c:pt idx="0">
                  <c:v>BRIGATINIB</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Sheet12!$U$36:$U$62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Sheet12!$Z$36:$Z$62</c:f>
              <c:numCache>
                <c:formatCode>General</c:formatCode>
                <c:ptCount val="26"/>
                <c:pt idx="17">
                  <c:v>7</c:v>
                </c:pt>
                <c:pt idx="18">
                  <c:v>16</c:v>
                </c:pt>
                <c:pt idx="19">
                  <c:v>16</c:v>
                </c:pt>
                <c:pt idx="20">
                  <c:v>15</c:v>
                </c:pt>
                <c:pt idx="21">
                  <c:v>17</c:v>
                </c:pt>
                <c:pt idx="22">
                  <c:v>22</c:v>
                </c:pt>
                <c:pt idx="23">
                  <c:v>22</c:v>
                </c:pt>
                <c:pt idx="24">
                  <c:v>25</c:v>
                </c:pt>
                <c:pt idx="25">
                  <c:v>28</c:v>
                </c:pt>
              </c:numCache>
            </c:numRef>
          </c:val>
          <c:smooth val="0"/>
          <c:extLst>
            <c:ext xmlns:c16="http://schemas.microsoft.com/office/drawing/2014/chart" uri="{C3380CC4-5D6E-409C-BE32-E72D297353CC}">
              <c16:uniqueId val="{00000004-DDB3-4ED8-83B5-836FC347D371}"/>
            </c:ext>
          </c:extLst>
        </c:ser>
        <c:ser>
          <c:idx val="5"/>
          <c:order val="5"/>
          <c:tx>
            <c:strRef>
              <c:f>Sheet12!$AA$34:$AA$35</c:f>
              <c:strCache>
                <c:ptCount val="1"/>
                <c:pt idx="0">
                  <c:v>CERITINIB</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Sheet12!$U$36:$U$62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Sheet12!$AA$36:$AA$62</c:f>
              <c:numCache>
                <c:formatCode>General</c:formatCode>
                <c:ptCount val="26"/>
                <c:pt idx="4">
                  <c:v>33</c:v>
                </c:pt>
                <c:pt idx="5">
                  <c:v>53</c:v>
                </c:pt>
                <c:pt idx="6">
                  <c:v>70</c:v>
                </c:pt>
                <c:pt idx="7">
                  <c:v>63</c:v>
                </c:pt>
                <c:pt idx="8">
                  <c:v>39</c:v>
                </c:pt>
                <c:pt idx="9">
                  <c:v>29</c:v>
                </c:pt>
                <c:pt idx="10">
                  <c:v>21</c:v>
                </c:pt>
                <c:pt idx="11">
                  <c:v>17</c:v>
                </c:pt>
                <c:pt idx="12">
                  <c:v>14</c:v>
                </c:pt>
                <c:pt idx="13">
                  <c:v>15</c:v>
                </c:pt>
                <c:pt idx="14">
                  <c:v>13</c:v>
                </c:pt>
                <c:pt idx="15">
                  <c:v>11</c:v>
                </c:pt>
                <c:pt idx="16">
                  <c:v>13</c:v>
                </c:pt>
                <c:pt idx="17">
                  <c:v>11</c:v>
                </c:pt>
                <c:pt idx="18">
                  <c:v>8</c:v>
                </c:pt>
                <c:pt idx="19">
                  <c:v>7</c:v>
                </c:pt>
                <c:pt idx="20">
                  <c:v>9</c:v>
                </c:pt>
                <c:pt idx="21">
                  <c:v>9</c:v>
                </c:pt>
                <c:pt idx="22">
                  <c:v>4</c:v>
                </c:pt>
                <c:pt idx="23">
                  <c:v>5</c:v>
                </c:pt>
                <c:pt idx="24">
                  <c:v>4</c:v>
                </c:pt>
                <c:pt idx="25">
                  <c:v>3</c:v>
                </c:pt>
              </c:numCache>
            </c:numRef>
          </c:val>
          <c:smooth val="0"/>
          <c:extLst>
            <c:ext xmlns:c16="http://schemas.microsoft.com/office/drawing/2014/chart" uri="{C3380CC4-5D6E-409C-BE32-E72D297353CC}">
              <c16:uniqueId val="{00000005-DDB3-4ED8-83B5-836FC347D371}"/>
            </c:ext>
          </c:extLst>
        </c:ser>
        <c:ser>
          <c:idx val="6"/>
          <c:order val="6"/>
          <c:tx>
            <c:strRef>
              <c:f>Sheet12!$AB$34:$AB$35</c:f>
              <c:strCache>
                <c:ptCount val="1"/>
                <c:pt idx="0">
                  <c:v>CRIZOTINIB</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Sheet12!$U$36:$U$62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Sheet12!$AB$36:$AB$62</c:f>
              <c:numCache>
                <c:formatCode>General</c:formatCode>
                <c:ptCount val="26"/>
                <c:pt idx="0">
                  <c:v>107</c:v>
                </c:pt>
                <c:pt idx="1">
                  <c:v>115</c:v>
                </c:pt>
                <c:pt idx="2">
                  <c:v>125</c:v>
                </c:pt>
                <c:pt idx="3">
                  <c:v>135</c:v>
                </c:pt>
                <c:pt idx="4">
                  <c:v>129</c:v>
                </c:pt>
                <c:pt idx="5">
                  <c:v>121</c:v>
                </c:pt>
                <c:pt idx="6">
                  <c:v>127</c:v>
                </c:pt>
                <c:pt idx="7">
                  <c:v>121</c:v>
                </c:pt>
                <c:pt idx="8">
                  <c:v>105</c:v>
                </c:pt>
                <c:pt idx="9">
                  <c:v>82</c:v>
                </c:pt>
                <c:pt idx="10">
                  <c:v>69</c:v>
                </c:pt>
                <c:pt idx="11">
                  <c:v>58</c:v>
                </c:pt>
                <c:pt idx="12">
                  <c:v>66</c:v>
                </c:pt>
                <c:pt idx="13">
                  <c:v>62</c:v>
                </c:pt>
                <c:pt idx="14">
                  <c:v>68</c:v>
                </c:pt>
                <c:pt idx="15">
                  <c:v>58</c:v>
                </c:pt>
                <c:pt idx="16">
                  <c:v>62</c:v>
                </c:pt>
                <c:pt idx="17">
                  <c:v>67</c:v>
                </c:pt>
                <c:pt idx="18">
                  <c:v>61</c:v>
                </c:pt>
                <c:pt idx="19">
                  <c:v>59</c:v>
                </c:pt>
                <c:pt idx="20">
                  <c:v>55</c:v>
                </c:pt>
                <c:pt idx="21">
                  <c:v>53</c:v>
                </c:pt>
                <c:pt idx="22">
                  <c:v>53</c:v>
                </c:pt>
                <c:pt idx="23">
                  <c:v>44</c:v>
                </c:pt>
                <c:pt idx="24">
                  <c:v>38</c:v>
                </c:pt>
                <c:pt idx="25">
                  <c:v>39</c:v>
                </c:pt>
              </c:numCache>
            </c:numRef>
          </c:val>
          <c:smooth val="0"/>
          <c:extLst>
            <c:ext xmlns:c16="http://schemas.microsoft.com/office/drawing/2014/chart" uri="{C3380CC4-5D6E-409C-BE32-E72D297353CC}">
              <c16:uniqueId val="{00000006-DDB3-4ED8-83B5-836FC347D371}"/>
            </c:ext>
          </c:extLst>
        </c:ser>
        <c:ser>
          <c:idx val="7"/>
          <c:order val="7"/>
          <c:tx>
            <c:strRef>
              <c:f>Sheet12!$AC$34:$AC$35</c:f>
              <c:strCache>
                <c:ptCount val="1"/>
                <c:pt idx="0">
                  <c:v>DURVALUMAB</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Sheet12!$U$36:$U$62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Sheet12!$AC$36:$AC$62</c:f>
              <c:numCache>
                <c:formatCode>General</c:formatCode>
                <c:ptCount val="26"/>
                <c:pt idx="16">
                  <c:v>387</c:v>
                </c:pt>
                <c:pt idx="17">
                  <c:v>583</c:v>
                </c:pt>
                <c:pt idx="18">
                  <c:v>594</c:v>
                </c:pt>
                <c:pt idx="19">
                  <c:v>577</c:v>
                </c:pt>
                <c:pt idx="20">
                  <c:v>578</c:v>
                </c:pt>
                <c:pt idx="21">
                  <c:v>566</c:v>
                </c:pt>
                <c:pt idx="22">
                  <c:v>595</c:v>
                </c:pt>
                <c:pt idx="23">
                  <c:v>563</c:v>
                </c:pt>
                <c:pt idx="24">
                  <c:v>565</c:v>
                </c:pt>
                <c:pt idx="25">
                  <c:v>590</c:v>
                </c:pt>
              </c:numCache>
            </c:numRef>
          </c:val>
          <c:smooth val="0"/>
          <c:extLst>
            <c:ext xmlns:c16="http://schemas.microsoft.com/office/drawing/2014/chart" uri="{C3380CC4-5D6E-409C-BE32-E72D297353CC}">
              <c16:uniqueId val="{00000007-DDB3-4ED8-83B5-836FC347D371}"/>
            </c:ext>
          </c:extLst>
        </c:ser>
        <c:ser>
          <c:idx val="8"/>
          <c:order val="8"/>
          <c:tx>
            <c:strRef>
              <c:f>Sheet12!$AD$34:$AD$35</c:f>
              <c:strCache>
                <c:ptCount val="1"/>
                <c:pt idx="0">
                  <c:v>ENTRECTINIB</c:v>
                </c:pt>
              </c:strCache>
            </c:strRef>
          </c:tx>
          <c:spPr>
            <a:ln w="28575"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cat>
            <c:strRef>
              <c:f>Sheet12!$U$36:$U$62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Sheet12!$AD$36:$AD$62</c:f>
              <c:numCache>
                <c:formatCode>General</c:formatCode>
                <c:ptCount val="26"/>
                <c:pt idx="18">
                  <c:v>6</c:v>
                </c:pt>
                <c:pt idx="19">
                  <c:v>9</c:v>
                </c:pt>
                <c:pt idx="20">
                  <c:v>9</c:v>
                </c:pt>
                <c:pt idx="21">
                  <c:v>20</c:v>
                </c:pt>
                <c:pt idx="22">
                  <c:v>28</c:v>
                </c:pt>
                <c:pt idx="23">
                  <c:v>35</c:v>
                </c:pt>
                <c:pt idx="24">
                  <c:v>35</c:v>
                </c:pt>
                <c:pt idx="25">
                  <c:v>42</c:v>
                </c:pt>
              </c:numCache>
            </c:numRef>
          </c:val>
          <c:smooth val="0"/>
          <c:extLst>
            <c:ext xmlns:c16="http://schemas.microsoft.com/office/drawing/2014/chart" uri="{C3380CC4-5D6E-409C-BE32-E72D297353CC}">
              <c16:uniqueId val="{00000008-DDB3-4ED8-83B5-836FC347D371}"/>
            </c:ext>
          </c:extLst>
        </c:ser>
        <c:ser>
          <c:idx val="9"/>
          <c:order val="9"/>
          <c:tx>
            <c:strRef>
              <c:f>Sheet12!$AE$34:$AE$35</c:f>
              <c:strCache>
                <c:ptCount val="1"/>
                <c:pt idx="0">
                  <c:v>ERLOTINIB</c:v>
                </c:pt>
              </c:strCache>
            </c:strRef>
          </c:tx>
          <c:spPr>
            <a:ln w="28575"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cat>
            <c:strRef>
              <c:f>Sheet12!$U$36:$U$62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Sheet12!$AE$36:$AE$62</c:f>
              <c:numCache>
                <c:formatCode>General</c:formatCode>
                <c:ptCount val="26"/>
                <c:pt idx="0">
                  <c:v>508</c:v>
                </c:pt>
                <c:pt idx="1">
                  <c:v>520</c:v>
                </c:pt>
                <c:pt idx="2">
                  <c:v>572</c:v>
                </c:pt>
                <c:pt idx="3">
                  <c:v>580</c:v>
                </c:pt>
                <c:pt idx="4">
                  <c:v>597</c:v>
                </c:pt>
                <c:pt idx="5">
                  <c:v>614</c:v>
                </c:pt>
                <c:pt idx="6">
                  <c:v>628</c:v>
                </c:pt>
                <c:pt idx="7">
                  <c:v>648</c:v>
                </c:pt>
                <c:pt idx="8">
                  <c:v>646</c:v>
                </c:pt>
                <c:pt idx="9">
                  <c:v>636</c:v>
                </c:pt>
                <c:pt idx="10">
                  <c:v>615</c:v>
                </c:pt>
                <c:pt idx="11">
                  <c:v>590</c:v>
                </c:pt>
                <c:pt idx="12">
                  <c:v>599</c:v>
                </c:pt>
                <c:pt idx="13">
                  <c:v>585</c:v>
                </c:pt>
                <c:pt idx="14">
                  <c:v>585</c:v>
                </c:pt>
                <c:pt idx="15">
                  <c:v>581</c:v>
                </c:pt>
                <c:pt idx="16">
                  <c:v>593</c:v>
                </c:pt>
                <c:pt idx="17">
                  <c:v>599</c:v>
                </c:pt>
                <c:pt idx="18">
                  <c:v>581</c:v>
                </c:pt>
                <c:pt idx="19">
                  <c:v>445</c:v>
                </c:pt>
                <c:pt idx="20">
                  <c:v>357</c:v>
                </c:pt>
                <c:pt idx="21">
                  <c:v>271</c:v>
                </c:pt>
                <c:pt idx="22">
                  <c:v>231</c:v>
                </c:pt>
                <c:pt idx="23">
                  <c:v>184</c:v>
                </c:pt>
                <c:pt idx="24">
                  <c:v>151</c:v>
                </c:pt>
                <c:pt idx="25">
                  <c:v>117</c:v>
                </c:pt>
              </c:numCache>
            </c:numRef>
          </c:val>
          <c:smooth val="0"/>
          <c:extLst>
            <c:ext xmlns:c16="http://schemas.microsoft.com/office/drawing/2014/chart" uri="{C3380CC4-5D6E-409C-BE32-E72D297353CC}">
              <c16:uniqueId val="{00000009-DDB3-4ED8-83B5-836FC347D371}"/>
            </c:ext>
          </c:extLst>
        </c:ser>
        <c:ser>
          <c:idx val="10"/>
          <c:order val="10"/>
          <c:tx>
            <c:strRef>
              <c:f>Sheet12!$AF$34:$AF$35</c:f>
              <c:strCache>
                <c:ptCount val="1"/>
                <c:pt idx="0">
                  <c:v>GEFITINIB</c:v>
                </c:pt>
              </c:strCache>
            </c:strRef>
          </c:tx>
          <c:spPr>
            <a:ln w="28575"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cat>
            <c:strRef>
              <c:f>Sheet12!$U$36:$U$62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Sheet12!$AF$36:$AF$62</c:f>
              <c:numCache>
                <c:formatCode>General</c:formatCode>
                <c:ptCount val="26"/>
                <c:pt idx="0">
                  <c:v>198</c:v>
                </c:pt>
                <c:pt idx="1">
                  <c:v>220</c:v>
                </c:pt>
                <c:pt idx="2">
                  <c:v>228</c:v>
                </c:pt>
                <c:pt idx="3">
                  <c:v>242</c:v>
                </c:pt>
                <c:pt idx="4">
                  <c:v>227</c:v>
                </c:pt>
                <c:pt idx="5">
                  <c:v>251</c:v>
                </c:pt>
                <c:pt idx="6">
                  <c:v>260</c:v>
                </c:pt>
                <c:pt idx="7">
                  <c:v>273</c:v>
                </c:pt>
                <c:pt idx="8">
                  <c:v>279</c:v>
                </c:pt>
                <c:pt idx="9">
                  <c:v>282</c:v>
                </c:pt>
                <c:pt idx="10">
                  <c:v>267</c:v>
                </c:pt>
                <c:pt idx="11">
                  <c:v>298</c:v>
                </c:pt>
                <c:pt idx="12">
                  <c:v>276</c:v>
                </c:pt>
                <c:pt idx="13">
                  <c:v>297</c:v>
                </c:pt>
                <c:pt idx="14">
                  <c:v>279</c:v>
                </c:pt>
                <c:pt idx="15">
                  <c:v>292</c:v>
                </c:pt>
                <c:pt idx="16">
                  <c:v>313</c:v>
                </c:pt>
                <c:pt idx="17">
                  <c:v>337</c:v>
                </c:pt>
                <c:pt idx="18">
                  <c:v>333</c:v>
                </c:pt>
                <c:pt idx="19">
                  <c:v>255</c:v>
                </c:pt>
                <c:pt idx="20">
                  <c:v>195</c:v>
                </c:pt>
                <c:pt idx="21">
                  <c:v>155</c:v>
                </c:pt>
                <c:pt idx="22">
                  <c:v>133</c:v>
                </c:pt>
                <c:pt idx="23">
                  <c:v>115</c:v>
                </c:pt>
                <c:pt idx="24">
                  <c:v>102</c:v>
                </c:pt>
                <c:pt idx="25">
                  <c:v>89</c:v>
                </c:pt>
              </c:numCache>
            </c:numRef>
          </c:val>
          <c:smooth val="0"/>
          <c:extLst>
            <c:ext xmlns:c16="http://schemas.microsoft.com/office/drawing/2014/chart" uri="{C3380CC4-5D6E-409C-BE32-E72D297353CC}">
              <c16:uniqueId val="{0000000A-DDB3-4ED8-83B5-836FC347D371}"/>
            </c:ext>
          </c:extLst>
        </c:ser>
        <c:ser>
          <c:idx val="11"/>
          <c:order val="11"/>
          <c:tx>
            <c:strRef>
              <c:f>Sheet12!$AG$34:$AG$35</c:f>
              <c:strCache>
                <c:ptCount val="1"/>
                <c:pt idx="0">
                  <c:v>IPILIMUMAB</c:v>
                </c:pt>
              </c:strCache>
            </c:strRef>
          </c:tx>
          <c:spPr>
            <a:ln w="28575"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cat>
            <c:strRef>
              <c:f>Sheet12!$U$36:$U$62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Sheet12!$AG$36:$AG$62</c:f>
              <c:numCache>
                <c:formatCode>General</c:formatCode>
                <c:ptCount val="26"/>
                <c:pt idx="21">
                  <c:v>38</c:v>
                </c:pt>
                <c:pt idx="22">
                  <c:v>74</c:v>
                </c:pt>
                <c:pt idx="23">
                  <c:v>79</c:v>
                </c:pt>
                <c:pt idx="24">
                  <c:v>72</c:v>
                </c:pt>
                <c:pt idx="25">
                  <c:v>87</c:v>
                </c:pt>
              </c:numCache>
            </c:numRef>
          </c:val>
          <c:smooth val="0"/>
          <c:extLst>
            <c:ext xmlns:c16="http://schemas.microsoft.com/office/drawing/2014/chart" uri="{C3380CC4-5D6E-409C-BE32-E72D297353CC}">
              <c16:uniqueId val="{0000000B-DDB3-4ED8-83B5-836FC347D371}"/>
            </c:ext>
          </c:extLst>
        </c:ser>
        <c:ser>
          <c:idx val="12"/>
          <c:order val="12"/>
          <c:tx>
            <c:strRef>
              <c:f>Sheet12!$AH$34:$AH$35</c:f>
              <c:strCache>
                <c:ptCount val="1"/>
                <c:pt idx="0">
                  <c:v>LORLATINIB</c:v>
                </c:pt>
              </c:strCache>
            </c:strRef>
          </c:tx>
          <c:spPr>
            <a:ln w="28575"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cat>
            <c:strRef>
              <c:f>Sheet12!$U$36:$U$62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Sheet12!$AH$36:$AH$62</c:f>
              <c:numCache>
                <c:formatCode>General</c:formatCode>
                <c:ptCount val="26"/>
                <c:pt idx="18">
                  <c:v>22</c:v>
                </c:pt>
                <c:pt idx="19">
                  <c:v>55</c:v>
                </c:pt>
                <c:pt idx="20">
                  <c:v>60</c:v>
                </c:pt>
                <c:pt idx="21">
                  <c:v>59</c:v>
                </c:pt>
                <c:pt idx="22">
                  <c:v>60</c:v>
                </c:pt>
                <c:pt idx="23">
                  <c:v>60</c:v>
                </c:pt>
                <c:pt idx="24">
                  <c:v>64</c:v>
                </c:pt>
                <c:pt idx="25">
                  <c:v>71</c:v>
                </c:pt>
              </c:numCache>
            </c:numRef>
          </c:val>
          <c:smooth val="0"/>
          <c:extLst>
            <c:ext xmlns:c16="http://schemas.microsoft.com/office/drawing/2014/chart" uri="{C3380CC4-5D6E-409C-BE32-E72D297353CC}">
              <c16:uniqueId val="{0000000C-DDB3-4ED8-83B5-836FC347D371}"/>
            </c:ext>
          </c:extLst>
        </c:ser>
        <c:ser>
          <c:idx val="13"/>
          <c:order val="13"/>
          <c:tx>
            <c:strRef>
              <c:f>Sheet12!$AI$34:$AI$35</c:f>
              <c:strCache>
                <c:ptCount val="1"/>
                <c:pt idx="0">
                  <c:v>NIVOLUMAB</c:v>
                </c:pt>
              </c:strCache>
            </c:strRef>
          </c:tx>
          <c:spPr>
            <a:ln w="28575" cap="rnd">
              <a:solidFill>
                <a:schemeClr val="accent2">
                  <a:lumMod val="80000"/>
                  <a:lumOff val="20000"/>
                </a:schemeClr>
              </a:solidFill>
              <a:round/>
            </a:ln>
            <a:effectLst/>
          </c:spPr>
          <c:marker>
            <c:symbol val="square"/>
            <c:size val="5"/>
            <c:spPr>
              <a:solidFill>
                <a:schemeClr val="accent2">
                  <a:lumMod val="80000"/>
                  <a:lumOff val="20000"/>
                </a:schemeClr>
              </a:solidFill>
              <a:ln w="9525">
                <a:solidFill>
                  <a:schemeClr val="accent2">
                    <a:lumMod val="80000"/>
                    <a:lumOff val="20000"/>
                  </a:schemeClr>
                </a:solidFill>
              </a:ln>
              <a:effectLst/>
            </c:spPr>
          </c:marker>
          <c:cat>
            <c:strRef>
              <c:f>Sheet12!$U$36:$U$62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Sheet12!$AI$36:$AI$62</c:f>
              <c:numCache>
                <c:formatCode>General</c:formatCode>
                <c:ptCount val="26"/>
                <c:pt idx="6">
                  <c:v>1572</c:v>
                </c:pt>
                <c:pt idx="7">
                  <c:v>1905</c:v>
                </c:pt>
                <c:pt idx="8">
                  <c:v>2021</c:v>
                </c:pt>
                <c:pt idx="9">
                  <c:v>1986</c:v>
                </c:pt>
                <c:pt idx="10">
                  <c:v>1845</c:v>
                </c:pt>
                <c:pt idx="11">
                  <c:v>1673</c:v>
                </c:pt>
                <c:pt idx="12">
                  <c:v>1543</c:v>
                </c:pt>
                <c:pt idx="13">
                  <c:v>1437</c:v>
                </c:pt>
                <c:pt idx="14">
                  <c:v>1345</c:v>
                </c:pt>
                <c:pt idx="15">
                  <c:v>1302</c:v>
                </c:pt>
                <c:pt idx="16">
                  <c:v>1205</c:v>
                </c:pt>
                <c:pt idx="17">
                  <c:v>1066</c:v>
                </c:pt>
                <c:pt idx="18">
                  <c:v>953</c:v>
                </c:pt>
                <c:pt idx="19">
                  <c:v>837</c:v>
                </c:pt>
                <c:pt idx="20">
                  <c:v>790</c:v>
                </c:pt>
                <c:pt idx="21">
                  <c:v>736</c:v>
                </c:pt>
                <c:pt idx="22">
                  <c:v>711</c:v>
                </c:pt>
                <c:pt idx="23">
                  <c:v>645</c:v>
                </c:pt>
                <c:pt idx="24">
                  <c:v>594</c:v>
                </c:pt>
                <c:pt idx="25">
                  <c:v>554</c:v>
                </c:pt>
              </c:numCache>
            </c:numRef>
          </c:val>
          <c:smooth val="0"/>
          <c:extLst>
            <c:ext xmlns:c16="http://schemas.microsoft.com/office/drawing/2014/chart" uri="{C3380CC4-5D6E-409C-BE32-E72D297353CC}">
              <c16:uniqueId val="{0000000D-DDB3-4ED8-83B5-836FC347D371}"/>
            </c:ext>
          </c:extLst>
        </c:ser>
        <c:ser>
          <c:idx val="14"/>
          <c:order val="14"/>
          <c:tx>
            <c:strRef>
              <c:f>Sheet12!$AJ$34:$AJ$35</c:f>
              <c:strCache>
                <c:ptCount val="1"/>
                <c:pt idx="0">
                  <c:v>OSIMERTINIB</c:v>
                </c:pt>
              </c:strCache>
            </c:strRef>
          </c:tx>
          <c:spPr>
            <a:ln w="28575" cap="rnd">
              <a:solidFill>
                <a:schemeClr val="accent3">
                  <a:lumMod val="80000"/>
                  <a:lumOff val="20000"/>
                </a:schemeClr>
              </a:solidFill>
              <a:round/>
            </a:ln>
            <a:effectLst/>
          </c:spPr>
          <c:marker>
            <c:symbol val="x"/>
            <c:size val="5"/>
            <c:spPr>
              <a:solidFill>
                <a:schemeClr val="accent3">
                  <a:lumMod val="80000"/>
                  <a:lumOff val="20000"/>
                </a:schemeClr>
              </a:solidFill>
              <a:ln w="9525">
                <a:solidFill>
                  <a:schemeClr val="accent3">
                    <a:lumMod val="80000"/>
                    <a:lumOff val="20000"/>
                  </a:schemeClr>
                </a:solidFill>
              </a:ln>
              <a:effectLst/>
            </c:spPr>
          </c:marker>
          <c:cat>
            <c:strRef>
              <c:f>Sheet12!$U$36:$U$62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Sheet12!$AJ$36:$AJ$62</c:f>
              <c:numCache>
                <c:formatCode>General</c:formatCode>
                <c:ptCount val="26"/>
                <c:pt idx="12">
                  <c:v>241</c:v>
                </c:pt>
                <c:pt idx="13">
                  <c:v>296</c:v>
                </c:pt>
                <c:pt idx="14">
                  <c:v>325</c:v>
                </c:pt>
                <c:pt idx="15">
                  <c:v>332</c:v>
                </c:pt>
                <c:pt idx="16">
                  <c:v>342</c:v>
                </c:pt>
                <c:pt idx="17">
                  <c:v>336</c:v>
                </c:pt>
                <c:pt idx="18">
                  <c:v>357</c:v>
                </c:pt>
                <c:pt idx="19">
                  <c:v>360</c:v>
                </c:pt>
                <c:pt idx="20">
                  <c:v>993</c:v>
                </c:pt>
                <c:pt idx="21">
                  <c:v>1156</c:v>
                </c:pt>
                <c:pt idx="22">
                  <c:v>1218</c:v>
                </c:pt>
                <c:pt idx="23">
                  <c:v>1320</c:v>
                </c:pt>
                <c:pt idx="24">
                  <c:v>1409</c:v>
                </c:pt>
                <c:pt idx="25">
                  <c:v>1486</c:v>
                </c:pt>
              </c:numCache>
            </c:numRef>
          </c:val>
          <c:smooth val="0"/>
          <c:extLst>
            <c:ext xmlns:c16="http://schemas.microsoft.com/office/drawing/2014/chart" uri="{C3380CC4-5D6E-409C-BE32-E72D297353CC}">
              <c16:uniqueId val="{0000000E-DDB3-4ED8-83B5-836FC347D371}"/>
            </c:ext>
          </c:extLst>
        </c:ser>
        <c:ser>
          <c:idx val="15"/>
          <c:order val="15"/>
          <c:tx>
            <c:strRef>
              <c:f>Sheet12!$AK$34:$AK$35</c:f>
              <c:strCache>
                <c:ptCount val="1"/>
                <c:pt idx="0">
                  <c:v>PEMBROLIZUMAB</c:v>
                </c:pt>
              </c:strCache>
            </c:strRef>
          </c:tx>
          <c:spPr>
            <a:ln w="28575" cap="rnd">
              <a:solidFill>
                <a:schemeClr val="accent4">
                  <a:lumMod val="80000"/>
                  <a:lumOff val="20000"/>
                </a:schemeClr>
              </a:solidFill>
              <a:round/>
            </a:ln>
            <a:effectLst/>
          </c:spPr>
          <c:marker>
            <c:symbol val="x"/>
            <c:size val="5"/>
            <c:spPr>
              <a:solidFill>
                <a:schemeClr val="accent4">
                  <a:lumMod val="80000"/>
                  <a:lumOff val="20000"/>
                </a:schemeClr>
              </a:solidFill>
              <a:ln w="9525">
                <a:solidFill>
                  <a:schemeClr val="accent4">
                    <a:lumMod val="80000"/>
                    <a:lumOff val="20000"/>
                  </a:schemeClr>
                </a:solidFill>
              </a:ln>
              <a:effectLst/>
            </c:spPr>
          </c:marker>
          <c:cat>
            <c:strRef>
              <c:f>Sheet12!$U$36:$U$62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Sheet12!$AK$36:$AK$62</c:f>
              <c:numCache>
                <c:formatCode>General</c:formatCode>
                <c:ptCount val="26"/>
                <c:pt idx="11">
                  <c:v>525</c:v>
                </c:pt>
                <c:pt idx="12">
                  <c:v>766</c:v>
                </c:pt>
                <c:pt idx="13">
                  <c:v>875</c:v>
                </c:pt>
                <c:pt idx="14">
                  <c:v>934</c:v>
                </c:pt>
                <c:pt idx="15">
                  <c:v>1320</c:v>
                </c:pt>
                <c:pt idx="16">
                  <c:v>1910</c:v>
                </c:pt>
                <c:pt idx="17">
                  <c:v>2264</c:v>
                </c:pt>
                <c:pt idx="18">
                  <c:v>2464</c:v>
                </c:pt>
                <c:pt idx="19">
                  <c:v>2651</c:v>
                </c:pt>
                <c:pt idx="20">
                  <c:v>2702</c:v>
                </c:pt>
                <c:pt idx="21">
                  <c:v>2770</c:v>
                </c:pt>
                <c:pt idx="22">
                  <c:v>2837</c:v>
                </c:pt>
                <c:pt idx="23">
                  <c:v>2905</c:v>
                </c:pt>
                <c:pt idx="24">
                  <c:v>2834</c:v>
                </c:pt>
                <c:pt idx="25">
                  <c:v>2773</c:v>
                </c:pt>
              </c:numCache>
            </c:numRef>
          </c:val>
          <c:smooth val="0"/>
          <c:extLst>
            <c:ext xmlns:c16="http://schemas.microsoft.com/office/drawing/2014/chart" uri="{C3380CC4-5D6E-409C-BE32-E72D297353CC}">
              <c16:uniqueId val="{0000000F-DDB3-4ED8-83B5-836FC347D371}"/>
            </c:ext>
          </c:extLst>
        </c:ser>
        <c:ser>
          <c:idx val="16"/>
          <c:order val="16"/>
          <c:tx>
            <c:strRef>
              <c:f>Sheet12!$AL$34:$AL$35</c:f>
              <c:strCache>
                <c:ptCount val="1"/>
                <c:pt idx="0">
                  <c:v>TOTAL</c:v>
                </c:pt>
              </c:strCache>
            </c:strRef>
          </c:tx>
          <c:spPr>
            <a:ln w="28575" cap="rnd">
              <a:solidFill>
                <a:schemeClr val="accent5">
                  <a:lumMod val="80000"/>
                  <a:lumOff val="20000"/>
                </a:schemeClr>
              </a:solidFill>
              <a:round/>
            </a:ln>
            <a:effectLst/>
          </c:spPr>
          <c:marker>
            <c:symbol val="x"/>
            <c:size val="5"/>
            <c:spPr>
              <a:solidFill>
                <a:schemeClr val="accent5">
                  <a:lumMod val="80000"/>
                  <a:lumOff val="20000"/>
                </a:schemeClr>
              </a:solidFill>
              <a:ln w="9525">
                <a:solidFill>
                  <a:schemeClr val="accent5">
                    <a:lumMod val="80000"/>
                    <a:lumOff val="20000"/>
                  </a:schemeClr>
                </a:solidFill>
              </a:ln>
              <a:effectLst/>
            </c:spPr>
          </c:marker>
          <c:cat>
            <c:strRef>
              <c:f>Sheet12!$U$36:$U$62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Sheet12!$AL$36:$AL$62</c:f>
              <c:numCache>
                <c:formatCode>General</c:formatCode>
                <c:ptCount val="26"/>
                <c:pt idx="0">
                  <c:v>813</c:v>
                </c:pt>
                <c:pt idx="1">
                  <c:v>855</c:v>
                </c:pt>
                <c:pt idx="2">
                  <c:v>925</c:v>
                </c:pt>
                <c:pt idx="3">
                  <c:v>957</c:v>
                </c:pt>
                <c:pt idx="4">
                  <c:v>986</c:v>
                </c:pt>
                <c:pt idx="5">
                  <c:v>1039</c:v>
                </c:pt>
                <c:pt idx="6">
                  <c:v>2657</c:v>
                </c:pt>
                <c:pt idx="7">
                  <c:v>3010</c:v>
                </c:pt>
                <c:pt idx="8">
                  <c:v>3207</c:v>
                </c:pt>
                <c:pt idx="9">
                  <c:v>3340</c:v>
                </c:pt>
                <c:pt idx="10">
                  <c:v>3311</c:v>
                </c:pt>
                <c:pt idx="11">
                  <c:v>3777</c:v>
                </c:pt>
                <c:pt idx="12">
                  <c:v>4191</c:v>
                </c:pt>
                <c:pt idx="13">
                  <c:v>4293</c:v>
                </c:pt>
                <c:pt idx="14">
                  <c:v>4320</c:v>
                </c:pt>
                <c:pt idx="15">
                  <c:v>5194</c:v>
                </c:pt>
                <c:pt idx="16">
                  <c:v>6149</c:v>
                </c:pt>
                <c:pt idx="17">
                  <c:v>6613</c:v>
                </c:pt>
                <c:pt idx="18">
                  <c:v>6698</c:v>
                </c:pt>
                <c:pt idx="19">
                  <c:v>6538</c:v>
                </c:pt>
                <c:pt idx="20">
                  <c:v>6985</c:v>
                </c:pt>
                <c:pt idx="21">
                  <c:v>6987</c:v>
                </c:pt>
                <c:pt idx="22">
                  <c:v>6823</c:v>
                </c:pt>
                <c:pt idx="23">
                  <c:v>6843</c:v>
                </c:pt>
                <c:pt idx="24">
                  <c:v>6778</c:v>
                </c:pt>
                <c:pt idx="25">
                  <c:v>6739</c:v>
                </c:pt>
              </c:numCache>
            </c:numRef>
          </c:val>
          <c:smooth val="0"/>
          <c:extLst>
            <c:ext xmlns:c16="http://schemas.microsoft.com/office/drawing/2014/chart" uri="{C3380CC4-5D6E-409C-BE32-E72D297353CC}">
              <c16:uniqueId val="{00000010-DDB3-4ED8-83B5-836FC347D371}"/>
            </c:ext>
          </c:extLst>
        </c:ser>
        <c:dLbls>
          <c:showLegendKey val="0"/>
          <c:showVal val="0"/>
          <c:showCatName val="0"/>
          <c:showSerName val="0"/>
          <c:showPercent val="0"/>
          <c:showBubbleSize val="0"/>
        </c:dLbls>
        <c:marker val="1"/>
        <c:smooth val="0"/>
        <c:axId val="1173474912"/>
        <c:axId val="1093975168"/>
      </c:lineChart>
      <c:catAx>
        <c:axId val="117347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3975168"/>
        <c:crosses val="autoZero"/>
        <c:auto val="1"/>
        <c:lblAlgn val="ctr"/>
        <c:lblOffset val="100"/>
        <c:noMultiLvlLbl val="0"/>
      </c:catAx>
      <c:valAx>
        <c:axId val="1093975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347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[D1427 - NSCLC review .xlsx]Sheet9!PivotTable28</c:name>
    <c:fmtId val="-1"/>
  </c:pivotSource>
  <c:chart>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Sheet9!$W$1:$W$2</c:f>
              <c:strCache>
                <c:ptCount val="1"/>
                <c:pt idx="0">
                  <c:v>Immunotherapy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Sheet9!$V$3:$V$29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Sheet9!$W$3:$W$29</c:f>
              <c:numCache>
                <c:formatCode>General</c:formatCode>
                <c:ptCount val="26"/>
                <c:pt idx="6" formatCode="#,##0">
                  <c:v>5210</c:v>
                </c:pt>
                <c:pt idx="7" formatCode="#,##0">
                  <c:v>8589</c:v>
                </c:pt>
                <c:pt idx="8" formatCode="#,##0">
                  <c:v>9261</c:v>
                </c:pt>
                <c:pt idx="9" formatCode="#,##0">
                  <c:v>9692</c:v>
                </c:pt>
                <c:pt idx="10" formatCode="#,##0">
                  <c:v>9582</c:v>
                </c:pt>
                <c:pt idx="11" formatCode="#,##0">
                  <c:v>10307</c:v>
                </c:pt>
                <c:pt idx="12" formatCode="#,##0">
                  <c:v>10877</c:v>
                </c:pt>
                <c:pt idx="13" formatCode="#,##0">
                  <c:v>10978</c:v>
                </c:pt>
                <c:pt idx="14" formatCode="#,##0">
                  <c:v>10644</c:v>
                </c:pt>
                <c:pt idx="15" formatCode="#,##0">
                  <c:v>11381</c:v>
                </c:pt>
                <c:pt idx="16" formatCode="#,##0">
                  <c:v>13693</c:v>
                </c:pt>
                <c:pt idx="17" formatCode="#,##0">
                  <c:v>16574</c:v>
                </c:pt>
                <c:pt idx="18" formatCode="#,##0">
                  <c:v>16953</c:v>
                </c:pt>
                <c:pt idx="19" formatCode="#,##0">
                  <c:v>16740</c:v>
                </c:pt>
                <c:pt idx="20" formatCode="#,##0">
                  <c:v>16269</c:v>
                </c:pt>
                <c:pt idx="21" formatCode="#,##0">
                  <c:v>15405</c:v>
                </c:pt>
                <c:pt idx="22" formatCode="#,##0">
                  <c:v>15572</c:v>
                </c:pt>
                <c:pt idx="23" formatCode="#,##0">
                  <c:v>15001</c:v>
                </c:pt>
                <c:pt idx="24" formatCode="#,##0">
                  <c:v>14416</c:v>
                </c:pt>
                <c:pt idx="25" formatCode="#,##0">
                  <c:v>14251</c:v>
                </c:pt>
              </c:numCache>
            </c:numRef>
          </c:val>
          <c:smooth val="0"/>
          <c:extLst>
            <c:ext xmlns:c16="http://schemas.microsoft.com/office/drawing/2014/chart" uri="{C3380CC4-5D6E-409C-BE32-E72D297353CC}">
              <c16:uniqueId val="{00000000-B48F-4E32-B4A0-01E4000CABD2}"/>
            </c:ext>
          </c:extLst>
        </c:ser>
        <c:ser>
          <c:idx val="1"/>
          <c:order val="1"/>
          <c:tx>
            <c:strRef>
              <c:f>Sheet9!$X$1:$X$2</c:f>
              <c:strCache>
                <c:ptCount val="1"/>
                <c:pt idx="0">
                  <c:v>Targeted therapy (Total)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Sheet9!$V$3:$V$29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Sheet9!$X$3:$X$29</c:f>
              <c:numCache>
                <c:formatCode>#,##0</c:formatCode>
                <c:ptCount val="26"/>
                <c:pt idx="0">
                  <c:v>2118</c:v>
                </c:pt>
                <c:pt idx="1">
                  <c:v>2242</c:v>
                </c:pt>
                <c:pt idx="2">
                  <c:v>2471</c:v>
                </c:pt>
                <c:pt idx="3">
                  <c:v>2576</c:v>
                </c:pt>
                <c:pt idx="4">
                  <c:v>2542</c:v>
                </c:pt>
                <c:pt idx="5">
                  <c:v>2731</c:v>
                </c:pt>
                <c:pt idx="6">
                  <c:v>2820</c:v>
                </c:pt>
                <c:pt idx="7">
                  <c:v>2922</c:v>
                </c:pt>
                <c:pt idx="8">
                  <c:v>3018</c:v>
                </c:pt>
                <c:pt idx="9">
                  <c:v>3259</c:v>
                </c:pt>
                <c:pt idx="10">
                  <c:v>3199</c:v>
                </c:pt>
                <c:pt idx="11">
                  <c:v>3348</c:v>
                </c:pt>
                <c:pt idx="12">
                  <c:v>3755</c:v>
                </c:pt>
                <c:pt idx="13">
                  <c:v>4334</c:v>
                </c:pt>
                <c:pt idx="14">
                  <c:v>4574</c:v>
                </c:pt>
                <c:pt idx="15">
                  <c:v>4751</c:v>
                </c:pt>
                <c:pt idx="16">
                  <c:v>4968</c:v>
                </c:pt>
                <c:pt idx="17">
                  <c:v>4572</c:v>
                </c:pt>
                <c:pt idx="18">
                  <c:v>5024</c:v>
                </c:pt>
                <c:pt idx="19">
                  <c:v>4685</c:v>
                </c:pt>
                <c:pt idx="20">
                  <c:v>5477</c:v>
                </c:pt>
                <c:pt idx="21">
                  <c:v>5797</c:v>
                </c:pt>
                <c:pt idx="22">
                  <c:v>5890</c:v>
                </c:pt>
                <c:pt idx="23">
                  <c:v>6195</c:v>
                </c:pt>
                <c:pt idx="24">
                  <c:v>6133</c:v>
                </c:pt>
                <c:pt idx="25">
                  <c:v>6403</c:v>
                </c:pt>
              </c:numCache>
            </c:numRef>
          </c:val>
          <c:smooth val="0"/>
          <c:extLst>
            <c:ext xmlns:c16="http://schemas.microsoft.com/office/drawing/2014/chart" uri="{C3380CC4-5D6E-409C-BE32-E72D297353CC}">
              <c16:uniqueId val="{00000001-B48F-4E32-B4A0-01E4000CABD2}"/>
            </c:ext>
          </c:extLst>
        </c:ser>
        <c:ser>
          <c:idx val="2"/>
          <c:order val="2"/>
          <c:tx>
            <c:strRef>
              <c:f>Sheet9!$Y$1:$Y$2</c:f>
              <c:strCache>
                <c:ptCount val="1"/>
                <c:pt idx="0">
                  <c:v>ALK inhibitor (Targeted therapy)</c:v>
                </c:pt>
              </c:strCache>
            </c:strRef>
          </c:tx>
          <c:spPr>
            <a:ln w="28575" cap="rnd">
              <a:solidFill>
                <a:schemeClr val="accent3"/>
              </a:solidFill>
              <a:round/>
            </a:ln>
            <a:effectLst/>
          </c:spPr>
          <c:marker>
            <c:symbol val="none"/>
          </c:marker>
          <c:cat>
            <c:strRef>
              <c:f>Sheet9!$V$3:$V$29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Sheet9!$Y$3:$Y$29</c:f>
              <c:numCache>
                <c:formatCode>#,##0</c:formatCode>
                <c:ptCount val="26"/>
                <c:pt idx="0">
                  <c:v>273</c:v>
                </c:pt>
                <c:pt idx="1">
                  <c:v>289</c:v>
                </c:pt>
                <c:pt idx="2">
                  <c:v>326</c:v>
                </c:pt>
                <c:pt idx="3">
                  <c:v>360</c:v>
                </c:pt>
                <c:pt idx="4">
                  <c:v>372</c:v>
                </c:pt>
                <c:pt idx="5">
                  <c:v>421</c:v>
                </c:pt>
                <c:pt idx="6">
                  <c:v>439</c:v>
                </c:pt>
                <c:pt idx="7">
                  <c:v>421</c:v>
                </c:pt>
                <c:pt idx="8">
                  <c:v>608</c:v>
                </c:pt>
                <c:pt idx="9">
                  <c:v>664</c:v>
                </c:pt>
                <c:pt idx="10">
                  <c:v>683</c:v>
                </c:pt>
                <c:pt idx="11">
                  <c:v>723</c:v>
                </c:pt>
                <c:pt idx="12">
                  <c:v>704</c:v>
                </c:pt>
                <c:pt idx="13">
                  <c:v>743</c:v>
                </c:pt>
                <c:pt idx="14">
                  <c:v>806</c:v>
                </c:pt>
                <c:pt idx="15">
                  <c:v>799</c:v>
                </c:pt>
                <c:pt idx="16">
                  <c:v>890</c:v>
                </c:pt>
                <c:pt idx="17">
                  <c:v>819</c:v>
                </c:pt>
                <c:pt idx="18">
                  <c:v>1034</c:v>
                </c:pt>
                <c:pt idx="19">
                  <c:v>1151</c:v>
                </c:pt>
                <c:pt idx="20">
                  <c:v>1125</c:v>
                </c:pt>
                <c:pt idx="21">
                  <c:v>1158</c:v>
                </c:pt>
                <c:pt idx="22">
                  <c:v>1194</c:v>
                </c:pt>
                <c:pt idx="23">
                  <c:v>1234</c:v>
                </c:pt>
                <c:pt idx="24">
                  <c:v>1223</c:v>
                </c:pt>
                <c:pt idx="25">
                  <c:v>1303</c:v>
                </c:pt>
              </c:numCache>
            </c:numRef>
          </c:val>
          <c:smooth val="0"/>
          <c:extLst>
            <c:ext xmlns:c16="http://schemas.microsoft.com/office/drawing/2014/chart" uri="{C3380CC4-5D6E-409C-BE32-E72D297353CC}">
              <c16:uniqueId val="{00000002-B48F-4E32-B4A0-01E4000CABD2}"/>
            </c:ext>
          </c:extLst>
        </c:ser>
        <c:ser>
          <c:idx val="3"/>
          <c:order val="3"/>
          <c:tx>
            <c:strRef>
              <c:f>Sheet9!$Z$1:$Z$2</c:f>
              <c:strCache>
                <c:ptCount val="1"/>
                <c:pt idx="0">
                  <c:v>EGFR inhibitor (Targeted therapy</c:v>
                </c:pt>
              </c:strCache>
            </c:strRef>
          </c:tx>
          <c:spPr>
            <a:ln w="28575" cap="rnd">
              <a:solidFill>
                <a:schemeClr val="accent4"/>
              </a:solidFill>
              <a:round/>
            </a:ln>
            <a:effectLst/>
          </c:spPr>
          <c:marker>
            <c:symbol val="none"/>
          </c:marker>
          <c:cat>
            <c:strRef>
              <c:f>Sheet9!$V$3:$V$29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Sheet9!$Z$3:$Z$29</c:f>
              <c:numCache>
                <c:formatCode>#,##0</c:formatCode>
                <c:ptCount val="26"/>
                <c:pt idx="0">
                  <c:v>1845</c:v>
                </c:pt>
                <c:pt idx="1">
                  <c:v>1953</c:v>
                </c:pt>
                <c:pt idx="2">
                  <c:v>2145</c:v>
                </c:pt>
                <c:pt idx="3">
                  <c:v>2216</c:v>
                </c:pt>
                <c:pt idx="4">
                  <c:v>2170</c:v>
                </c:pt>
                <c:pt idx="5">
                  <c:v>2310</c:v>
                </c:pt>
                <c:pt idx="6">
                  <c:v>2381</c:v>
                </c:pt>
                <c:pt idx="7">
                  <c:v>2501</c:v>
                </c:pt>
                <c:pt idx="8">
                  <c:v>2410</c:v>
                </c:pt>
                <c:pt idx="9">
                  <c:v>2595</c:v>
                </c:pt>
                <c:pt idx="10">
                  <c:v>2516</c:v>
                </c:pt>
                <c:pt idx="11">
                  <c:v>2625</c:v>
                </c:pt>
                <c:pt idx="12">
                  <c:v>3009</c:v>
                </c:pt>
                <c:pt idx="13">
                  <c:v>3532</c:v>
                </c:pt>
                <c:pt idx="14">
                  <c:v>3698</c:v>
                </c:pt>
                <c:pt idx="15">
                  <c:v>3892</c:v>
                </c:pt>
                <c:pt idx="16">
                  <c:v>4008</c:v>
                </c:pt>
                <c:pt idx="17">
                  <c:v>3669</c:v>
                </c:pt>
                <c:pt idx="18">
                  <c:v>3888</c:v>
                </c:pt>
                <c:pt idx="19">
                  <c:v>3420</c:v>
                </c:pt>
                <c:pt idx="20">
                  <c:v>4264</c:v>
                </c:pt>
                <c:pt idx="21">
                  <c:v>4513</c:v>
                </c:pt>
                <c:pt idx="22">
                  <c:v>4571</c:v>
                </c:pt>
                <c:pt idx="23">
                  <c:v>4821</c:v>
                </c:pt>
                <c:pt idx="24">
                  <c:v>4786</c:v>
                </c:pt>
                <c:pt idx="25">
                  <c:v>4934</c:v>
                </c:pt>
              </c:numCache>
            </c:numRef>
          </c:val>
          <c:smooth val="0"/>
          <c:extLst>
            <c:ext xmlns:c16="http://schemas.microsoft.com/office/drawing/2014/chart" uri="{C3380CC4-5D6E-409C-BE32-E72D297353CC}">
              <c16:uniqueId val="{00000003-B48F-4E32-B4A0-01E4000CABD2}"/>
            </c:ext>
          </c:extLst>
        </c:ser>
        <c:ser>
          <c:idx val="4"/>
          <c:order val="4"/>
          <c:tx>
            <c:strRef>
              <c:f>Sheet9!$AA$1:$AA$2</c:f>
              <c:strCache>
                <c:ptCount val="1"/>
                <c:pt idx="0">
                  <c:v>ROS1 (Targeted therapy)</c:v>
                </c:pt>
              </c:strCache>
            </c:strRef>
          </c:tx>
          <c:spPr>
            <a:ln w="28575" cap="rnd">
              <a:solidFill>
                <a:schemeClr val="accent5"/>
              </a:solidFill>
              <a:round/>
            </a:ln>
            <a:effectLst/>
          </c:spPr>
          <c:marker>
            <c:symbol val="none"/>
          </c:marker>
          <c:cat>
            <c:strRef>
              <c:f>Sheet9!$V$3:$V$29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Sheet9!$AA$3:$AA$29</c:f>
              <c:numCache>
                <c:formatCode>General</c:formatCode>
                <c:ptCount val="26"/>
                <c:pt idx="12" formatCode="#,##0">
                  <c:v>42</c:v>
                </c:pt>
                <c:pt idx="13" formatCode="#,##0">
                  <c:v>59</c:v>
                </c:pt>
                <c:pt idx="14" formatCode="#,##0">
                  <c:v>70</c:v>
                </c:pt>
                <c:pt idx="15" formatCode="#,##0">
                  <c:v>60</c:v>
                </c:pt>
                <c:pt idx="16" formatCode="#,##0">
                  <c:v>70</c:v>
                </c:pt>
                <c:pt idx="17" formatCode="#,##0">
                  <c:v>84</c:v>
                </c:pt>
                <c:pt idx="18" formatCode="#,##0">
                  <c:v>102</c:v>
                </c:pt>
                <c:pt idx="19" formatCode="#,##0">
                  <c:v>114</c:v>
                </c:pt>
                <c:pt idx="20" formatCode="#,##0">
                  <c:v>88</c:v>
                </c:pt>
                <c:pt idx="21" formatCode="#,##0">
                  <c:v>126</c:v>
                </c:pt>
                <c:pt idx="22" formatCode="#,##0">
                  <c:v>125</c:v>
                </c:pt>
                <c:pt idx="23" formatCode="#,##0">
                  <c:v>140</c:v>
                </c:pt>
                <c:pt idx="24" formatCode="#,##0">
                  <c:v>124</c:v>
                </c:pt>
                <c:pt idx="25" formatCode="#,##0">
                  <c:v>166</c:v>
                </c:pt>
              </c:numCache>
            </c:numRef>
          </c:val>
          <c:smooth val="0"/>
          <c:extLst>
            <c:ext xmlns:c16="http://schemas.microsoft.com/office/drawing/2014/chart" uri="{C3380CC4-5D6E-409C-BE32-E72D297353CC}">
              <c16:uniqueId val="{00000004-B48F-4E32-B4A0-01E4000CABD2}"/>
            </c:ext>
          </c:extLst>
        </c:ser>
        <c:dLbls>
          <c:showLegendKey val="0"/>
          <c:showVal val="0"/>
          <c:showCatName val="0"/>
          <c:showSerName val="0"/>
          <c:showPercent val="0"/>
          <c:showBubbleSize val="0"/>
        </c:dLbls>
        <c:marker val="1"/>
        <c:smooth val="0"/>
        <c:axId val="898310776"/>
        <c:axId val="898309792"/>
      </c:lineChart>
      <c:catAx>
        <c:axId val="898310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98309792"/>
        <c:crosses val="autoZero"/>
        <c:auto val="1"/>
        <c:lblAlgn val="ctr"/>
        <c:lblOffset val="100"/>
        <c:noMultiLvlLbl val="0"/>
      </c:catAx>
      <c:valAx>
        <c:axId val="898309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AU"/>
                  <a:t>Prescriptions </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98310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[D1427 - NSCLC review .xlsx]Sheet9!PivotTable29</c:name>
    <c:fmtId val="-1"/>
  </c:pivotSource>
  <c:chart>
    <c:autoTitleDeleted val="0"/>
    <c:pivotFmts>
      <c:pivotFmt>
        <c:idx val="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Sheet9!$W$32:$W$33</c:f>
              <c:strCache>
                <c:ptCount val="1"/>
                <c:pt idx="0">
                  <c:v>Immunotherapy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Sheet9!$V$34:$V$60</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Sheet9!$W$34:$W$60</c:f>
              <c:numCache>
                <c:formatCode>General</c:formatCode>
                <c:ptCount val="26"/>
                <c:pt idx="6" formatCode="#,##0">
                  <c:v>1572</c:v>
                </c:pt>
                <c:pt idx="7" formatCode="#,##0">
                  <c:v>1905</c:v>
                </c:pt>
                <c:pt idx="8" formatCode="#,##0">
                  <c:v>2021</c:v>
                </c:pt>
                <c:pt idx="9" formatCode="#,##0">
                  <c:v>2127</c:v>
                </c:pt>
                <c:pt idx="10" formatCode="#,##0">
                  <c:v>2120</c:v>
                </c:pt>
                <c:pt idx="11" formatCode="#,##0">
                  <c:v>2547</c:v>
                </c:pt>
                <c:pt idx="12" formatCode="#,##0">
                  <c:v>2692</c:v>
                </c:pt>
                <c:pt idx="13" formatCode="#,##0">
                  <c:v>2701</c:v>
                </c:pt>
                <c:pt idx="14" formatCode="#,##0">
                  <c:v>2671</c:v>
                </c:pt>
                <c:pt idx="15" formatCode="#,##0">
                  <c:v>3540</c:v>
                </c:pt>
                <c:pt idx="16" formatCode="#,##0">
                  <c:v>4433</c:v>
                </c:pt>
                <c:pt idx="17" formatCode="#,##0">
                  <c:v>4857</c:v>
                </c:pt>
                <c:pt idx="18" formatCode="#,##0">
                  <c:v>4898</c:v>
                </c:pt>
                <c:pt idx="19" formatCode="#,##0">
                  <c:v>4911</c:v>
                </c:pt>
                <c:pt idx="20" formatCode="#,##0">
                  <c:v>4899</c:v>
                </c:pt>
                <c:pt idx="21" formatCode="#,##0">
                  <c:v>4860</c:v>
                </c:pt>
                <c:pt idx="22" formatCode="#,##0">
                  <c:v>4696</c:v>
                </c:pt>
                <c:pt idx="23" formatCode="#,##0">
                  <c:v>4653</c:v>
                </c:pt>
                <c:pt idx="24" formatCode="#,##0">
                  <c:v>4530</c:v>
                </c:pt>
                <c:pt idx="25" formatCode="#,##0">
                  <c:v>4450</c:v>
                </c:pt>
              </c:numCache>
            </c:numRef>
          </c:val>
          <c:smooth val="0"/>
          <c:extLst>
            <c:ext xmlns:c16="http://schemas.microsoft.com/office/drawing/2014/chart" uri="{C3380CC4-5D6E-409C-BE32-E72D297353CC}">
              <c16:uniqueId val="{00000000-7690-400C-8506-F2719A82CE14}"/>
            </c:ext>
          </c:extLst>
        </c:ser>
        <c:ser>
          <c:idx val="1"/>
          <c:order val="1"/>
          <c:tx>
            <c:strRef>
              <c:f>Sheet9!$X$32:$X$33</c:f>
              <c:strCache>
                <c:ptCount val="1"/>
                <c:pt idx="0">
                  <c:v>Targeted therapy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Sheet9!$V$34:$V$60</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Sheet9!$X$34:$X$60</c:f>
              <c:numCache>
                <c:formatCode>#,##0</c:formatCode>
                <c:ptCount val="26"/>
                <c:pt idx="0">
                  <c:v>813</c:v>
                </c:pt>
                <c:pt idx="1">
                  <c:v>855</c:v>
                </c:pt>
                <c:pt idx="2">
                  <c:v>925</c:v>
                </c:pt>
                <c:pt idx="3">
                  <c:v>957</c:v>
                </c:pt>
                <c:pt idx="4">
                  <c:v>986</c:v>
                </c:pt>
                <c:pt idx="5">
                  <c:v>1039</c:v>
                </c:pt>
                <c:pt idx="6">
                  <c:v>1085</c:v>
                </c:pt>
                <c:pt idx="7">
                  <c:v>1105</c:v>
                </c:pt>
                <c:pt idx="8">
                  <c:v>1186</c:v>
                </c:pt>
                <c:pt idx="9">
                  <c:v>1213</c:v>
                </c:pt>
                <c:pt idx="10">
                  <c:v>1191</c:v>
                </c:pt>
                <c:pt idx="11">
                  <c:v>1230</c:v>
                </c:pt>
                <c:pt idx="12">
                  <c:v>1500</c:v>
                </c:pt>
                <c:pt idx="13">
                  <c:v>1593</c:v>
                </c:pt>
                <c:pt idx="14">
                  <c:v>1650</c:v>
                </c:pt>
                <c:pt idx="15">
                  <c:v>1663</c:v>
                </c:pt>
                <c:pt idx="16">
                  <c:v>1735</c:v>
                </c:pt>
                <c:pt idx="17">
                  <c:v>1773</c:v>
                </c:pt>
                <c:pt idx="18">
                  <c:v>1820</c:v>
                </c:pt>
                <c:pt idx="19">
                  <c:v>1640</c:v>
                </c:pt>
                <c:pt idx="20">
                  <c:v>2093</c:v>
                </c:pt>
                <c:pt idx="21">
                  <c:v>2141</c:v>
                </c:pt>
                <c:pt idx="22">
                  <c:v>2139</c:v>
                </c:pt>
                <c:pt idx="23">
                  <c:v>2199</c:v>
                </c:pt>
                <c:pt idx="24">
                  <c:v>2254</c:v>
                </c:pt>
                <c:pt idx="25">
                  <c:v>2299</c:v>
                </c:pt>
              </c:numCache>
            </c:numRef>
          </c:val>
          <c:smooth val="0"/>
          <c:extLst>
            <c:ext xmlns:c16="http://schemas.microsoft.com/office/drawing/2014/chart" uri="{C3380CC4-5D6E-409C-BE32-E72D297353CC}">
              <c16:uniqueId val="{00000001-7690-400C-8506-F2719A82CE14}"/>
            </c:ext>
          </c:extLst>
        </c:ser>
        <c:ser>
          <c:idx val="2"/>
          <c:order val="2"/>
          <c:tx>
            <c:strRef>
              <c:f>Sheet9!$Y$32:$Y$33</c:f>
              <c:strCache>
                <c:ptCount val="1"/>
                <c:pt idx="0">
                  <c:v>ALK inhibitor (Targeted therapy) </c:v>
                </c:pt>
              </c:strCache>
            </c:strRef>
          </c:tx>
          <c:spPr>
            <a:ln w="28575" cap="rnd">
              <a:solidFill>
                <a:schemeClr val="accent3"/>
              </a:solidFill>
              <a:round/>
            </a:ln>
            <a:effectLst/>
          </c:spPr>
          <c:marker>
            <c:symbol val="none"/>
          </c:marker>
          <c:cat>
            <c:strRef>
              <c:f>Sheet9!$V$34:$V$60</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Sheet9!$Y$34:$Y$60</c:f>
              <c:numCache>
                <c:formatCode>#,##0</c:formatCode>
                <c:ptCount val="26"/>
                <c:pt idx="0">
                  <c:v>107</c:v>
                </c:pt>
                <c:pt idx="1">
                  <c:v>115</c:v>
                </c:pt>
                <c:pt idx="2">
                  <c:v>125</c:v>
                </c:pt>
                <c:pt idx="3">
                  <c:v>135</c:v>
                </c:pt>
                <c:pt idx="4">
                  <c:v>162</c:v>
                </c:pt>
                <c:pt idx="5">
                  <c:v>174</c:v>
                </c:pt>
                <c:pt idx="6">
                  <c:v>197</c:v>
                </c:pt>
                <c:pt idx="7">
                  <c:v>184</c:v>
                </c:pt>
                <c:pt idx="8">
                  <c:v>261</c:v>
                </c:pt>
                <c:pt idx="9">
                  <c:v>268</c:v>
                </c:pt>
                <c:pt idx="10">
                  <c:v>263</c:v>
                </c:pt>
                <c:pt idx="11">
                  <c:v>273</c:v>
                </c:pt>
                <c:pt idx="12">
                  <c:v>272</c:v>
                </c:pt>
                <c:pt idx="13">
                  <c:v>278</c:v>
                </c:pt>
                <c:pt idx="14">
                  <c:v>297</c:v>
                </c:pt>
                <c:pt idx="15">
                  <c:v>299</c:v>
                </c:pt>
                <c:pt idx="16">
                  <c:v>321</c:v>
                </c:pt>
                <c:pt idx="17">
                  <c:v>330</c:v>
                </c:pt>
                <c:pt idx="18">
                  <c:v>375</c:v>
                </c:pt>
                <c:pt idx="19">
                  <c:v>416</c:v>
                </c:pt>
                <c:pt idx="20">
                  <c:v>420</c:v>
                </c:pt>
                <c:pt idx="21">
                  <c:v>430</c:v>
                </c:pt>
                <c:pt idx="22">
                  <c:v>429</c:v>
                </c:pt>
                <c:pt idx="23">
                  <c:v>447</c:v>
                </c:pt>
                <c:pt idx="24">
                  <c:v>465</c:v>
                </c:pt>
                <c:pt idx="25">
                  <c:v>482</c:v>
                </c:pt>
              </c:numCache>
            </c:numRef>
          </c:val>
          <c:smooth val="0"/>
          <c:extLst>
            <c:ext xmlns:c16="http://schemas.microsoft.com/office/drawing/2014/chart" uri="{C3380CC4-5D6E-409C-BE32-E72D297353CC}">
              <c16:uniqueId val="{00000002-7690-400C-8506-F2719A82CE14}"/>
            </c:ext>
          </c:extLst>
        </c:ser>
        <c:ser>
          <c:idx val="3"/>
          <c:order val="3"/>
          <c:tx>
            <c:strRef>
              <c:f>Sheet9!$Z$32:$Z$33</c:f>
              <c:strCache>
                <c:ptCount val="1"/>
                <c:pt idx="0">
                  <c:v>EGFR inhibitor (Targeted therapy) </c:v>
                </c:pt>
              </c:strCache>
            </c:strRef>
          </c:tx>
          <c:spPr>
            <a:ln w="28575" cap="rnd">
              <a:solidFill>
                <a:schemeClr val="accent4"/>
              </a:solidFill>
              <a:round/>
            </a:ln>
            <a:effectLst/>
          </c:spPr>
          <c:marker>
            <c:symbol val="none"/>
          </c:marker>
          <c:cat>
            <c:strRef>
              <c:f>Sheet9!$V$34:$V$60</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Sheet9!$Z$34:$Z$60</c:f>
              <c:numCache>
                <c:formatCode>#,##0</c:formatCode>
                <c:ptCount val="26"/>
                <c:pt idx="0">
                  <c:v>706</c:v>
                </c:pt>
                <c:pt idx="1">
                  <c:v>740</c:v>
                </c:pt>
                <c:pt idx="2">
                  <c:v>800</c:v>
                </c:pt>
                <c:pt idx="3">
                  <c:v>822</c:v>
                </c:pt>
                <c:pt idx="4">
                  <c:v>824</c:v>
                </c:pt>
                <c:pt idx="5">
                  <c:v>865</c:v>
                </c:pt>
                <c:pt idx="6">
                  <c:v>888</c:v>
                </c:pt>
                <c:pt idx="7">
                  <c:v>921</c:v>
                </c:pt>
                <c:pt idx="8">
                  <c:v>925</c:v>
                </c:pt>
                <c:pt idx="9">
                  <c:v>945</c:v>
                </c:pt>
                <c:pt idx="10">
                  <c:v>928</c:v>
                </c:pt>
                <c:pt idx="11">
                  <c:v>957</c:v>
                </c:pt>
                <c:pt idx="12">
                  <c:v>1208</c:v>
                </c:pt>
                <c:pt idx="13">
                  <c:v>1292</c:v>
                </c:pt>
                <c:pt idx="14">
                  <c:v>1323</c:v>
                </c:pt>
                <c:pt idx="15">
                  <c:v>1340</c:v>
                </c:pt>
                <c:pt idx="16">
                  <c:v>1384</c:v>
                </c:pt>
                <c:pt idx="17">
                  <c:v>1403</c:v>
                </c:pt>
                <c:pt idx="18">
                  <c:v>1403</c:v>
                </c:pt>
                <c:pt idx="19">
                  <c:v>1182</c:v>
                </c:pt>
                <c:pt idx="20">
                  <c:v>1634</c:v>
                </c:pt>
                <c:pt idx="21">
                  <c:v>1659</c:v>
                </c:pt>
                <c:pt idx="22">
                  <c:v>1651</c:v>
                </c:pt>
                <c:pt idx="23">
                  <c:v>1692</c:v>
                </c:pt>
                <c:pt idx="24">
                  <c:v>1732</c:v>
                </c:pt>
                <c:pt idx="25">
                  <c:v>1749</c:v>
                </c:pt>
              </c:numCache>
            </c:numRef>
          </c:val>
          <c:smooth val="0"/>
          <c:extLst>
            <c:ext xmlns:c16="http://schemas.microsoft.com/office/drawing/2014/chart" uri="{C3380CC4-5D6E-409C-BE32-E72D297353CC}">
              <c16:uniqueId val="{00000003-7690-400C-8506-F2719A82CE14}"/>
            </c:ext>
          </c:extLst>
        </c:ser>
        <c:ser>
          <c:idx val="4"/>
          <c:order val="4"/>
          <c:tx>
            <c:strRef>
              <c:f>Sheet9!$AA$32:$AA$33</c:f>
              <c:strCache>
                <c:ptCount val="1"/>
                <c:pt idx="0">
                  <c:v>ROS1 (Targeted therapy) </c:v>
                </c:pt>
              </c:strCache>
            </c:strRef>
          </c:tx>
          <c:spPr>
            <a:ln w="28575" cap="rnd">
              <a:solidFill>
                <a:schemeClr val="accent5"/>
              </a:solidFill>
              <a:round/>
            </a:ln>
            <a:effectLst/>
          </c:spPr>
          <c:marker>
            <c:symbol val="none"/>
          </c:marker>
          <c:cat>
            <c:strRef>
              <c:f>Sheet9!$V$34:$V$60</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Sheet9!$AA$34:$AA$60</c:f>
              <c:numCache>
                <c:formatCode>General</c:formatCode>
                <c:ptCount val="26"/>
                <c:pt idx="12" formatCode="#,##0">
                  <c:v>20</c:v>
                </c:pt>
                <c:pt idx="13" formatCode="#,##0">
                  <c:v>23</c:v>
                </c:pt>
                <c:pt idx="14" formatCode="#,##0">
                  <c:v>30</c:v>
                </c:pt>
                <c:pt idx="15" formatCode="#,##0">
                  <c:v>24</c:v>
                </c:pt>
                <c:pt idx="16" formatCode="#,##0">
                  <c:v>30</c:v>
                </c:pt>
                <c:pt idx="17" formatCode="#,##0">
                  <c:v>40</c:v>
                </c:pt>
                <c:pt idx="18" formatCode="#,##0">
                  <c:v>42</c:v>
                </c:pt>
                <c:pt idx="19" formatCode="#,##0">
                  <c:v>42</c:v>
                </c:pt>
                <c:pt idx="20" formatCode="#,##0">
                  <c:v>39</c:v>
                </c:pt>
                <c:pt idx="21" formatCode="#,##0">
                  <c:v>52</c:v>
                </c:pt>
                <c:pt idx="22" formatCode="#,##0">
                  <c:v>59</c:v>
                </c:pt>
                <c:pt idx="23" formatCode="#,##0">
                  <c:v>60</c:v>
                </c:pt>
                <c:pt idx="24" formatCode="#,##0">
                  <c:v>57</c:v>
                </c:pt>
                <c:pt idx="25" formatCode="#,##0">
                  <c:v>68</c:v>
                </c:pt>
              </c:numCache>
            </c:numRef>
          </c:val>
          <c:smooth val="0"/>
          <c:extLst>
            <c:ext xmlns:c16="http://schemas.microsoft.com/office/drawing/2014/chart" uri="{C3380CC4-5D6E-409C-BE32-E72D297353CC}">
              <c16:uniqueId val="{00000004-7690-400C-8506-F2719A82CE14}"/>
            </c:ext>
          </c:extLst>
        </c:ser>
        <c:dLbls>
          <c:showLegendKey val="0"/>
          <c:showVal val="0"/>
          <c:showCatName val="0"/>
          <c:showSerName val="0"/>
          <c:showPercent val="0"/>
          <c:showBubbleSize val="0"/>
        </c:dLbls>
        <c:marker val="1"/>
        <c:smooth val="0"/>
        <c:axId val="1021270240"/>
        <c:axId val="1021270568"/>
      </c:lineChart>
      <c:catAx>
        <c:axId val="1021270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1270568"/>
        <c:crosses val="autoZero"/>
        <c:auto val="1"/>
        <c:lblAlgn val="ctr"/>
        <c:lblOffset val="100"/>
        <c:noMultiLvlLbl val="0"/>
      </c:catAx>
      <c:valAx>
        <c:axId val="1021270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1270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[D1427 - NSCLC review .xlsx]Immunotherapy!PivotTable1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areaChart>
        <c:grouping val="stacked"/>
        <c:varyColors val="0"/>
        <c:ser>
          <c:idx val="0"/>
          <c:order val="0"/>
          <c:tx>
            <c:strRef>
              <c:f>Immunotherapy!$V$1:$V$2</c:f>
              <c:strCache>
                <c:ptCount val="1"/>
                <c:pt idx="0">
                  <c:v>ATEZOLIZUMAB - 2L</c:v>
                </c:pt>
              </c:strCache>
            </c:strRef>
          </c:tx>
          <c:spPr>
            <a:solidFill>
              <a:schemeClr val="accent1"/>
            </a:solidFill>
            <a:ln>
              <a:noFill/>
            </a:ln>
            <a:effectLst/>
          </c:spPr>
          <c:cat>
            <c:strRef>
              <c:f>Immunotherapy!$U$3:$U$23</c:f>
              <c:strCache>
                <c:ptCount val="20"/>
                <c:pt idx="0">
                  <c:v>2017Q3</c:v>
                </c:pt>
                <c:pt idx="1">
                  <c:v>2017Q4</c:v>
                </c:pt>
                <c:pt idx="2">
                  <c:v>2018Q1</c:v>
                </c:pt>
                <c:pt idx="3">
                  <c:v>2018Q2</c:v>
                </c:pt>
                <c:pt idx="4">
                  <c:v>2018Q3</c:v>
                </c:pt>
                <c:pt idx="5">
                  <c:v>2018Q4</c:v>
                </c:pt>
                <c:pt idx="6">
                  <c:v>2019Q1</c:v>
                </c:pt>
                <c:pt idx="7">
                  <c:v>2019Q2</c:v>
                </c:pt>
                <c:pt idx="8">
                  <c:v>2019Q3</c:v>
                </c:pt>
                <c:pt idx="9">
                  <c:v>2019Q4</c:v>
                </c:pt>
                <c:pt idx="10">
                  <c:v>2020Q1</c:v>
                </c:pt>
                <c:pt idx="11">
                  <c:v>2020Q2</c:v>
                </c:pt>
                <c:pt idx="12">
                  <c:v>2020Q3</c:v>
                </c:pt>
                <c:pt idx="13">
                  <c:v>2020Q4</c:v>
                </c:pt>
                <c:pt idx="14">
                  <c:v>2021Q1</c:v>
                </c:pt>
                <c:pt idx="15">
                  <c:v>2021Q2</c:v>
                </c:pt>
                <c:pt idx="16">
                  <c:v>2021Q3</c:v>
                </c:pt>
                <c:pt idx="17">
                  <c:v>2021Q4</c:v>
                </c:pt>
                <c:pt idx="18">
                  <c:v>2022Q1</c:v>
                </c:pt>
                <c:pt idx="19">
                  <c:v>2022Q2</c:v>
                </c:pt>
              </c:strCache>
            </c:strRef>
          </c:cat>
          <c:val>
            <c:numRef>
              <c:f>Immunotherapy!$V$3:$V$23</c:f>
              <c:numCache>
                <c:formatCode>General</c:formatCode>
                <c:ptCount val="20"/>
                <c:pt idx="3">
                  <c:v>311</c:v>
                </c:pt>
                <c:pt idx="4">
                  <c:v>721</c:v>
                </c:pt>
                <c:pt idx="5">
                  <c:v>1001</c:v>
                </c:pt>
                <c:pt idx="6">
                  <c:v>1124</c:v>
                </c:pt>
                <c:pt idx="7">
                  <c:v>1164</c:v>
                </c:pt>
                <c:pt idx="8">
                  <c:v>1273</c:v>
                </c:pt>
                <c:pt idx="9">
                  <c:v>1220</c:v>
                </c:pt>
                <c:pt idx="10">
                  <c:v>1060</c:v>
                </c:pt>
                <c:pt idx="11">
                  <c:v>1026</c:v>
                </c:pt>
                <c:pt idx="12">
                  <c:v>1011</c:v>
                </c:pt>
                <c:pt idx="13">
                  <c:v>971</c:v>
                </c:pt>
                <c:pt idx="14">
                  <c:v>983</c:v>
                </c:pt>
                <c:pt idx="15">
                  <c:v>840</c:v>
                </c:pt>
                <c:pt idx="16">
                  <c:v>748</c:v>
                </c:pt>
                <c:pt idx="17">
                  <c:v>727</c:v>
                </c:pt>
                <c:pt idx="18">
                  <c:v>729</c:v>
                </c:pt>
                <c:pt idx="19">
                  <c:v>705</c:v>
                </c:pt>
              </c:numCache>
            </c:numRef>
          </c:val>
          <c:extLst>
            <c:ext xmlns:c16="http://schemas.microsoft.com/office/drawing/2014/chart" uri="{C3380CC4-5D6E-409C-BE32-E72D297353CC}">
              <c16:uniqueId val="{00000000-2E4D-4A32-AFD2-6A084A31714F}"/>
            </c:ext>
          </c:extLst>
        </c:ser>
        <c:ser>
          <c:idx val="1"/>
          <c:order val="1"/>
          <c:tx>
            <c:strRef>
              <c:f>Immunotherapy!$W$1:$W$2</c:f>
              <c:strCache>
                <c:ptCount val="1"/>
                <c:pt idx="0">
                  <c:v>ATEZOLIZUMAB - 1L</c:v>
                </c:pt>
              </c:strCache>
            </c:strRef>
          </c:tx>
          <c:spPr>
            <a:solidFill>
              <a:schemeClr val="accent2"/>
            </a:solidFill>
            <a:ln>
              <a:noFill/>
            </a:ln>
            <a:effectLst/>
          </c:spPr>
          <c:cat>
            <c:strRef>
              <c:f>Immunotherapy!$U$3:$U$23</c:f>
              <c:strCache>
                <c:ptCount val="20"/>
                <c:pt idx="0">
                  <c:v>2017Q3</c:v>
                </c:pt>
                <c:pt idx="1">
                  <c:v>2017Q4</c:v>
                </c:pt>
                <c:pt idx="2">
                  <c:v>2018Q1</c:v>
                </c:pt>
                <c:pt idx="3">
                  <c:v>2018Q2</c:v>
                </c:pt>
                <c:pt idx="4">
                  <c:v>2018Q3</c:v>
                </c:pt>
                <c:pt idx="5">
                  <c:v>2018Q4</c:v>
                </c:pt>
                <c:pt idx="6">
                  <c:v>2019Q1</c:v>
                </c:pt>
                <c:pt idx="7">
                  <c:v>2019Q2</c:v>
                </c:pt>
                <c:pt idx="8">
                  <c:v>2019Q3</c:v>
                </c:pt>
                <c:pt idx="9">
                  <c:v>2019Q4</c:v>
                </c:pt>
                <c:pt idx="10">
                  <c:v>2020Q1</c:v>
                </c:pt>
                <c:pt idx="11">
                  <c:v>2020Q2</c:v>
                </c:pt>
                <c:pt idx="12">
                  <c:v>2020Q3</c:v>
                </c:pt>
                <c:pt idx="13">
                  <c:v>2020Q4</c:v>
                </c:pt>
                <c:pt idx="14">
                  <c:v>2021Q1</c:v>
                </c:pt>
                <c:pt idx="15">
                  <c:v>2021Q2</c:v>
                </c:pt>
                <c:pt idx="16">
                  <c:v>2021Q3</c:v>
                </c:pt>
                <c:pt idx="17">
                  <c:v>2021Q4</c:v>
                </c:pt>
                <c:pt idx="18">
                  <c:v>2022Q1</c:v>
                </c:pt>
                <c:pt idx="19">
                  <c:v>2022Q2</c:v>
                </c:pt>
              </c:strCache>
            </c:strRef>
          </c:cat>
          <c:val>
            <c:numRef>
              <c:f>Immunotherapy!$W$3:$W$23</c:f>
              <c:numCache>
                <c:formatCode>General</c:formatCode>
                <c:ptCount val="20"/>
                <c:pt idx="9">
                  <c:v>691</c:v>
                </c:pt>
                <c:pt idx="10">
                  <c:v>916</c:v>
                </c:pt>
                <c:pt idx="11">
                  <c:v>949</c:v>
                </c:pt>
                <c:pt idx="12">
                  <c:v>893</c:v>
                </c:pt>
                <c:pt idx="13">
                  <c:v>837</c:v>
                </c:pt>
                <c:pt idx="14">
                  <c:v>773</c:v>
                </c:pt>
                <c:pt idx="15">
                  <c:v>752</c:v>
                </c:pt>
                <c:pt idx="16">
                  <c:v>772</c:v>
                </c:pt>
                <c:pt idx="17">
                  <c:v>702</c:v>
                </c:pt>
                <c:pt idx="18">
                  <c:v>674</c:v>
                </c:pt>
                <c:pt idx="19">
                  <c:v>670</c:v>
                </c:pt>
              </c:numCache>
            </c:numRef>
          </c:val>
          <c:extLst>
            <c:ext xmlns:c16="http://schemas.microsoft.com/office/drawing/2014/chart" uri="{C3380CC4-5D6E-409C-BE32-E72D297353CC}">
              <c16:uniqueId val="{00000001-2E4D-4A32-AFD2-6A084A31714F}"/>
            </c:ext>
          </c:extLst>
        </c:ser>
        <c:ser>
          <c:idx val="2"/>
          <c:order val="2"/>
          <c:tx>
            <c:strRef>
              <c:f>Immunotherapy!$X$1:$X$2</c:f>
              <c:strCache>
                <c:ptCount val="1"/>
                <c:pt idx="0">
                  <c:v>BEVACIZUMAB</c:v>
                </c:pt>
              </c:strCache>
            </c:strRef>
          </c:tx>
          <c:spPr>
            <a:solidFill>
              <a:schemeClr val="accent3"/>
            </a:solidFill>
            <a:ln>
              <a:noFill/>
            </a:ln>
            <a:effectLst/>
          </c:spPr>
          <c:cat>
            <c:strRef>
              <c:f>Immunotherapy!$U$3:$U$23</c:f>
              <c:strCache>
                <c:ptCount val="20"/>
                <c:pt idx="0">
                  <c:v>2017Q3</c:v>
                </c:pt>
                <c:pt idx="1">
                  <c:v>2017Q4</c:v>
                </c:pt>
                <c:pt idx="2">
                  <c:v>2018Q1</c:v>
                </c:pt>
                <c:pt idx="3">
                  <c:v>2018Q2</c:v>
                </c:pt>
                <c:pt idx="4">
                  <c:v>2018Q3</c:v>
                </c:pt>
                <c:pt idx="5">
                  <c:v>2018Q4</c:v>
                </c:pt>
                <c:pt idx="6">
                  <c:v>2019Q1</c:v>
                </c:pt>
                <c:pt idx="7">
                  <c:v>2019Q2</c:v>
                </c:pt>
                <c:pt idx="8">
                  <c:v>2019Q3</c:v>
                </c:pt>
                <c:pt idx="9">
                  <c:v>2019Q4</c:v>
                </c:pt>
                <c:pt idx="10">
                  <c:v>2020Q1</c:v>
                </c:pt>
                <c:pt idx="11">
                  <c:v>2020Q2</c:v>
                </c:pt>
                <c:pt idx="12">
                  <c:v>2020Q3</c:v>
                </c:pt>
                <c:pt idx="13">
                  <c:v>2020Q4</c:v>
                </c:pt>
                <c:pt idx="14">
                  <c:v>2021Q1</c:v>
                </c:pt>
                <c:pt idx="15">
                  <c:v>2021Q2</c:v>
                </c:pt>
                <c:pt idx="16">
                  <c:v>2021Q3</c:v>
                </c:pt>
                <c:pt idx="17">
                  <c:v>2021Q4</c:v>
                </c:pt>
                <c:pt idx="18">
                  <c:v>2022Q1</c:v>
                </c:pt>
                <c:pt idx="19">
                  <c:v>2022Q2</c:v>
                </c:pt>
              </c:strCache>
            </c:strRef>
          </c:cat>
          <c:val>
            <c:numRef>
              <c:f>Immunotherapy!$X$3:$X$23</c:f>
              <c:numCache>
                <c:formatCode>General</c:formatCode>
                <c:ptCount val="20"/>
                <c:pt idx="9">
                  <c:v>746</c:v>
                </c:pt>
                <c:pt idx="10">
                  <c:v>1024</c:v>
                </c:pt>
                <c:pt idx="11">
                  <c:v>1008</c:v>
                </c:pt>
                <c:pt idx="12">
                  <c:v>987</c:v>
                </c:pt>
                <c:pt idx="13">
                  <c:v>955</c:v>
                </c:pt>
                <c:pt idx="14">
                  <c:v>874</c:v>
                </c:pt>
                <c:pt idx="15">
                  <c:v>569</c:v>
                </c:pt>
              </c:numCache>
            </c:numRef>
          </c:val>
          <c:extLst>
            <c:ext xmlns:c16="http://schemas.microsoft.com/office/drawing/2014/chart" uri="{C3380CC4-5D6E-409C-BE32-E72D297353CC}">
              <c16:uniqueId val="{00000002-2E4D-4A32-AFD2-6A084A31714F}"/>
            </c:ext>
          </c:extLst>
        </c:ser>
        <c:ser>
          <c:idx val="3"/>
          <c:order val="3"/>
          <c:tx>
            <c:strRef>
              <c:f>Immunotherapy!$Y$1:$Y$2</c:f>
              <c:strCache>
                <c:ptCount val="1"/>
                <c:pt idx="0">
                  <c:v>DURVALUMAB</c:v>
                </c:pt>
              </c:strCache>
            </c:strRef>
          </c:tx>
          <c:spPr>
            <a:solidFill>
              <a:schemeClr val="accent4"/>
            </a:solidFill>
            <a:ln>
              <a:noFill/>
            </a:ln>
            <a:effectLst/>
          </c:spPr>
          <c:cat>
            <c:strRef>
              <c:f>Immunotherapy!$U$3:$U$23</c:f>
              <c:strCache>
                <c:ptCount val="20"/>
                <c:pt idx="0">
                  <c:v>2017Q3</c:v>
                </c:pt>
                <c:pt idx="1">
                  <c:v>2017Q4</c:v>
                </c:pt>
                <c:pt idx="2">
                  <c:v>2018Q1</c:v>
                </c:pt>
                <c:pt idx="3">
                  <c:v>2018Q2</c:v>
                </c:pt>
                <c:pt idx="4">
                  <c:v>2018Q3</c:v>
                </c:pt>
                <c:pt idx="5">
                  <c:v>2018Q4</c:v>
                </c:pt>
                <c:pt idx="6">
                  <c:v>2019Q1</c:v>
                </c:pt>
                <c:pt idx="7">
                  <c:v>2019Q2</c:v>
                </c:pt>
                <c:pt idx="8">
                  <c:v>2019Q3</c:v>
                </c:pt>
                <c:pt idx="9">
                  <c:v>2019Q4</c:v>
                </c:pt>
                <c:pt idx="10">
                  <c:v>2020Q1</c:v>
                </c:pt>
                <c:pt idx="11">
                  <c:v>2020Q2</c:v>
                </c:pt>
                <c:pt idx="12">
                  <c:v>2020Q3</c:v>
                </c:pt>
                <c:pt idx="13">
                  <c:v>2020Q4</c:v>
                </c:pt>
                <c:pt idx="14">
                  <c:v>2021Q1</c:v>
                </c:pt>
                <c:pt idx="15">
                  <c:v>2021Q2</c:v>
                </c:pt>
                <c:pt idx="16">
                  <c:v>2021Q3</c:v>
                </c:pt>
                <c:pt idx="17">
                  <c:v>2021Q4</c:v>
                </c:pt>
                <c:pt idx="18">
                  <c:v>2022Q1</c:v>
                </c:pt>
                <c:pt idx="19">
                  <c:v>2022Q2</c:v>
                </c:pt>
              </c:strCache>
            </c:strRef>
          </c:cat>
          <c:val>
            <c:numRef>
              <c:f>Immunotherapy!$Y$3:$Y$23</c:f>
              <c:numCache>
                <c:formatCode>General</c:formatCode>
                <c:ptCount val="20"/>
                <c:pt idx="10">
                  <c:v>700</c:v>
                </c:pt>
                <c:pt idx="11">
                  <c:v>2876</c:v>
                </c:pt>
                <c:pt idx="12">
                  <c:v>2961</c:v>
                </c:pt>
                <c:pt idx="13">
                  <c:v>2861</c:v>
                </c:pt>
                <c:pt idx="14">
                  <c:v>2758</c:v>
                </c:pt>
                <c:pt idx="15">
                  <c:v>2582</c:v>
                </c:pt>
                <c:pt idx="16">
                  <c:v>2772</c:v>
                </c:pt>
                <c:pt idx="17">
                  <c:v>2623</c:v>
                </c:pt>
                <c:pt idx="18">
                  <c:v>2654</c:v>
                </c:pt>
                <c:pt idx="19">
                  <c:v>2679</c:v>
                </c:pt>
              </c:numCache>
            </c:numRef>
          </c:val>
          <c:extLst>
            <c:ext xmlns:c16="http://schemas.microsoft.com/office/drawing/2014/chart" uri="{C3380CC4-5D6E-409C-BE32-E72D297353CC}">
              <c16:uniqueId val="{00000003-2E4D-4A32-AFD2-6A084A31714F}"/>
            </c:ext>
          </c:extLst>
        </c:ser>
        <c:ser>
          <c:idx val="4"/>
          <c:order val="4"/>
          <c:tx>
            <c:strRef>
              <c:f>Immunotherapy!$Z$1:$Z$2</c:f>
              <c:strCache>
                <c:ptCount val="1"/>
                <c:pt idx="0">
                  <c:v>IPILIMUMAB</c:v>
                </c:pt>
              </c:strCache>
            </c:strRef>
          </c:tx>
          <c:spPr>
            <a:solidFill>
              <a:schemeClr val="accent5"/>
            </a:solidFill>
            <a:ln>
              <a:noFill/>
            </a:ln>
            <a:effectLst/>
          </c:spPr>
          <c:cat>
            <c:strRef>
              <c:f>Immunotherapy!$U$3:$U$23</c:f>
              <c:strCache>
                <c:ptCount val="20"/>
                <c:pt idx="0">
                  <c:v>2017Q3</c:v>
                </c:pt>
                <c:pt idx="1">
                  <c:v>2017Q4</c:v>
                </c:pt>
                <c:pt idx="2">
                  <c:v>2018Q1</c:v>
                </c:pt>
                <c:pt idx="3">
                  <c:v>2018Q2</c:v>
                </c:pt>
                <c:pt idx="4">
                  <c:v>2018Q3</c:v>
                </c:pt>
                <c:pt idx="5">
                  <c:v>2018Q4</c:v>
                </c:pt>
                <c:pt idx="6">
                  <c:v>2019Q1</c:v>
                </c:pt>
                <c:pt idx="7">
                  <c:v>2019Q2</c:v>
                </c:pt>
                <c:pt idx="8">
                  <c:v>2019Q3</c:v>
                </c:pt>
                <c:pt idx="9">
                  <c:v>2019Q4</c:v>
                </c:pt>
                <c:pt idx="10">
                  <c:v>2020Q1</c:v>
                </c:pt>
                <c:pt idx="11">
                  <c:v>2020Q2</c:v>
                </c:pt>
                <c:pt idx="12">
                  <c:v>2020Q3</c:v>
                </c:pt>
                <c:pt idx="13">
                  <c:v>2020Q4</c:v>
                </c:pt>
                <c:pt idx="14">
                  <c:v>2021Q1</c:v>
                </c:pt>
                <c:pt idx="15">
                  <c:v>2021Q2</c:v>
                </c:pt>
                <c:pt idx="16">
                  <c:v>2021Q3</c:v>
                </c:pt>
                <c:pt idx="17">
                  <c:v>2021Q4</c:v>
                </c:pt>
                <c:pt idx="18">
                  <c:v>2022Q1</c:v>
                </c:pt>
                <c:pt idx="19">
                  <c:v>2022Q2</c:v>
                </c:pt>
              </c:strCache>
            </c:strRef>
          </c:cat>
          <c:val>
            <c:numRef>
              <c:f>Immunotherapy!$Z$3:$Z$23</c:f>
              <c:numCache>
                <c:formatCode>General</c:formatCode>
                <c:ptCount val="20"/>
                <c:pt idx="15">
                  <c:v>60</c:v>
                </c:pt>
                <c:pt idx="16">
                  <c:v>125</c:v>
                </c:pt>
                <c:pt idx="17">
                  <c:v>129</c:v>
                </c:pt>
                <c:pt idx="18">
                  <c:v>123</c:v>
                </c:pt>
                <c:pt idx="19">
                  <c:v>142</c:v>
                </c:pt>
              </c:numCache>
            </c:numRef>
          </c:val>
          <c:extLst>
            <c:ext xmlns:c16="http://schemas.microsoft.com/office/drawing/2014/chart" uri="{C3380CC4-5D6E-409C-BE32-E72D297353CC}">
              <c16:uniqueId val="{00000004-2E4D-4A32-AFD2-6A084A31714F}"/>
            </c:ext>
          </c:extLst>
        </c:ser>
        <c:ser>
          <c:idx val="5"/>
          <c:order val="5"/>
          <c:tx>
            <c:strRef>
              <c:f>Immunotherapy!$AA$1:$AA$2</c:f>
              <c:strCache>
                <c:ptCount val="1"/>
                <c:pt idx="0">
                  <c:v>NIVOLUMAB - 1L</c:v>
                </c:pt>
              </c:strCache>
            </c:strRef>
          </c:tx>
          <c:spPr>
            <a:solidFill>
              <a:schemeClr val="accent6"/>
            </a:solidFill>
            <a:ln>
              <a:noFill/>
            </a:ln>
            <a:effectLst/>
          </c:spPr>
          <c:cat>
            <c:strRef>
              <c:f>Immunotherapy!$U$3:$U$23</c:f>
              <c:strCache>
                <c:ptCount val="20"/>
                <c:pt idx="0">
                  <c:v>2017Q3</c:v>
                </c:pt>
                <c:pt idx="1">
                  <c:v>2017Q4</c:v>
                </c:pt>
                <c:pt idx="2">
                  <c:v>2018Q1</c:v>
                </c:pt>
                <c:pt idx="3">
                  <c:v>2018Q2</c:v>
                </c:pt>
                <c:pt idx="4">
                  <c:v>2018Q3</c:v>
                </c:pt>
                <c:pt idx="5">
                  <c:v>2018Q4</c:v>
                </c:pt>
                <c:pt idx="6">
                  <c:v>2019Q1</c:v>
                </c:pt>
                <c:pt idx="7">
                  <c:v>2019Q2</c:v>
                </c:pt>
                <c:pt idx="8">
                  <c:v>2019Q3</c:v>
                </c:pt>
                <c:pt idx="9">
                  <c:v>2019Q4</c:v>
                </c:pt>
                <c:pt idx="10">
                  <c:v>2020Q1</c:v>
                </c:pt>
                <c:pt idx="11">
                  <c:v>2020Q2</c:v>
                </c:pt>
                <c:pt idx="12">
                  <c:v>2020Q3</c:v>
                </c:pt>
                <c:pt idx="13">
                  <c:v>2020Q4</c:v>
                </c:pt>
                <c:pt idx="14">
                  <c:v>2021Q1</c:v>
                </c:pt>
                <c:pt idx="15">
                  <c:v>2021Q2</c:v>
                </c:pt>
                <c:pt idx="16">
                  <c:v>2021Q3</c:v>
                </c:pt>
                <c:pt idx="17">
                  <c:v>2021Q4</c:v>
                </c:pt>
                <c:pt idx="18">
                  <c:v>2022Q1</c:v>
                </c:pt>
                <c:pt idx="19">
                  <c:v>2022Q2</c:v>
                </c:pt>
              </c:strCache>
            </c:strRef>
          </c:cat>
          <c:val>
            <c:numRef>
              <c:f>Immunotherapy!$AA$3:$AA$23</c:f>
              <c:numCache>
                <c:formatCode>General</c:formatCode>
                <c:ptCount val="20"/>
                <c:pt idx="15">
                  <c:v>94</c:v>
                </c:pt>
                <c:pt idx="16">
                  <c:v>204</c:v>
                </c:pt>
                <c:pt idx="17">
                  <c:v>240</c:v>
                </c:pt>
                <c:pt idx="18">
                  <c:v>238</c:v>
                </c:pt>
                <c:pt idx="19">
                  <c:v>281</c:v>
                </c:pt>
              </c:numCache>
            </c:numRef>
          </c:val>
          <c:extLst>
            <c:ext xmlns:c16="http://schemas.microsoft.com/office/drawing/2014/chart" uri="{C3380CC4-5D6E-409C-BE32-E72D297353CC}">
              <c16:uniqueId val="{00000005-2E4D-4A32-AFD2-6A084A31714F}"/>
            </c:ext>
          </c:extLst>
        </c:ser>
        <c:ser>
          <c:idx val="6"/>
          <c:order val="6"/>
          <c:tx>
            <c:strRef>
              <c:f>Immunotherapy!$AB$1:$AB$2</c:f>
              <c:strCache>
                <c:ptCount val="1"/>
                <c:pt idx="0">
                  <c:v>NIVOLUMAB - 2L</c:v>
                </c:pt>
              </c:strCache>
            </c:strRef>
          </c:tx>
          <c:spPr>
            <a:solidFill>
              <a:schemeClr val="accent1">
                <a:lumMod val="60000"/>
              </a:schemeClr>
            </a:solidFill>
            <a:ln>
              <a:noFill/>
            </a:ln>
            <a:effectLst/>
          </c:spPr>
          <c:cat>
            <c:strRef>
              <c:f>Immunotherapy!$U$3:$U$23</c:f>
              <c:strCache>
                <c:ptCount val="20"/>
                <c:pt idx="0">
                  <c:v>2017Q3</c:v>
                </c:pt>
                <c:pt idx="1">
                  <c:v>2017Q4</c:v>
                </c:pt>
                <c:pt idx="2">
                  <c:v>2018Q1</c:v>
                </c:pt>
                <c:pt idx="3">
                  <c:v>2018Q2</c:v>
                </c:pt>
                <c:pt idx="4">
                  <c:v>2018Q3</c:v>
                </c:pt>
                <c:pt idx="5">
                  <c:v>2018Q4</c:v>
                </c:pt>
                <c:pt idx="6">
                  <c:v>2019Q1</c:v>
                </c:pt>
                <c:pt idx="7">
                  <c:v>2019Q2</c:v>
                </c:pt>
                <c:pt idx="8">
                  <c:v>2019Q3</c:v>
                </c:pt>
                <c:pt idx="9">
                  <c:v>2019Q4</c:v>
                </c:pt>
                <c:pt idx="10">
                  <c:v>2020Q1</c:v>
                </c:pt>
                <c:pt idx="11">
                  <c:v>2020Q2</c:v>
                </c:pt>
                <c:pt idx="12">
                  <c:v>2020Q3</c:v>
                </c:pt>
                <c:pt idx="13">
                  <c:v>2020Q4</c:v>
                </c:pt>
                <c:pt idx="14">
                  <c:v>2021Q1</c:v>
                </c:pt>
                <c:pt idx="15">
                  <c:v>2021Q2</c:v>
                </c:pt>
                <c:pt idx="16">
                  <c:v>2021Q3</c:v>
                </c:pt>
                <c:pt idx="17">
                  <c:v>2021Q4</c:v>
                </c:pt>
                <c:pt idx="18">
                  <c:v>2022Q1</c:v>
                </c:pt>
                <c:pt idx="19">
                  <c:v>2022Q2</c:v>
                </c:pt>
              </c:strCache>
            </c:strRef>
          </c:cat>
          <c:val>
            <c:numRef>
              <c:f>Immunotherapy!$AB$3:$AB$23</c:f>
              <c:numCache>
                <c:formatCode>General</c:formatCode>
                <c:ptCount val="20"/>
                <c:pt idx="0">
                  <c:v>5210</c:v>
                </c:pt>
                <c:pt idx="1">
                  <c:v>8589</c:v>
                </c:pt>
                <c:pt idx="2">
                  <c:v>9261</c:v>
                </c:pt>
                <c:pt idx="3">
                  <c:v>9381</c:v>
                </c:pt>
                <c:pt idx="4">
                  <c:v>8861</c:v>
                </c:pt>
                <c:pt idx="5">
                  <c:v>8244</c:v>
                </c:pt>
                <c:pt idx="6">
                  <c:v>7395</c:v>
                </c:pt>
                <c:pt idx="7">
                  <c:v>6997</c:v>
                </c:pt>
                <c:pt idx="8">
                  <c:v>6414</c:v>
                </c:pt>
                <c:pt idx="9">
                  <c:v>5010</c:v>
                </c:pt>
                <c:pt idx="10">
                  <c:v>4204</c:v>
                </c:pt>
                <c:pt idx="11">
                  <c:v>3682</c:v>
                </c:pt>
                <c:pt idx="12">
                  <c:v>3227</c:v>
                </c:pt>
                <c:pt idx="13">
                  <c:v>2879</c:v>
                </c:pt>
                <c:pt idx="14">
                  <c:v>2616</c:v>
                </c:pt>
                <c:pt idx="15">
                  <c:v>2279</c:v>
                </c:pt>
                <c:pt idx="16">
                  <c:v>2187</c:v>
                </c:pt>
                <c:pt idx="17">
                  <c:v>1879</c:v>
                </c:pt>
                <c:pt idx="18">
                  <c:v>1694</c:v>
                </c:pt>
                <c:pt idx="19">
                  <c:v>1504</c:v>
                </c:pt>
              </c:numCache>
            </c:numRef>
          </c:val>
          <c:extLst>
            <c:ext xmlns:c16="http://schemas.microsoft.com/office/drawing/2014/chart" uri="{C3380CC4-5D6E-409C-BE32-E72D297353CC}">
              <c16:uniqueId val="{00000006-2E4D-4A32-AFD2-6A084A31714F}"/>
            </c:ext>
          </c:extLst>
        </c:ser>
        <c:ser>
          <c:idx val="7"/>
          <c:order val="7"/>
          <c:tx>
            <c:strRef>
              <c:f>Immunotherapy!$AC$1:$AC$2</c:f>
              <c:strCache>
                <c:ptCount val="1"/>
                <c:pt idx="0">
                  <c:v>PEMBROLIZUMAB</c:v>
                </c:pt>
              </c:strCache>
            </c:strRef>
          </c:tx>
          <c:spPr>
            <a:solidFill>
              <a:schemeClr val="accent2">
                <a:lumMod val="60000"/>
              </a:schemeClr>
            </a:solidFill>
            <a:ln>
              <a:noFill/>
            </a:ln>
            <a:effectLst/>
          </c:spPr>
          <c:cat>
            <c:strRef>
              <c:f>Immunotherapy!$U$3:$U$23</c:f>
              <c:strCache>
                <c:ptCount val="20"/>
                <c:pt idx="0">
                  <c:v>2017Q3</c:v>
                </c:pt>
                <c:pt idx="1">
                  <c:v>2017Q4</c:v>
                </c:pt>
                <c:pt idx="2">
                  <c:v>2018Q1</c:v>
                </c:pt>
                <c:pt idx="3">
                  <c:v>2018Q2</c:v>
                </c:pt>
                <c:pt idx="4">
                  <c:v>2018Q3</c:v>
                </c:pt>
                <c:pt idx="5">
                  <c:v>2018Q4</c:v>
                </c:pt>
                <c:pt idx="6">
                  <c:v>2019Q1</c:v>
                </c:pt>
                <c:pt idx="7">
                  <c:v>2019Q2</c:v>
                </c:pt>
                <c:pt idx="8">
                  <c:v>2019Q3</c:v>
                </c:pt>
                <c:pt idx="9">
                  <c:v>2019Q4</c:v>
                </c:pt>
                <c:pt idx="10">
                  <c:v>2020Q1</c:v>
                </c:pt>
                <c:pt idx="11">
                  <c:v>2020Q2</c:v>
                </c:pt>
                <c:pt idx="12">
                  <c:v>2020Q3</c:v>
                </c:pt>
                <c:pt idx="13">
                  <c:v>2020Q4</c:v>
                </c:pt>
                <c:pt idx="14">
                  <c:v>2021Q1</c:v>
                </c:pt>
                <c:pt idx="15">
                  <c:v>2021Q2</c:v>
                </c:pt>
                <c:pt idx="16">
                  <c:v>2021Q3</c:v>
                </c:pt>
                <c:pt idx="17">
                  <c:v>2021Q4</c:v>
                </c:pt>
                <c:pt idx="18">
                  <c:v>2022Q1</c:v>
                </c:pt>
                <c:pt idx="19">
                  <c:v>2022Q2</c:v>
                </c:pt>
              </c:strCache>
            </c:strRef>
          </c:cat>
          <c:val>
            <c:numRef>
              <c:f>Immunotherapy!$AC$3:$AC$23</c:f>
              <c:numCache>
                <c:formatCode>General</c:formatCode>
                <c:ptCount val="20"/>
                <c:pt idx="5">
                  <c:v>1062</c:v>
                </c:pt>
                <c:pt idx="6">
                  <c:v>2358</c:v>
                </c:pt>
                <c:pt idx="7">
                  <c:v>2817</c:v>
                </c:pt>
                <c:pt idx="8">
                  <c:v>2957</c:v>
                </c:pt>
                <c:pt idx="9">
                  <c:v>3714</c:v>
                </c:pt>
                <c:pt idx="10">
                  <c:v>5789</c:v>
                </c:pt>
                <c:pt idx="11">
                  <c:v>7033</c:v>
                </c:pt>
                <c:pt idx="12">
                  <c:v>7874</c:v>
                </c:pt>
                <c:pt idx="13">
                  <c:v>8237</c:v>
                </c:pt>
                <c:pt idx="14">
                  <c:v>8265</c:v>
                </c:pt>
                <c:pt idx="15">
                  <c:v>8229</c:v>
                </c:pt>
                <c:pt idx="16">
                  <c:v>8764</c:v>
                </c:pt>
                <c:pt idx="17">
                  <c:v>8701</c:v>
                </c:pt>
                <c:pt idx="18">
                  <c:v>8304</c:v>
                </c:pt>
                <c:pt idx="19">
                  <c:v>8270</c:v>
                </c:pt>
              </c:numCache>
            </c:numRef>
          </c:val>
          <c:extLst>
            <c:ext xmlns:c16="http://schemas.microsoft.com/office/drawing/2014/chart" uri="{C3380CC4-5D6E-409C-BE32-E72D297353CC}">
              <c16:uniqueId val="{00000007-2E4D-4A32-AFD2-6A084A31714F}"/>
            </c:ext>
          </c:extLst>
        </c:ser>
        <c:dLbls>
          <c:showLegendKey val="0"/>
          <c:showVal val="0"/>
          <c:showCatName val="0"/>
          <c:showSerName val="0"/>
          <c:showPercent val="0"/>
          <c:showBubbleSize val="0"/>
        </c:dLbls>
        <c:axId val="816832416"/>
        <c:axId val="816832088"/>
      </c:areaChart>
      <c:catAx>
        <c:axId val="81683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832088"/>
        <c:crosses val="autoZero"/>
        <c:auto val="1"/>
        <c:lblAlgn val="ctr"/>
        <c:lblOffset val="100"/>
        <c:noMultiLvlLbl val="0"/>
      </c:catAx>
      <c:valAx>
        <c:axId val="8168320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683241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[D1427 - NSCLC review .xlsx]Immunotherapy!PivotTable2</c:name>
    <c:fmtId val="-1"/>
  </c:pivotSource>
  <c:chart>
    <c:autoTitleDeleted val="0"/>
    <c:pivotFmts>
      <c:pivotFmt>
        <c:idx val="0"/>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8575" cap="rnd">
            <a:solidFill>
              <a:schemeClr val="accent1"/>
            </a:solidFill>
            <a:round/>
          </a:ln>
          <a:effectLst/>
        </c:spPr>
        <c:marker>
          <c:symbol val="circle"/>
          <c:size val="5"/>
          <c:spPr>
            <a:solidFill>
              <a:schemeClr val="accent6"/>
            </a:solidFill>
            <a:ln w="9525">
              <a:solidFill>
                <a:schemeClr val="accent6"/>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8575" cap="rnd">
            <a:solidFill>
              <a:schemeClr val="accent1"/>
            </a:solidFill>
            <a:round/>
          </a:ln>
          <a:effectLst/>
        </c:spPr>
        <c:marker>
          <c:symbol val="circle"/>
          <c:size val="5"/>
          <c:spPr>
            <a:solidFill>
              <a:schemeClr val="accent1">
                <a:lumMod val="60000"/>
              </a:schemeClr>
            </a:solidFill>
            <a:ln w="9525">
              <a:solidFill>
                <a:schemeClr val="accent1">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8575" cap="rnd">
            <a:solidFill>
              <a:schemeClr val="accent1"/>
            </a:solidFill>
            <a:round/>
          </a:ln>
          <a:effectLst/>
        </c:spPr>
        <c:marker>
          <c:symbol val="circle"/>
          <c:size val="5"/>
          <c:spPr>
            <a:solidFill>
              <a:schemeClr val="accent2">
                <a:lumMod val="60000"/>
              </a:schemeClr>
            </a:solidFill>
            <a:ln w="9525">
              <a:solidFill>
                <a:schemeClr val="accent2">
                  <a:lumMod val="60000"/>
                </a:schemeClr>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Immunotherapy!$V$28:$V$29</c:f>
              <c:strCache>
                <c:ptCount val="1"/>
                <c:pt idx="0">
                  <c:v>ATEZOLIZUMAB - 2L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Immunotherapy!$U$30:$U$50</c:f>
              <c:strCache>
                <c:ptCount val="20"/>
                <c:pt idx="0">
                  <c:v>2017Q3</c:v>
                </c:pt>
                <c:pt idx="1">
                  <c:v>2017Q4</c:v>
                </c:pt>
                <c:pt idx="2">
                  <c:v>2018Q1</c:v>
                </c:pt>
                <c:pt idx="3">
                  <c:v>2018Q2</c:v>
                </c:pt>
                <c:pt idx="4">
                  <c:v>2018Q3</c:v>
                </c:pt>
                <c:pt idx="5">
                  <c:v>2018Q4</c:v>
                </c:pt>
                <c:pt idx="6">
                  <c:v>2019Q1</c:v>
                </c:pt>
                <c:pt idx="7">
                  <c:v>2019Q2</c:v>
                </c:pt>
                <c:pt idx="8">
                  <c:v>2019Q3</c:v>
                </c:pt>
                <c:pt idx="9">
                  <c:v>2019Q4</c:v>
                </c:pt>
                <c:pt idx="10">
                  <c:v>2020Q1</c:v>
                </c:pt>
                <c:pt idx="11">
                  <c:v>2020Q2</c:v>
                </c:pt>
                <c:pt idx="12">
                  <c:v>2020Q3</c:v>
                </c:pt>
                <c:pt idx="13">
                  <c:v>2020Q4</c:v>
                </c:pt>
                <c:pt idx="14">
                  <c:v>2021Q1</c:v>
                </c:pt>
                <c:pt idx="15">
                  <c:v>2021Q2</c:v>
                </c:pt>
                <c:pt idx="16">
                  <c:v>2021Q3</c:v>
                </c:pt>
                <c:pt idx="17">
                  <c:v>2021Q4</c:v>
                </c:pt>
                <c:pt idx="18">
                  <c:v>2022Q1</c:v>
                </c:pt>
                <c:pt idx="19">
                  <c:v>2022Q2</c:v>
                </c:pt>
              </c:strCache>
            </c:strRef>
          </c:cat>
          <c:val>
            <c:numRef>
              <c:f>Immunotherapy!$V$30:$V$50</c:f>
              <c:numCache>
                <c:formatCode>General</c:formatCode>
                <c:ptCount val="20"/>
                <c:pt idx="3">
                  <c:v>141</c:v>
                </c:pt>
                <c:pt idx="4">
                  <c:v>275</c:v>
                </c:pt>
                <c:pt idx="5">
                  <c:v>349</c:v>
                </c:pt>
                <c:pt idx="6">
                  <c:v>383</c:v>
                </c:pt>
                <c:pt idx="7">
                  <c:v>389</c:v>
                </c:pt>
                <c:pt idx="8">
                  <c:v>392</c:v>
                </c:pt>
                <c:pt idx="9">
                  <c:v>397</c:v>
                </c:pt>
                <c:pt idx="10">
                  <c:v>338</c:v>
                </c:pt>
                <c:pt idx="11">
                  <c:v>337</c:v>
                </c:pt>
                <c:pt idx="12">
                  <c:v>318</c:v>
                </c:pt>
                <c:pt idx="13">
                  <c:v>299</c:v>
                </c:pt>
                <c:pt idx="14">
                  <c:v>304</c:v>
                </c:pt>
                <c:pt idx="15">
                  <c:v>279</c:v>
                </c:pt>
                <c:pt idx="16">
                  <c:v>245</c:v>
                </c:pt>
                <c:pt idx="17">
                  <c:v>237</c:v>
                </c:pt>
                <c:pt idx="18">
                  <c:v>248</c:v>
                </c:pt>
                <c:pt idx="19">
                  <c:v>231</c:v>
                </c:pt>
              </c:numCache>
            </c:numRef>
          </c:val>
          <c:smooth val="0"/>
          <c:extLst>
            <c:ext xmlns:c16="http://schemas.microsoft.com/office/drawing/2014/chart" uri="{C3380CC4-5D6E-409C-BE32-E72D297353CC}">
              <c16:uniqueId val="{00000000-E3E8-4CB6-8543-9F3F68F5221F}"/>
            </c:ext>
          </c:extLst>
        </c:ser>
        <c:ser>
          <c:idx val="1"/>
          <c:order val="1"/>
          <c:tx>
            <c:strRef>
              <c:f>Immunotherapy!$W$28:$W$29</c:f>
              <c:strCache>
                <c:ptCount val="1"/>
                <c:pt idx="0">
                  <c:v>ATEZOLIZUMAB - 1L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Immunotherapy!$U$30:$U$50</c:f>
              <c:strCache>
                <c:ptCount val="20"/>
                <c:pt idx="0">
                  <c:v>2017Q3</c:v>
                </c:pt>
                <c:pt idx="1">
                  <c:v>2017Q4</c:v>
                </c:pt>
                <c:pt idx="2">
                  <c:v>2018Q1</c:v>
                </c:pt>
                <c:pt idx="3">
                  <c:v>2018Q2</c:v>
                </c:pt>
                <c:pt idx="4">
                  <c:v>2018Q3</c:v>
                </c:pt>
                <c:pt idx="5">
                  <c:v>2018Q4</c:v>
                </c:pt>
                <c:pt idx="6">
                  <c:v>2019Q1</c:v>
                </c:pt>
                <c:pt idx="7">
                  <c:v>2019Q2</c:v>
                </c:pt>
                <c:pt idx="8">
                  <c:v>2019Q3</c:v>
                </c:pt>
                <c:pt idx="9">
                  <c:v>2019Q4</c:v>
                </c:pt>
                <c:pt idx="10">
                  <c:v>2020Q1</c:v>
                </c:pt>
                <c:pt idx="11">
                  <c:v>2020Q2</c:v>
                </c:pt>
                <c:pt idx="12">
                  <c:v>2020Q3</c:v>
                </c:pt>
                <c:pt idx="13">
                  <c:v>2020Q4</c:v>
                </c:pt>
                <c:pt idx="14">
                  <c:v>2021Q1</c:v>
                </c:pt>
                <c:pt idx="15">
                  <c:v>2021Q2</c:v>
                </c:pt>
                <c:pt idx="16">
                  <c:v>2021Q3</c:v>
                </c:pt>
                <c:pt idx="17">
                  <c:v>2021Q4</c:v>
                </c:pt>
                <c:pt idx="18">
                  <c:v>2022Q1</c:v>
                </c:pt>
                <c:pt idx="19">
                  <c:v>2022Q2</c:v>
                </c:pt>
              </c:strCache>
            </c:strRef>
          </c:cat>
          <c:val>
            <c:numRef>
              <c:f>Immunotherapy!$W$30:$W$50</c:f>
              <c:numCache>
                <c:formatCode>General</c:formatCode>
                <c:ptCount val="20"/>
                <c:pt idx="9">
                  <c:v>246</c:v>
                </c:pt>
                <c:pt idx="10">
                  <c:v>277</c:v>
                </c:pt>
                <c:pt idx="11">
                  <c:v>288</c:v>
                </c:pt>
                <c:pt idx="12">
                  <c:v>274</c:v>
                </c:pt>
                <c:pt idx="13">
                  <c:v>258</c:v>
                </c:pt>
                <c:pt idx="14">
                  <c:v>247</c:v>
                </c:pt>
                <c:pt idx="15">
                  <c:v>239</c:v>
                </c:pt>
                <c:pt idx="16">
                  <c:v>233</c:v>
                </c:pt>
                <c:pt idx="17">
                  <c:v>223</c:v>
                </c:pt>
                <c:pt idx="18">
                  <c:v>215</c:v>
                </c:pt>
                <c:pt idx="19">
                  <c:v>213</c:v>
                </c:pt>
              </c:numCache>
            </c:numRef>
          </c:val>
          <c:smooth val="0"/>
          <c:extLst>
            <c:ext xmlns:c16="http://schemas.microsoft.com/office/drawing/2014/chart" uri="{C3380CC4-5D6E-409C-BE32-E72D297353CC}">
              <c16:uniqueId val="{00000001-E3E8-4CB6-8543-9F3F68F5221F}"/>
            </c:ext>
          </c:extLst>
        </c:ser>
        <c:ser>
          <c:idx val="2"/>
          <c:order val="2"/>
          <c:tx>
            <c:strRef>
              <c:f>Immunotherapy!$X$28:$X$29</c:f>
              <c:strCache>
                <c:ptCount val="1"/>
                <c:pt idx="0">
                  <c:v>BEVACIZUMAB</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Immunotherapy!$U$30:$U$50</c:f>
              <c:strCache>
                <c:ptCount val="20"/>
                <c:pt idx="0">
                  <c:v>2017Q3</c:v>
                </c:pt>
                <c:pt idx="1">
                  <c:v>2017Q4</c:v>
                </c:pt>
                <c:pt idx="2">
                  <c:v>2018Q1</c:v>
                </c:pt>
                <c:pt idx="3">
                  <c:v>2018Q2</c:v>
                </c:pt>
                <c:pt idx="4">
                  <c:v>2018Q3</c:v>
                </c:pt>
                <c:pt idx="5">
                  <c:v>2018Q4</c:v>
                </c:pt>
                <c:pt idx="6">
                  <c:v>2019Q1</c:v>
                </c:pt>
                <c:pt idx="7">
                  <c:v>2019Q2</c:v>
                </c:pt>
                <c:pt idx="8">
                  <c:v>2019Q3</c:v>
                </c:pt>
                <c:pt idx="9">
                  <c:v>2019Q4</c:v>
                </c:pt>
                <c:pt idx="10">
                  <c:v>2020Q1</c:v>
                </c:pt>
                <c:pt idx="11">
                  <c:v>2020Q2</c:v>
                </c:pt>
                <c:pt idx="12">
                  <c:v>2020Q3</c:v>
                </c:pt>
                <c:pt idx="13">
                  <c:v>2020Q4</c:v>
                </c:pt>
                <c:pt idx="14">
                  <c:v>2021Q1</c:v>
                </c:pt>
                <c:pt idx="15">
                  <c:v>2021Q2</c:v>
                </c:pt>
                <c:pt idx="16">
                  <c:v>2021Q3</c:v>
                </c:pt>
                <c:pt idx="17">
                  <c:v>2021Q4</c:v>
                </c:pt>
                <c:pt idx="18">
                  <c:v>2022Q1</c:v>
                </c:pt>
                <c:pt idx="19">
                  <c:v>2022Q2</c:v>
                </c:pt>
              </c:strCache>
            </c:strRef>
          </c:cat>
          <c:val>
            <c:numRef>
              <c:f>Immunotherapy!$X$30:$X$50</c:f>
              <c:numCache>
                <c:formatCode>General</c:formatCode>
                <c:ptCount val="20"/>
                <c:pt idx="9">
                  <c:v>275</c:v>
                </c:pt>
                <c:pt idx="10">
                  <c:v>316</c:v>
                </c:pt>
                <c:pt idx="11">
                  <c:v>319</c:v>
                </c:pt>
                <c:pt idx="12">
                  <c:v>295</c:v>
                </c:pt>
                <c:pt idx="13">
                  <c:v>289</c:v>
                </c:pt>
                <c:pt idx="14">
                  <c:v>278</c:v>
                </c:pt>
                <c:pt idx="15">
                  <c:v>232</c:v>
                </c:pt>
              </c:numCache>
            </c:numRef>
          </c:val>
          <c:smooth val="0"/>
          <c:extLst>
            <c:ext xmlns:c16="http://schemas.microsoft.com/office/drawing/2014/chart" uri="{C3380CC4-5D6E-409C-BE32-E72D297353CC}">
              <c16:uniqueId val="{00000002-E3E8-4CB6-8543-9F3F68F5221F}"/>
            </c:ext>
          </c:extLst>
        </c:ser>
        <c:ser>
          <c:idx val="3"/>
          <c:order val="3"/>
          <c:tx>
            <c:strRef>
              <c:f>Immunotherapy!$Y$28:$Y$29</c:f>
              <c:strCache>
                <c:ptCount val="1"/>
                <c:pt idx="0">
                  <c:v>DURVALUMAB</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Immunotherapy!$U$30:$U$50</c:f>
              <c:strCache>
                <c:ptCount val="20"/>
                <c:pt idx="0">
                  <c:v>2017Q3</c:v>
                </c:pt>
                <c:pt idx="1">
                  <c:v>2017Q4</c:v>
                </c:pt>
                <c:pt idx="2">
                  <c:v>2018Q1</c:v>
                </c:pt>
                <c:pt idx="3">
                  <c:v>2018Q2</c:v>
                </c:pt>
                <c:pt idx="4">
                  <c:v>2018Q3</c:v>
                </c:pt>
                <c:pt idx="5">
                  <c:v>2018Q4</c:v>
                </c:pt>
                <c:pt idx="6">
                  <c:v>2019Q1</c:v>
                </c:pt>
                <c:pt idx="7">
                  <c:v>2019Q2</c:v>
                </c:pt>
                <c:pt idx="8">
                  <c:v>2019Q3</c:v>
                </c:pt>
                <c:pt idx="9">
                  <c:v>2019Q4</c:v>
                </c:pt>
                <c:pt idx="10">
                  <c:v>2020Q1</c:v>
                </c:pt>
                <c:pt idx="11">
                  <c:v>2020Q2</c:v>
                </c:pt>
                <c:pt idx="12">
                  <c:v>2020Q3</c:v>
                </c:pt>
                <c:pt idx="13">
                  <c:v>2020Q4</c:v>
                </c:pt>
                <c:pt idx="14">
                  <c:v>2021Q1</c:v>
                </c:pt>
                <c:pt idx="15">
                  <c:v>2021Q2</c:v>
                </c:pt>
                <c:pt idx="16">
                  <c:v>2021Q3</c:v>
                </c:pt>
                <c:pt idx="17">
                  <c:v>2021Q4</c:v>
                </c:pt>
                <c:pt idx="18">
                  <c:v>2022Q1</c:v>
                </c:pt>
                <c:pt idx="19">
                  <c:v>2022Q2</c:v>
                </c:pt>
              </c:strCache>
            </c:strRef>
          </c:cat>
          <c:val>
            <c:numRef>
              <c:f>Immunotherapy!$Y$30:$Y$50</c:f>
              <c:numCache>
                <c:formatCode>General</c:formatCode>
                <c:ptCount val="20"/>
                <c:pt idx="10">
                  <c:v>387</c:v>
                </c:pt>
                <c:pt idx="11">
                  <c:v>583</c:v>
                </c:pt>
                <c:pt idx="12">
                  <c:v>594</c:v>
                </c:pt>
                <c:pt idx="13">
                  <c:v>577</c:v>
                </c:pt>
                <c:pt idx="14">
                  <c:v>578</c:v>
                </c:pt>
                <c:pt idx="15">
                  <c:v>566</c:v>
                </c:pt>
                <c:pt idx="16">
                  <c:v>595</c:v>
                </c:pt>
                <c:pt idx="17">
                  <c:v>563</c:v>
                </c:pt>
                <c:pt idx="18">
                  <c:v>565</c:v>
                </c:pt>
                <c:pt idx="19">
                  <c:v>590</c:v>
                </c:pt>
              </c:numCache>
            </c:numRef>
          </c:val>
          <c:smooth val="0"/>
          <c:extLst>
            <c:ext xmlns:c16="http://schemas.microsoft.com/office/drawing/2014/chart" uri="{C3380CC4-5D6E-409C-BE32-E72D297353CC}">
              <c16:uniqueId val="{00000003-E3E8-4CB6-8543-9F3F68F5221F}"/>
            </c:ext>
          </c:extLst>
        </c:ser>
        <c:ser>
          <c:idx val="4"/>
          <c:order val="4"/>
          <c:tx>
            <c:strRef>
              <c:f>Immunotherapy!$Z$28:$Z$29</c:f>
              <c:strCache>
                <c:ptCount val="1"/>
                <c:pt idx="0">
                  <c:v>IPILIMUMAB</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Immunotherapy!$U$30:$U$50</c:f>
              <c:strCache>
                <c:ptCount val="20"/>
                <c:pt idx="0">
                  <c:v>2017Q3</c:v>
                </c:pt>
                <c:pt idx="1">
                  <c:v>2017Q4</c:v>
                </c:pt>
                <c:pt idx="2">
                  <c:v>2018Q1</c:v>
                </c:pt>
                <c:pt idx="3">
                  <c:v>2018Q2</c:v>
                </c:pt>
                <c:pt idx="4">
                  <c:v>2018Q3</c:v>
                </c:pt>
                <c:pt idx="5">
                  <c:v>2018Q4</c:v>
                </c:pt>
                <c:pt idx="6">
                  <c:v>2019Q1</c:v>
                </c:pt>
                <c:pt idx="7">
                  <c:v>2019Q2</c:v>
                </c:pt>
                <c:pt idx="8">
                  <c:v>2019Q3</c:v>
                </c:pt>
                <c:pt idx="9">
                  <c:v>2019Q4</c:v>
                </c:pt>
                <c:pt idx="10">
                  <c:v>2020Q1</c:v>
                </c:pt>
                <c:pt idx="11">
                  <c:v>2020Q2</c:v>
                </c:pt>
                <c:pt idx="12">
                  <c:v>2020Q3</c:v>
                </c:pt>
                <c:pt idx="13">
                  <c:v>2020Q4</c:v>
                </c:pt>
                <c:pt idx="14">
                  <c:v>2021Q1</c:v>
                </c:pt>
                <c:pt idx="15">
                  <c:v>2021Q2</c:v>
                </c:pt>
                <c:pt idx="16">
                  <c:v>2021Q3</c:v>
                </c:pt>
                <c:pt idx="17">
                  <c:v>2021Q4</c:v>
                </c:pt>
                <c:pt idx="18">
                  <c:v>2022Q1</c:v>
                </c:pt>
                <c:pt idx="19">
                  <c:v>2022Q2</c:v>
                </c:pt>
              </c:strCache>
            </c:strRef>
          </c:cat>
          <c:val>
            <c:numRef>
              <c:f>Immunotherapy!$Z$30:$Z$50</c:f>
              <c:numCache>
                <c:formatCode>General</c:formatCode>
                <c:ptCount val="20"/>
                <c:pt idx="15">
                  <c:v>38</c:v>
                </c:pt>
                <c:pt idx="16">
                  <c:v>74</c:v>
                </c:pt>
                <c:pt idx="17">
                  <c:v>79</c:v>
                </c:pt>
                <c:pt idx="18">
                  <c:v>72</c:v>
                </c:pt>
                <c:pt idx="19">
                  <c:v>87</c:v>
                </c:pt>
              </c:numCache>
            </c:numRef>
          </c:val>
          <c:smooth val="0"/>
          <c:extLst>
            <c:ext xmlns:c16="http://schemas.microsoft.com/office/drawing/2014/chart" uri="{C3380CC4-5D6E-409C-BE32-E72D297353CC}">
              <c16:uniqueId val="{00000004-E3E8-4CB6-8543-9F3F68F5221F}"/>
            </c:ext>
          </c:extLst>
        </c:ser>
        <c:ser>
          <c:idx val="5"/>
          <c:order val="5"/>
          <c:tx>
            <c:strRef>
              <c:f>Immunotherapy!$AA$28:$AA$29</c:f>
              <c:strCache>
                <c:ptCount val="1"/>
                <c:pt idx="0">
                  <c:v>NIVOLUMAB - 1L</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Immunotherapy!$U$30:$U$50</c:f>
              <c:strCache>
                <c:ptCount val="20"/>
                <c:pt idx="0">
                  <c:v>2017Q3</c:v>
                </c:pt>
                <c:pt idx="1">
                  <c:v>2017Q4</c:v>
                </c:pt>
                <c:pt idx="2">
                  <c:v>2018Q1</c:v>
                </c:pt>
                <c:pt idx="3">
                  <c:v>2018Q2</c:v>
                </c:pt>
                <c:pt idx="4">
                  <c:v>2018Q3</c:v>
                </c:pt>
                <c:pt idx="5">
                  <c:v>2018Q4</c:v>
                </c:pt>
                <c:pt idx="6">
                  <c:v>2019Q1</c:v>
                </c:pt>
                <c:pt idx="7">
                  <c:v>2019Q2</c:v>
                </c:pt>
                <c:pt idx="8">
                  <c:v>2019Q3</c:v>
                </c:pt>
                <c:pt idx="9">
                  <c:v>2019Q4</c:v>
                </c:pt>
                <c:pt idx="10">
                  <c:v>2020Q1</c:v>
                </c:pt>
                <c:pt idx="11">
                  <c:v>2020Q2</c:v>
                </c:pt>
                <c:pt idx="12">
                  <c:v>2020Q3</c:v>
                </c:pt>
                <c:pt idx="13">
                  <c:v>2020Q4</c:v>
                </c:pt>
                <c:pt idx="14">
                  <c:v>2021Q1</c:v>
                </c:pt>
                <c:pt idx="15">
                  <c:v>2021Q2</c:v>
                </c:pt>
                <c:pt idx="16">
                  <c:v>2021Q3</c:v>
                </c:pt>
                <c:pt idx="17">
                  <c:v>2021Q4</c:v>
                </c:pt>
                <c:pt idx="18">
                  <c:v>2022Q1</c:v>
                </c:pt>
                <c:pt idx="19">
                  <c:v>2022Q2</c:v>
                </c:pt>
              </c:strCache>
            </c:strRef>
          </c:cat>
          <c:val>
            <c:numRef>
              <c:f>Immunotherapy!$AA$30:$AA$50</c:f>
              <c:numCache>
                <c:formatCode>General</c:formatCode>
                <c:ptCount val="20"/>
                <c:pt idx="15">
                  <c:v>38</c:v>
                </c:pt>
                <c:pt idx="16">
                  <c:v>70</c:v>
                </c:pt>
                <c:pt idx="17">
                  <c:v>80</c:v>
                </c:pt>
                <c:pt idx="18">
                  <c:v>86</c:v>
                </c:pt>
                <c:pt idx="19">
                  <c:v>91</c:v>
                </c:pt>
              </c:numCache>
            </c:numRef>
          </c:val>
          <c:smooth val="0"/>
          <c:extLst>
            <c:ext xmlns:c16="http://schemas.microsoft.com/office/drawing/2014/chart" uri="{C3380CC4-5D6E-409C-BE32-E72D297353CC}">
              <c16:uniqueId val="{00000005-E3E8-4CB6-8543-9F3F68F5221F}"/>
            </c:ext>
          </c:extLst>
        </c:ser>
        <c:ser>
          <c:idx val="6"/>
          <c:order val="6"/>
          <c:tx>
            <c:strRef>
              <c:f>Immunotherapy!$AB$28:$AB$29</c:f>
              <c:strCache>
                <c:ptCount val="1"/>
                <c:pt idx="0">
                  <c:v>NIVOLUMAB - 2L</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strRef>
              <c:f>Immunotherapy!$U$30:$U$50</c:f>
              <c:strCache>
                <c:ptCount val="20"/>
                <c:pt idx="0">
                  <c:v>2017Q3</c:v>
                </c:pt>
                <c:pt idx="1">
                  <c:v>2017Q4</c:v>
                </c:pt>
                <c:pt idx="2">
                  <c:v>2018Q1</c:v>
                </c:pt>
                <c:pt idx="3">
                  <c:v>2018Q2</c:v>
                </c:pt>
                <c:pt idx="4">
                  <c:v>2018Q3</c:v>
                </c:pt>
                <c:pt idx="5">
                  <c:v>2018Q4</c:v>
                </c:pt>
                <c:pt idx="6">
                  <c:v>2019Q1</c:v>
                </c:pt>
                <c:pt idx="7">
                  <c:v>2019Q2</c:v>
                </c:pt>
                <c:pt idx="8">
                  <c:v>2019Q3</c:v>
                </c:pt>
                <c:pt idx="9">
                  <c:v>2019Q4</c:v>
                </c:pt>
                <c:pt idx="10">
                  <c:v>2020Q1</c:v>
                </c:pt>
                <c:pt idx="11">
                  <c:v>2020Q2</c:v>
                </c:pt>
                <c:pt idx="12">
                  <c:v>2020Q3</c:v>
                </c:pt>
                <c:pt idx="13">
                  <c:v>2020Q4</c:v>
                </c:pt>
                <c:pt idx="14">
                  <c:v>2021Q1</c:v>
                </c:pt>
                <c:pt idx="15">
                  <c:v>2021Q2</c:v>
                </c:pt>
                <c:pt idx="16">
                  <c:v>2021Q3</c:v>
                </c:pt>
                <c:pt idx="17">
                  <c:v>2021Q4</c:v>
                </c:pt>
                <c:pt idx="18">
                  <c:v>2022Q1</c:v>
                </c:pt>
                <c:pt idx="19">
                  <c:v>2022Q2</c:v>
                </c:pt>
              </c:strCache>
            </c:strRef>
          </c:cat>
          <c:val>
            <c:numRef>
              <c:f>Immunotherapy!$AB$30:$AB$50</c:f>
              <c:numCache>
                <c:formatCode>General</c:formatCode>
                <c:ptCount val="20"/>
                <c:pt idx="0">
                  <c:v>1572</c:v>
                </c:pt>
                <c:pt idx="1">
                  <c:v>1905</c:v>
                </c:pt>
                <c:pt idx="2">
                  <c:v>2021</c:v>
                </c:pt>
                <c:pt idx="3">
                  <c:v>1986</c:v>
                </c:pt>
                <c:pt idx="4">
                  <c:v>1845</c:v>
                </c:pt>
                <c:pt idx="5">
                  <c:v>1673</c:v>
                </c:pt>
                <c:pt idx="6">
                  <c:v>1543</c:v>
                </c:pt>
                <c:pt idx="7">
                  <c:v>1437</c:v>
                </c:pt>
                <c:pt idx="8">
                  <c:v>1345</c:v>
                </c:pt>
                <c:pt idx="9">
                  <c:v>1302</c:v>
                </c:pt>
                <c:pt idx="10">
                  <c:v>1205</c:v>
                </c:pt>
                <c:pt idx="11">
                  <c:v>1066</c:v>
                </c:pt>
                <c:pt idx="12">
                  <c:v>953</c:v>
                </c:pt>
                <c:pt idx="13">
                  <c:v>837</c:v>
                </c:pt>
                <c:pt idx="14">
                  <c:v>790</c:v>
                </c:pt>
                <c:pt idx="15">
                  <c:v>698</c:v>
                </c:pt>
                <c:pt idx="16">
                  <c:v>642</c:v>
                </c:pt>
                <c:pt idx="17">
                  <c:v>566</c:v>
                </c:pt>
                <c:pt idx="18">
                  <c:v>510</c:v>
                </c:pt>
                <c:pt idx="19">
                  <c:v>465</c:v>
                </c:pt>
              </c:numCache>
            </c:numRef>
          </c:val>
          <c:smooth val="0"/>
          <c:extLst>
            <c:ext xmlns:c16="http://schemas.microsoft.com/office/drawing/2014/chart" uri="{C3380CC4-5D6E-409C-BE32-E72D297353CC}">
              <c16:uniqueId val="{00000006-E3E8-4CB6-8543-9F3F68F5221F}"/>
            </c:ext>
          </c:extLst>
        </c:ser>
        <c:ser>
          <c:idx val="7"/>
          <c:order val="7"/>
          <c:tx>
            <c:strRef>
              <c:f>Immunotherapy!$AC$28:$AC$29</c:f>
              <c:strCache>
                <c:ptCount val="1"/>
                <c:pt idx="0">
                  <c:v>PEMBROLIZUMAB</c:v>
                </c:pt>
              </c:strCache>
            </c:strRef>
          </c:tx>
          <c:spPr>
            <a:ln w="28575"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cat>
            <c:strRef>
              <c:f>Immunotherapy!$U$30:$U$50</c:f>
              <c:strCache>
                <c:ptCount val="20"/>
                <c:pt idx="0">
                  <c:v>2017Q3</c:v>
                </c:pt>
                <c:pt idx="1">
                  <c:v>2017Q4</c:v>
                </c:pt>
                <c:pt idx="2">
                  <c:v>2018Q1</c:v>
                </c:pt>
                <c:pt idx="3">
                  <c:v>2018Q2</c:v>
                </c:pt>
                <c:pt idx="4">
                  <c:v>2018Q3</c:v>
                </c:pt>
                <c:pt idx="5">
                  <c:v>2018Q4</c:v>
                </c:pt>
                <c:pt idx="6">
                  <c:v>2019Q1</c:v>
                </c:pt>
                <c:pt idx="7">
                  <c:v>2019Q2</c:v>
                </c:pt>
                <c:pt idx="8">
                  <c:v>2019Q3</c:v>
                </c:pt>
                <c:pt idx="9">
                  <c:v>2019Q4</c:v>
                </c:pt>
                <c:pt idx="10">
                  <c:v>2020Q1</c:v>
                </c:pt>
                <c:pt idx="11">
                  <c:v>2020Q2</c:v>
                </c:pt>
                <c:pt idx="12">
                  <c:v>2020Q3</c:v>
                </c:pt>
                <c:pt idx="13">
                  <c:v>2020Q4</c:v>
                </c:pt>
                <c:pt idx="14">
                  <c:v>2021Q1</c:v>
                </c:pt>
                <c:pt idx="15">
                  <c:v>2021Q2</c:v>
                </c:pt>
                <c:pt idx="16">
                  <c:v>2021Q3</c:v>
                </c:pt>
                <c:pt idx="17">
                  <c:v>2021Q4</c:v>
                </c:pt>
                <c:pt idx="18">
                  <c:v>2022Q1</c:v>
                </c:pt>
                <c:pt idx="19">
                  <c:v>2022Q2</c:v>
                </c:pt>
              </c:strCache>
            </c:strRef>
          </c:cat>
          <c:val>
            <c:numRef>
              <c:f>Immunotherapy!$AC$30:$AC$50</c:f>
              <c:numCache>
                <c:formatCode>General</c:formatCode>
                <c:ptCount val="20"/>
                <c:pt idx="5">
                  <c:v>525</c:v>
                </c:pt>
                <c:pt idx="6">
                  <c:v>766</c:v>
                </c:pt>
                <c:pt idx="7">
                  <c:v>875</c:v>
                </c:pt>
                <c:pt idx="8">
                  <c:v>934</c:v>
                </c:pt>
                <c:pt idx="9">
                  <c:v>1320</c:v>
                </c:pt>
                <c:pt idx="10">
                  <c:v>1910</c:v>
                </c:pt>
                <c:pt idx="11">
                  <c:v>2264</c:v>
                </c:pt>
                <c:pt idx="12">
                  <c:v>2464</c:v>
                </c:pt>
                <c:pt idx="13">
                  <c:v>2651</c:v>
                </c:pt>
                <c:pt idx="14">
                  <c:v>2702</c:v>
                </c:pt>
                <c:pt idx="15">
                  <c:v>2770</c:v>
                </c:pt>
                <c:pt idx="16">
                  <c:v>2837</c:v>
                </c:pt>
                <c:pt idx="17">
                  <c:v>2905</c:v>
                </c:pt>
                <c:pt idx="18">
                  <c:v>2834</c:v>
                </c:pt>
                <c:pt idx="19">
                  <c:v>2773</c:v>
                </c:pt>
              </c:numCache>
            </c:numRef>
          </c:val>
          <c:smooth val="0"/>
          <c:extLst>
            <c:ext xmlns:c16="http://schemas.microsoft.com/office/drawing/2014/chart" uri="{C3380CC4-5D6E-409C-BE32-E72D297353CC}">
              <c16:uniqueId val="{00000007-E3E8-4CB6-8543-9F3F68F5221F}"/>
            </c:ext>
          </c:extLst>
        </c:ser>
        <c:dLbls>
          <c:showLegendKey val="0"/>
          <c:showVal val="0"/>
          <c:showCatName val="0"/>
          <c:showSerName val="0"/>
          <c:showPercent val="0"/>
          <c:showBubbleSize val="0"/>
        </c:dLbls>
        <c:marker val="1"/>
        <c:smooth val="0"/>
        <c:axId val="836216848"/>
        <c:axId val="836218816"/>
      </c:lineChart>
      <c:catAx>
        <c:axId val="836216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218816"/>
        <c:crosses val="autoZero"/>
        <c:auto val="1"/>
        <c:lblAlgn val="ctr"/>
        <c:lblOffset val="100"/>
        <c:noMultiLvlLbl val="0"/>
      </c:catAx>
      <c:valAx>
        <c:axId val="836218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21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[D1427 - NSCLC review .xlsx]ALK!PivotTable4</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areaChart>
        <c:grouping val="stacked"/>
        <c:varyColors val="0"/>
        <c:ser>
          <c:idx val="0"/>
          <c:order val="0"/>
          <c:tx>
            <c:strRef>
              <c:f>ALK!$V$1:$V$2</c:f>
              <c:strCache>
                <c:ptCount val="1"/>
                <c:pt idx="0">
                  <c:v>ALECTINIB</c:v>
                </c:pt>
              </c:strCache>
            </c:strRef>
          </c:tx>
          <c:spPr>
            <a:solidFill>
              <a:schemeClr val="accent1"/>
            </a:solidFill>
            <a:ln>
              <a:noFill/>
            </a:ln>
            <a:effectLst/>
          </c:spPr>
          <c:cat>
            <c:strRef>
              <c:f>ALK!$U$3:$U$29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ALK!$V$3:$V$29</c:f>
              <c:numCache>
                <c:formatCode>General</c:formatCode>
                <c:ptCount val="26"/>
                <c:pt idx="8">
                  <c:v>286</c:v>
                </c:pt>
                <c:pt idx="9">
                  <c:v>411</c:v>
                </c:pt>
                <c:pt idx="10">
                  <c:v>474</c:v>
                </c:pt>
                <c:pt idx="11">
                  <c:v>544</c:v>
                </c:pt>
                <c:pt idx="12">
                  <c:v>565</c:v>
                </c:pt>
                <c:pt idx="13">
                  <c:v>616</c:v>
                </c:pt>
                <c:pt idx="14">
                  <c:v>678</c:v>
                </c:pt>
                <c:pt idx="15">
                  <c:v>687</c:v>
                </c:pt>
                <c:pt idx="16">
                  <c:v>780</c:v>
                </c:pt>
                <c:pt idx="17">
                  <c:v>721</c:v>
                </c:pt>
                <c:pt idx="18">
                  <c:v>874</c:v>
                </c:pt>
                <c:pt idx="19">
                  <c:v>873</c:v>
                </c:pt>
                <c:pt idx="20">
                  <c:v>856</c:v>
                </c:pt>
                <c:pt idx="21">
                  <c:v>884</c:v>
                </c:pt>
                <c:pt idx="22">
                  <c:v>916</c:v>
                </c:pt>
                <c:pt idx="23">
                  <c:v>958</c:v>
                </c:pt>
                <c:pt idx="24">
                  <c:v>939</c:v>
                </c:pt>
                <c:pt idx="25">
                  <c:v>1011</c:v>
                </c:pt>
              </c:numCache>
            </c:numRef>
          </c:val>
          <c:extLst>
            <c:ext xmlns:c16="http://schemas.microsoft.com/office/drawing/2014/chart" uri="{C3380CC4-5D6E-409C-BE32-E72D297353CC}">
              <c16:uniqueId val="{00000000-BD00-4DEA-A694-F4C522AA2FD0}"/>
            </c:ext>
          </c:extLst>
        </c:ser>
        <c:ser>
          <c:idx val="1"/>
          <c:order val="1"/>
          <c:tx>
            <c:strRef>
              <c:f>ALK!$W$1:$W$2</c:f>
              <c:strCache>
                <c:ptCount val="1"/>
                <c:pt idx="0">
                  <c:v>BRIGATINIB</c:v>
                </c:pt>
              </c:strCache>
            </c:strRef>
          </c:tx>
          <c:spPr>
            <a:solidFill>
              <a:schemeClr val="accent2"/>
            </a:solidFill>
            <a:ln>
              <a:noFill/>
            </a:ln>
            <a:effectLst/>
          </c:spPr>
          <c:cat>
            <c:strRef>
              <c:f>ALK!$U$3:$U$29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ALK!$W$3:$W$29</c:f>
              <c:numCache>
                <c:formatCode>General</c:formatCode>
                <c:ptCount val="26"/>
                <c:pt idx="17">
                  <c:v>11</c:v>
                </c:pt>
                <c:pt idx="18">
                  <c:v>41</c:v>
                </c:pt>
                <c:pt idx="19">
                  <c:v>44</c:v>
                </c:pt>
                <c:pt idx="20">
                  <c:v>40</c:v>
                </c:pt>
                <c:pt idx="21">
                  <c:v>45</c:v>
                </c:pt>
                <c:pt idx="22">
                  <c:v>46</c:v>
                </c:pt>
                <c:pt idx="23">
                  <c:v>60</c:v>
                </c:pt>
                <c:pt idx="24">
                  <c:v>73</c:v>
                </c:pt>
                <c:pt idx="25">
                  <c:v>76</c:v>
                </c:pt>
              </c:numCache>
            </c:numRef>
          </c:val>
          <c:extLst>
            <c:ext xmlns:c16="http://schemas.microsoft.com/office/drawing/2014/chart" uri="{C3380CC4-5D6E-409C-BE32-E72D297353CC}">
              <c16:uniqueId val="{00000001-BD00-4DEA-A694-F4C522AA2FD0}"/>
            </c:ext>
          </c:extLst>
        </c:ser>
        <c:ser>
          <c:idx val="2"/>
          <c:order val="2"/>
          <c:tx>
            <c:strRef>
              <c:f>ALK!$X$1:$X$2</c:f>
              <c:strCache>
                <c:ptCount val="1"/>
                <c:pt idx="0">
                  <c:v>CERITINIB</c:v>
                </c:pt>
              </c:strCache>
            </c:strRef>
          </c:tx>
          <c:spPr>
            <a:solidFill>
              <a:schemeClr val="accent3"/>
            </a:solidFill>
            <a:ln>
              <a:noFill/>
            </a:ln>
            <a:effectLst/>
          </c:spPr>
          <c:cat>
            <c:strRef>
              <c:f>ALK!$U$3:$U$29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ALK!$X$3:$X$29</c:f>
              <c:numCache>
                <c:formatCode>General</c:formatCode>
                <c:ptCount val="26"/>
                <c:pt idx="4">
                  <c:v>48</c:v>
                </c:pt>
                <c:pt idx="5">
                  <c:v>110</c:v>
                </c:pt>
                <c:pt idx="6">
                  <c:v>119</c:v>
                </c:pt>
                <c:pt idx="7">
                  <c:v>118</c:v>
                </c:pt>
                <c:pt idx="8">
                  <c:v>65</c:v>
                </c:pt>
                <c:pt idx="9">
                  <c:v>49</c:v>
                </c:pt>
                <c:pt idx="10">
                  <c:v>35</c:v>
                </c:pt>
                <c:pt idx="11">
                  <c:v>30</c:v>
                </c:pt>
                <c:pt idx="12">
                  <c:v>24</c:v>
                </c:pt>
                <c:pt idx="13">
                  <c:v>24</c:v>
                </c:pt>
                <c:pt idx="14">
                  <c:v>26</c:v>
                </c:pt>
                <c:pt idx="15">
                  <c:v>23</c:v>
                </c:pt>
                <c:pt idx="16">
                  <c:v>24</c:v>
                </c:pt>
                <c:pt idx="17">
                  <c:v>15</c:v>
                </c:pt>
                <c:pt idx="18">
                  <c:v>12</c:v>
                </c:pt>
                <c:pt idx="19">
                  <c:v>11</c:v>
                </c:pt>
                <c:pt idx="20">
                  <c:v>16</c:v>
                </c:pt>
                <c:pt idx="21">
                  <c:v>15</c:v>
                </c:pt>
                <c:pt idx="22">
                  <c:v>8</c:v>
                </c:pt>
                <c:pt idx="23">
                  <c:v>7</c:v>
                </c:pt>
                <c:pt idx="24">
                  <c:v>5</c:v>
                </c:pt>
                <c:pt idx="25">
                  <c:v>6</c:v>
                </c:pt>
              </c:numCache>
            </c:numRef>
          </c:val>
          <c:extLst>
            <c:ext xmlns:c16="http://schemas.microsoft.com/office/drawing/2014/chart" uri="{C3380CC4-5D6E-409C-BE32-E72D297353CC}">
              <c16:uniqueId val="{00000002-BD00-4DEA-A694-F4C522AA2FD0}"/>
            </c:ext>
          </c:extLst>
        </c:ser>
        <c:ser>
          <c:idx val="3"/>
          <c:order val="3"/>
          <c:tx>
            <c:strRef>
              <c:f>ALK!$Y$1:$Y$2</c:f>
              <c:strCache>
                <c:ptCount val="1"/>
                <c:pt idx="0">
                  <c:v>CRIZOTINIB </c:v>
                </c:pt>
              </c:strCache>
            </c:strRef>
          </c:tx>
          <c:spPr>
            <a:solidFill>
              <a:schemeClr val="accent4"/>
            </a:solidFill>
            <a:ln>
              <a:noFill/>
            </a:ln>
            <a:effectLst/>
          </c:spPr>
          <c:cat>
            <c:strRef>
              <c:f>ALK!$U$3:$U$29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ALK!$Y$3:$Y$29</c:f>
              <c:numCache>
                <c:formatCode>General</c:formatCode>
                <c:ptCount val="26"/>
                <c:pt idx="0">
                  <c:v>273</c:v>
                </c:pt>
                <c:pt idx="1">
                  <c:v>289</c:v>
                </c:pt>
                <c:pt idx="2">
                  <c:v>326</c:v>
                </c:pt>
                <c:pt idx="3">
                  <c:v>360</c:v>
                </c:pt>
                <c:pt idx="4">
                  <c:v>324</c:v>
                </c:pt>
                <c:pt idx="5">
                  <c:v>311</c:v>
                </c:pt>
                <c:pt idx="6">
                  <c:v>320</c:v>
                </c:pt>
                <c:pt idx="7">
                  <c:v>303</c:v>
                </c:pt>
                <c:pt idx="8">
                  <c:v>257</c:v>
                </c:pt>
                <c:pt idx="9">
                  <c:v>204</c:v>
                </c:pt>
                <c:pt idx="10">
                  <c:v>174</c:v>
                </c:pt>
                <c:pt idx="11">
                  <c:v>149</c:v>
                </c:pt>
                <c:pt idx="12">
                  <c:v>115</c:v>
                </c:pt>
                <c:pt idx="13">
                  <c:v>103</c:v>
                </c:pt>
                <c:pt idx="14">
                  <c:v>102</c:v>
                </c:pt>
                <c:pt idx="15">
                  <c:v>89</c:v>
                </c:pt>
                <c:pt idx="16">
                  <c:v>86</c:v>
                </c:pt>
                <c:pt idx="17">
                  <c:v>72</c:v>
                </c:pt>
                <c:pt idx="18">
                  <c:v>70</c:v>
                </c:pt>
                <c:pt idx="19">
                  <c:v>79</c:v>
                </c:pt>
                <c:pt idx="20">
                  <c:v>63</c:v>
                </c:pt>
                <c:pt idx="21">
                  <c:v>62</c:v>
                </c:pt>
                <c:pt idx="22">
                  <c:v>62</c:v>
                </c:pt>
                <c:pt idx="23">
                  <c:v>53</c:v>
                </c:pt>
                <c:pt idx="24">
                  <c:v>38</c:v>
                </c:pt>
                <c:pt idx="25">
                  <c:v>36</c:v>
                </c:pt>
              </c:numCache>
            </c:numRef>
          </c:val>
          <c:extLst>
            <c:ext xmlns:c16="http://schemas.microsoft.com/office/drawing/2014/chart" uri="{C3380CC4-5D6E-409C-BE32-E72D297353CC}">
              <c16:uniqueId val="{00000003-BD00-4DEA-A694-F4C522AA2FD0}"/>
            </c:ext>
          </c:extLst>
        </c:ser>
        <c:ser>
          <c:idx val="4"/>
          <c:order val="4"/>
          <c:tx>
            <c:strRef>
              <c:f>ALK!$Z$1:$Z$2</c:f>
              <c:strCache>
                <c:ptCount val="1"/>
                <c:pt idx="0">
                  <c:v>LORLATINIB</c:v>
                </c:pt>
              </c:strCache>
            </c:strRef>
          </c:tx>
          <c:spPr>
            <a:solidFill>
              <a:schemeClr val="accent5"/>
            </a:solidFill>
            <a:ln>
              <a:noFill/>
            </a:ln>
            <a:effectLst/>
          </c:spPr>
          <c:cat>
            <c:strRef>
              <c:f>ALK!$U$3:$U$29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ALK!$Z$3:$Z$29</c:f>
              <c:numCache>
                <c:formatCode>General</c:formatCode>
                <c:ptCount val="26"/>
                <c:pt idx="18">
                  <c:v>37</c:v>
                </c:pt>
                <c:pt idx="19">
                  <c:v>144</c:v>
                </c:pt>
                <c:pt idx="20">
                  <c:v>150</c:v>
                </c:pt>
                <c:pt idx="21">
                  <c:v>152</c:v>
                </c:pt>
                <c:pt idx="22">
                  <c:v>162</c:v>
                </c:pt>
                <c:pt idx="23">
                  <c:v>156</c:v>
                </c:pt>
                <c:pt idx="24">
                  <c:v>168</c:v>
                </c:pt>
                <c:pt idx="25">
                  <c:v>174</c:v>
                </c:pt>
              </c:numCache>
            </c:numRef>
          </c:val>
          <c:extLst>
            <c:ext xmlns:c16="http://schemas.microsoft.com/office/drawing/2014/chart" uri="{C3380CC4-5D6E-409C-BE32-E72D297353CC}">
              <c16:uniqueId val="{00000004-BD00-4DEA-A694-F4C522AA2FD0}"/>
            </c:ext>
          </c:extLst>
        </c:ser>
        <c:dLbls>
          <c:showLegendKey val="0"/>
          <c:showVal val="0"/>
          <c:showCatName val="0"/>
          <c:showSerName val="0"/>
          <c:showPercent val="0"/>
          <c:showBubbleSize val="0"/>
        </c:dLbls>
        <c:axId val="819140920"/>
        <c:axId val="819141576"/>
      </c:areaChart>
      <c:catAx>
        <c:axId val="8191409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141576"/>
        <c:crosses val="autoZero"/>
        <c:auto val="1"/>
        <c:lblAlgn val="ctr"/>
        <c:lblOffset val="100"/>
        <c:noMultiLvlLbl val="0"/>
      </c:catAx>
      <c:valAx>
        <c:axId val="819141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r>
                  <a:rPr lang="en-AU" baseline="0"/>
                  <a:t> </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914092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[D1427 - NSCLC review .xlsx]ALK!PivotTable5</c:name>
    <c:fmtId val="-1"/>
  </c:pivotSource>
  <c:chart>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circle"/>
          <c:size val="5"/>
          <c:spPr>
            <a:solidFill>
              <a:schemeClr val="accent5"/>
            </a:solidFill>
            <a:ln w="9525">
              <a:solidFill>
                <a:schemeClr val="accent5"/>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ALK!$V$34:$V$35</c:f>
              <c:strCache>
                <c:ptCount val="1"/>
                <c:pt idx="0">
                  <c:v>ALECTINIB</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ALK!$U$36:$U$62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ALK!$V$36:$V$62</c:f>
              <c:numCache>
                <c:formatCode>General</c:formatCode>
                <c:ptCount val="26"/>
                <c:pt idx="8">
                  <c:v>117</c:v>
                </c:pt>
                <c:pt idx="9">
                  <c:v>157</c:v>
                </c:pt>
                <c:pt idx="10">
                  <c:v>173</c:v>
                </c:pt>
                <c:pt idx="11">
                  <c:v>198</c:v>
                </c:pt>
                <c:pt idx="12">
                  <c:v>211</c:v>
                </c:pt>
                <c:pt idx="13">
                  <c:v>223</c:v>
                </c:pt>
                <c:pt idx="14">
                  <c:v>245</c:v>
                </c:pt>
                <c:pt idx="15">
                  <c:v>252</c:v>
                </c:pt>
                <c:pt idx="16">
                  <c:v>273</c:v>
                </c:pt>
                <c:pt idx="17">
                  <c:v>283</c:v>
                </c:pt>
                <c:pt idx="18">
                  <c:v>301</c:v>
                </c:pt>
                <c:pt idx="19">
                  <c:v>310</c:v>
                </c:pt>
                <c:pt idx="20">
                  <c:v>311</c:v>
                </c:pt>
                <c:pt idx="21">
                  <c:v>321</c:v>
                </c:pt>
                <c:pt idx="22">
                  <c:v>319</c:v>
                </c:pt>
                <c:pt idx="23">
                  <c:v>340</c:v>
                </c:pt>
                <c:pt idx="24">
                  <c:v>355</c:v>
                </c:pt>
                <c:pt idx="25">
                  <c:v>366</c:v>
                </c:pt>
              </c:numCache>
            </c:numRef>
          </c:val>
          <c:smooth val="0"/>
          <c:extLst>
            <c:ext xmlns:c16="http://schemas.microsoft.com/office/drawing/2014/chart" uri="{C3380CC4-5D6E-409C-BE32-E72D297353CC}">
              <c16:uniqueId val="{00000000-4D68-41A4-9881-5805FB0DC83F}"/>
            </c:ext>
          </c:extLst>
        </c:ser>
        <c:ser>
          <c:idx val="1"/>
          <c:order val="1"/>
          <c:tx>
            <c:strRef>
              <c:f>ALK!$W$34:$W$35</c:f>
              <c:strCache>
                <c:ptCount val="1"/>
                <c:pt idx="0">
                  <c:v>BRIGATINIB</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ALK!$U$36:$U$62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ALK!$W$36:$W$62</c:f>
              <c:numCache>
                <c:formatCode>General</c:formatCode>
                <c:ptCount val="26"/>
                <c:pt idx="17">
                  <c:v>7</c:v>
                </c:pt>
                <c:pt idx="18">
                  <c:v>16</c:v>
                </c:pt>
                <c:pt idx="19">
                  <c:v>16</c:v>
                </c:pt>
                <c:pt idx="20">
                  <c:v>15</c:v>
                </c:pt>
                <c:pt idx="21">
                  <c:v>17</c:v>
                </c:pt>
                <c:pt idx="22">
                  <c:v>22</c:v>
                </c:pt>
                <c:pt idx="23">
                  <c:v>22</c:v>
                </c:pt>
                <c:pt idx="24">
                  <c:v>25</c:v>
                </c:pt>
                <c:pt idx="25">
                  <c:v>28</c:v>
                </c:pt>
              </c:numCache>
            </c:numRef>
          </c:val>
          <c:smooth val="0"/>
          <c:extLst>
            <c:ext xmlns:c16="http://schemas.microsoft.com/office/drawing/2014/chart" uri="{C3380CC4-5D6E-409C-BE32-E72D297353CC}">
              <c16:uniqueId val="{00000001-4D68-41A4-9881-5805FB0DC83F}"/>
            </c:ext>
          </c:extLst>
        </c:ser>
        <c:ser>
          <c:idx val="2"/>
          <c:order val="2"/>
          <c:tx>
            <c:strRef>
              <c:f>ALK!$X$34:$X$35</c:f>
              <c:strCache>
                <c:ptCount val="1"/>
                <c:pt idx="0">
                  <c:v>CERITINIB</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ALK!$U$36:$U$62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ALK!$X$36:$X$62</c:f>
              <c:numCache>
                <c:formatCode>General</c:formatCode>
                <c:ptCount val="26"/>
                <c:pt idx="4">
                  <c:v>33</c:v>
                </c:pt>
                <c:pt idx="5">
                  <c:v>53</c:v>
                </c:pt>
                <c:pt idx="6">
                  <c:v>70</c:v>
                </c:pt>
                <c:pt idx="7">
                  <c:v>63</c:v>
                </c:pt>
                <c:pt idx="8">
                  <c:v>39</c:v>
                </c:pt>
                <c:pt idx="9">
                  <c:v>29</c:v>
                </c:pt>
                <c:pt idx="10">
                  <c:v>21</c:v>
                </c:pt>
                <c:pt idx="11">
                  <c:v>17</c:v>
                </c:pt>
                <c:pt idx="12">
                  <c:v>14</c:v>
                </c:pt>
                <c:pt idx="13">
                  <c:v>15</c:v>
                </c:pt>
                <c:pt idx="14">
                  <c:v>13</c:v>
                </c:pt>
                <c:pt idx="15">
                  <c:v>11</c:v>
                </c:pt>
                <c:pt idx="16">
                  <c:v>13</c:v>
                </c:pt>
                <c:pt idx="17">
                  <c:v>11</c:v>
                </c:pt>
                <c:pt idx="18">
                  <c:v>8</c:v>
                </c:pt>
                <c:pt idx="19">
                  <c:v>7</c:v>
                </c:pt>
                <c:pt idx="20">
                  <c:v>9</c:v>
                </c:pt>
                <c:pt idx="21">
                  <c:v>9</c:v>
                </c:pt>
                <c:pt idx="22">
                  <c:v>4</c:v>
                </c:pt>
                <c:pt idx="23">
                  <c:v>5</c:v>
                </c:pt>
                <c:pt idx="24">
                  <c:v>4</c:v>
                </c:pt>
                <c:pt idx="25">
                  <c:v>3</c:v>
                </c:pt>
              </c:numCache>
            </c:numRef>
          </c:val>
          <c:smooth val="0"/>
          <c:extLst>
            <c:ext xmlns:c16="http://schemas.microsoft.com/office/drawing/2014/chart" uri="{C3380CC4-5D6E-409C-BE32-E72D297353CC}">
              <c16:uniqueId val="{00000002-4D68-41A4-9881-5805FB0DC83F}"/>
            </c:ext>
          </c:extLst>
        </c:ser>
        <c:ser>
          <c:idx val="3"/>
          <c:order val="3"/>
          <c:tx>
            <c:strRef>
              <c:f>ALK!$Y$34:$Y$35</c:f>
              <c:strCache>
                <c:ptCount val="1"/>
                <c:pt idx="0">
                  <c:v>CRIZOTINIB </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ALK!$U$36:$U$62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ALK!$Y$36:$Y$62</c:f>
              <c:numCache>
                <c:formatCode>General</c:formatCode>
                <c:ptCount val="26"/>
                <c:pt idx="0">
                  <c:v>107</c:v>
                </c:pt>
                <c:pt idx="1">
                  <c:v>115</c:v>
                </c:pt>
                <c:pt idx="2">
                  <c:v>125</c:v>
                </c:pt>
                <c:pt idx="3">
                  <c:v>135</c:v>
                </c:pt>
                <c:pt idx="4">
                  <c:v>129</c:v>
                </c:pt>
                <c:pt idx="5">
                  <c:v>121</c:v>
                </c:pt>
                <c:pt idx="6">
                  <c:v>127</c:v>
                </c:pt>
                <c:pt idx="7">
                  <c:v>121</c:v>
                </c:pt>
                <c:pt idx="8">
                  <c:v>105</c:v>
                </c:pt>
                <c:pt idx="9">
                  <c:v>82</c:v>
                </c:pt>
                <c:pt idx="10">
                  <c:v>69</c:v>
                </c:pt>
                <c:pt idx="11">
                  <c:v>58</c:v>
                </c:pt>
                <c:pt idx="12">
                  <c:v>47</c:v>
                </c:pt>
                <c:pt idx="13">
                  <c:v>40</c:v>
                </c:pt>
                <c:pt idx="14">
                  <c:v>39</c:v>
                </c:pt>
                <c:pt idx="15">
                  <c:v>36</c:v>
                </c:pt>
                <c:pt idx="16">
                  <c:v>35</c:v>
                </c:pt>
                <c:pt idx="17">
                  <c:v>29</c:v>
                </c:pt>
                <c:pt idx="18">
                  <c:v>28</c:v>
                </c:pt>
                <c:pt idx="19">
                  <c:v>28</c:v>
                </c:pt>
                <c:pt idx="20">
                  <c:v>25</c:v>
                </c:pt>
                <c:pt idx="21">
                  <c:v>24</c:v>
                </c:pt>
                <c:pt idx="22">
                  <c:v>24</c:v>
                </c:pt>
                <c:pt idx="23">
                  <c:v>20</c:v>
                </c:pt>
                <c:pt idx="24">
                  <c:v>17</c:v>
                </c:pt>
                <c:pt idx="25">
                  <c:v>14</c:v>
                </c:pt>
              </c:numCache>
            </c:numRef>
          </c:val>
          <c:smooth val="0"/>
          <c:extLst>
            <c:ext xmlns:c16="http://schemas.microsoft.com/office/drawing/2014/chart" uri="{C3380CC4-5D6E-409C-BE32-E72D297353CC}">
              <c16:uniqueId val="{00000003-4D68-41A4-9881-5805FB0DC83F}"/>
            </c:ext>
          </c:extLst>
        </c:ser>
        <c:ser>
          <c:idx val="4"/>
          <c:order val="4"/>
          <c:tx>
            <c:strRef>
              <c:f>ALK!$Z$34:$Z$35</c:f>
              <c:strCache>
                <c:ptCount val="1"/>
                <c:pt idx="0">
                  <c:v>LORLATINIB</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ALK!$U$36:$U$62</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ALK!$Z$36:$Z$62</c:f>
              <c:numCache>
                <c:formatCode>General</c:formatCode>
                <c:ptCount val="26"/>
                <c:pt idx="18">
                  <c:v>22</c:v>
                </c:pt>
                <c:pt idx="19">
                  <c:v>55</c:v>
                </c:pt>
                <c:pt idx="20">
                  <c:v>60</c:v>
                </c:pt>
                <c:pt idx="21">
                  <c:v>59</c:v>
                </c:pt>
                <c:pt idx="22">
                  <c:v>60</c:v>
                </c:pt>
                <c:pt idx="23">
                  <c:v>60</c:v>
                </c:pt>
                <c:pt idx="24">
                  <c:v>64</c:v>
                </c:pt>
                <c:pt idx="25">
                  <c:v>71</c:v>
                </c:pt>
              </c:numCache>
            </c:numRef>
          </c:val>
          <c:smooth val="0"/>
          <c:extLst>
            <c:ext xmlns:c16="http://schemas.microsoft.com/office/drawing/2014/chart" uri="{C3380CC4-5D6E-409C-BE32-E72D297353CC}">
              <c16:uniqueId val="{00000004-4D68-41A4-9881-5805FB0DC83F}"/>
            </c:ext>
          </c:extLst>
        </c:ser>
        <c:dLbls>
          <c:showLegendKey val="0"/>
          <c:showVal val="0"/>
          <c:showCatName val="0"/>
          <c:showSerName val="0"/>
          <c:showPercent val="0"/>
          <c:showBubbleSize val="0"/>
        </c:dLbls>
        <c:marker val="1"/>
        <c:smooth val="0"/>
        <c:axId val="810793000"/>
        <c:axId val="810793328"/>
      </c:lineChart>
      <c:catAx>
        <c:axId val="810793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793328"/>
        <c:crosses val="autoZero"/>
        <c:auto val="1"/>
        <c:lblAlgn val="ctr"/>
        <c:lblOffset val="100"/>
        <c:noMultiLvlLbl val="0"/>
      </c:catAx>
      <c:valAx>
        <c:axId val="810793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793000"/>
        <c:crosses val="autoZero"/>
        <c:crossBetween val="between"/>
      </c:valAx>
      <c:spPr>
        <a:noFill/>
        <a:ln>
          <a:noFill/>
        </a:ln>
        <a:effectLst/>
      </c:spPr>
    </c:plotArea>
    <c:legend>
      <c:legendPos val="b"/>
      <c:layout>
        <c:manualLayout>
          <c:xMode val="edge"/>
          <c:yMode val="edge"/>
          <c:x val="3.9954209956252928E-2"/>
          <c:y val="0.77177663352940074"/>
          <c:w val="0.92299055095283689"/>
          <c:h val="0.1924238437975682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[D1427 - NSCLC review .xlsx]EGFR!PivotTable6</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areaChart>
        <c:grouping val="stacked"/>
        <c:varyColors val="0"/>
        <c:ser>
          <c:idx val="0"/>
          <c:order val="0"/>
          <c:tx>
            <c:strRef>
              <c:f>EGFR!$U$1:$U$2</c:f>
              <c:strCache>
                <c:ptCount val="1"/>
                <c:pt idx="0">
                  <c:v>AFATINIB</c:v>
                </c:pt>
              </c:strCache>
            </c:strRef>
          </c:tx>
          <c:spPr>
            <a:solidFill>
              <a:schemeClr val="accent1"/>
            </a:solidFill>
            <a:ln>
              <a:noFill/>
            </a:ln>
            <a:effectLst/>
          </c:spPr>
          <c:cat>
            <c:strRef>
              <c:f>EGFR!$T$3:$T$29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EGFR!$U$3:$U$29</c:f>
              <c:numCache>
                <c:formatCode>General</c:formatCode>
                <c:ptCount val="26"/>
                <c:pt idx="9">
                  <c:v>54</c:v>
                </c:pt>
                <c:pt idx="10">
                  <c:v>119</c:v>
                </c:pt>
                <c:pt idx="11">
                  <c:v>181</c:v>
                </c:pt>
                <c:pt idx="12">
                  <c:v>261</c:v>
                </c:pt>
                <c:pt idx="13">
                  <c:v>319</c:v>
                </c:pt>
                <c:pt idx="14">
                  <c:v>361</c:v>
                </c:pt>
                <c:pt idx="15">
                  <c:v>403</c:v>
                </c:pt>
                <c:pt idx="16">
                  <c:v>422</c:v>
                </c:pt>
                <c:pt idx="17">
                  <c:v>340</c:v>
                </c:pt>
                <c:pt idx="18">
                  <c:v>372</c:v>
                </c:pt>
                <c:pt idx="19">
                  <c:v>350</c:v>
                </c:pt>
                <c:pt idx="20">
                  <c:v>241</c:v>
                </c:pt>
                <c:pt idx="21">
                  <c:v>238</c:v>
                </c:pt>
                <c:pt idx="22">
                  <c:v>200</c:v>
                </c:pt>
                <c:pt idx="23">
                  <c:v>205</c:v>
                </c:pt>
                <c:pt idx="24">
                  <c:v>184</c:v>
                </c:pt>
                <c:pt idx="25">
                  <c:v>182</c:v>
                </c:pt>
              </c:numCache>
            </c:numRef>
          </c:val>
          <c:extLst>
            <c:ext xmlns:c16="http://schemas.microsoft.com/office/drawing/2014/chart" uri="{C3380CC4-5D6E-409C-BE32-E72D297353CC}">
              <c16:uniqueId val="{00000000-8825-4D64-8776-2F3F427FD3C1}"/>
            </c:ext>
          </c:extLst>
        </c:ser>
        <c:ser>
          <c:idx val="1"/>
          <c:order val="1"/>
          <c:tx>
            <c:strRef>
              <c:f>EGFR!$V$1:$V$2</c:f>
              <c:strCache>
                <c:ptCount val="1"/>
                <c:pt idx="0">
                  <c:v>ERLOTINIB</c:v>
                </c:pt>
              </c:strCache>
            </c:strRef>
          </c:tx>
          <c:spPr>
            <a:solidFill>
              <a:schemeClr val="accent2"/>
            </a:solidFill>
            <a:ln>
              <a:noFill/>
            </a:ln>
            <a:effectLst/>
          </c:spPr>
          <c:cat>
            <c:strRef>
              <c:f>EGFR!$T$3:$T$29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EGFR!$V$3:$V$29</c:f>
              <c:numCache>
                <c:formatCode>General</c:formatCode>
                <c:ptCount val="26"/>
                <c:pt idx="0">
                  <c:v>1344</c:v>
                </c:pt>
                <c:pt idx="1">
                  <c:v>1421</c:v>
                </c:pt>
                <c:pt idx="2">
                  <c:v>1538</c:v>
                </c:pt>
                <c:pt idx="3">
                  <c:v>1571</c:v>
                </c:pt>
                <c:pt idx="4">
                  <c:v>1587</c:v>
                </c:pt>
                <c:pt idx="5">
                  <c:v>1663</c:v>
                </c:pt>
                <c:pt idx="6">
                  <c:v>1699</c:v>
                </c:pt>
                <c:pt idx="7">
                  <c:v>1756</c:v>
                </c:pt>
                <c:pt idx="8">
                  <c:v>1737</c:v>
                </c:pt>
                <c:pt idx="9">
                  <c:v>1732</c:v>
                </c:pt>
                <c:pt idx="10">
                  <c:v>1671</c:v>
                </c:pt>
                <c:pt idx="11">
                  <c:v>1615</c:v>
                </c:pt>
                <c:pt idx="12">
                  <c:v>1649</c:v>
                </c:pt>
                <c:pt idx="13">
                  <c:v>1583</c:v>
                </c:pt>
                <c:pt idx="14">
                  <c:v>1638</c:v>
                </c:pt>
                <c:pt idx="15">
                  <c:v>1692</c:v>
                </c:pt>
                <c:pt idx="16">
                  <c:v>1713</c:v>
                </c:pt>
                <c:pt idx="17">
                  <c:v>1634</c:v>
                </c:pt>
                <c:pt idx="18">
                  <c:v>1607</c:v>
                </c:pt>
                <c:pt idx="19">
                  <c:v>1304</c:v>
                </c:pt>
                <c:pt idx="20">
                  <c:v>972</c:v>
                </c:pt>
                <c:pt idx="21">
                  <c:v>722</c:v>
                </c:pt>
                <c:pt idx="22">
                  <c:v>630</c:v>
                </c:pt>
                <c:pt idx="23">
                  <c:v>533</c:v>
                </c:pt>
                <c:pt idx="24">
                  <c:v>424</c:v>
                </c:pt>
                <c:pt idx="25">
                  <c:v>331</c:v>
                </c:pt>
              </c:numCache>
            </c:numRef>
          </c:val>
          <c:extLst>
            <c:ext xmlns:c16="http://schemas.microsoft.com/office/drawing/2014/chart" uri="{C3380CC4-5D6E-409C-BE32-E72D297353CC}">
              <c16:uniqueId val="{00000001-8825-4D64-8776-2F3F427FD3C1}"/>
            </c:ext>
          </c:extLst>
        </c:ser>
        <c:ser>
          <c:idx val="2"/>
          <c:order val="2"/>
          <c:tx>
            <c:strRef>
              <c:f>EGFR!$W$1:$W$2</c:f>
              <c:strCache>
                <c:ptCount val="1"/>
                <c:pt idx="0">
                  <c:v>GEFITINIB</c:v>
                </c:pt>
              </c:strCache>
            </c:strRef>
          </c:tx>
          <c:spPr>
            <a:solidFill>
              <a:schemeClr val="accent3"/>
            </a:solidFill>
            <a:ln>
              <a:noFill/>
            </a:ln>
            <a:effectLst/>
          </c:spPr>
          <c:cat>
            <c:strRef>
              <c:f>EGFR!$T$3:$T$29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EGFR!$W$3:$W$29</c:f>
              <c:numCache>
                <c:formatCode>General</c:formatCode>
                <c:ptCount val="26"/>
                <c:pt idx="0">
                  <c:v>501</c:v>
                </c:pt>
                <c:pt idx="1">
                  <c:v>532</c:v>
                </c:pt>
                <c:pt idx="2">
                  <c:v>607</c:v>
                </c:pt>
                <c:pt idx="3">
                  <c:v>645</c:v>
                </c:pt>
                <c:pt idx="4">
                  <c:v>583</c:v>
                </c:pt>
                <c:pt idx="5">
                  <c:v>647</c:v>
                </c:pt>
                <c:pt idx="6">
                  <c:v>682</c:v>
                </c:pt>
                <c:pt idx="7">
                  <c:v>745</c:v>
                </c:pt>
                <c:pt idx="8">
                  <c:v>673</c:v>
                </c:pt>
                <c:pt idx="9">
                  <c:v>809</c:v>
                </c:pt>
                <c:pt idx="10">
                  <c:v>726</c:v>
                </c:pt>
                <c:pt idx="11">
                  <c:v>829</c:v>
                </c:pt>
                <c:pt idx="12">
                  <c:v>728</c:v>
                </c:pt>
                <c:pt idx="13">
                  <c:v>782</c:v>
                </c:pt>
                <c:pt idx="14">
                  <c:v>791</c:v>
                </c:pt>
                <c:pt idx="15">
                  <c:v>811</c:v>
                </c:pt>
                <c:pt idx="16">
                  <c:v>874</c:v>
                </c:pt>
                <c:pt idx="17">
                  <c:v>833</c:v>
                </c:pt>
                <c:pt idx="18">
                  <c:v>890</c:v>
                </c:pt>
                <c:pt idx="19">
                  <c:v>694</c:v>
                </c:pt>
                <c:pt idx="20">
                  <c:v>497</c:v>
                </c:pt>
                <c:pt idx="21">
                  <c:v>420</c:v>
                </c:pt>
                <c:pt idx="22">
                  <c:v>366</c:v>
                </c:pt>
                <c:pt idx="23">
                  <c:v>337</c:v>
                </c:pt>
                <c:pt idx="24">
                  <c:v>259</c:v>
                </c:pt>
                <c:pt idx="25">
                  <c:v>235</c:v>
                </c:pt>
              </c:numCache>
            </c:numRef>
          </c:val>
          <c:extLst>
            <c:ext xmlns:c16="http://schemas.microsoft.com/office/drawing/2014/chart" uri="{C3380CC4-5D6E-409C-BE32-E72D297353CC}">
              <c16:uniqueId val="{00000002-8825-4D64-8776-2F3F427FD3C1}"/>
            </c:ext>
          </c:extLst>
        </c:ser>
        <c:ser>
          <c:idx val="3"/>
          <c:order val="3"/>
          <c:tx>
            <c:strRef>
              <c:f>EGFR!$X$1:$X$2</c:f>
              <c:strCache>
                <c:ptCount val="1"/>
                <c:pt idx="0">
                  <c:v>OSIMERTINIB</c:v>
                </c:pt>
              </c:strCache>
            </c:strRef>
          </c:tx>
          <c:spPr>
            <a:solidFill>
              <a:schemeClr val="accent4"/>
            </a:solidFill>
            <a:ln>
              <a:noFill/>
            </a:ln>
            <a:effectLst/>
          </c:spPr>
          <c:cat>
            <c:strRef>
              <c:f>EGFR!$T$3:$T$29</c:f>
              <c:strCache>
                <c:ptCount val="26"/>
                <c:pt idx="0">
                  <c:v>2016Q1</c:v>
                </c:pt>
                <c:pt idx="1">
                  <c:v>2016Q2</c:v>
                </c:pt>
                <c:pt idx="2">
                  <c:v>2016Q3</c:v>
                </c:pt>
                <c:pt idx="3">
                  <c:v>2016Q4</c:v>
                </c:pt>
                <c:pt idx="4">
                  <c:v>2017Q1</c:v>
                </c:pt>
                <c:pt idx="5">
                  <c:v>2017Q2</c:v>
                </c:pt>
                <c:pt idx="6">
                  <c:v>2017Q3</c:v>
                </c:pt>
                <c:pt idx="7">
                  <c:v>2017Q4</c:v>
                </c:pt>
                <c:pt idx="8">
                  <c:v>2018Q1</c:v>
                </c:pt>
                <c:pt idx="9">
                  <c:v>2018Q2</c:v>
                </c:pt>
                <c:pt idx="10">
                  <c:v>2018Q3</c:v>
                </c:pt>
                <c:pt idx="11">
                  <c:v>2018Q4</c:v>
                </c:pt>
                <c:pt idx="12">
                  <c:v>2019Q1</c:v>
                </c:pt>
                <c:pt idx="13">
                  <c:v>2019Q2</c:v>
                </c:pt>
                <c:pt idx="14">
                  <c:v>2019Q3</c:v>
                </c:pt>
                <c:pt idx="15">
                  <c:v>2019Q4</c:v>
                </c:pt>
                <c:pt idx="16">
                  <c:v>2020Q1</c:v>
                </c:pt>
                <c:pt idx="17">
                  <c:v>2020Q2</c:v>
                </c:pt>
                <c:pt idx="18">
                  <c:v>2020Q3</c:v>
                </c:pt>
                <c:pt idx="19">
                  <c:v>2020Q4</c:v>
                </c:pt>
                <c:pt idx="20">
                  <c:v>2021Q1</c:v>
                </c:pt>
                <c:pt idx="21">
                  <c:v>2021Q2</c:v>
                </c:pt>
                <c:pt idx="22">
                  <c:v>2021Q3</c:v>
                </c:pt>
                <c:pt idx="23">
                  <c:v>2021Q4</c:v>
                </c:pt>
                <c:pt idx="24">
                  <c:v>2022Q1</c:v>
                </c:pt>
                <c:pt idx="25">
                  <c:v>2022Q2</c:v>
                </c:pt>
              </c:strCache>
            </c:strRef>
          </c:cat>
          <c:val>
            <c:numRef>
              <c:f>EGFR!$X$3:$X$29</c:f>
              <c:numCache>
                <c:formatCode>General</c:formatCode>
                <c:ptCount val="26"/>
                <c:pt idx="12">
                  <c:v>371</c:v>
                </c:pt>
                <c:pt idx="13">
                  <c:v>848</c:v>
                </c:pt>
                <c:pt idx="14">
                  <c:v>908</c:v>
                </c:pt>
                <c:pt idx="15">
                  <c:v>986</c:v>
                </c:pt>
                <c:pt idx="16">
                  <c:v>999</c:v>
                </c:pt>
                <c:pt idx="17">
                  <c:v>862</c:v>
                </c:pt>
                <c:pt idx="18">
                  <c:v>1019</c:v>
                </c:pt>
                <c:pt idx="19">
                  <c:v>1072</c:v>
                </c:pt>
                <c:pt idx="20">
                  <c:v>2554</c:v>
                </c:pt>
                <c:pt idx="21">
                  <c:v>3133</c:v>
                </c:pt>
                <c:pt idx="22">
                  <c:v>3375</c:v>
                </c:pt>
                <c:pt idx="23">
                  <c:v>3746</c:v>
                </c:pt>
                <c:pt idx="24">
                  <c:v>3919</c:v>
                </c:pt>
                <c:pt idx="25">
                  <c:v>4186</c:v>
                </c:pt>
              </c:numCache>
            </c:numRef>
          </c:val>
          <c:extLst>
            <c:ext xmlns:c16="http://schemas.microsoft.com/office/drawing/2014/chart" uri="{C3380CC4-5D6E-409C-BE32-E72D297353CC}">
              <c16:uniqueId val="{00000003-8825-4D64-8776-2F3F427FD3C1}"/>
            </c:ext>
          </c:extLst>
        </c:ser>
        <c:dLbls>
          <c:showLegendKey val="0"/>
          <c:showVal val="0"/>
          <c:showCatName val="0"/>
          <c:showSerName val="0"/>
          <c:showPercent val="0"/>
          <c:showBubbleSize val="0"/>
        </c:dLbls>
        <c:axId val="864725136"/>
        <c:axId val="864726120"/>
      </c:areaChart>
      <c:catAx>
        <c:axId val="8647251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726120"/>
        <c:crosses val="autoZero"/>
        <c:auto val="1"/>
        <c:lblAlgn val="ctr"/>
        <c:lblOffset val="100"/>
        <c:noMultiLvlLbl val="0"/>
      </c:catAx>
      <c:valAx>
        <c:axId val="864726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7251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4054C8FDF98FB49AA9ED3A3BDFE8700" ma:contentTypeVersion="4" ma:contentTypeDescription="Create a new document." ma:contentTypeScope="" ma:versionID="f5d0caa92d5e27f45e6506bd92ee1888">
  <xsd:schema xmlns:xsd="http://www.w3.org/2001/XMLSchema" xmlns:xs="http://www.w3.org/2001/XMLSchema" xmlns:p="http://schemas.microsoft.com/office/2006/metadata/properties" xmlns:ns3="5ff77591-3880-485b-9f99-d31f2990315d" targetNamespace="http://schemas.microsoft.com/office/2006/metadata/properties" ma:root="true" ma:fieldsID="7e98a9e07b82b0cd2894eb027409a43c" ns3:_="">
    <xsd:import namespace="5ff77591-3880-485b-9f99-d31f299031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f77591-3880-485b-9f99-d31f29903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EE7F02-4AA4-4CA2-95E1-1ED12F5FFE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B699CC-C504-4E21-925D-B03DFF2EBB92}">
  <ds:schemaRefs>
    <ds:schemaRef ds:uri="http://schemas.openxmlformats.org/officeDocument/2006/bibliography"/>
  </ds:schemaRefs>
</ds:datastoreItem>
</file>

<file path=customXml/itemProps3.xml><?xml version="1.0" encoding="utf-8"?>
<ds:datastoreItem xmlns:ds="http://schemas.openxmlformats.org/officeDocument/2006/customXml" ds:itemID="{4726913F-C476-4A46-B30B-E5F4A327A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f77591-3880-485b-9f99-d31f299031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060094-1F1A-4810-8D73-2BE02B6F97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40</Pages>
  <Words>10037</Words>
  <Characters>57213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Medicines Australia</Company>
  <LinksUpToDate>false</LinksUpToDate>
  <CharactersWithSpaces>67116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ATKINS, Kerry</cp:lastModifiedBy>
  <cp:revision>5</cp:revision>
  <cp:lastPrinted>2023-02-28T05:41:00Z</cp:lastPrinted>
  <dcterms:created xsi:type="dcterms:W3CDTF">2023-02-28T05:43:00Z</dcterms:created>
  <dcterms:modified xsi:type="dcterms:W3CDTF">2023-03-07T23:09:00Z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0x010100B4054C8FDF98FB49AA9ED3A3BDFE8700</vt:lpwstr>
  </property>
</Properties>
</file>