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7B2F0728" w:rsidR="00832324" w:rsidRDefault="00A16599" w:rsidP="00F73113">
      <w:pPr>
        <w:pStyle w:val="Title"/>
      </w:pPr>
      <w:r>
        <w:t>Olaparib for ovarian, fallopian tube and primary peritoneal cancer</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6B594B32" w:rsidR="009053D3" w:rsidRPr="00F73113" w:rsidRDefault="00A16599" w:rsidP="00F73113">
      <w:pPr>
        <w:pStyle w:val="Meetingdate"/>
      </w:pPr>
      <w:r>
        <w:t>June</w:t>
      </w:r>
      <w:r w:rsidR="00D151EB" w:rsidRPr="00F73113">
        <w:t xml:space="preserve"> 20</w:t>
      </w:r>
      <w:r>
        <w:t>23</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44E3316A" w14:textId="7B2176C2" w:rsidR="003E5A43" w:rsidRDefault="003E5A43" w:rsidP="003E5A43">
      <w:pPr>
        <w:pStyle w:val="NoSpacing"/>
      </w:pPr>
      <w:r>
        <w:t>To review the utilisation of olaparib for ovarian, fallopian</w:t>
      </w:r>
      <w:r w:rsidR="007D45E0">
        <w:t xml:space="preserve"> tube</w:t>
      </w:r>
      <w:r>
        <w:t xml:space="preserve"> and primary peritoneal cancer as requested by DUSC at its February 2023 meeting.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47C526C8" w:rsidR="002D144A" w:rsidRPr="002D144A" w:rsidRDefault="00A02D8E" w:rsidP="002D144A">
      <w:r>
        <w:t>Olaparib was</w:t>
      </w:r>
      <w:r w:rsidR="00813311">
        <w:t xml:space="preserve"> first</w:t>
      </w:r>
      <w:r>
        <w:t xml:space="preserve"> PBS-listed for</w:t>
      </w:r>
      <w:r w:rsidR="007E6987">
        <w:t xml:space="preserve"> the</w:t>
      </w:r>
      <w:r>
        <w:t xml:space="preserve"> </w:t>
      </w:r>
      <w:r w:rsidR="00813311">
        <w:t>second-line treatment of high grade serous ovarian, primary peritoneal and serous fallopian tube cancer</w:t>
      </w:r>
      <w:r w:rsidR="00387376">
        <w:t xml:space="preserve"> </w:t>
      </w:r>
      <w:r>
        <w:t xml:space="preserve">on 1 February 2017. </w:t>
      </w:r>
    </w:p>
    <w:p w14:paraId="526743BB" w14:textId="77777777" w:rsidR="005C6661" w:rsidRDefault="005C6661" w:rsidP="00CF5E22">
      <w:pPr>
        <w:pStyle w:val="Heading3"/>
      </w:pPr>
      <w:r>
        <w:t>Data Source / methodology</w:t>
      </w:r>
    </w:p>
    <w:p w14:paraId="3C74AB36" w14:textId="341809F0" w:rsidR="006804E0" w:rsidRDefault="006804E0" w:rsidP="005C6661">
      <w:pPr>
        <w:pStyle w:val="NoSpacing"/>
      </w:pPr>
      <w:r w:rsidRPr="006804E0">
        <w:t xml:space="preserve">Data extracted from the PBS </w:t>
      </w:r>
      <w:r w:rsidR="007E6987">
        <w:t xml:space="preserve">and Date of Death </w:t>
      </w:r>
      <w:r w:rsidRPr="006804E0">
        <w:t xml:space="preserve">database maintained by </w:t>
      </w:r>
      <w:r w:rsidR="0036338A">
        <w:t xml:space="preserve">the </w:t>
      </w:r>
      <w:r w:rsidRPr="006804E0">
        <w:t>Department of Health and Aged Care, processed by Services Australia were used for the analyses.</w:t>
      </w:r>
    </w:p>
    <w:p w14:paraId="7599E7C1" w14:textId="77777777" w:rsidR="005C6661" w:rsidRDefault="005C6661" w:rsidP="00CF5E22">
      <w:pPr>
        <w:pStyle w:val="Heading3"/>
      </w:pPr>
      <w:r>
        <w:t>Key Findings</w:t>
      </w:r>
    </w:p>
    <w:p w14:paraId="0A7D1384" w14:textId="59B30CB1" w:rsidR="001730D9" w:rsidRDefault="001730D9" w:rsidP="00B5399C">
      <w:pPr>
        <w:pStyle w:val="NoSpacing"/>
        <w:numPr>
          <w:ilvl w:val="0"/>
          <w:numId w:val="41"/>
        </w:numPr>
      </w:pPr>
      <w:r>
        <w:t>In 2022, 598 patients were treated with olaparib and supplied 4,864 prescriptions.</w:t>
      </w:r>
      <w:r w:rsidR="00387376">
        <w:t xml:space="preserve"> </w:t>
      </w:r>
    </w:p>
    <w:p w14:paraId="7B96E358" w14:textId="1AEA068E" w:rsidR="00387376" w:rsidRDefault="00387376" w:rsidP="00B5399C">
      <w:pPr>
        <w:pStyle w:val="NoSpacing"/>
        <w:numPr>
          <w:ilvl w:val="0"/>
          <w:numId w:val="41"/>
        </w:numPr>
      </w:pPr>
      <w:r>
        <w:t xml:space="preserve">In 2021, 543 patients were treated with olaparib and supplied 4,363 prescriptions. </w:t>
      </w:r>
    </w:p>
    <w:p w14:paraId="1F0A4370" w14:textId="784B1A74" w:rsidR="000C6EC0" w:rsidRDefault="000C6EC0" w:rsidP="00B5399C">
      <w:pPr>
        <w:pStyle w:val="NoSpacing"/>
        <w:numPr>
          <w:ilvl w:val="0"/>
          <w:numId w:val="41"/>
        </w:numPr>
      </w:pPr>
      <w:r>
        <w:t xml:space="preserve">In 2021 and 2022, there was a greater proportion of olaparib patients treated for second-line ovarian, fallopian tube and primary peritoneal cancer, compared to first-line therapy. </w:t>
      </w:r>
    </w:p>
    <w:p w14:paraId="1C194EBE" w14:textId="5451D521" w:rsidR="001730D9" w:rsidRDefault="00B33A66" w:rsidP="00B5399C">
      <w:pPr>
        <w:pStyle w:val="NoSpacing"/>
        <w:numPr>
          <w:ilvl w:val="0"/>
          <w:numId w:val="41"/>
        </w:numPr>
      </w:pPr>
      <w:r>
        <w:t xml:space="preserve">The median age of patients initiating treatment with olaparib was </w:t>
      </w:r>
      <w:r w:rsidR="00387376">
        <w:t>63</w:t>
      </w:r>
      <w:r>
        <w:t xml:space="preserve"> years old. </w:t>
      </w:r>
      <w:r w:rsidR="007E6987">
        <w:t xml:space="preserve">The median age of initiating first- and second- line patients were similar. </w:t>
      </w:r>
    </w:p>
    <w:p w14:paraId="022BF79A" w14:textId="77777777" w:rsidR="00B5399C" w:rsidRPr="002B559C" w:rsidRDefault="00475B8B" w:rsidP="00B5399C">
      <w:pPr>
        <w:pStyle w:val="NoSpacing"/>
        <w:numPr>
          <w:ilvl w:val="0"/>
          <w:numId w:val="41"/>
        </w:numPr>
      </w:pPr>
      <w:r>
        <w:t>Actual u</w:t>
      </w:r>
      <w:r w:rsidRPr="00475B8B">
        <w:t>tilisation of olaparib for the first-line therapy was different from</w:t>
      </w:r>
      <w:r>
        <w:t xml:space="preserve"> estimated</w:t>
      </w:r>
      <w:r w:rsidRPr="00475B8B">
        <w:t xml:space="preserve">. </w:t>
      </w:r>
      <w:r w:rsidR="00DD6AC4" w:rsidRPr="00475B8B">
        <w:t xml:space="preserve">The number of </w:t>
      </w:r>
      <w:r w:rsidRPr="002B559C">
        <w:t xml:space="preserve">treated patients </w:t>
      </w:r>
      <w:r w:rsidR="00DD6AC4" w:rsidRPr="002B559C">
        <w:t xml:space="preserve">was greater than estimated, </w:t>
      </w:r>
      <w:r w:rsidRPr="002B559C">
        <w:t>whereas</w:t>
      </w:r>
      <w:r w:rsidR="00DD6AC4" w:rsidRPr="002B559C">
        <w:t xml:space="preserve"> the number of prescriptions supplied was </w:t>
      </w:r>
      <w:r w:rsidR="00E91ADF" w:rsidRPr="002B559C">
        <w:t>lower</w:t>
      </w:r>
      <w:r w:rsidR="00DD6AC4" w:rsidRPr="002B559C">
        <w:t xml:space="preserve"> than estimated. </w:t>
      </w:r>
    </w:p>
    <w:p w14:paraId="38B57ECC" w14:textId="7D24A71D" w:rsidR="00BB0D1A" w:rsidRPr="00B5399C" w:rsidRDefault="000C6EC0" w:rsidP="00B5399C">
      <w:pPr>
        <w:pStyle w:val="NoSpacing"/>
        <w:numPr>
          <w:ilvl w:val="0"/>
          <w:numId w:val="41"/>
        </w:numPr>
      </w:pPr>
      <w:r w:rsidRPr="002B559C">
        <w:t xml:space="preserve">The </w:t>
      </w:r>
      <w:r w:rsidR="007E6987" w:rsidRPr="002B559C">
        <w:t>mean</w:t>
      </w:r>
      <w:r w:rsidR="00391863" w:rsidRPr="002B559C">
        <w:t xml:space="preserve"> and median</w:t>
      </w:r>
      <w:r w:rsidR="007E6987" w:rsidRPr="002B559C">
        <w:t xml:space="preserve"> treatment duration for patients treated</w:t>
      </w:r>
      <w:r w:rsidR="007E6987" w:rsidRPr="00475B8B">
        <w:t xml:space="preserve"> with olaparib in the first-line setting</w:t>
      </w:r>
      <w:r w:rsidR="00391863" w:rsidRPr="00475B8B">
        <w:t xml:space="preserve"> accounting for breaks in treatment was 9.17 months and 8.96 months, respectively. </w:t>
      </w:r>
      <w:r w:rsidR="00DD6AC4" w:rsidRPr="00475B8B">
        <w:t xml:space="preserve">The </w:t>
      </w:r>
      <w:r w:rsidR="00475B8B" w:rsidRPr="00475B8B">
        <w:t>treatment duration</w:t>
      </w:r>
      <w:r w:rsidR="00DD6AC4" w:rsidRPr="00475B8B">
        <w:t xml:space="preserve"> was </w:t>
      </w:r>
      <w:r w:rsidR="00DD6AC4" w:rsidRPr="007C7130">
        <w:t>less</w:t>
      </w:r>
      <w:r w:rsidR="00DD6AC4" w:rsidRPr="00475B8B">
        <w:t xml:space="preserve"> compared to the </w:t>
      </w:r>
      <w:r w:rsidR="00475B8B" w:rsidRPr="00475B8B">
        <w:t xml:space="preserve">key </w:t>
      </w:r>
      <w:r w:rsidR="009B66A3">
        <w:t xml:space="preserve">trial, SOLO1. </w:t>
      </w:r>
      <w:r w:rsidR="00BB0D1A">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58C12DA8" w14:textId="0EF49CE8" w:rsidR="003719CA" w:rsidRDefault="003719CA" w:rsidP="003719CA">
      <w:pPr>
        <w:pStyle w:val="NoSpacing"/>
      </w:pPr>
      <w:r>
        <w:t xml:space="preserve">To review </w:t>
      </w:r>
      <w:r w:rsidR="003E5A43">
        <w:t xml:space="preserve">the utilisation of </w:t>
      </w:r>
      <w:r>
        <w:t>olaparib for ovarian, fallopian</w:t>
      </w:r>
      <w:r w:rsidR="007D45E0">
        <w:t xml:space="preserve"> tube</w:t>
      </w:r>
      <w:r>
        <w:t xml:space="preserve"> and primary peritoneal cancer as requested by DUSC at its February 2023 meeting. </w:t>
      </w:r>
    </w:p>
    <w:p w14:paraId="0A7F0B57" w14:textId="034D22D5" w:rsidR="006537D9" w:rsidRPr="005E22C2" w:rsidRDefault="00736041" w:rsidP="00CF5E22">
      <w:pPr>
        <w:pStyle w:val="Heading1"/>
      </w:pPr>
      <w:r w:rsidRPr="005E22C2">
        <w:t>Background</w:t>
      </w:r>
    </w:p>
    <w:p w14:paraId="6EE4C4DE" w14:textId="07C6A50B" w:rsidR="004A4AF6" w:rsidRPr="004A4AF6" w:rsidRDefault="00EE2BBB" w:rsidP="004A4AF6">
      <w:pPr>
        <w:pStyle w:val="Heading2"/>
      </w:pPr>
      <w:r w:rsidRPr="007247B9">
        <w:t>Clinical situation</w:t>
      </w:r>
    </w:p>
    <w:p w14:paraId="0D64B99F" w14:textId="126C6172" w:rsidR="00326676" w:rsidRDefault="00326676" w:rsidP="00134050">
      <w:pPr>
        <w:autoSpaceDE w:val="0"/>
        <w:autoSpaceDN w:val="0"/>
        <w:adjustRightInd w:val="0"/>
        <w:spacing w:after="0"/>
      </w:pPr>
      <w:r>
        <w:t xml:space="preserve">Epithelial ovarian cancer is the most common type of ovarian cancer, accounting for </w:t>
      </w:r>
      <w:r w:rsidR="00500FD9">
        <w:t>approximately</w:t>
      </w:r>
      <w:r>
        <w:t xml:space="preserve"> 90% of ovarian cancer cases.</w:t>
      </w:r>
      <w:r w:rsidR="006930FF" w:rsidRPr="006930FF">
        <w:rPr>
          <w:rStyle w:val="FootnoteReference"/>
        </w:rPr>
        <w:t xml:space="preserve"> </w:t>
      </w:r>
      <w:bookmarkStart w:id="0" w:name="_Ref133491722"/>
      <w:r w:rsidR="006930FF">
        <w:rPr>
          <w:rStyle w:val="FootnoteReference"/>
        </w:rPr>
        <w:footnoteReference w:id="1"/>
      </w:r>
      <w:bookmarkEnd w:id="0"/>
      <w:r>
        <w:t xml:space="preserve"> Epithelial ovarian, fallopian tube and primary peritoneal cancers all develop in the same type of tissue and are treated the same way.</w:t>
      </w:r>
      <w:r w:rsidR="006930FF">
        <w:rPr>
          <w:rStyle w:val="FootnoteReference"/>
        </w:rPr>
        <w:footnoteReference w:id="2"/>
      </w:r>
    </w:p>
    <w:p w14:paraId="0C0D76A1" w14:textId="77777777" w:rsidR="009671BC" w:rsidRDefault="009671BC" w:rsidP="00134050">
      <w:pPr>
        <w:autoSpaceDE w:val="0"/>
        <w:autoSpaceDN w:val="0"/>
        <w:adjustRightInd w:val="0"/>
        <w:spacing w:after="0"/>
        <w:rPr>
          <w:rFonts w:ascii="Calibri" w:hAnsi="Calibri" w:cs="Calibri"/>
          <w:color w:val="000000"/>
        </w:rPr>
      </w:pPr>
    </w:p>
    <w:p w14:paraId="39F464C4" w14:textId="5FF7827D" w:rsidR="00134050" w:rsidRPr="009671BC" w:rsidRDefault="009671BC" w:rsidP="00134050">
      <w:pPr>
        <w:autoSpaceDE w:val="0"/>
        <w:autoSpaceDN w:val="0"/>
        <w:adjustRightInd w:val="0"/>
        <w:spacing w:after="0"/>
      </w:pPr>
      <w:r>
        <w:t>In its early stages, ovarian cancer usually has no symptoms. When signs and symptoms do appear, the cancer is often advanced.</w:t>
      </w:r>
      <w:r w:rsidR="006930FF" w:rsidRPr="006930FF">
        <w:rPr>
          <w:vertAlign w:val="superscript"/>
        </w:rPr>
        <w:fldChar w:fldCharType="begin"/>
      </w:r>
      <w:r w:rsidR="006930FF" w:rsidRPr="006930FF">
        <w:rPr>
          <w:vertAlign w:val="superscript"/>
        </w:rPr>
        <w:instrText xml:space="preserve"> NOTEREF _Ref133491722 \h </w:instrText>
      </w:r>
      <w:r w:rsidR="006930FF">
        <w:rPr>
          <w:vertAlign w:val="superscript"/>
        </w:rPr>
        <w:instrText xml:space="preserve"> \* MERGEFORMAT </w:instrText>
      </w:r>
      <w:r w:rsidR="006930FF" w:rsidRPr="006930FF">
        <w:rPr>
          <w:vertAlign w:val="superscript"/>
        </w:rPr>
      </w:r>
      <w:r w:rsidR="006930FF" w:rsidRPr="006930FF">
        <w:rPr>
          <w:vertAlign w:val="superscript"/>
        </w:rPr>
        <w:fldChar w:fldCharType="separate"/>
      </w:r>
      <w:r w:rsidR="00A2282D">
        <w:rPr>
          <w:vertAlign w:val="superscript"/>
        </w:rPr>
        <w:t>1</w:t>
      </w:r>
      <w:r w:rsidR="006930FF" w:rsidRPr="006930FF">
        <w:rPr>
          <w:vertAlign w:val="superscript"/>
        </w:rPr>
        <w:fldChar w:fldCharType="end"/>
      </w:r>
      <w:r w:rsidR="005A5D9F" w:rsidRPr="005A5D9F">
        <w:rPr>
          <w:rStyle w:val="FootnoteReference"/>
        </w:rPr>
        <w:t xml:space="preserve"> </w:t>
      </w:r>
      <w:r>
        <w:t xml:space="preserve">Mutations in the </w:t>
      </w:r>
      <w:r>
        <w:rPr>
          <w:rFonts w:ascii="Calibri" w:hAnsi="Calibri" w:cs="Calibri"/>
          <w:color w:val="000000"/>
        </w:rPr>
        <w:t>BReast CAncer (BRCA) 1 and BRCA 2 genes are attributed to most cases of hereditary ovarian cancer.</w:t>
      </w:r>
      <w:r w:rsidR="00075BBA">
        <w:rPr>
          <w:rStyle w:val="FootnoteReference"/>
          <w:rFonts w:ascii="Calibri" w:hAnsi="Calibri" w:cs="Calibri"/>
          <w:color w:val="000000"/>
        </w:rPr>
        <w:t xml:space="preserve"> </w:t>
      </w:r>
    </w:p>
    <w:p w14:paraId="6E4E2339" w14:textId="77777777" w:rsidR="002A6359" w:rsidRPr="00EA0DAD" w:rsidRDefault="002A6359" w:rsidP="00134050">
      <w:pPr>
        <w:autoSpaceDE w:val="0"/>
        <w:autoSpaceDN w:val="0"/>
        <w:adjustRightInd w:val="0"/>
        <w:spacing w:after="0"/>
        <w:rPr>
          <w:rFonts w:ascii="Calibri" w:hAnsi="Calibri" w:cs="Calibri"/>
          <w:color w:val="000000"/>
        </w:rPr>
      </w:pPr>
    </w:p>
    <w:p w14:paraId="1AC809D1" w14:textId="025A75E4" w:rsidR="002A6359" w:rsidRPr="00B8696F" w:rsidRDefault="004A4AF6" w:rsidP="00075BBA">
      <w:pPr>
        <w:pStyle w:val="Default"/>
        <w:rPr>
          <w:rFonts w:cs="Calibri"/>
        </w:rPr>
      </w:pPr>
      <w:r w:rsidRPr="00EA0DAD">
        <w:rPr>
          <w:rFonts w:cs="Calibri"/>
        </w:rPr>
        <w:t xml:space="preserve">Advanced ovarian cancer has a high mortality rate. Despite high rates of response to first-line platinum-based chemotherapy, the majority of patients with advanced ovarian cancer relapse or progress within 3 years. </w:t>
      </w:r>
    </w:p>
    <w:p w14:paraId="0183A567" w14:textId="413DF87B" w:rsidR="007247B9" w:rsidRDefault="007247B9" w:rsidP="00CF5E22">
      <w:pPr>
        <w:pStyle w:val="Heading2"/>
      </w:pPr>
      <w:r>
        <w:t>Pharmacology</w:t>
      </w:r>
    </w:p>
    <w:p w14:paraId="1BD992CD" w14:textId="359B420E" w:rsidR="004A4AF6" w:rsidRPr="00AA5D0D" w:rsidRDefault="002F30A0" w:rsidP="00AA5D0D">
      <w:r>
        <w:t>Poly ADP</w:t>
      </w:r>
      <w:r w:rsidR="00EE6C70">
        <w:t>-</w:t>
      </w:r>
      <w:r>
        <w:t xml:space="preserve">Ribose Polymerase </w:t>
      </w:r>
      <w:r w:rsidR="00EE6C70">
        <w:t>(</w:t>
      </w:r>
      <w:r w:rsidR="007D45E0" w:rsidRPr="003719CA">
        <w:rPr>
          <w:rFonts w:cstheme="minorHAnsi"/>
          <w:color w:val="000000"/>
        </w:rPr>
        <w:t>PARP</w:t>
      </w:r>
      <w:r w:rsidR="00EE6C70">
        <w:rPr>
          <w:rFonts w:cstheme="minorHAnsi"/>
          <w:color w:val="000000"/>
        </w:rPr>
        <w:t>)</w:t>
      </w:r>
      <w:r w:rsidR="007D45E0" w:rsidRPr="003719CA">
        <w:rPr>
          <w:rFonts w:cstheme="minorHAnsi"/>
          <w:color w:val="000000"/>
        </w:rPr>
        <w:t xml:space="preserve"> enzymes are required for the repair of DNA single strand breaks</w:t>
      </w:r>
      <w:r w:rsidR="007D45E0">
        <w:rPr>
          <w:rFonts w:cstheme="minorHAnsi"/>
          <w:color w:val="000000"/>
        </w:rPr>
        <w:t xml:space="preserve">. </w:t>
      </w:r>
      <w:r w:rsidR="003719CA">
        <w:t>Olaparib belongs to a group of medicines called PARP inhibitors. PARP inhibitors</w:t>
      </w:r>
      <w:r w:rsidR="00EE6C70">
        <w:t xml:space="preserve"> prevent DNA repair, causing </w:t>
      </w:r>
      <w:r w:rsidR="003719CA">
        <w:t>cancer cells</w:t>
      </w:r>
      <w:r w:rsidR="00EE6C70">
        <w:t xml:space="preserve"> to die</w:t>
      </w:r>
      <w:r w:rsidR="003719CA">
        <w:t>. These specific cancer cells can be identified by response to platinum chemotherapy or by looking for faulty DNA repair genes such as BRCA gen</w:t>
      </w:r>
      <w:r w:rsidR="003719CA" w:rsidRPr="00EE6C70">
        <w:t>es.</w:t>
      </w:r>
      <w:r w:rsidR="00EE6C70" w:rsidRPr="00EE6C70">
        <w:rPr>
          <w:rStyle w:val="FootnoteReference"/>
        </w:rPr>
        <w:footnoteReference w:id="3"/>
      </w:r>
    </w:p>
    <w:p w14:paraId="6AC18C88" w14:textId="7CB4BD7B" w:rsidR="001420B3"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66787CA6" w14:textId="77777777" w:rsidR="003A6E5C" w:rsidRDefault="003A6E5C" w:rsidP="003A6E5C">
      <w:r>
        <w:t xml:space="preserve">Olaparib is TGA indicated for: </w:t>
      </w:r>
    </w:p>
    <w:p w14:paraId="6F2BDAC7" w14:textId="77777777" w:rsidR="003A6E5C" w:rsidRDefault="00B65CCF" w:rsidP="0012026D">
      <w:pPr>
        <w:pStyle w:val="ListParagraph"/>
        <w:numPr>
          <w:ilvl w:val="0"/>
          <w:numId w:val="1"/>
        </w:numPr>
        <w:ind w:left="357" w:hanging="357"/>
      </w:pPr>
      <w:r>
        <w:t>M</w:t>
      </w:r>
      <w:r w:rsidR="004D4E4B">
        <w:t>onotherapy for the maintenance treatment of adult patients with advanced breast cancer susceptibility gene (BRCA) mutated (germline or somatic) high-grade epithelial ovarian, fallopian tube or primary peritoneal cancer who are in response (complete response or partial response) to first-line platinum-based chemotherapy. BRCA mutation status should be determined by an experienced laboratory using a validated test method.</w:t>
      </w:r>
    </w:p>
    <w:p w14:paraId="4004CC1E" w14:textId="77777777" w:rsidR="003A6E5C" w:rsidRDefault="00B65CCF" w:rsidP="003A6E5C">
      <w:pPr>
        <w:pStyle w:val="ListParagraph"/>
        <w:numPr>
          <w:ilvl w:val="0"/>
          <w:numId w:val="1"/>
        </w:numPr>
      </w:pPr>
      <w:r>
        <w:lastRenderedPageBreak/>
        <w:t>M</w:t>
      </w:r>
      <w:r w:rsidR="004D4E4B">
        <w:t xml:space="preserve">onotherapy maintenance treatment of adult patients with platinum-sensitive relapsed high grade epithelial ovarian, fallopian tube or primary peritoneal cancer who are in response (complete response or partial response) after platinum-based chemotherapy. Prior treatment must have included at least 2 courses of platinum-based regimens. </w:t>
      </w:r>
    </w:p>
    <w:p w14:paraId="65B66A4D" w14:textId="77777777" w:rsidR="009A56A7" w:rsidRDefault="003A4E6D" w:rsidP="0012026D">
      <w:pPr>
        <w:pStyle w:val="ListParagraph"/>
        <w:numPr>
          <w:ilvl w:val="0"/>
          <w:numId w:val="1"/>
        </w:numPr>
        <w:ind w:left="357" w:hanging="357"/>
      </w:pPr>
      <w:r>
        <w:t>I</w:t>
      </w:r>
      <w:r w:rsidR="004D4E4B">
        <w:t>n combination with bevacizumab for the maintenance treatment of adult patients with advanced epithelial ovarian, fallopian tube or primary peritoneal cancer who are in complete or partial response to first-line platinum</w:t>
      </w:r>
      <w:r w:rsidR="00A807DE">
        <w:t xml:space="preserve"> </w:t>
      </w:r>
      <w:r w:rsidR="004D4E4B">
        <w:t xml:space="preserve">based chemotherapy and whose cancer is associated with homologous recombination deficiency (HRD)-positive status defined by either: </w:t>
      </w:r>
    </w:p>
    <w:p w14:paraId="31B5F828" w14:textId="77777777" w:rsidR="009A56A7" w:rsidRDefault="004D4E4B" w:rsidP="009A56A7">
      <w:pPr>
        <w:pStyle w:val="ListParagraph"/>
        <w:numPr>
          <w:ilvl w:val="0"/>
          <w:numId w:val="46"/>
        </w:numPr>
      </w:pPr>
      <w:r>
        <w:t xml:space="preserve">a deleterious or suspected deleterious BRCA mutation (germline or somatic), and/or </w:t>
      </w:r>
    </w:p>
    <w:p w14:paraId="39A48ECD" w14:textId="729AA4EC" w:rsidR="004D4E4B" w:rsidRDefault="004D4E4B" w:rsidP="009A56A7">
      <w:pPr>
        <w:pStyle w:val="ListParagraph"/>
        <w:numPr>
          <w:ilvl w:val="0"/>
          <w:numId w:val="46"/>
        </w:numPr>
      </w:pPr>
      <w:r>
        <w:t xml:space="preserve">genomic instability HRD status should be determined by an experienced laboratory using a validated test method. </w:t>
      </w:r>
    </w:p>
    <w:p w14:paraId="4E82E5C6" w14:textId="77777777" w:rsidR="003A6E5C" w:rsidRDefault="003A6E5C" w:rsidP="003A6E5C">
      <w:pPr>
        <w:pStyle w:val="ListParagraph"/>
        <w:ind w:left="360"/>
      </w:pPr>
    </w:p>
    <w:p w14:paraId="411BD64F" w14:textId="57A80834" w:rsidR="003A6E5C" w:rsidRDefault="003A6E5C" w:rsidP="003A6E5C">
      <w:r>
        <w:t xml:space="preserve">Olaparib is also TGA </w:t>
      </w:r>
      <w:r w:rsidR="00A807DE">
        <w:t>indicated</w:t>
      </w:r>
      <w:r>
        <w:t xml:space="preserve"> for the treatment of: </w:t>
      </w:r>
    </w:p>
    <w:p w14:paraId="6DD9F796" w14:textId="528F7487" w:rsidR="003A6E5C" w:rsidRDefault="004D4E4B" w:rsidP="003A6E5C">
      <w:pPr>
        <w:pStyle w:val="ListParagraph"/>
        <w:numPr>
          <w:ilvl w:val="0"/>
          <w:numId w:val="39"/>
        </w:numPr>
        <w:ind w:left="426"/>
      </w:pPr>
      <w:r w:rsidRPr="004E44BD">
        <w:t>Breast cancer</w:t>
      </w:r>
      <w:r w:rsidR="003A6E5C">
        <w:t xml:space="preserve">, </w:t>
      </w:r>
    </w:p>
    <w:p w14:paraId="27625585" w14:textId="5C742119" w:rsidR="003A6E5C" w:rsidRDefault="004D4E4B" w:rsidP="003A6E5C">
      <w:pPr>
        <w:pStyle w:val="ListParagraph"/>
        <w:numPr>
          <w:ilvl w:val="0"/>
          <w:numId w:val="39"/>
        </w:numPr>
        <w:ind w:left="426"/>
      </w:pPr>
      <w:r w:rsidRPr="004E44BD">
        <w:t>Adenocarcinoma of the pancreas</w:t>
      </w:r>
      <w:r w:rsidR="003A6E5C">
        <w:t xml:space="preserve">, and </w:t>
      </w:r>
    </w:p>
    <w:p w14:paraId="13B0FC44" w14:textId="420B6DF9" w:rsidR="008D45B1" w:rsidRDefault="004D4E4B" w:rsidP="003A6E5C">
      <w:pPr>
        <w:pStyle w:val="ListParagraph"/>
        <w:numPr>
          <w:ilvl w:val="0"/>
          <w:numId w:val="39"/>
        </w:numPr>
        <w:ind w:left="426"/>
      </w:pPr>
      <w:r w:rsidRPr="004E44BD">
        <w:t>Prostate cancer</w:t>
      </w:r>
      <w:r w:rsidR="00A60BC4">
        <w:t xml:space="preserve">. </w:t>
      </w:r>
    </w:p>
    <w:p w14:paraId="4B86CE63" w14:textId="2D981388" w:rsidR="003A4E6D" w:rsidRPr="004E44BD" w:rsidRDefault="003A4E6D" w:rsidP="003A4E6D">
      <w:r>
        <w:t xml:space="preserve">Further information about olaparib’s registered indications is available from the </w:t>
      </w:r>
      <w:hyperlink r:id="rId8" w:history="1">
        <w:r w:rsidRPr="003A4E6D">
          <w:rPr>
            <w:rStyle w:val="Hyperlink"/>
          </w:rPr>
          <w:t>Australian Register of Therapeutic Goods.</w:t>
        </w:r>
      </w:hyperlink>
    </w:p>
    <w:p w14:paraId="15E919C1" w14:textId="1B3BA560" w:rsidR="006B709B" w:rsidRDefault="006B709B" w:rsidP="00CF5E22">
      <w:pPr>
        <w:pStyle w:val="Heading2"/>
      </w:pPr>
      <w:r>
        <w:t>Dosage and administration</w:t>
      </w:r>
    </w:p>
    <w:p w14:paraId="0E76ADCC" w14:textId="09ABF098" w:rsidR="00710803" w:rsidRDefault="00710803" w:rsidP="00264ADD">
      <w:pPr>
        <w:spacing w:after="0"/>
      </w:pPr>
      <w:r w:rsidRPr="00710803">
        <w:t>Treatment with olaparib should be initiated and supervised by a physician experienced in the use of anticancer medicinal products.</w:t>
      </w:r>
      <w:r>
        <w:t xml:space="preserve"> </w:t>
      </w:r>
    </w:p>
    <w:p w14:paraId="2439BB68" w14:textId="77777777" w:rsidR="00264ADD" w:rsidRPr="00264ADD" w:rsidRDefault="00264ADD" w:rsidP="00264ADD">
      <w:pPr>
        <w:spacing w:after="0"/>
      </w:pPr>
    </w:p>
    <w:p w14:paraId="25EF5DAA" w14:textId="2AB69C27" w:rsidR="00710803" w:rsidRDefault="00710803" w:rsidP="00264ADD">
      <w:pPr>
        <w:autoSpaceDE w:val="0"/>
        <w:autoSpaceDN w:val="0"/>
        <w:adjustRightInd w:val="0"/>
        <w:spacing w:after="0"/>
        <w:rPr>
          <w:rFonts w:cstheme="minorHAnsi"/>
          <w:color w:val="000000"/>
        </w:rPr>
      </w:pPr>
      <w:r w:rsidRPr="00710803">
        <w:rPr>
          <w:rFonts w:cstheme="minorHAnsi"/>
          <w:color w:val="000000"/>
        </w:rPr>
        <w:t xml:space="preserve">Patients should be instructed to take </w:t>
      </w:r>
      <w:r w:rsidR="00264ADD">
        <w:rPr>
          <w:rFonts w:cstheme="minorHAnsi"/>
          <w:color w:val="000000"/>
        </w:rPr>
        <w:t>olaparib</w:t>
      </w:r>
      <w:r w:rsidRPr="00710803">
        <w:rPr>
          <w:rFonts w:cstheme="minorHAnsi"/>
          <w:color w:val="000000"/>
        </w:rPr>
        <w:t xml:space="preserve"> tablets at approximately the same time each day. </w:t>
      </w:r>
      <w:r w:rsidR="00264ADD">
        <w:rPr>
          <w:rFonts w:cstheme="minorHAnsi"/>
          <w:color w:val="000000"/>
        </w:rPr>
        <w:t>T</w:t>
      </w:r>
      <w:r w:rsidRPr="00710803">
        <w:rPr>
          <w:rFonts w:cstheme="minorHAnsi"/>
          <w:color w:val="000000"/>
        </w:rPr>
        <w:t>ablets should be swallowed whole and not chewed, crushed, dissolved or divided.</w:t>
      </w:r>
      <w:r w:rsidR="003E5A43">
        <w:rPr>
          <w:rFonts w:cstheme="minorHAnsi"/>
          <w:color w:val="000000"/>
        </w:rPr>
        <w:t xml:space="preserve"> </w:t>
      </w:r>
      <w:r w:rsidR="00264ADD">
        <w:rPr>
          <w:rFonts w:cstheme="minorHAnsi"/>
          <w:color w:val="000000"/>
        </w:rPr>
        <w:t>T</w:t>
      </w:r>
      <w:r w:rsidRPr="00710803">
        <w:rPr>
          <w:rFonts w:cstheme="minorHAnsi"/>
          <w:color w:val="000000"/>
        </w:rPr>
        <w:t xml:space="preserve">ablets can be taken with or without food. </w:t>
      </w:r>
    </w:p>
    <w:p w14:paraId="5743CB24" w14:textId="77777777" w:rsidR="00FB1B37" w:rsidRPr="00710803" w:rsidRDefault="00FB1B37" w:rsidP="00264ADD">
      <w:pPr>
        <w:autoSpaceDE w:val="0"/>
        <w:autoSpaceDN w:val="0"/>
        <w:adjustRightInd w:val="0"/>
        <w:spacing w:after="0"/>
        <w:rPr>
          <w:rFonts w:cstheme="minorHAnsi"/>
          <w:color w:val="000000"/>
        </w:rPr>
      </w:pPr>
    </w:p>
    <w:p w14:paraId="26023768" w14:textId="77557C9D" w:rsidR="00710803" w:rsidRDefault="00264ADD" w:rsidP="00264ADD">
      <w:pPr>
        <w:autoSpaceDE w:val="0"/>
        <w:autoSpaceDN w:val="0"/>
        <w:adjustRightInd w:val="0"/>
        <w:spacing w:after="0"/>
        <w:rPr>
          <w:rFonts w:cstheme="minorHAnsi"/>
          <w:color w:val="000000"/>
        </w:rPr>
      </w:pPr>
      <w:r>
        <w:rPr>
          <w:rFonts w:cstheme="minorHAnsi"/>
          <w:color w:val="000000"/>
        </w:rPr>
        <w:t>Olaparib</w:t>
      </w:r>
      <w:r w:rsidR="00710803" w:rsidRPr="00710803">
        <w:rPr>
          <w:rFonts w:cstheme="minorHAnsi"/>
          <w:color w:val="000000"/>
        </w:rPr>
        <w:t xml:space="preserve"> is available as 100 mg and 150 mg tablets. The recommended dose is 300 mg (two 150 mg tablets) taken twice daily, equivalent to a total daily dose of 600 mg. The 100 mg tablet is available for dose reductions only.</w:t>
      </w:r>
    </w:p>
    <w:p w14:paraId="0405EA3A" w14:textId="77777777" w:rsidR="00264ADD" w:rsidRPr="00710803" w:rsidRDefault="00264ADD" w:rsidP="00264ADD">
      <w:pPr>
        <w:autoSpaceDE w:val="0"/>
        <w:autoSpaceDN w:val="0"/>
        <w:adjustRightInd w:val="0"/>
        <w:spacing w:after="0"/>
        <w:rPr>
          <w:rFonts w:cstheme="minorHAnsi"/>
          <w:color w:val="000000"/>
        </w:rPr>
      </w:pPr>
    </w:p>
    <w:p w14:paraId="15C3D19F" w14:textId="2A741294" w:rsidR="00264ADD" w:rsidRDefault="00264ADD" w:rsidP="00264ADD">
      <w:pPr>
        <w:autoSpaceDE w:val="0"/>
        <w:autoSpaceDN w:val="0"/>
        <w:adjustRightInd w:val="0"/>
        <w:spacing w:after="0"/>
        <w:rPr>
          <w:rFonts w:cstheme="minorHAnsi"/>
          <w:color w:val="000000"/>
        </w:rPr>
      </w:pPr>
      <w:r>
        <w:rPr>
          <w:rFonts w:cstheme="minorHAnsi"/>
          <w:color w:val="000000"/>
        </w:rPr>
        <w:t xml:space="preserve">Patients must not substitute tablets (100 mg and 150 mg) with </w:t>
      </w:r>
      <w:r w:rsidRPr="00710803">
        <w:rPr>
          <w:rFonts w:cstheme="minorHAnsi"/>
          <w:color w:val="000000"/>
        </w:rPr>
        <w:t>capsules (50 mg) due to differences in the dosing and bioavailability of each formulation.</w:t>
      </w:r>
    </w:p>
    <w:p w14:paraId="41F977E8" w14:textId="77777777" w:rsidR="00264ADD" w:rsidRPr="00264ADD" w:rsidRDefault="00264ADD" w:rsidP="00264ADD">
      <w:pPr>
        <w:autoSpaceDE w:val="0"/>
        <w:autoSpaceDN w:val="0"/>
        <w:adjustRightInd w:val="0"/>
        <w:spacing w:after="0"/>
        <w:rPr>
          <w:rFonts w:cstheme="minorHAnsi"/>
          <w:color w:val="000000"/>
        </w:rPr>
      </w:pPr>
    </w:p>
    <w:p w14:paraId="36436118" w14:textId="504028C8" w:rsidR="00AA5D0D" w:rsidRPr="00AA5D0D" w:rsidRDefault="00F17D4B" w:rsidP="00AA5D0D">
      <w:pPr>
        <w:spacing w:after="0"/>
      </w:pPr>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14:paraId="6B2CA835" w14:textId="77777777" w:rsidR="000D1FDB" w:rsidRDefault="000D1FDB">
      <w:pPr>
        <w:spacing w:line="276" w:lineRule="auto"/>
        <w:rPr>
          <w:b/>
          <w:sz w:val="28"/>
        </w:rPr>
      </w:pPr>
      <w:r>
        <w:br w:type="page"/>
      </w:r>
    </w:p>
    <w:p w14:paraId="46E2BB42" w14:textId="63695D0E" w:rsidR="00DF0B13" w:rsidRDefault="00DF0B13" w:rsidP="00CF5E22">
      <w:pPr>
        <w:pStyle w:val="Heading2"/>
      </w:pPr>
      <w:r w:rsidRPr="007247B9" w:rsidDel="00EE2BBB">
        <w:lastRenderedPageBreak/>
        <w:t>PBS listing details</w:t>
      </w:r>
      <w:r w:rsidR="00D151EB" w:rsidDel="00EE2BBB">
        <w:t xml:space="preserve"> (as at</w:t>
      </w:r>
      <w:r w:rsidR="00DC133B">
        <w:t xml:space="preserve"> 1 </w:t>
      </w:r>
      <w:r w:rsidR="008B666E">
        <w:t>March</w:t>
      </w:r>
      <w:r w:rsidR="00DC133B">
        <w:t xml:space="preserve"> 2023</w:t>
      </w:r>
      <w:r w:rsidR="00D151EB" w:rsidDel="00EE2BBB">
        <w:t>)</w:t>
      </w:r>
    </w:p>
    <w:p w14:paraId="425EBD36" w14:textId="7851A557" w:rsidR="00B8696F" w:rsidRDefault="00B8696F" w:rsidP="00B8696F">
      <w:r>
        <w:t xml:space="preserve">Olaparib is currently PBS-listed </w:t>
      </w:r>
      <w:r w:rsidR="009A56A7">
        <w:t xml:space="preserve">as monotherapy </w:t>
      </w:r>
      <w:r>
        <w:t xml:space="preserve">for different lines of treatment for ovarian, fallopian tube and primary peritoneal cancer. </w:t>
      </w:r>
    </w:p>
    <w:p w14:paraId="6B54EC8E" w14:textId="04DB7966" w:rsidR="00B8696F" w:rsidRDefault="00B8696F" w:rsidP="00B8696F">
      <w:pPr>
        <w:pStyle w:val="ListParagraph"/>
        <w:numPr>
          <w:ilvl w:val="0"/>
          <w:numId w:val="44"/>
        </w:numPr>
      </w:pPr>
      <w:r>
        <w:t>First-line therapy</w:t>
      </w:r>
      <w:r w:rsidR="00417165">
        <w:t xml:space="preserve"> (1L)</w:t>
      </w:r>
      <w:r>
        <w:t>: High grade stage III/IV epithelial ovarian, fallopian tube or primary peritoneal cancer</w:t>
      </w:r>
      <w:r w:rsidR="009B66A3">
        <w:t xml:space="preserve"> where is t</w:t>
      </w:r>
      <w:r>
        <w:t>reatment following a platinum-</w:t>
      </w:r>
      <w:r w:rsidR="00B63DBD">
        <w:t>containing</w:t>
      </w:r>
      <w:r>
        <w:t xml:space="preserve"> regimen. </w:t>
      </w:r>
    </w:p>
    <w:p w14:paraId="10872AA2" w14:textId="7B259713" w:rsidR="00B8696F" w:rsidRPr="00B8696F" w:rsidDel="00EE2BBB" w:rsidRDefault="00B8696F" w:rsidP="00B8696F">
      <w:pPr>
        <w:pStyle w:val="ListParagraph"/>
        <w:numPr>
          <w:ilvl w:val="0"/>
          <w:numId w:val="44"/>
        </w:numPr>
      </w:pPr>
      <w:r>
        <w:t>Second-line therapy</w:t>
      </w:r>
      <w:r w:rsidR="00417165">
        <w:t xml:space="preserve"> (2L)</w:t>
      </w:r>
      <w:r>
        <w:t>: High grade epithelial ovarian, fallopian tube or primary peritoneal cancer</w:t>
      </w:r>
      <w:r w:rsidR="009B66A3">
        <w:t xml:space="preserve"> where t</w:t>
      </w:r>
      <w:r>
        <w:t>reatment</w:t>
      </w:r>
      <w:r w:rsidR="009B66A3">
        <w:t xml:space="preserve"> is</w:t>
      </w:r>
      <w:r>
        <w:t xml:space="preserve"> following at least two platinum-</w:t>
      </w:r>
      <w:r w:rsidR="00B63DBD">
        <w:t>containing</w:t>
      </w:r>
      <w:r>
        <w:t xml:space="preserve"> regimens. </w:t>
      </w:r>
    </w:p>
    <w:p w14:paraId="1D47784A" w14:textId="12935EE1" w:rsidR="001420B3" w:rsidRPr="001420B3" w:rsidDel="00EE2BBB" w:rsidRDefault="001420B3" w:rsidP="00CF5E22">
      <w:pPr>
        <w:pStyle w:val="Tabletitle"/>
      </w:pPr>
      <w:r w:rsidRPr="001420B3" w:rsidDel="00EE2BBB">
        <w:t xml:space="preserve">Table </w:t>
      </w:r>
      <w:r w:rsidR="008B2F2E">
        <w:t>1</w:t>
      </w:r>
      <w:r w:rsidRPr="001420B3" w:rsidDel="00EE2BBB">
        <w:t xml:space="preserve">: </w:t>
      </w:r>
      <w:r w:rsidR="009663B6" w:rsidDel="00EE2BBB">
        <w:t>PB</w:t>
      </w:r>
      <w:r w:rsidR="00D151EB" w:rsidDel="00EE2BBB">
        <w:t xml:space="preserve">S listing of </w:t>
      </w:r>
      <w:r w:rsidR="00B65CCF">
        <w:t>o</w:t>
      </w:r>
      <w:r w:rsidR="00DC133B">
        <w:t xml:space="preserve">laparib for first-line therapy </w:t>
      </w:r>
    </w:p>
    <w:tbl>
      <w:tblPr>
        <w:tblStyle w:val="TableGrid"/>
        <w:tblW w:w="8926" w:type="dxa"/>
        <w:tblLayout w:type="fixed"/>
        <w:tblLook w:val="04A0" w:firstRow="1" w:lastRow="0" w:firstColumn="1" w:lastColumn="0" w:noHBand="0" w:noVBand="1"/>
      </w:tblPr>
      <w:tblGrid>
        <w:gridCol w:w="969"/>
        <w:gridCol w:w="2995"/>
        <w:gridCol w:w="993"/>
        <w:gridCol w:w="708"/>
        <w:gridCol w:w="1276"/>
        <w:gridCol w:w="1985"/>
      </w:tblGrid>
      <w:tr w:rsidR="0093111F" w:rsidRPr="00A35800" w:rsidDel="00EE2BBB" w14:paraId="6AA19A37" w14:textId="77B518AD" w:rsidTr="00AA5D0D">
        <w:trPr>
          <w:trHeight w:val="60"/>
          <w:tblHeader/>
        </w:trPr>
        <w:tc>
          <w:tcPr>
            <w:tcW w:w="969" w:type="dxa"/>
            <w:shd w:val="clear" w:color="auto" w:fill="BFBFBF" w:themeFill="background1" w:themeFillShade="BF"/>
          </w:tcPr>
          <w:p w14:paraId="56A3DEA0" w14:textId="39A9D9A8" w:rsidR="0093111F" w:rsidRPr="00A35800" w:rsidDel="00EE2BBB" w:rsidRDefault="0093111F" w:rsidP="004D3FB8">
            <w:pPr>
              <w:pStyle w:val="Tableheading"/>
              <w:rPr>
                <w:sz w:val="20"/>
                <w:szCs w:val="20"/>
              </w:rPr>
            </w:pPr>
            <w:r w:rsidRPr="00A35800" w:rsidDel="00EE2BBB">
              <w:rPr>
                <w:sz w:val="20"/>
                <w:szCs w:val="20"/>
              </w:rPr>
              <w:t>Item</w:t>
            </w:r>
            <w:r w:rsidR="004D4E4B">
              <w:rPr>
                <w:sz w:val="20"/>
                <w:szCs w:val="20"/>
              </w:rPr>
              <w:t xml:space="preserve"> code</w:t>
            </w:r>
          </w:p>
        </w:tc>
        <w:tc>
          <w:tcPr>
            <w:tcW w:w="2995" w:type="dxa"/>
            <w:shd w:val="clear" w:color="auto" w:fill="BFBFBF" w:themeFill="background1" w:themeFillShade="BF"/>
          </w:tcPr>
          <w:p w14:paraId="67A07252" w14:textId="6DE43662" w:rsidR="0093111F" w:rsidRPr="00A35800" w:rsidDel="00EE2BBB" w:rsidRDefault="0093111F" w:rsidP="004D3FB8">
            <w:pPr>
              <w:pStyle w:val="Tableheading"/>
              <w:rPr>
                <w:sz w:val="20"/>
                <w:szCs w:val="20"/>
              </w:rPr>
            </w:pPr>
            <w:r w:rsidRPr="00A35800" w:rsidDel="00EE2BBB">
              <w:rPr>
                <w:sz w:val="20"/>
                <w:szCs w:val="20"/>
              </w:rPr>
              <w:t>Name, form &amp; strength, pack size</w:t>
            </w:r>
          </w:p>
        </w:tc>
        <w:tc>
          <w:tcPr>
            <w:tcW w:w="993" w:type="dxa"/>
            <w:shd w:val="clear" w:color="auto" w:fill="BFBFBF" w:themeFill="background1" w:themeFillShade="BF"/>
          </w:tcPr>
          <w:p w14:paraId="114E9799" w14:textId="28519186" w:rsidR="0093111F" w:rsidRPr="00A35800" w:rsidDel="00EE2BBB" w:rsidRDefault="0093111F" w:rsidP="004D3FB8">
            <w:pPr>
              <w:pStyle w:val="Tableheading"/>
              <w:rPr>
                <w:sz w:val="20"/>
                <w:szCs w:val="20"/>
              </w:rPr>
            </w:pPr>
            <w:r w:rsidRPr="00A35800" w:rsidDel="00EE2BBB">
              <w:rPr>
                <w:sz w:val="20"/>
                <w:szCs w:val="20"/>
              </w:rPr>
              <w:t>Max</w:t>
            </w:r>
            <w:r w:rsidR="004749E3">
              <w:rPr>
                <w:sz w:val="20"/>
                <w:szCs w:val="20"/>
              </w:rPr>
              <w:t xml:space="preserve"> qty packs </w:t>
            </w:r>
          </w:p>
        </w:tc>
        <w:tc>
          <w:tcPr>
            <w:tcW w:w="708" w:type="dxa"/>
            <w:shd w:val="clear" w:color="auto" w:fill="BFBFBF" w:themeFill="background1" w:themeFillShade="BF"/>
          </w:tcPr>
          <w:p w14:paraId="0F1A79F7" w14:textId="170F6D44" w:rsidR="0093111F" w:rsidRPr="00A35800" w:rsidDel="00EE2BBB" w:rsidRDefault="0093111F" w:rsidP="004D3FB8">
            <w:pPr>
              <w:pStyle w:val="Tableheading"/>
              <w:rPr>
                <w:sz w:val="20"/>
                <w:szCs w:val="20"/>
              </w:rPr>
            </w:pPr>
            <w:r w:rsidRPr="00A35800" w:rsidDel="00EE2BBB">
              <w:rPr>
                <w:sz w:val="20"/>
                <w:szCs w:val="20"/>
              </w:rPr>
              <w:t xml:space="preserve">Rpts </w:t>
            </w:r>
          </w:p>
        </w:tc>
        <w:tc>
          <w:tcPr>
            <w:tcW w:w="1276" w:type="dxa"/>
            <w:shd w:val="clear" w:color="auto" w:fill="BFBFBF" w:themeFill="background1" w:themeFillShade="BF"/>
          </w:tcPr>
          <w:p w14:paraId="05C5A0BF" w14:textId="2CFF9AC9" w:rsidR="0093111F" w:rsidRPr="00A35800" w:rsidDel="00EE2BBB" w:rsidRDefault="0093111F" w:rsidP="004D3FB8">
            <w:pPr>
              <w:pStyle w:val="Tableheading"/>
              <w:rPr>
                <w:sz w:val="20"/>
                <w:szCs w:val="20"/>
              </w:rPr>
            </w:pPr>
            <w:r w:rsidRPr="00A35800" w:rsidDel="00EE2BBB">
              <w:rPr>
                <w:sz w:val="20"/>
                <w:szCs w:val="20"/>
              </w:rPr>
              <w:t>DPMQ</w:t>
            </w:r>
          </w:p>
        </w:tc>
        <w:tc>
          <w:tcPr>
            <w:tcW w:w="1985" w:type="dxa"/>
            <w:shd w:val="clear" w:color="auto" w:fill="BFBFBF" w:themeFill="background1" w:themeFillShade="BF"/>
          </w:tcPr>
          <w:p w14:paraId="09B472B7" w14:textId="479D46E2" w:rsidR="0093111F" w:rsidRPr="00A35800" w:rsidDel="00EE2BBB" w:rsidRDefault="0093111F" w:rsidP="004D3FB8">
            <w:pPr>
              <w:pStyle w:val="Tableheading"/>
              <w:rPr>
                <w:sz w:val="20"/>
                <w:szCs w:val="20"/>
              </w:rPr>
            </w:pPr>
            <w:r w:rsidRPr="00A35800" w:rsidDel="00EE2BBB">
              <w:rPr>
                <w:sz w:val="20"/>
                <w:szCs w:val="20"/>
              </w:rPr>
              <w:t>Brand name and manufacturer</w:t>
            </w:r>
          </w:p>
        </w:tc>
      </w:tr>
      <w:tr w:rsidR="004749E3" w:rsidRPr="00A35800" w:rsidDel="00EE2BBB" w14:paraId="7A27499A" w14:textId="77777777" w:rsidTr="00AA5D0D">
        <w:trPr>
          <w:trHeight w:val="318"/>
          <w:tblHeader/>
        </w:trPr>
        <w:tc>
          <w:tcPr>
            <w:tcW w:w="969" w:type="dxa"/>
            <w:shd w:val="clear" w:color="auto" w:fill="auto"/>
          </w:tcPr>
          <w:p w14:paraId="4B16F2EC" w14:textId="3707F8DD" w:rsidR="004749E3" w:rsidRPr="00DC133B" w:rsidRDefault="00FC79D4" w:rsidP="004D3FB8">
            <w:pPr>
              <w:pStyle w:val="Tablewriting"/>
              <w:jc w:val="center"/>
            </w:pPr>
            <w:r>
              <w:t>12170M</w:t>
            </w:r>
          </w:p>
        </w:tc>
        <w:tc>
          <w:tcPr>
            <w:tcW w:w="2995" w:type="dxa"/>
            <w:shd w:val="clear" w:color="auto" w:fill="auto"/>
          </w:tcPr>
          <w:p w14:paraId="4A723236" w14:textId="1CBFCE13" w:rsidR="004749E3" w:rsidRDefault="00FC79D4" w:rsidP="004D3FB8">
            <w:pPr>
              <w:pStyle w:val="Tablewriting"/>
            </w:pPr>
            <w:r>
              <w:t>olaparib 100 mg tablet, 56</w:t>
            </w:r>
          </w:p>
        </w:tc>
        <w:tc>
          <w:tcPr>
            <w:tcW w:w="993" w:type="dxa"/>
            <w:shd w:val="clear" w:color="auto" w:fill="auto"/>
          </w:tcPr>
          <w:p w14:paraId="19FD105F" w14:textId="0904D687" w:rsidR="004749E3" w:rsidRDefault="00FC79D4" w:rsidP="004D3FB8">
            <w:pPr>
              <w:pStyle w:val="Tablewriting"/>
              <w:jc w:val="center"/>
            </w:pPr>
            <w:r>
              <w:t>2</w:t>
            </w:r>
          </w:p>
        </w:tc>
        <w:tc>
          <w:tcPr>
            <w:tcW w:w="708" w:type="dxa"/>
            <w:shd w:val="clear" w:color="auto" w:fill="auto"/>
          </w:tcPr>
          <w:p w14:paraId="1C69BC52" w14:textId="19A6B750" w:rsidR="004749E3" w:rsidRDefault="00FC79D4" w:rsidP="004D3FB8">
            <w:pPr>
              <w:pStyle w:val="Tablewriting"/>
              <w:jc w:val="center"/>
            </w:pPr>
            <w:r>
              <w:t>2</w:t>
            </w:r>
          </w:p>
        </w:tc>
        <w:tc>
          <w:tcPr>
            <w:tcW w:w="1276" w:type="dxa"/>
            <w:shd w:val="clear" w:color="auto" w:fill="auto"/>
          </w:tcPr>
          <w:p w14:paraId="1F6A44EC" w14:textId="55C29F65" w:rsidR="004749E3" w:rsidRDefault="00FC79D4" w:rsidP="004D3FB8">
            <w:pPr>
              <w:pStyle w:val="Tablewriting"/>
              <w:jc w:val="center"/>
            </w:pPr>
            <w:r>
              <w:t>$6,630.78</w:t>
            </w:r>
          </w:p>
        </w:tc>
        <w:tc>
          <w:tcPr>
            <w:tcW w:w="1985" w:type="dxa"/>
            <w:shd w:val="clear" w:color="auto" w:fill="auto"/>
          </w:tcPr>
          <w:p w14:paraId="5CEF0DD6" w14:textId="77777777" w:rsidR="00FC79D4" w:rsidRDefault="00FC79D4" w:rsidP="004D3FB8">
            <w:pPr>
              <w:pStyle w:val="Tablewriting"/>
            </w:pPr>
            <w:r>
              <w:t>Lynparza®</w:t>
            </w:r>
          </w:p>
          <w:p w14:paraId="4AE2CEE0" w14:textId="59F2A4E1" w:rsidR="004749E3" w:rsidRDefault="00FC79D4" w:rsidP="004D3FB8">
            <w:pPr>
              <w:pStyle w:val="Tablewriting"/>
            </w:pPr>
            <w:r>
              <w:t>AstraZeneca Pty Ltd</w:t>
            </w:r>
          </w:p>
        </w:tc>
      </w:tr>
      <w:tr w:rsidR="00FC79D4" w:rsidRPr="00A35800" w:rsidDel="00EE2BBB" w14:paraId="51424D13" w14:textId="77777777" w:rsidTr="00AA5D0D">
        <w:trPr>
          <w:trHeight w:val="552"/>
          <w:tblHeader/>
        </w:trPr>
        <w:tc>
          <w:tcPr>
            <w:tcW w:w="969" w:type="dxa"/>
            <w:shd w:val="clear" w:color="auto" w:fill="auto"/>
          </w:tcPr>
          <w:p w14:paraId="6675CE38" w14:textId="4F729C2C" w:rsidR="00FC79D4" w:rsidRDefault="00FC79D4" w:rsidP="004D3FB8">
            <w:pPr>
              <w:pStyle w:val="Tablewriting"/>
              <w:jc w:val="center"/>
            </w:pPr>
            <w:r>
              <w:t>12169L</w:t>
            </w:r>
          </w:p>
        </w:tc>
        <w:tc>
          <w:tcPr>
            <w:tcW w:w="2995" w:type="dxa"/>
            <w:shd w:val="clear" w:color="auto" w:fill="auto"/>
          </w:tcPr>
          <w:p w14:paraId="507537C6" w14:textId="5A7BB35E" w:rsidR="00FC79D4" w:rsidRDefault="00FC79D4" w:rsidP="004D3FB8">
            <w:pPr>
              <w:pStyle w:val="Tablewriting"/>
            </w:pPr>
            <w:r>
              <w:t>olaparib 100 mg tablet, 56</w:t>
            </w:r>
          </w:p>
        </w:tc>
        <w:tc>
          <w:tcPr>
            <w:tcW w:w="993" w:type="dxa"/>
            <w:shd w:val="clear" w:color="auto" w:fill="auto"/>
          </w:tcPr>
          <w:p w14:paraId="3BE98351" w14:textId="3921D72F" w:rsidR="00FC79D4" w:rsidRDefault="00FC79D4" w:rsidP="004D3FB8">
            <w:pPr>
              <w:pStyle w:val="Tablewriting"/>
              <w:jc w:val="center"/>
            </w:pPr>
            <w:r>
              <w:t>2</w:t>
            </w:r>
          </w:p>
        </w:tc>
        <w:tc>
          <w:tcPr>
            <w:tcW w:w="708" w:type="dxa"/>
            <w:shd w:val="clear" w:color="auto" w:fill="auto"/>
          </w:tcPr>
          <w:p w14:paraId="085F92D8" w14:textId="6248F1D3" w:rsidR="00FC79D4" w:rsidRDefault="00FC79D4" w:rsidP="004D3FB8">
            <w:pPr>
              <w:pStyle w:val="Tablewriting"/>
              <w:jc w:val="center"/>
            </w:pPr>
            <w:r>
              <w:t>5</w:t>
            </w:r>
          </w:p>
        </w:tc>
        <w:tc>
          <w:tcPr>
            <w:tcW w:w="1276" w:type="dxa"/>
            <w:shd w:val="clear" w:color="auto" w:fill="auto"/>
          </w:tcPr>
          <w:p w14:paraId="559128D5" w14:textId="23721DFF" w:rsidR="00FC79D4" w:rsidRDefault="00FC79D4" w:rsidP="004D3FB8">
            <w:pPr>
              <w:pStyle w:val="Tablewriting"/>
              <w:jc w:val="center"/>
            </w:pPr>
            <w:r>
              <w:t>$6,630.78</w:t>
            </w:r>
          </w:p>
        </w:tc>
        <w:tc>
          <w:tcPr>
            <w:tcW w:w="1985" w:type="dxa"/>
            <w:shd w:val="clear" w:color="auto" w:fill="auto"/>
          </w:tcPr>
          <w:p w14:paraId="4CAC3948" w14:textId="77777777" w:rsidR="00FC79D4" w:rsidRDefault="00FC79D4" w:rsidP="004D3FB8">
            <w:pPr>
              <w:pStyle w:val="Tablewriting"/>
            </w:pPr>
            <w:r>
              <w:t>Lynparza®</w:t>
            </w:r>
          </w:p>
          <w:p w14:paraId="3CD84E58" w14:textId="061E6E6E" w:rsidR="00FC79D4" w:rsidRDefault="00FC79D4" w:rsidP="004D3FB8">
            <w:pPr>
              <w:pStyle w:val="Tablewriting"/>
            </w:pPr>
            <w:r>
              <w:t>AstraZeneca Pty Ltd</w:t>
            </w:r>
          </w:p>
        </w:tc>
      </w:tr>
      <w:tr w:rsidR="00FC79D4" w:rsidRPr="00A35800" w:rsidDel="00EE2BBB" w14:paraId="36D67E94" w14:textId="77777777" w:rsidTr="00AA5D0D">
        <w:trPr>
          <w:trHeight w:val="552"/>
          <w:tblHeader/>
        </w:trPr>
        <w:tc>
          <w:tcPr>
            <w:tcW w:w="969" w:type="dxa"/>
            <w:shd w:val="clear" w:color="auto" w:fill="auto"/>
          </w:tcPr>
          <w:p w14:paraId="760ADDC1" w14:textId="47E30C3A" w:rsidR="00FC79D4" w:rsidRPr="00DC133B" w:rsidRDefault="00FC79D4" w:rsidP="004D3FB8">
            <w:pPr>
              <w:pStyle w:val="Tablewriting"/>
              <w:jc w:val="center"/>
            </w:pPr>
            <w:r>
              <w:t>12157W</w:t>
            </w:r>
          </w:p>
        </w:tc>
        <w:tc>
          <w:tcPr>
            <w:tcW w:w="2995" w:type="dxa"/>
            <w:shd w:val="clear" w:color="auto" w:fill="auto"/>
          </w:tcPr>
          <w:p w14:paraId="19EA370B" w14:textId="18A5C678" w:rsidR="00FC79D4" w:rsidRDefault="00FC79D4" w:rsidP="004D3FB8">
            <w:pPr>
              <w:pStyle w:val="Tablewriting"/>
            </w:pPr>
            <w:r>
              <w:t>olaparib 150 mg tablet, 56</w:t>
            </w:r>
          </w:p>
        </w:tc>
        <w:tc>
          <w:tcPr>
            <w:tcW w:w="993" w:type="dxa"/>
            <w:shd w:val="clear" w:color="auto" w:fill="auto"/>
          </w:tcPr>
          <w:p w14:paraId="494E5346" w14:textId="57646FB6" w:rsidR="00FC79D4" w:rsidRDefault="00FC79D4" w:rsidP="004D3FB8">
            <w:pPr>
              <w:pStyle w:val="Tablewriting"/>
              <w:jc w:val="center"/>
            </w:pPr>
            <w:r>
              <w:t>2</w:t>
            </w:r>
          </w:p>
        </w:tc>
        <w:tc>
          <w:tcPr>
            <w:tcW w:w="708" w:type="dxa"/>
            <w:shd w:val="clear" w:color="auto" w:fill="auto"/>
          </w:tcPr>
          <w:p w14:paraId="5CDD79B2" w14:textId="431E846A" w:rsidR="00FC79D4" w:rsidRDefault="00FC79D4" w:rsidP="004D3FB8">
            <w:pPr>
              <w:pStyle w:val="Tablewriting"/>
              <w:jc w:val="center"/>
            </w:pPr>
            <w:r>
              <w:t>2</w:t>
            </w:r>
          </w:p>
        </w:tc>
        <w:tc>
          <w:tcPr>
            <w:tcW w:w="1276" w:type="dxa"/>
            <w:shd w:val="clear" w:color="auto" w:fill="auto"/>
          </w:tcPr>
          <w:p w14:paraId="379296A1" w14:textId="28F84BFC" w:rsidR="00FC79D4" w:rsidRDefault="00FC79D4" w:rsidP="004D3FB8">
            <w:pPr>
              <w:pStyle w:val="Tablewriting"/>
              <w:jc w:val="center"/>
            </w:pPr>
            <w:r>
              <w:t>$6,630.78</w:t>
            </w:r>
          </w:p>
        </w:tc>
        <w:tc>
          <w:tcPr>
            <w:tcW w:w="1985" w:type="dxa"/>
            <w:shd w:val="clear" w:color="auto" w:fill="auto"/>
          </w:tcPr>
          <w:p w14:paraId="587F1B52" w14:textId="77777777" w:rsidR="00FC79D4" w:rsidRDefault="00FC79D4" w:rsidP="004D3FB8">
            <w:pPr>
              <w:pStyle w:val="Tablewriting"/>
            </w:pPr>
            <w:r>
              <w:t>Lynparza®</w:t>
            </w:r>
          </w:p>
          <w:p w14:paraId="0DA966B9" w14:textId="1F47FCD2" w:rsidR="00FC79D4" w:rsidRDefault="00FC79D4" w:rsidP="004D3FB8">
            <w:pPr>
              <w:pStyle w:val="Tablewriting"/>
            </w:pPr>
            <w:r>
              <w:t>AstraZeneca Pty Ltd</w:t>
            </w:r>
          </w:p>
        </w:tc>
      </w:tr>
      <w:tr w:rsidR="00FC79D4" w:rsidRPr="00A35800" w:rsidDel="00EE2BBB" w14:paraId="35B89977" w14:textId="77777777" w:rsidTr="00AA5D0D">
        <w:trPr>
          <w:trHeight w:val="73"/>
          <w:tblHeader/>
        </w:trPr>
        <w:tc>
          <w:tcPr>
            <w:tcW w:w="969" w:type="dxa"/>
            <w:shd w:val="clear" w:color="auto" w:fill="auto"/>
          </w:tcPr>
          <w:p w14:paraId="7F2CF116" w14:textId="4DBB3E5B" w:rsidR="00FC79D4" w:rsidRDefault="00FC79D4" w:rsidP="004D3FB8">
            <w:pPr>
              <w:pStyle w:val="Tablewriting"/>
              <w:jc w:val="center"/>
            </w:pPr>
            <w:r>
              <w:t>12161C</w:t>
            </w:r>
          </w:p>
        </w:tc>
        <w:tc>
          <w:tcPr>
            <w:tcW w:w="2995" w:type="dxa"/>
            <w:shd w:val="clear" w:color="auto" w:fill="auto"/>
          </w:tcPr>
          <w:p w14:paraId="7A29D479" w14:textId="02C81D0C" w:rsidR="00FC79D4" w:rsidRDefault="00FC79D4" w:rsidP="004D3FB8">
            <w:pPr>
              <w:pStyle w:val="Tablewriting"/>
            </w:pPr>
            <w:r>
              <w:t>olaparib 150 mg tablet, 56</w:t>
            </w:r>
          </w:p>
        </w:tc>
        <w:tc>
          <w:tcPr>
            <w:tcW w:w="993" w:type="dxa"/>
            <w:shd w:val="clear" w:color="auto" w:fill="auto"/>
          </w:tcPr>
          <w:p w14:paraId="31C90CFC" w14:textId="45DFF655" w:rsidR="00FC79D4" w:rsidRDefault="00FC79D4" w:rsidP="004D3FB8">
            <w:pPr>
              <w:pStyle w:val="Tablewriting"/>
              <w:jc w:val="center"/>
            </w:pPr>
            <w:r>
              <w:t>2</w:t>
            </w:r>
          </w:p>
        </w:tc>
        <w:tc>
          <w:tcPr>
            <w:tcW w:w="708" w:type="dxa"/>
            <w:shd w:val="clear" w:color="auto" w:fill="auto"/>
          </w:tcPr>
          <w:p w14:paraId="0903F019" w14:textId="3BF9E788" w:rsidR="00FC79D4" w:rsidRDefault="00FC79D4" w:rsidP="004D3FB8">
            <w:pPr>
              <w:pStyle w:val="Tablewriting"/>
              <w:jc w:val="center"/>
            </w:pPr>
            <w:r>
              <w:t>5</w:t>
            </w:r>
          </w:p>
        </w:tc>
        <w:tc>
          <w:tcPr>
            <w:tcW w:w="1276" w:type="dxa"/>
            <w:shd w:val="clear" w:color="auto" w:fill="auto"/>
          </w:tcPr>
          <w:p w14:paraId="771EACAC" w14:textId="586F9F95" w:rsidR="00FC79D4" w:rsidRDefault="00FC79D4" w:rsidP="004D3FB8">
            <w:pPr>
              <w:pStyle w:val="Tablewriting"/>
              <w:jc w:val="center"/>
            </w:pPr>
            <w:r>
              <w:t>$6,630.78</w:t>
            </w:r>
          </w:p>
        </w:tc>
        <w:tc>
          <w:tcPr>
            <w:tcW w:w="1985" w:type="dxa"/>
            <w:shd w:val="clear" w:color="auto" w:fill="auto"/>
          </w:tcPr>
          <w:p w14:paraId="27BACA93" w14:textId="77777777" w:rsidR="00FC79D4" w:rsidRDefault="00FC79D4" w:rsidP="004D3FB8">
            <w:pPr>
              <w:pStyle w:val="Tablewriting"/>
            </w:pPr>
            <w:r>
              <w:t>Lynparza®</w:t>
            </w:r>
          </w:p>
          <w:p w14:paraId="6ED32829" w14:textId="43FA2B6A" w:rsidR="00FC79D4" w:rsidRDefault="00FC79D4" w:rsidP="004D3FB8">
            <w:pPr>
              <w:pStyle w:val="Tablewriting"/>
            </w:pPr>
            <w:r>
              <w:t>AstraZeneca Pty Ltd</w:t>
            </w:r>
          </w:p>
        </w:tc>
      </w:tr>
    </w:tbl>
    <w:p w14:paraId="14FDCF47" w14:textId="4DEA34A9" w:rsidR="00FC79D4" w:rsidRPr="00DC133B" w:rsidRDefault="007408C7" w:rsidP="00DC133B">
      <w:pPr>
        <w:pStyle w:val="Notes"/>
        <w:spacing w:after="0"/>
        <w:rPr>
          <w:rFonts w:cstheme="minorHAnsi"/>
        </w:rPr>
      </w:pPr>
      <w:r w:rsidRPr="00DC133B" w:rsidDel="00EE2BBB">
        <w:rPr>
          <w:rFonts w:cstheme="minorHAnsi"/>
        </w:rPr>
        <w:t xml:space="preserve">Source: </w:t>
      </w:r>
      <w:r w:rsidR="001624D7" w:rsidRPr="00DC133B" w:rsidDel="00EE2BBB">
        <w:rPr>
          <w:rFonts w:cstheme="minorHAnsi"/>
        </w:rPr>
        <w:t xml:space="preserve">the </w:t>
      </w:r>
      <w:hyperlink r:id="rId11" w:history="1">
        <w:r w:rsidR="001624D7" w:rsidRPr="00DC133B" w:rsidDel="00EE2BBB">
          <w:rPr>
            <w:rStyle w:val="Hyperlink"/>
            <w:rFonts w:cstheme="minorHAnsi"/>
          </w:rPr>
          <w:t>PBS website</w:t>
        </w:r>
      </w:hyperlink>
      <w:r w:rsidR="001624D7" w:rsidRPr="00DC133B" w:rsidDel="00EE2BBB">
        <w:rPr>
          <w:rFonts w:cstheme="minorHAnsi"/>
        </w:rPr>
        <w:t>.</w:t>
      </w:r>
      <w:r w:rsidR="0080485E" w:rsidRPr="00DC133B" w:rsidDel="00EE2BBB">
        <w:rPr>
          <w:rFonts w:cstheme="minorHAnsi"/>
        </w:rPr>
        <w:t xml:space="preserve">  </w:t>
      </w:r>
    </w:p>
    <w:p w14:paraId="3D663631" w14:textId="77777777" w:rsidR="00DC133B" w:rsidRPr="00DC133B" w:rsidRDefault="00DC133B" w:rsidP="00DC133B">
      <w:pPr>
        <w:pStyle w:val="Notes"/>
        <w:spacing w:after="0"/>
        <w:rPr>
          <w:rFonts w:cstheme="minorHAnsi"/>
        </w:rPr>
      </w:pPr>
      <w:r w:rsidRPr="00DC133B">
        <w:rPr>
          <w:rFonts w:cstheme="minorHAnsi"/>
        </w:rPr>
        <w:t xml:space="preserve">Notes: </w:t>
      </w:r>
    </w:p>
    <w:p w14:paraId="03913C60" w14:textId="32FCF6AD" w:rsidR="00DC133B" w:rsidRPr="00DC133B" w:rsidRDefault="00DC133B" w:rsidP="00DC133B">
      <w:pPr>
        <w:pStyle w:val="Notes"/>
        <w:numPr>
          <w:ilvl w:val="0"/>
          <w:numId w:val="25"/>
        </w:numPr>
        <w:spacing w:after="0"/>
        <w:rPr>
          <w:rFonts w:cstheme="minorHAnsi"/>
        </w:rPr>
      </w:pPr>
      <w:r w:rsidRPr="00DC133B">
        <w:rPr>
          <w:rFonts w:eastAsia="Times New Roman" w:cstheme="minorHAnsi"/>
          <w:color w:val="222222"/>
        </w:rPr>
        <w:t>Applications for authorisation under this restriction may be made in real time using the Online PBS Authorities system or by telephone</w:t>
      </w:r>
      <w:r w:rsidR="003A4E6D">
        <w:rPr>
          <w:rFonts w:eastAsia="Times New Roman" w:cstheme="minorHAnsi"/>
          <w:color w:val="222222"/>
        </w:rPr>
        <w:t>.</w:t>
      </w:r>
    </w:p>
    <w:p w14:paraId="4652FFB2" w14:textId="77777777" w:rsidR="004D4E4B" w:rsidRDefault="00DC133B" w:rsidP="00DC133B">
      <w:pPr>
        <w:pStyle w:val="Notes"/>
        <w:numPr>
          <w:ilvl w:val="0"/>
          <w:numId w:val="25"/>
        </w:numPr>
        <w:spacing w:after="0"/>
        <w:rPr>
          <w:rFonts w:cstheme="minorHAnsi"/>
        </w:rPr>
      </w:pPr>
      <w:r w:rsidRPr="00DC133B">
        <w:rPr>
          <w:rFonts w:eastAsia="Times New Roman" w:cstheme="minorHAnsi"/>
          <w:color w:val="222222"/>
        </w:rPr>
        <w:t>Special Pricing Arrangements apply.</w:t>
      </w:r>
    </w:p>
    <w:p w14:paraId="7DBF3530" w14:textId="675BE107" w:rsidR="002B559C" w:rsidRDefault="004D4E4B" w:rsidP="002B559C">
      <w:pPr>
        <w:pStyle w:val="Notes"/>
        <w:numPr>
          <w:ilvl w:val="0"/>
          <w:numId w:val="25"/>
        </w:numPr>
        <w:spacing w:after="0"/>
        <w:rPr>
          <w:rFonts w:cstheme="minorHAnsi"/>
        </w:rPr>
      </w:pPr>
      <w:r>
        <w:rPr>
          <w:rFonts w:cstheme="minorHAnsi"/>
        </w:rPr>
        <w:t>For item codes 12170</w:t>
      </w:r>
      <w:r w:rsidR="008B666E">
        <w:rPr>
          <w:rFonts w:cstheme="minorHAnsi"/>
        </w:rPr>
        <w:t>P</w:t>
      </w:r>
      <w:r>
        <w:rPr>
          <w:rFonts w:cstheme="minorHAnsi"/>
        </w:rPr>
        <w:t xml:space="preserve"> and 12157W it is noted, “</w:t>
      </w:r>
      <w:r w:rsidR="00DC133B" w:rsidRPr="004D4E4B">
        <w:rPr>
          <w:rFonts w:cstheme="minorHAnsi"/>
          <w:color w:val="222222"/>
          <w:shd w:val="clear" w:color="auto" w:fill="FFFFFF"/>
        </w:rPr>
        <w:t>This drug belongs to the poly (ADP-ribose) polymerase (PARP) inhibitor drug class. The restriction refers to the following PARP inhibitors: olaparib, niraparib</w:t>
      </w:r>
      <w:r>
        <w:rPr>
          <w:rFonts w:cstheme="minorHAnsi"/>
          <w:color w:val="222222"/>
          <w:shd w:val="clear" w:color="auto" w:fill="FFFFFF"/>
        </w:rPr>
        <w:t>.”</w:t>
      </w:r>
    </w:p>
    <w:p w14:paraId="3880CA73" w14:textId="77777777" w:rsidR="002B4C45" w:rsidRDefault="002B4C45" w:rsidP="002B4C45">
      <w:pPr>
        <w:pStyle w:val="Notes"/>
        <w:spacing w:after="0"/>
        <w:rPr>
          <w:rFonts w:cstheme="minorHAnsi"/>
        </w:rPr>
      </w:pPr>
    </w:p>
    <w:p w14:paraId="10EA22AF" w14:textId="77777777" w:rsidR="002B4C45" w:rsidRDefault="002B4C45" w:rsidP="002B4C45">
      <w:pPr>
        <w:pStyle w:val="Notes"/>
        <w:spacing w:after="0"/>
        <w:rPr>
          <w:rFonts w:cstheme="minorHAnsi"/>
        </w:rPr>
      </w:pPr>
    </w:p>
    <w:p w14:paraId="3EB1A205" w14:textId="77777777" w:rsidR="002B4C45" w:rsidRDefault="002B4C45" w:rsidP="002B4C45">
      <w:pPr>
        <w:pStyle w:val="Notes"/>
        <w:spacing w:after="0"/>
        <w:rPr>
          <w:rFonts w:cstheme="minorHAnsi"/>
        </w:rPr>
      </w:pPr>
    </w:p>
    <w:p w14:paraId="2CBFB51F" w14:textId="77777777" w:rsidR="002B4C45" w:rsidRDefault="002B4C45" w:rsidP="002B4C45">
      <w:pPr>
        <w:pStyle w:val="Notes"/>
        <w:spacing w:after="0"/>
        <w:rPr>
          <w:rFonts w:cstheme="minorHAnsi"/>
        </w:rPr>
      </w:pPr>
    </w:p>
    <w:p w14:paraId="3D5DEEC9" w14:textId="77777777" w:rsidR="002B4C45" w:rsidRDefault="002B4C45" w:rsidP="002B4C45">
      <w:pPr>
        <w:pStyle w:val="Notes"/>
        <w:spacing w:after="0"/>
        <w:rPr>
          <w:rFonts w:cstheme="minorHAnsi"/>
        </w:rPr>
      </w:pPr>
    </w:p>
    <w:p w14:paraId="72077700" w14:textId="77777777" w:rsidR="002B4C45" w:rsidRDefault="002B4C45" w:rsidP="002B4C45">
      <w:pPr>
        <w:pStyle w:val="Notes"/>
        <w:spacing w:after="0"/>
        <w:rPr>
          <w:rFonts w:cstheme="minorHAnsi"/>
        </w:rPr>
      </w:pPr>
    </w:p>
    <w:p w14:paraId="2D409133" w14:textId="77777777" w:rsidR="002B4C45" w:rsidRDefault="002B4C45" w:rsidP="002B4C45">
      <w:pPr>
        <w:pStyle w:val="Notes"/>
        <w:spacing w:after="0"/>
        <w:rPr>
          <w:rFonts w:cstheme="minorHAnsi"/>
        </w:rPr>
      </w:pPr>
    </w:p>
    <w:p w14:paraId="59ACD89C" w14:textId="77777777" w:rsidR="002B4C45" w:rsidRDefault="002B4C45" w:rsidP="002B4C45">
      <w:pPr>
        <w:pStyle w:val="Notes"/>
        <w:spacing w:after="0"/>
        <w:rPr>
          <w:rFonts w:cstheme="minorHAnsi"/>
        </w:rPr>
      </w:pPr>
    </w:p>
    <w:p w14:paraId="060FE660" w14:textId="77777777" w:rsidR="002B4C45" w:rsidRDefault="002B4C45" w:rsidP="002B4C45">
      <w:pPr>
        <w:pStyle w:val="Notes"/>
        <w:spacing w:after="0"/>
        <w:rPr>
          <w:rFonts w:cstheme="minorHAnsi"/>
        </w:rPr>
      </w:pPr>
    </w:p>
    <w:p w14:paraId="1259840D" w14:textId="77777777" w:rsidR="002B4C45" w:rsidRDefault="002B4C45" w:rsidP="002B4C45">
      <w:pPr>
        <w:pStyle w:val="Notes"/>
        <w:spacing w:after="0"/>
        <w:rPr>
          <w:rFonts w:cstheme="minorHAnsi"/>
        </w:rPr>
      </w:pPr>
    </w:p>
    <w:p w14:paraId="18FDAEBA" w14:textId="77777777" w:rsidR="002B4C45" w:rsidRDefault="002B4C45" w:rsidP="002B4C45">
      <w:pPr>
        <w:pStyle w:val="Notes"/>
        <w:spacing w:after="0"/>
        <w:rPr>
          <w:rFonts w:cstheme="minorHAnsi"/>
        </w:rPr>
      </w:pPr>
    </w:p>
    <w:p w14:paraId="3841CE8B" w14:textId="77777777" w:rsidR="002B4C45" w:rsidRDefault="002B4C45" w:rsidP="002B4C45">
      <w:pPr>
        <w:pStyle w:val="Notes"/>
        <w:spacing w:after="0"/>
        <w:rPr>
          <w:rFonts w:cstheme="minorHAnsi"/>
        </w:rPr>
      </w:pPr>
    </w:p>
    <w:p w14:paraId="6652A6C9" w14:textId="77777777" w:rsidR="002B4C45" w:rsidRDefault="002B4C45" w:rsidP="002B4C45">
      <w:pPr>
        <w:pStyle w:val="Notes"/>
        <w:spacing w:after="0"/>
        <w:rPr>
          <w:rFonts w:cstheme="minorHAnsi"/>
        </w:rPr>
      </w:pPr>
    </w:p>
    <w:p w14:paraId="14A9A272" w14:textId="77777777" w:rsidR="002B4C45" w:rsidRDefault="002B4C45" w:rsidP="002B4C45">
      <w:pPr>
        <w:pStyle w:val="Notes"/>
        <w:spacing w:after="0"/>
        <w:rPr>
          <w:rFonts w:cstheme="minorHAnsi"/>
        </w:rPr>
      </w:pPr>
    </w:p>
    <w:p w14:paraId="338C413C" w14:textId="77777777" w:rsidR="002B4C45" w:rsidRDefault="002B4C45" w:rsidP="002B4C45">
      <w:pPr>
        <w:pStyle w:val="Notes"/>
        <w:spacing w:after="0"/>
        <w:rPr>
          <w:rFonts w:cstheme="minorHAnsi"/>
        </w:rPr>
      </w:pPr>
    </w:p>
    <w:p w14:paraId="4F7780D9" w14:textId="77777777" w:rsidR="002B4C45" w:rsidRDefault="002B4C45" w:rsidP="002B4C45">
      <w:pPr>
        <w:pStyle w:val="Notes"/>
        <w:spacing w:after="0"/>
        <w:rPr>
          <w:rFonts w:cstheme="minorHAnsi"/>
        </w:rPr>
      </w:pPr>
    </w:p>
    <w:p w14:paraId="39D2F28C" w14:textId="77777777" w:rsidR="002B4C45" w:rsidRPr="002B559C" w:rsidRDefault="002B4C45" w:rsidP="002B4C45">
      <w:pPr>
        <w:pStyle w:val="Notes"/>
        <w:spacing w:after="0"/>
        <w:rPr>
          <w:rFonts w:cstheme="minorHAnsi"/>
        </w:rPr>
      </w:pPr>
    </w:p>
    <w:p w14:paraId="54040357" w14:textId="4ECF85E2" w:rsidR="00DC133B" w:rsidRDefault="00DC133B" w:rsidP="00DC133B">
      <w:pPr>
        <w:pStyle w:val="Tabletitle"/>
      </w:pPr>
      <w:r w:rsidRPr="001420B3" w:rsidDel="00EE2BBB">
        <w:lastRenderedPageBreak/>
        <w:t xml:space="preserve">Table </w:t>
      </w:r>
      <w:r w:rsidR="008B2F2E">
        <w:t>2</w:t>
      </w:r>
      <w:r w:rsidRPr="001420B3" w:rsidDel="00EE2BBB">
        <w:t xml:space="preserve">: </w:t>
      </w:r>
      <w:r w:rsidDel="00EE2BBB">
        <w:t xml:space="preserve">PBS listing of </w:t>
      </w:r>
      <w:r>
        <w:t xml:space="preserve">olaparib for second-line therapy </w:t>
      </w:r>
    </w:p>
    <w:tbl>
      <w:tblPr>
        <w:tblStyle w:val="TableGrid"/>
        <w:tblW w:w="8926" w:type="dxa"/>
        <w:tblLayout w:type="fixed"/>
        <w:tblLook w:val="04A0" w:firstRow="1" w:lastRow="0" w:firstColumn="1" w:lastColumn="0" w:noHBand="0" w:noVBand="1"/>
      </w:tblPr>
      <w:tblGrid>
        <w:gridCol w:w="969"/>
        <w:gridCol w:w="2995"/>
        <w:gridCol w:w="993"/>
        <w:gridCol w:w="708"/>
        <w:gridCol w:w="1276"/>
        <w:gridCol w:w="1985"/>
      </w:tblGrid>
      <w:tr w:rsidR="00DC133B" w:rsidRPr="00A35800" w:rsidDel="00EE2BBB" w14:paraId="61B6D0B2" w14:textId="77777777" w:rsidTr="00AA5D0D">
        <w:trPr>
          <w:trHeight w:val="60"/>
          <w:tblHeader/>
        </w:trPr>
        <w:tc>
          <w:tcPr>
            <w:tcW w:w="969" w:type="dxa"/>
            <w:shd w:val="clear" w:color="auto" w:fill="BFBFBF" w:themeFill="background1" w:themeFillShade="BF"/>
          </w:tcPr>
          <w:p w14:paraId="36DDA5CC" w14:textId="77734B0F" w:rsidR="00DC133B" w:rsidRPr="00A35800" w:rsidDel="00EE2BBB" w:rsidRDefault="00DC133B" w:rsidP="004D3FB8">
            <w:pPr>
              <w:pStyle w:val="Tableheading"/>
              <w:rPr>
                <w:sz w:val="20"/>
                <w:szCs w:val="20"/>
              </w:rPr>
            </w:pPr>
            <w:r w:rsidRPr="00A35800" w:rsidDel="00EE2BBB">
              <w:rPr>
                <w:sz w:val="20"/>
                <w:szCs w:val="20"/>
              </w:rPr>
              <w:t>Item</w:t>
            </w:r>
            <w:r w:rsidR="008B2F2E">
              <w:rPr>
                <w:sz w:val="20"/>
                <w:szCs w:val="20"/>
              </w:rPr>
              <w:t xml:space="preserve"> code</w:t>
            </w:r>
          </w:p>
        </w:tc>
        <w:tc>
          <w:tcPr>
            <w:tcW w:w="2995" w:type="dxa"/>
            <w:shd w:val="clear" w:color="auto" w:fill="BFBFBF" w:themeFill="background1" w:themeFillShade="BF"/>
          </w:tcPr>
          <w:p w14:paraId="702E5B26" w14:textId="77777777" w:rsidR="00DC133B" w:rsidRPr="00A35800" w:rsidDel="00EE2BBB" w:rsidRDefault="00DC133B" w:rsidP="004D3FB8">
            <w:pPr>
              <w:pStyle w:val="Tableheading"/>
              <w:rPr>
                <w:sz w:val="20"/>
                <w:szCs w:val="20"/>
              </w:rPr>
            </w:pPr>
            <w:r w:rsidRPr="00A35800" w:rsidDel="00EE2BBB">
              <w:rPr>
                <w:sz w:val="20"/>
                <w:szCs w:val="20"/>
              </w:rPr>
              <w:t>Name, form &amp; strength, pack size</w:t>
            </w:r>
          </w:p>
        </w:tc>
        <w:tc>
          <w:tcPr>
            <w:tcW w:w="993" w:type="dxa"/>
            <w:shd w:val="clear" w:color="auto" w:fill="BFBFBF" w:themeFill="background1" w:themeFillShade="BF"/>
          </w:tcPr>
          <w:p w14:paraId="3D6BAB0E" w14:textId="77777777" w:rsidR="00DC133B" w:rsidRPr="00A35800" w:rsidDel="00EE2BBB" w:rsidRDefault="00DC133B" w:rsidP="004D3FB8">
            <w:pPr>
              <w:pStyle w:val="Tableheading"/>
              <w:rPr>
                <w:sz w:val="20"/>
                <w:szCs w:val="20"/>
              </w:rPr>
            </w:pPr>
            <w:r w:rsidRPr="00A35800" w:rsidDel="00EE2BBB">
              <w:rPr>
                <w:sz w:val="20"/>
                <w:szCs w:val="20"/>
              </w:rPr>
              <w:t>Max</w:t>
            </w:r>
            <w:r>
              <w:rPr>
                <w:sz w:val="20"/>
                <w:szCs w:val="20"/>
              </w:rPr>
              <w:t xml:space="preserve"> qty packs </w:t>
            </w:r>
          </w:p>
        </w:tc>
        <w:tc>
          <w:tcPr>
            <w:tcW w:w="708" w:type="dxa"/>
            <w:shd w:val="clear" w:color="auto" w:fill="BFBFBF" w:themeFill="background1" w:themeFillShade="BF"/>
          </w:tcPr>
          <w:p w14:paraId="668E0170" w14:textId="77777777" w:rsidR="00DC133B" w:rsidRPr="00A35800" w:rsidDel="00EE2BBB" w:rsidRDefault="00DC133B" w:rsidP="004D3FB8">
            <w:pPr>
              <w:pStyle w:val="Tableheading"/>
              <w:rPr>
                <w:sz w:val="20"/>
                <w:szCs w:val="20"/>
              </w:rPr>
            </w:pPr>
            <w:r w:rsidRPr="00A35800" w:rsidDel="00EE2BBB">
              <w:rPr>
                <w:sz w:val="20"/>
                <w:szCs w:val="20"/>
              </w:rPr>
              <w:t xml:space="preserve">Rpts </w:t>
            </w:r>
          </w:p>
        </w:tc>
        <w:tc>
          <w:tcPr>
            <w:tcW w:w="1276" w:type="dxa"/>
            <w:shd w:val="clear" w:color="auto" w:fill="BFBFBF" w:themeFill="background1" w:themeFillShade="BF"/>
          </w:tcPr>
          <w:p w14:paraId="70DA1F38" w14:textId="77777777" w:rsidR="00DC133B" w:rsidRPr="00A35800" w:rsidDel="00EE2BBB" w:rsidRDefault="00DC133B" w:rsidP="004D3FB8">
            <w:pPr>
              <w:pStyle w:val="Tableheading"/>
              <w:rPr>
                <w:sz w:val="20"/>
                <w:szCs w:val="20"/>
              </w:rPr>
            </w:pPr>
            <w:r w:rsidRPr="00A35800" w:rsidDel="00EE2BBB">
              <w:rPr>
                <w:sz w:val="20"/>
                <w:szCs w:val="20"/>
              </w:rPr>
              <w:t>DPMQ</w:t>
            </w:r>
          </w:p>
        </w:tc>
        <w:tc>
          <w:tcPr>
            <w:tcW w:w="1985" w:type="dxa"/>
            <w:shd w:val="clear" w:color="auto" w:fill="BFBFBF" w:themeFill="background1" w:themeFillShade="BF"/>
          </w:tcPr>
          <w:p w14:paraId="7AEC9902" w14:textId="77777777" w:rsidR="00DC133B" w:rsidRPr="00A35800" w:rsidDel="00EE2BBB" w:rsidRDefault="00DC133B" w:rsidP="004D3FB8">
            <w:pPr>
              <w:pStyle w:val="Tableheading"/>
              <w:rPr>
                <w:sz w:val="20"/>
                <w:szCs w:val="20"/>
              </w:rPr>
            </w:pPr>
            <w:r w:rsidRPr="00A35800" w:rsidDel="00EE2BBB">
              <w:rPr>
                <w:sz w:val="20"/>
                <w:szCs w:val="20"/>
              </w:rPr>
              <w:t>Brand name and manufacturer</w:t>
            </w:r>
          </w:p>
        </w:tc>
      </w:tr>
      <w:tr w:rsidR="00DC133B" w:rsidRPr="00A35800" w:rsidDel="00EE2BBB" w14:paraId="0B0B980D" w14:textId="77777777" w:rsidTr="00AA5D0D">
        <w:trPr>
          <w:trHeight w:val="552"/>
          <w:tblHeader/>
        </w:trPr>
        <w:tc>
          <w:tcPr>
            <w:tcW w:w="969" w:type="dxa"/>
            <w:shd w:val="clear" w:color="auto" w:fill="auto"/>
          </w:tcPr>
          <w:p w14:paraId="3959281B" w14:textId="5085088A" w:rsidR="00DC133B" w:rsidRPr="00FC79D4" w:rsidRDefault="00DC133B" w:rsidP="004D3FB8">
            <w:pPr>
              <w:pStyle w:val="Tablewriting"/>
              <w:jc w:val="center"/>
            </w:pPr>
            <w:r>
              <w:t>11522K</w:t>
            </w:r>
          </w:p>
        </w:tc>
        <w:tc>
          <w:tcPr>
            <w:tcW w:w="2995" w:type="dxa"/>
            <w:shd w:val="clear" w:color="auto" w:fill="auto"/>
          </w:tcPr>
          <w:p w14:paraId="2C646AF4" w14:textId="77777777" w:rsidR="00DC133B" w:rsidRDefault="00DC133B" w:rsidP="004D3FB8">
            <w:pPr>
              <w:pStyle w:val="Tablewriting"/>
            </w:pPr>
            <w:r>
              <w:t xml:space="preserve">olaparib 100 mg tablet, 56 </w:t>
            </w:r>
          </w:p>
        </w:tc>
        <w:tc>
          <w:tcPr>
            <w:tcW w:w="993" w:type="dxa"/>
            <w:shd w:val="clear" w:color="auto" w:fill="auto"/>
          </w:tcPr>
          <w:p w14:paraId="2367CFA2" w14:textId="77777777" w:rsidR="00DC133B" w:rsidRDefault="00DC133B" w:rsidP="004D3FB8">
            <w:pPr>
              <w:pStyle w:val="Tablewriting"/>
              <w:jc w:val="center"/>
            </w:pPr>
            <w:r>
              <w:t>2</w:t>
            </w:r>
          </w:p>
        </w:tc>
        <w:tc>
          <w:tcPr>
            <w:tcW w:w="708" w:type="dxa"/>
            <w:shd w:val="clear" w:color="auto" w:fill="auto"/>
          </w:tcPr>
          <w:p w14:paraId="60954E25" w14:textId="77777777" w:rsidR="00DC133B" w:rsidRDefault="00DC133B" w:rsidP="004D3FB8">
            <w:pPr>
              <w:pStyle w:val="Tablewriting"/>
              <w:jc w:val="center"/>
            </w:pPr>
            <w:r>
              <w:t>2</w:t>
            </w:r>
          </w:p>
        </w:tc>
        <w:tc>
          <w:tcPr>
            <w:tcW w:w="1276" w:type="dxa"/>
            <w:shd w:val="clear" w:color="auto" w:fill="auto"/>
          </w:tcPr>
          <w:p w14:paraId="5AE3C88B" w14:textId="77777777" w:rsidR="00DC133B" w:rsidRDefault="00DC133B" w:rsidP="004D3FB8">
            <w:pPr>
              <w:pStyle w:val="Tablewriting"/>
              <w:jc w:val="center"/>
            </w:pPr>
            <w:r>
              <w:t>$6,630.78</w:t>
            </w:r>
          </w:p>
        </w:tc>
        <w:tc>
          <w:tcPr>
            <w:tcW w:w="1985" w:type="dxa"/>
            <w:shd w:val="clear" w:color="auto" w:fill="auto"/>
          </w:tcPr>
          <w:p w14:paraId="6F9153EF" w14:textId="77777777" w:rsidR="00DC133B" w:rsidRDefault="00DC133B" w:rsidP="004D3FB8">
            <w:pPr>
              <w:pStyle w:val="Tablewriting"/>
            </w:pPr>
            <w:r>
              <w:t>Lynparza®</w:t>
            </w:r>
          </w:p>
          <w:p w14:paraId="354DF70E" w14:textId="77777777" w:rsidR="00DC133B" w:rsidRDefault="00DC133B" w:rsidP="004D3FB8">
            <w:pPr>
              <w:pStyle w:val="Tablewriting"/>
            </w:pPr>
            <w:r>
              <w:t>AstraZeneca Pty Ltd</w:t>
            </w:r>
          </w:p>
        </w:tc>
      </w:tr>
      <w:tr w:rsidR="00DC133B" w:rsidRPr="00A35800" w:rsidDel="00EE2BBB" w14:paraId="39972878" w14:textId="77777777" w:rsidTr="00AA5D0D">
        <w:trPr>
          <w:trHeight w:val="552"/>
          <w:tblHeader/>
        </w:trPr>
        <w:tc>
          <w:tcPr>
            <w:tcW w:w="969" w:type="dxa"/>
            <w:shd w:val="clear" w:color="auto" w:fill="auto"/>
          </w:tcPr>
          <w:p w14:paraId="56D4D488" w14:textId="1AA57179" w:rsidR="00DC133B" w:rsidRPr="00FC79D4" w:rsidDel="00EE2BBB" w:rsidRDefault="00DC133B" w:rsidP="004D3FB8">
            <w:pPr>
              <w:pStyle w:val="Tablewriting"/>
              <w:jc w:val="center"/>
            </w:pPr>
            <w:r>
              <w:t>11503K</w:t>
            </w:r>
          </w:p>
        </w:tc>
        <w:tc>
          <w:tcPr>
            <w:tcW w:w="2995" w:type="dxa"/>
            <w:shd w:val="clear" w:color="auto" w:fill="auto"/>
          </w:tcPr>
          <w:p w14:paraId="3DEA4CE2" w14:textId="77777777" w:rsidR="00DC133B" w:rsidRDefault="00DC133B" w:rsidP="004D3FB8">
            <w:pPr>
              <w:pStyle w:val="Tablewriting"/>
            </w:pPr>
            <w:r>
              <w:t xml:space="preserve">olaparib 100 mg tablet, 56 </w:t>
            </w:r>
          </w:p>
          <w:p w14:paraId="60944E05" w14:textId="77777777" w:rsidR="00DC133B" w:rsidRPr="00A35800" w:rsidDel="00EE2BBB" w:rsidRDefault="00DC133B" w:rsidP="004D3FB8">
            <w:pPr>
              <w:pStyle w:val="Tablewriting"/>
            </w:pPr>
          </w:p>
        </w:tc>
        <w:tc>
          <w:tcPr>
            <w:tcW w:w="993" w:type="dxa"/>
            <w:shd w:val="clear" w:color="auto" w:fill="auto"/>
          </w:tcPr>
          <w:p w14:paraId="34820071" w14:textId="77777777" w:rsidR="00DC133B" w:rsidRPr="00A35800" w:rsidDel="00EE2BBB" w:rsidRDefault="00DC133B" w:rsidP="004D3FB8">
            <w:pPr>
              <w:pStyle w:val="Tablewriting"/>
              <w:jc w:val="center"/>
            </w:pPr>
            <w:r>
              <w:t>2</w:t>
            </w:r>
          </w:p>
        </w:tc>
        <w:tc>
          <w:tcPr>
            <w:tcW w:w="708" w:type="dxa"/>
            <w:shd w:val="clear" w:color="auto" w:fill="auto"/>
          </w:tcPr>
          <w:p w14:paraId="7A57B4BB" w14:textId="77777777" w:rsidR="00DC133B" w:rsidRPr="00A35800" w:rsidDel="00EE2BBB" w:rsidRDefault="00DC133B" w:rsidP="004D3FB8">
            <w:pPr>
              <w:pStyle w:val="Tablewriting"/>
              <w:jc w:val="center"/>
            </w:pPr>
            <w:r>
              <w:t>5</w:t>
            </w:r>
          </w:p>
        </w:tc>
        <w:tc>
          <w:tcPr>
            <w:tcW w:w="1276" w:type="dxa"/>
            <w:shd w:val="clear" w:color="auto" w:fill="auto"/>
          </w:tcPr>
          <w:p w14:paraId="11BD674B" w14:textId="77777777" w:rsidR="00DC133B" w:rsidRPr="00A35800" w:rsidDel="00EE2BBB" w:rsidRDefault="00DC133B" w:rsidP="004D3FB8">
            <w:pPr>
              <w:pStyle w:val="Tablewriting"/>
              <w:jc w:val="center"/>
            </w:pPr>
            <w:r>
              <w:t>$6,630.78</w:t>
            </w:r>
          </w:p>
        </w:tc>
        <w:tc>
          <w:tcPr>
            <w:tcW w:w="1985" w:type="dxa"/>
            <w:shd w:val="clear" w:color="auto" w:fill="auto"/>
          </w:tcPr>
          <w:p w14:paraId="2A305761" w14:textId="77777777" w:rsidR="00DC133B" w:rsidRDefault="00DC133B" w:rsidP="004D3FB8">
            <w:pPr>
              <w:pStyle w:val="Tablewriting"/>
            </w:pPr>
            <w:r>
              <w:t>Lynparza®</w:t>
            </w:r>
          </w:p>
          <w:p w14:paraId="1B94E162" w14:textId="77777777" w:rsidR="00DC133B" w:rsidRPr="00A35800" w:rsidDel="00EE2BBB" w:rsidRDefault="00DC133B" w:rsidP="004D3FB8">
            <w:pPr>
              <w:pStyle w:val="Tablewriting"/>
            </w:pPr>
            <w:r>
              <w:t xml:space="preserve">AstraZeneca Pty Ltd </w:t>
            </w:r>
          </w:p>
        </w:tc>
      </w:tr>
      <w:tr w:rsidR="00DC133B" w:rsidRPr="00A35800" w:rsidDel="00EE2BBB" w14:paraId="2D259D44" w14:textId="77777777" w:rsidTr="00AA5D0D">
        <w:trPr>
          <w:trHeight w:val="546"/>
          <w:tblHeader/>
        </w:trPr>
        <w:tc>
          <w:tcPr>
            <w:tcW w:w="969" w:type="dxa"/>
            <w:shd w:val="clear" w:color="auto" w:fill="auto"/>
          </w:tcPr>
          <w:p w14:paraId="76F86273" w14:textId="57FEF28B" w:rsidR="00DC133B" w:rsidRPr="00FC79D4" w:rsidDel="00EE2BBB" w:rsidRDefault="00DC133B" w:rsidP="004D3FB8">
            <w:pPr>
              <w:pStyle w:val="Tablewriting"/>
              <w:jc w:val="center"/>
            </w:pPr>
            <w:r>
              <w:t>11528R</w:t>
            </w:r>
          </w:p>
        </w:tc>
        <w:tc>
          <w:tcPr>
            <w:tcW w:w="2995" w:type="dxa"/>
            <w:shd w:val="clear" w:color="auto" w:fill="auto"/>
          </w:tcPr>
          <w:p w14:paraId="31E5D455" w14:textId="77777777" w:rsidR="00DC133B" w:rsidRPr="00A35800" w:rsidDel="00EE2BBB" w:rsidRDefault="00DC133B" w:rsidP="004D3FB8">
            <w:pPr>
              <w:pStyle w:val="Tablewriting"/>
            </w:pPr>
            <w:r>
              <w:t xml:space="preserve">olaparib 150 mg tablet, 56 </w:t>
            </w:r>
          </w:p>
        </w:tc>
        <w:tc>
          <w:tcPr>
            <w:tcW w:w="993" w:type="dxa"/>
            <w:shd w:val="clear" w:color="auto" w:fill="auto"/>
          </w:tcPr>
          <w:p w14:paraId="590F92C6" w14:textId="77777777" w:rsidR="00DC133B" w:rsidRPr="00A35800" w:rsidDel="00EE2BBB" w:rsidRDefault="00DC133B" w:rsidP="004D3FB8">
            <w:pPr>
              <w:pStyle w:val="Tablewriting"/>
              <w:jc w:val="center"/>
            </w:pPr>
            <w:r>
              <w:t>2</w:t>
            </w:r>
          </w:p>
        </w:tc>
        <w:tc>
          <w:tcPr>
            <w:tcW w:w="708" w:type="dxa"/>
            <w:shd w:val="clear" w:color="auto" w:fill="auto"/>
          </w:tcPr>
          <w:p w14:paraId="457EA439" w14:textId="77777777" w:rsidR="00DC133B" w:rsidRPr="00A35800" w:rsidDel="00EE2BBB" w:rsidRDefault="00DC133B" w:rsidP="004D3FB8">
            <w:pPr>
              <w:pStyle w:val="Tablewriting"/>
              <w:jc w:val="center"/>
            </w:pPr>
            <w:r>
              <w:t>2</w:t>
            </w:r>
          </w:p>
        </w:tc>
        <w:tc>
          <w:tcPr>
            <w:tcW w:w="1276" w:type="dxa"/>
            <w:shd w:val="clear" w:color="auto" w:fill="auto"/>
          </w:tcPr>
          <w:p w14:paraId="266F06EF" w14:textId="77777777" w:rsidR="00DC133B" w:rsidRPr="00A35800" w:rsidDel="00EE2BBB" w:rsidRDefault="00DC133B" w:rsidP="004D3FB8">
            <w:pPr>
              <w:pStyle w:val="Tablewriting"/>
              <w:jc w:val="center"/>
            </w:pPr>
            <w:r>
              <w:t>$6,630.78</w:t>
            </w:r>
          </w:p>
        </w:tc>
        <w:tc>
          <w:tcPr>
            <w:tcW w:w="1985" w:type="dxa"/>
            <w:shd w:val="clear" w:color="auto" w:fill="auto"/>
          </w:tcPr>
          <w:p w14:paraId="0C69CBB4" w14:textId="77777777" w:rsidR="00DC133B" w:rsidRDefault="00DC133B" w:rsidP="004D3FB8">
            <w:pPr>
              <w:pStyle w:val="Tablewriting"/>
            </w:pPr>
            <w:r>
              <w:t>Lynparza®</w:t>
            </w:r>
          </w:p>
          <w:p w14:paraId="51B879CD" w14:textId="77777777" w:rsidR="00DC133B" w:rsidRPr="00A35800" w:rsidDel="00EE2BBB" w:rsidRDefault="00DC133B" w:rsidP="004D3FB8">
            <w:pPr>
              <w:pStyle w:val="Tablewriting"/>
            </w:pPr>
            <w:r>
              <w:t>AstraZeneca Pty Ltd</w:t>
            </w:r>
          </w:p>
        </w:tc>
      </w:tr>
      <w:tr w:rsidR="00DC133B" w:rsidRPr="00A35800" w:rsidDel="00EE2BBB" w14:paraId="19F36094" w14:textId="77777777" w:rsidTr="00AA5D0D">
        <w:trPr>
          <w:trHeight w:val="546"/>
          <w:tblHeader/>
        </w:trPr>
        <w:tc>
          <w:tcPr>
            <w:tcW w:w="969" w:type="dxa"/>
            <w:shd w:val="clear" w:color="auto" w:fill="auto"/>
          </w:tcPr>
          <w:p w14:paraId="170F13D8" w14:textId="6AAB9230" w:rsidR="00DC133B" w:rsidRPr="00FC79D4" w:rsidRDefault="00DC133B" w:rsidP="004D3FB8">
            <w:pPr>
              <w:pStyle w:val="Tablewriting"/>
              <w:jc w:val="center"/>
            </w:pPr>
            <w:r>
              <w:t>11539H</w:t>
            </w:r>
          </w:p>
        </w:tc>
        <w:tc>
          <w:tcPr>
            <w:tcW w:w="2995" w:type="dxa"/>
            <w:shd w:val="clear" w:color="auto" w:fill="auto"/>
          </w:tcPr>
          <w:p w14:paraId="38790CA7" w14:textId="77777777" w:rsidR="00DC133B" w:rsidRDefault="00DC133B" w:rsidP="004D3FB8">
            <w:pPr>
              <w:pStyle w:val="Tablewriting"/>
            </w:pPr>
            <w:r>
              <w:t xml:space="preserve">olaparib 150 mg tablet, 56 </w:t>
            </w:r>
          </w:p>
        </w:tc>
        <w:tc>
          <w:tcPr>
            <w:tcW w:w="993" w:type="dxa"/>
            <w:shd w:val="clear" w:color="auto" w:fill="auto"/>
          </w:tcPr>
          <w:p w14:paraId="16E72B93" w14:textId="77777777" w:rsidR="00DC133B" w:rsidRDefault="00DC133B" w:rsidP="004D3FB8">
            <w:pPr>
              <w:pStyle w:val="Tablewriting"/>
              <w:jc w:val="center"/>
            </w:pPr>
            <w:r>
              <w:t>2</w:t>
            </w:r>
          </w:p>
        </w:tc>
        <w:tc>
          <w:tcPr>
            <w:tcW w:w="708" w:type="dxa"/>
            <w:shd w:val="clear" w:color="auto" w:fill="auto"/>
          </w:tcPr>
          <w:p w14:paraId="3D7F7620" w14:textId="77777777" w:rsidR="00DC133B" w:rsidRDefault="00DC133B" w:rsidP="004D3FB8">
            <w:pPr>
              <w:pStyle w:val="Tablewriting"/>
              <w:jc w:val="center"/>
            </w:pPr>
            <w:r>
              <w:t>5</w:t>
            </w:r>
          </w:p>
        </w:tc>
        <w:tc>
          <w:tcPr>
            <w:tcW w:w="1276" w:type="dxa"/>
            <w:shd w:val="clear" w:color="auto" w:fill="auto"/>
          </w:tcPr>
          <w:p w14:paraId="5DE38DA7" w14:textId="77777777" w:rsidR="00DC133B" w:rsidRDefault="00DC133B" w:rsidP="004D3FB8">
            <w:pPr>
              <w:pStyle w:val="Tablewriting"/>
              <w:jc w:val="center"/>
            </w:pPr>
            <w:r>
              <w:t>$6,630.78</w:t>
            </w:r>
          </w:p>
        </w:tc>
        <w:tc>
          <w:tcPr>
            <w:tcW w:w="1985" w:type="dxa"/>
            <w:shd w:val="clear" w:color="auto" w:fill="auto"/>
          </w:tcPr>
          <w:p w14:paraId="7DBE2C50" w14:textId="77777777" w:rsidR="00DC133B" w:rsidRDefault="00DC133B" w:rsidP="004D3FB8">
            <w:pPr>
              <w:pStyle w:val="Tablewriting"/>
            </w:pPr>
            <w:r>
              <w:t>Lynparza®</w:t>
            </w:r>
          </w:p>
          <w:p w14:paraId="03B6E171" w14:textId="77777777" w:rsidR="00DC133B" w:rsidRPr="00A35800" w:rsidDel="00EE2BBB" w:rsidRDefault="00DC133B" w:rsidP="004D3FB8">
            <w:pPr>
              <w:pStyle w:val="Tablewriting"/>
            </w:pPr>
            <w:r>
              <w:t>AstraZeneca Pty Ltd</w:t>
            </w:r>
          </w:p>
        </w:tc>
      </w:tr>
    </w:tbl>
    <w:p w14:paraId="12B0379F" w14:textId="77777777" w:rsidR="00DC133B" w:rsidRPr="00DC133B" w:rsidRDefault="00DC133B" w:rsidP="00DC133B">
      <w:pPr>
        <w:pStyle w:val="Notes"/>
        <w:spacing w:after="0"/>
        <w:rPr>
          <w:rFonts w:cstheme="minorHAnsi"/>
        </w:rPr>
      </w:pPr>
      <w:r w:rsidRPr="00DC133B" w:rsidDel="00EE2BBB">
        <w:rPr>
          <w:rFonts w:cstheme="minorHAnsi"/>
        </w:rPr>
        <w:t xml:space="preserve">Source: the </w:t>
      </w:r>
      <w:hyperlink r:id="rId12" w:history="1">
        <w:r w:rsidRPr="00DC133B" w:rsidDel="00EE2BBB">
          <w:rPr>
            <w:rStyle w:val="Hyperlink"/>
            <w:rFonts w:cstheme="minorHAnsi"/>
          </w:rPr>
          <w:t>PBS website</w:t>
        </w:r>
      </w:hyperlink>
      <w:r w:rsidRPr="00DC133B" w:rsidDel="00EE2BBB">
        <w:rPr>
          <w:rFonts w:cstheme="minorHAnsi"/>
        </w:rPr>
        <w:t xml:space="preserve">.  </w:t>
      </w:r>
    </w:p>
    <w:p w14:paraId="48DABA3F" w14:textId="5C5461FC" w:rsidR="00FC79D4" w:rsidRDefault="00FC79D4" w:rsidP="00DC133B">
      <w:pPr>
        <w:pStyle w:val="Notes"/>
        <w:spacing w:after="0"/>
      </w:pPr>
      <w:r>
        <w:t xml:space="preserve">Notes: </w:t>
      </w:r>
    </w:p>
    <w:p w14:paraId="7C16808D" w14:textId="346A9506" w:rsidR="00DC133B" w:rsidRDefault="00DC133B" w:rsidP="00DC133B">
      <w:pPr>
        <w:pStyle w:val="Notes"/>
        <w:numPr>
          <w:ilvl w:val="0"/>
          <w:numId w:val="26"/>
        </w:numPr>
        <w:spacing w:after="0"/>
      </w:pPr>
      <w:r w:rsidRPr="0080485E" w:rsidDel="00EE2BBB">
        <w:t>Special Pricing Arrangement</w:t>
      </w:r>
      <w:r w:rsidR="008B2F2E">
        <w:t>s</w:t>
      </w:r>
      <w:r w:rsidRPr="0080485E" w:rsidDel="00EE2BBB">
        <w:t xml:space="preserve"> </w:t>
      </w:r>
      <w:r>
        <w:t xml:space="preserve">apply. </w:t>
      </w:r>
    </w:p>
    <w:p w14:paraId="7FC0BB7A" w14:textId="1EEDB3ED" w:rsidR="000D1FDB" w:rsidRPr="00417165" w:rsidRDefault="008B2F2E" w:rsidP="00417165">
      <w:pPr>
        <w:pStyle w:val="Notes"/>
        <w:numPr>
          <w:ilvl w:val="0"/>
          <w:numId w:val="26"/>
        </w:numPr>
        <w:spacing w:after="0"/>
      </w:pPr>
      <w:r>
        <w:rPr>
          <w:rFonts w:cstheme="minorHAnsi"/>
        </w:rPr>
        <w:t xml:space="preserve">For item codes 11522K and 11528R, </w:t>
      </w:r>
      <w:r w:rsidR="003A4E6D">
        <w:rPr>
          <w:rFonts w:cstheme="minorHAnsi"/>
          <w:color w:val="222222"/>
          <w:shd w:val="clear" w:color="auto" w:fill="FFFFFF"/>
        </w:rPr>
        <w:t>a</w:t>
      </w:r>
      <w:r w:rsidR="00FC79D4" w:rsidRPr="00DC133B">
        <w:rPr>
          <w:rFonts w:cstheme="minorHAnsi"/>
          <w:color w:val="222222"/>
          <w:shd w:val="clear" w:color="auto" w:fill="FFFFFF"/>
        </w:rPr>
        <w:t>pplications for authorisation under this restriction may be made in real time using the Online PBS Authorities system or by telephone</w:t>
      </w:r>
      <w:r w:rsidR="003A4E6D">
        <w:rPr>
          <w:rFonts w:cstheme="minorHAnsi"/>
          <w:color w:val="222222"/>
          <w:shd w:val="clear" w:color="auto" w:fill="FFFFFF"/>
        </w:rPr>
        <w:t>.</w:t>
      </w:r>
    </w:p>
    <w:p w14:paraId="1AFA1485" w14:textId="2B3DDFD5" w:rsidR="004C3186" w:rsidDel="00EE2BBB" w:rsidRDefault="004C3186" w:rsidP="00CF5E22">
      <w:pPr>
        <w:pStyle w:val="Heading3"/>
      </w:pPr>
      <w:r w:rsidDel="00EE2BBB">
        <w:t>Restriction</w:t>
      </w:r>
    </w:p>
    <w:p w14:paraId="6C4E9C9A" w14:textId="02527637" w:rsidR="00917E1E" w:rsidRPr="00917E1E" w:rsidRDefault="00917E1E" w:rsidP="001D4AEC">
      <w:pPr>
        <w:pStyle w:val="NormalWeb"/>
        <w:shd w:val="clear" w:color="auto" w:fill="FFFFFF"/>
        <w:spacing w:before="0" w:beforeAutospacing="0" w:after="0" w:afterAutospacing="0"/>
        <w:rPr>
          <w:rFonts w:asciiTheme="minorHAnsi" w:hAnsiTheme="minorHAnsi" w:cstheme="minorHAnsi"/>
          <w:b/>
          <w:bCs/>
          <w:color w:val="222222"/>
          <w:u w:val="single"/>
        </w:rPr>
      </w:pPr>
      <w:r w:rsidRPr="00917E1E">
        <w:rPr>
          <w:rFonts w:asciiTheme="minorHAnsi" w:hAnsiTheme="minorHAnsi" w:cstheme="minorHAnsi"/>
          <w:b/>
          <w:bCs/>
          <w:color w:val="222222"/>
          <w:u w:val="single"/>
        </w:rPr>
        <w:t>First- line treatment</w:t>
      </w:r>
      <w:r w:rsidR="008B666E">
        <w:rPr>
          <w:rFonts w:asciiTheme="minorHAnsi" w:hAnsiTheme="minorHAnsi" w:cstheme="minorHAnsi"/>
          <w:b/>
          <w:bCs/>
          <w:color w:val="222222"/>
          <w:u w:val="single"/>
        </w:rPr>
        <w:t xml:space="preserve"> for high grade stage III/IV epithelial ovarian, fallopian tube or primary peritoneal cancer</w:t>
      </w:r>
      <w:r>
        <w:rPr>
          <w:rFonts w:asciiTheme="minorHAnsi" w:hAnsiTheme="minorHAnsi" w:cstheme="minorHAnsi"/>
          <w:b/>
          <w:bCs/>
          <w:color w:val="222222"/>
          <w:u w:val="single"/>
        </w:rPr>
        <w:t xml:space="preserve"> (Authority Required)</w:t>
      </w:r>
    </w:p>
    <w:p w14:paraId="55B9C0AC" w14:textId="77777777" w:rsidR="00917E1E" w:rsidRPr="00917E1E" w:rsidRDefault="00917E1E" w:rsidP="001D4AEC">
      <w:pPr>
        <w:pStyle w:val="NormalWeb"/>
        <w:shd w:val="clear" w:color="auto" w:fill="FFFFFF"/>
        <w:spacing w:before="0" w:beforeAutospacing="0" w:after="0" w:afterAutospacing="0"/>
        <w:rPr>
          <w:rFonts w:asciiTheme="minorHAnsi" w:hAnsiTheme="minorHAnsi" w:cstheme="minorHAnsi"/>
          <w:b/>
          <w:bCs/>
          <w:color w:val="222222"/>
        </w:rPr>
      </w:pPr>
    </w:p>
    <w:p w14:paraId="4417F9DA" w14:textId="48B2A738" w:rsidR="00FC79D4" w:rsidRPr="00232014" w:rsidRDefault="00FC79D4" w:rsidP="001D4AEC">
      <w:pPr>
        <w:pStyle w:val="NormalWeb"/>
        <w:shd w:val="clear" w:color="auto" w:fill="FFFFFF"/>
        <w:spacing w:before="0" w:beforeAutospacing="0" w:after="0" w:afterAutospacing="0"/>
        <w:rPr>
          <w:rFonts w:asciiTheme="minorHAnsi" w:hAnsiTheme="minorHAnsi" w:cstheme="minorHAnsi"/>
          <w:color w:val="222222"/>
        </w:rPr>
      </w:pPr>
      <w:r w:rsidRPr="00917E1E">
        <w:rPr>
          <w:rFonts w:asciiTheme="minorHAnsi" w:hAnsiTheme="minorHAnsi" w:cstheme="minorHAnsi"/>
          <w:b/>
          <w:bCs/>
          <w:color w:val="222222"/>
        </w:rPr>
        <w:t>Treatment Phase:</w:t>
      </w:r>
      <w:r w:rsidRPr="00232014">
        <w:rPr>
          <w:rFonts w:asciiTheme="minorHAnsi" w:hAnsiTheme="minorHAnsi" w:cstheme="minorHAnsi"/>
          <w:color w:val="222222"/>
        </w:rPr>
        <w:t xml:space="preserve"> Initial treatment </w:t>
      </w:r>
    </w:p>
    <w:p w14:paraId="4D5D3F08" w14:textId="77777777" w:rsidR="001D4AEC" w:rsidRPr="00232014" w:rsidRDefault="00FC79D4" w:rsidP="001D4AEC">
      <w:pPr>
        <w:pStyle w:val="NormalWeb"/>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b/>
          <w:bCs/>
          <w:color w:val="222222"/>
          <w:bdr w:val="none" w:sz="0" w:space="0" w:color="auto" w:frame="1"/>
        </w:rPr>
        <w:t>Clinical criteria:</w:t>
      </w:r>
    </w:p>
    <w:p w14:paraId="777CF29C" w14:textId="77777777" w:rsidR="001D4AEC" w:rsidRPr="00232014" w:rsidRDefault="00FC79D4" w:rsidP="001D4AEC">
      <w:pPr>
        <w:pStyle w:val="NormalWeb"/>
        <w:numPr>
          <w:ilvl w:val="0"/>
          <w:numId w:val="27"/>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The condition must be associated with a class 4 or 5 BRCA1 or BRCA2 gene mutation,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2B888D71" w14:textId="77777777" w:rsidR="001D4AEC" w:rsidRPr="00232014" w:rsidRDefault="00FC79D4" w:rsidP="001D4AEC">
      <w:pPr>
        <w:pStyle w:val="NormalWeb"/>
        <w:numPr>
          <w:ilvl w:val="0"/>
          <w:numId w:val="27"/>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Patient must be in partial or complete response to the immediately preceding platinum-based chemotherapy regimen prior to commencing treatment with this drug for this condition,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71942DD8" w14:textId="77777777" w:rsidR="001D4AEC" w:rsidRPr="00232014" w:rsidRDefault="00FC79D4" w:rsidP="001D4AEC">
      <w:pPr>
        <w:pStyle w:val="NormalWeb"/>
        <w:numPr>
          <w:ilvl w:val="0"/>
          <w:numId w:val="27"/>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The treatment must be the sole PBS-subsidised therapy for this condition,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1D40E85B" w14:textId="77777777" w:rsidR="001D4AEC" w:rsidRPr="00232014" w:rsidRDefault="00FC79D4" w:rsidP="001D4AEC">
      <w:pPr>
        <w:pStyle w:val="NormalWeb"/>
        <w:numPr>
          <w:ilvl w:val="0"/>
          <w:numId w:val="27"/>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Patient must not have previously received PBS-subsidised treatment with this drug for this condition.</w:t>
      </w:r>
    </w:p>
    <w:p w14:paraId="18209E8A" w14:textId="77777777" w:rsidR="001D4AEC" w:rsidRPr="00232014" w:rsidRDefault="00FC79D4" w:rsidP="001D4AEC">
      <w:pPr>
        <w:pStyle w:val="NormalWeb"/>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b/>
          <w:bCs/>
          <w:color w:val="222222"/>
          <w:bdr w:val="none" w:sz="0" w:space="0" w:color="auto" w:frame="1"/>
        </w:rPr>
        <w:t>Treatment criteria:</w:t>
      </w:r>
    </w:p>
    <w:p w14:paraId="18BA6BDE" w14:textId="77777777" w:rsidR="001D4AEC" w:rsidRPr="00232014" w:rsidRDefault="00FC79D4" w:rsidP="001D4AEC">
      <w:pPr>
        <w:pStyle w:val="NormalWeb"/>
        <w:numPr>
          <w:ilvl w:val="0"/>
          <w:numId w:val="28"/>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 xml:space="preserve">Patient must be undergoing treatment with this drug class for the first time; </w:t>
      </w:r>
      <w:r w:rsidRPr="00814E84">
        <w:rPr>
          <w:rFonts w:asciiTheme="minorHAnsi" w:hAnsiTheme="minorHAnsi" w:cstheme="minorHAnsi"/>
          <w:b/>
          <w:bCs/>
          <w:color w:val="222222"/>
        </w:rPr>
        <w:t>OR</w:t>
      </w:r>
    </w:p>
    <w:p w14:paraId="699D2E31" w14:textId="35CA121E" w:rsidR="001D4AEC" w:rsidRPr="00232014" w:rsidRDefault="00FC79D4" w:rsidP="001D4AEC">
      <w:pPr>
        <w:pStyle w:val="NormalWeb"/>
        <w:numPr>
          <w:ilvl w:val="0"/>
          <w:numId w:val="28"/>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Patient must be undergoing treatment with this drug class on a subsequent occasion, but only because there was an intolerance/contraindication to another drug in the same class that required permanent treatment withdrawal.</w:t>
      </w:r>
    </w:p>
    <w:p w14:paraId="2425CE49" w14:textId="77777777" w:rsidR="00232014" w:rsidRPr="00232014" w:rsidRDefault="00232014" w:rsidP="00232014">
      <w:pPr>
        <w:pStyle w:val="NormalWeb"/>
        <w:shd w:val="clear" w:color="auto" w:fill="FFFFFF"/>
        <w:spacing w:before="0" w:beforeAutospacing="0" w:after="0" w:afterAutospacing="0"/>
        <w:ind w:left="720"/>
        <w:rPr>
          <w:rFonts w:asciiTheme="minorHAnsi" w:hAnsiTheme="minorHAnsi" w:cstheme="minorHAnsi"/>
          <w:color w:val="222222"/>
        </w:rPr>
      </w:pPr>
    </w:p>
    <w:p w14:paraId="3CDE8FD5" w14:textId="2D9288F7" w:rsidR="00FC79D4" w:rsidRPr="00232014" w:rsidRDefault="00FC79D4" w:rsidP="001D4AEC">
      <w:pPr>
        <w:pStyle w:val="NormalWeb"/>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A response (complete or partial) to the platinum-based chemotherapy regimen is to be assessed using either Gynaecologic Cancer InterGroup (GCIG) or Response Evaluation Criteria in Solid Tumours (RECIST) guidelines.</w:t>
      </w:r>
    </w:p>
    <w:p w14:paraId="545A46C7" w14:textId="15C7450D" w:rsidR="00DC133B" w:rsidRDefault="00FC79D4" w:rsidP="001D4AEC">
      <w:pPr>
        <w:pStyle w:val="NormalWeb"/>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Evidence of a BRCA1 or BRCA2 gene mutation must be derived through germline or somatic mutation testing.</w:t>
      </w:r>
    </w:p>
    <w:p w14:paraId="2A3CCCD8" w14:textId="77777777" w:rsidR="002B4C45" w:rsidRPr="00232014" w:rsidRDefault="002B4C45" w:rsidP="001D4AEC">
      <w:pPr>
        <w:pStyle w:val="NormalWeb"/>
        <w:shd w:val="clear" w:color="auto" w:fill="FFFFFF"/>
        <w:spacing w:before="0" w:beforeAutospacing="0" w:after="0" w:afterAutospacing="0"/>
        <w:rPr>
          <w:rFonts w:asciiTheme="minorHAnsi" w:hAnsiTheme="minorHAnsi" w:cstheme="minorHAnsi"/>
          <w:color w:val="222222"/>
        </w:rPr>
      </w:pPr>
    </w:p>
    <w:p w14:paraId="6534CDDA" w14:textId="77777777" w:rsidR="00232014" w:rsidRPr="00232014" w:rsidRDefault="00232014" w:rsidP="001D4AEC">
      <w:pPr>
        <w:pStyle w:val="NormalWeb"/>
        <w:shd w:val="clear" w:color="auto" w:fill="FFFFFF"/>
        <w:spacing w:before="0" w:beforeAutospacing="0" w:after="0" w:afterAutospacing="0" w:line="276" w:lineRule="auto"/>
        <w:rPr>
          <w:rFonts w:asciiTheme="minorHAnsi" w:hAnsiTheme="minorHAnsi" w:cstheme="minorHAnsi"/>
          <w:color w:val="222222"/>
        </w:rPr>
      </w:pPr>
    </w:p>
    <w:p w14:paraId="4DB19191" w14:textId="08C5D974" w:rsidR="00DC133B" w:rsidRPr="00232014" w:rsidRDefault="00DC133B" w:rsidP="001D4AEC">
      <w:pPr>
        <w:pStyle w:val="NormalWeb"/>
        <w:shd w:val="clear" w:color="auto" w:fill="FFFFFF"/>
        <w:spacing w:before="0" w:beforeAutospacing="0" w:after="0" w:afterAutospacing="0" w:line="276" w:lineRule="auto"/>
        <w:rPr>
          <w:rFonts w:asciiTheme="minorHAnsi" w:hAnsiTheme="minorHAnsi" w:cstheme="minorHAnsi"/>
          <w:color w:val="222222"/>
        </w:rPr>
      </w:pPr>
      <w:r w:rsidRPr="00917E1E">
        <w:rPr>
          <w:rFonts w:asciiTheme="minorHAnsi" w:hAnsiTheme="minorHAnsi" w:cstheme="minorHAnsi"/>
          <w:b/>
          <w:bCs/>
          <w:color w:val="222222"/>
        </w:rPr>
        <w:lastRenderedPageBreak/>
        <w:t>Treatment Phase:</w:t>
      </w:r>
      <w:r w:rsidRPr="00232014">
        <w:rPr>
          <w:rFonts w:asciiTheme="minorHAnsi" w:hAnsiTheme="minorHAnsi" w:cstheme="minorHAnsi"/>
          <w:color w:val="222222"/>
        </w:rPr>
        <w:t xml:space="preserve"> Continuing treatment </w:t>
      </w:r>
    </w:p>
    <w:p w14:paraId="242E98EF" w14:textId="77777777" w:rsidR="001D4AEC" w:rsidRPr="00232014" w:rsidRDefault="00DC133B" w:rsidP="001D4AEC">
      <w:pPr>
        <w:pStyle w:val="NormalWeb"/>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b/>
          <w:bCs/>
          <w:color w:val="222222"/>
          <w:bdr w:val="none" w:sz="0" w:space="0" w:color="auto" w:frame="1"/>
        </w:rPr>
        <w:t>Clinical criteria:</w:t>
      </w:r>
    </w:p>
    <w:p w14:paraId="39D1CB9C" w14:textId="77777777" w:rsidR="001D4AEC" w:rsidRPr="00232014" w:rsidRDefault="00DC133B" w:rsidP="001D4AEC">
      <w:pPr>
        <w:pStyle w:val="NormalWeb"/>
        <w:numPr>
          <w:ilvl w:val="0"/>
          <w:numId w:val="29"/>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Patient must have received previous PBS-subsidised treatment with this drug as first line maintenance therapy for this condition,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6D6DC145" w14:textId="77777777" w:rsidR="001D4AEC" w:rsidRPr="00232014" w:rsidRDefault="00DC133B" w:rsidP="001D4AEC">
      <w:pPr>
        <w:pStyle w:val="NormalWeb"/>
        <w:numPr>
          <w:ilvl w:val="0"/>
          <w:numId w:val="29"/>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The treatment must be the sole PBS-subsidised therapy for this condition,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2502BB49" w14:textId="77777777" w:rsidR="001D4AEC" w:rsidRPr="00232014" w:rsidRDefault="00DC133B" w:rsidP="0012026D">
      <w:pPr>
        <w:pStyle w:val="NormalWeb"/>
        <w:numPr>
          <w:ilvl w:val="0"/>
          <w:numId w:val="29"/>
        </w:numPr>
        <w:shd w:val="clear" w:color="auto" w:fill="FFFFFF"/>
        <w:spacing w:before="0" w:beforeAutospacing="0" w:after="0" w:afterAutospacing="0" w:line="276" w:lineRule="auto"/>
        <w:ind w:left="714" w:hanging="357"/>
        <w:rPr>
          <w:rFonts w:asciiTheme="minorHAnsi" w:hAnsiTheme="minorHAnsi" w:cstheme="minorHAnsi"/>
          <w:color w:val="222222"/>
        </w:rPr>
      </w:pPr>
      <w:r w:rsidRPr="00232014">
        <w:rPr>
          <w:rFonts w:asciiTheme="minorHAnsi" w:hAnsiTheme="minorHAnsi" w:cstheme="minorHAnsi"/>
          <w:color w:val="222222"/>
        </w:rPr>
        <w:t>Patient must not have developed disease progression while receiving treatment with this drug for this condition</w:t>
      </w:r>
      <w:r w:rsidR="001D4AEC" w:rsidRPr="00232014">
        <w:rPr>
          <w:rFonts w:asciiTheme="minorHAnsi" w:hAnsiTheme="minorHAnsi" w:cstheme="minorHAnsi"/>
          <w:color w:val="222222"/>
        </w:rPr>
        <w:t xml:space="preserve">, </w:t>
      </w:r>
      <w:r w:rsidRPr="00232014">
        <w:rPr>
          <w:rFonts w:ascii="Open Sans" w:hAnsi="Open Sans" w:cs="Open Sans"/>
          <w:b/>
          <w:bCs/>
          <w:color w:val="222222"/>
          <w:bdr w:val="none" w:sz="0" w:space="0" w:color="auto" w:frame="1"/>
        </w:rPr>
        <w:t>AND</w:t>
      </w:r>
    </w:p>
    <w:p w14:paraId="5A10424B" w14:textId="412AE0E6" w:rsidR="00DC133B" w:rsidRPr="00232014" w:rsidRDefault="00DC133B" w:rsidP="001D4AEC">
      <w:pPr>
        <w:pStyle w:val="NormalWeb"/>
        <w:numPr>
          <w:ilvl w:val="0"/>
          <w:numId w:val="29"/>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The treatment must not exceed a total of 24 months of combined non-PBS-subsidised and PBS-subsidised treatment for patients who are in complete response.</w:t>
      </w:r>
    </w:p>
    <w:p w14:paraId="3C2CBDE7" w14:textId="77777777" w:rsidR="00917E1E" w:rsidRDefault="00917E1E" w:rsidP="00917E1E">
      <w:pPr>
        <w:pStyle w:val="NormalWeb"/>
        <w:shd w:val="clear" w:color="auto" w:fill="FFFFFF"/>
        <w:spacing w:before="0" w:beforeAutospacing="0" w:after="0" w:afterAutospacing="0"/>
        <w:rPr>
          <w:rFonts w:asciiTheme="minorHAnsi" w:hAnsiTheme="minorHAnsi" w:cstheme="minorHAnsi"/>
          <w:b/>
          <w:bCs/>
          <w:color w:val="222222"/>
          <w:u w:val="single"/>
        </w:rPr>
      </w:pPr>
    </w:p>
    <w:p w14:paraId="3708C76E" w14:textId="77777777" w:rsidR="000D1FDB" w:rsidRDefault="000D1FDB">
      <w:pPr>
        <w:spacing w:line="276" w:lineRule="auto"/>
        <w:rPr>
          <w:rFonts w:eastAsia="Times New Roman" w:cstheme="minorHAnsi"/>
          <w:b/>
          <w:bCs/>
          <w:color w:val="222222"/>
          <w:u w:val="single"/>
        </w:rPr>
      </w:pPr>
      <w:r>
        <w:rPr>
          <w:rFonts w:cstheme="minorHAnsi"/>
          <w:b/>
          <w:bCs/>
          <w:color w:val="222222"/>
          <w:u w:val="single"/>
        </w:rPr>
        <w:br w:type="page"/>
      </w:r>
    </w:p>
    <w:p w14:paraId="27203682" w14:textId="30742A08" w:rsidR="00FC79D4" w:rsidRPr="00917E1E" w:rsidRDefault="00917E1E" w:rsidP="00917E1E">
      <w:pPr>
        <w:pStyle w:val="NormalWeb"/>
        <w:shd w:val="clear" w:color="auto" w:fill="FFFFFF"/>
        <w:spacing w:before="0" w:beforeAutospacing="0" w:after="0" w:afterAutospacing="0"/>
        <w:rPr>
          <w:rFonts w:asciiTheme="minorHAnsi" w:hAnsiTheme="minorHAnsi" w:cstheme="minorHAnsi"/>
          <w:b/>
          <w:bCs/>
          <w:color w:val="222222"/>
          <w:u w:val="single"/>
        </w:rPr>
      </w:pPr>
      <w:r>
        <w:rPr>
          <w:rFonts w:asciiTheme="minorHAnsi" w:hAnsiTheme="minorHAnsi" w:cstheme="minorHAnsi"/>
          <w:b/>
          <w:bCs/>
          <w:color w:val="222222"/>
          <w:u w:val="single"/>
        </w:rPr>
        <w:lastRenderedPageBreak/>
        <w:t>Second</w:t>
      </w:r>
      <w:r w:rsidRPr="00917E1E">
        <w:rPr>
          <w:rFonts w:asciiTheme="minorHAnsi" w:hAnsiTheme="minorHAnsi" w:cstheme="minorHAnsi"/>
          <w:b/>
          <w:bCs/>
          <w:color w:val="222222"/>
          <w:u w:val="single"/>
        </w:rPr>
        <w:t>- line treatment</w:t>
      </w:r>
      <w:r w:rsidR="008B666E">
        <w:rPr>
          <w:rFonts w:asciiTheme="minorHAnsi" w:hAnsiTheme="minorHAnsi" w:cstheme="minorHAnsi"/>
          <w:b/>
          <w:bCs/>
          <w:color w:val="222222"/>
          <w:u w:val="single"/>
        </w:rPr>
        <w:t xml:space="preserve"> for high grade epithelial ovarian, fallopian tube or primary peritoneal cancer</w:t>
      </w:r>
      <w:r>
        <w:rPr>
          <w:rFonts w:asciiTheme="minorHAnsi" w:hAnsiTheme="minorHAnsi" w:cstheme="minorHAnsi"/>
          <w:b/>
          <w:bCs/>
          <w:color w:val="222222"/>
          <w:u w:val="single"/>
        </w:rPr>
        <w:t xml:space="preserve"> (Initial listings are Authority Required, continuing listings are Authority Required (Streamlined)</w:t>
      </w:r>
    </w:p>
    <w:p w14:paraId="3CAF0D8B" w14:textId="77777777" w:rsidR="00917E1E" w:rsidRDefault="00917E1E" w:rsidP="001D4AEC">
      <w:pPr>
        <w:pStyle w:val="NormalWeb"/>
        <w:shd w:val="clear" w:color="auto" w:fill="FFFFFF"/>
        <w:spacing w:before="0" w:beforeAutospacing="0" w:after="0" w:afterAutospacing="0" w:line="276" w:lineRule="auto"/>
        <w:rPr>
          <w:rFonts w:asciiTheme="minorHAnsi" w:hAnsiTheme="minorHAnsi" w:cstheme="minorHAnsi"/>
          <w:color w:val="222222"/>
        </w:rPr>
      </w:pPr>
    </w:p>
    <w:p w14:paraId="5DBAC250" w14:textId="45AE78BD" w:rsidR="00FC79D4" w:rsidRPr="00232014" w:rsidRDefault="00FC79D4" w:rsidP="001D4AEC">
      <w:pPr>
        <w:pStyle w:val="NormalWeb"/>
        <w:shd w:val="clear" w:color="auto" w:fill="FFFFFF"/>
        <w:spacing w:before="0" w:beforeAutospacing="0" w:after="0" w:afterAutospacing="0" w:line="276" w:lineRule="auto"/>
        <w:rPr>
          <w:rFonts w:asciiTheme="minorHAnsi" w:hAnsiTheme="minorHAnsi" w:cstheme="minorHAnsi"/>
          <w:color w:val="222222"/>
        </w:rPr>
      </w:pPr>
      <w:r w:rsidRPr="00917E1E">
        <w:rPr>
          <w:rFonts w:asciiTheme="minorHAnsi" w:hAnsiTheme="minorHAnsi" w:cstheme="minorHAnsi"/>
          <w:b/>
          <w:bCs/>
          <w:color w:val="222222"/>
        </w:rPr>
        <w:t>Treatment Phase:</w:t>
      </w:r>
      <w:r w:rsidRPr="00232014">
        <w:rPr>
          <w:rFonts w:asciiTheme="minorHAnsi" w:hAnsiTheme="minorHAnsi" w:cstheme="minorHAnsi"/>
          <w:color w:val="222222"/>
        </w:rPr>
        <w:t xml:space="preserve"> Initial treatment</w:t>
      </w:r>
    </w:p>
    <w:p w14:paraId="32F48E7A" w14:textId="77777777" w:rsidR="001D4AEC" w:rsidRPr="00232014" w:rsidRDefault="00FC79D4" w:rsidP="001D4AEC">
      <w:pPr>
        <w:pStyle w:val="NormalWeb"/>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b/>
          <w:bCs/>
          <w:color w:val="222222"/>
          <w:bdr w:val="none" w:sz="0" w:space="0" w:color="auto" w:frame="1"/>
        </w:rPr>
        <w:t>Clinical criteria:</w:t>
      </w:r>
    </w:p>
    <w:p w14:paraId="261BFBE6" w14:textId="77777777" w:rsidR="001D4AEC" w:rsidRPr="00232014" w:rsidRDefault="00FC79D4" w:rsidP="001D4AEC">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The condition must be associated with a class 4 or 5 BRCA1 or BRCA2 gene mutation,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4A7E2B37" w14:textId="77777777" w:rsidR="001D4AEC" w:rsidRPr="00232014" w:rsidRDefault="00FC79D4" w:rsidP="001D4AEC">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The condition must be platinum sensitive,</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47B9CDC0" w14:textId="77777777" w:rsidR="001D4AEC" w:rsidRPr="00232014" w:rsidRDefault="00FC79D4" w:rsidP="001D4AEC">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Patient must have received at least two previous platinum-containing regimens,</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7BB376E0" w14:textId="77777777" w:rsidR="001D4AEC" w:rsidRPr="00232014" w:rsidRDefault="00FC79D4" w:rsidP="001D4AEC">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Patient must have relapsed following a previous platinum-containing regimen,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47B06886" w14:textId="77777777" w:rsidR="001D4AEC" w:rsidRPr="00232014" w:rsidRDefault="00FC79D4" w:rsidP="001D4AEC">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Patient must be in partial or complete response to the immediately preceding platinum-based chemotherapy regimen,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w:t>
      </w:r>
      <w:r w:rsidR="001D4AEC" w:rsidRPr="00232014">
        <w:rPr>
          <w:rFonts w:asciiTheme="minorHAnsi" w:hAnsiTheme="minorHAnsi" w:cstheme="minorHAnsi"/>
          <w:b/>
          <w:bCs/>
          <w:color w:val="222222"/>
          <w:bdr w:val="none" w:sz="0" w:space="0" w:color="auto" w:frame="1"/>
        </w:rPr>
        <w:t>D</w:t>
      </w:r>
    </w:p>
    <w:p w14:paraId="16765959" w14:textId="77777777" w:rsidR="001D4AEC" w:rsidRPr="00232014" w:rsidRDefault="00FC79D4" w:rsidP="001D4AEC">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The treatment must be the sole PBS-subsidised therapy for this condition,</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36CDEF78" w14:textId="77777777" w:rsidR="001D4AEC" w:rsidRPr="00232014" w:rsidRDefault="00FC79D4" w:rsidP="001D4AEC">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The treatment must be maintenance therapy,</w:t>
      </w:r>
      <w:r w:rsidR="001D4AEC"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7D4C3FB8" w14:textId="77777777" w:rsidR="00232014" w:rsidRPr="00232014" w:rsidRDefault="00FC79D4" w:rsidP="00232014">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Patient must not have previously received PBS-subsidised treatment with this drug for this condition.</w:t>
      </w:r>
    </w:p>
    <w:p w14:paraId="5D0349E1" w14:textId="4CD75E5F" w:rsidR="00FC79D4" w:rsidRPr="00232014" w:rsidRDefault="00FC79D4" w:rsidP="00232014">
      <w:pPr>
        <w:pStyle w:val="NormalWeb"/>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Platinum sensitivity is defined as disease progression greater than 6 months after completion of the penultimate platinum regimen.</w:t>
      </w:r>
    </w:p>
    <w:p w14:paraId="5731453C" w14:textId="77777777" w:rsidR="007B5D20" w:rsidRDefault="00FC79D4" w:rsidP="00232014">
      <w:pPr>
        <w:pStyle w:val="NormalWeb"/>
        <w:shd w:val="clear" w:color="auto" w:fill="FFFFFF"/>
        <w:spacing w:before="0" w:beforeAutospacing="0" w:after="240" w:afterAutospacing="0" w:line="276" w:lineRule="auto"/>
        <w:rPr>
          <w:rFonts w:asciiTheme="minorHAnsi" w:hAnsiTheme="minorHAnsi" w:cstheme="minorHAnsi"/>
          <w:color w:val="222222"/>
        </w:rPr>
      </w:pPr>
      <w:r w:rsidRPr="00232014">
        <w:rPr>
          <w:rFonts w:asciiTheme="minorHAnsi" w:hAnsiTheme="minorHAnsi" w:cstheme="minorHAnsi"/>
          <w:color w:val="222222"/>
        </w:rPr>
        <w:t>A response (complete or partial) to the platinum-based chemotherapy regimen is to be assessed using either Gynaecologic Cancer InterGroup (GCIG) or Response Evaluation Criteria in Solid Tumours (RECIST) guidelines.</w:t>
      </w:r>
    </w:p>
    <w:p w14:paraId="3FABCA27" w14:textId="22274290" w:rsidR="00FC79D4" w:rsidRPr="00232014" w:rsidRDefault="00FC79D4" w:rsidP="00232014">
      <w:pPr>
        <w:pStyle w:val="NormalWeb"/>
        <w:shd w:val="clear" w:color="auto" w:fill="FFFFFF"/>
        <w:spacing w:before="0" w:beforeAutospacing="0" w:after="240" w:afterAutospacing="0" w:line="276" w:lineRule="auto"/>
        <w:rPr>
          <w:rFonts w:asciiTheme="minorHAnsi" w:hAnsiTheme="minorHAnsi" w:cstheme="minorHAnsi"/>
          <w:color w:val="222222"/>
        </w:rPr>
      </w:pPr>
      <w:r w:rsidRPr="00232014">
        <w:rPr>
          <w:rFonts w:asciiTheme="minorHAnsi" w:hAnsiTheme="minorHAnsi" w:cstheme="minorHAnsi"/>
          <w:color w:val="222222"/>
        </w:rPr>
        <w:t>Evidence of a BRCA1 or BRCA2 gene mutation must be derived through germline or somatic mutation testing.</w:t>
      </w:r>
    </w:p>
    <w:p w14:paraId="3C772338" w14:textId="515AB6F0" w:rsidR="00FC79D4" w:rsidRPr="00232014" w:rsidRDefault="00FC79D4" w:rsidP="001D4AEC">
      <w:pPr>
        <w:pStyle w:val="NormalWeb"/>
        <w:shd w:val="clear" w:color="auto" w:fill="FFFFFF"/>
        <w:spacing w:before="0" w:beforeAutospacing="0" w:after="0" w:afterAutospacing="0" w:line="276" w:lineRule="auto"/>
        <w:rPr>
          <w:rFonts w:asciiTheme="minorHAnsi" w:hAnsiTheme="minorHAnsi" w:cstheme="minorHAnsi"/>
          <w:color w:val="222222"/>
        </w:rPr>
      </w:pPr>
      <w:r w:rsidRPr="00232014">
        <w:rPr>
          <w:rFonts w:asciiTheme="minorHAnsi" w:hAnsiTheme="minorHAnsi" w:cstheme="minorHAnsi"/>
          <w:color w:val="222222"/>
        </w:rPr>
        <w:t xml:space="preserve">Treatment Phase: Continuing treatment </w:t>
      </w:r>
    </w:p>
    <w:p w14:paraId="3F99669B" w14:textId="77777777" w:rsidR="00232014" w:rsidRPr="00232014" w:rsidRDefault="00FC79D4" w:rsidP="00232014">
      <w:pPr>
        <w:pStyle w:val="NormalWeb"/>
        <w:shd w:val="clear" w:color="auto" w:fill="FFFFFF"/>
        <w:spacing w:before="0" w:beforeAutospacing="0" w:after="0" w:afterAutospacing="0"/>
        <w:rPr>
          <w:rFonts w:asciiTheme="minorHAnsi" w:hAnsiTheme="minorHAnsi" w:cstheme="minorHAnsi"/>
          <w:b/>
          <w:bCs/>
          <w:color w:val="222222"/>
          <w:bdr w:val="none" w:sz="0" w:space="0" w:color="auto" w:frame="1"/>
        </w:rPr>
      </w:pPr>
      <w:r w:rsidRPr="00232014">
        <w:rPr>
          <w:rFonts w:asciiTheme="minorHAnsi" w:hAnsiTheme="minorHAnsi" w:cstheme="minorHAnsi"/>
          <w:b/>
          <w:bCs/>
          <w:color w:val="222222"/>
          <w:bdr w:val="none" w:sz="0" w:space="0" w:color="auto" w:frame="1"/>
        </w:rPr>
        <w:t>Clinical criteria</w:t>
      </w:r>
      <w:r w:rsidR="00232014" w:rsidRPr="00232014">
        <w:rPr>
          <w:rFonts w:asciiTheme="minorHAnsi" w:hAnsiTheme="minorHAnsi" w:cstheme="minorHAnsi"/>
          <w:b/>
          <w:bCs/>
          <w:color w:val="222222"/>
          <w:bdr w:val="none" w:sz="0" w:space="0" w:color="auto" w:frame="1"/>
        </w:rPr>
        <w:t>:</w:t>
      </w:r>
    </w:p>
    <w:p w14:paraId="601F9752" w14:textId="77777777" w:rsidR="00232014" w:rsidRPr="00232014" w:rsidRDefault="00FC79D4" w:rsidP="00232014">
      <w:pPr>
        <w:pStyle w:val="NormalWeb"/>
        <w:numPr>
          <w:ilvl w:val="0"/>
          <w:numId w:val="31"/>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Patient must have previously received PBS-subsidised treatment with this drug as a second line therapy for this condition,</w:t>
      </w:r>
      <w:r w:rsidR="00232014"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1915BA17" w14:textId="77777777" w:rsidR="00232014" w:rsidRPr="00232014" w:rsidRDefault="00FC79D4" w:rsidP="00232014">
      <w:pPr>
        <w:pStyle w:val="NormalWeb"/>
        <w:numPr>
          <w:ilvl w:val="0"/>
          <w:numId w:val="31"/>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The treatment must be the sole PBS-subsidised therapy for this condition,</w:t>
      </w:r>
      <w:r w:rsidR="00232014"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26EFDD6B" w14:textId="77777777" w:rsidR="00232014" w:rsidRPr="00232014" w:rsidRDefault="00FC79D4" w:rsidP="00232014">
      <w:pPr>
        <w:pStyle w:val="NormalWeb"/>
        <w:numPr>
          <w:ilvl w:val="0"/>
          <w:numId w:val="31"/>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The treatment must be maintenance therapy,</w:t>
      </w:r>
      <w:r w:rsidR="00232014" w:rsidRPr="00232014">
        <w:rPr>
          <w:rFonts w:asciiTheme="minorHAnsi" w:hAnsiTheme="minorHAnsi" w:cstheme="minorHAnsi"/>
          <w:color w:val="222222"/>
        </w:rPr>
        <w:t xml:space="preserve"> </w:t>
      </w:r>
      <w:r w:rsidRPr="00232014">
        <w:rPr>
          <w:rFonts w:asciiTheme="minorHAnsi" w:hAnsiTheme="minorHAnsi" w:cstheme="minorHAnsi"/>
          <w:b/>
          <w:bCs/>
          <w:color w:val="222222"/>
          <w:bdr w:val="none" w:sz="0" w:space="0" w:color="auto" w:frame="1"/>
        </w:rPr>
        <w:t>AND</w:t>
      </w:r>
    </w:p>
    <w:p w14:paraId="722C42A3" w14:textId="1EAE7CA1" w:rsidR="00FC79D4" w:rsidRPr="00232014" w:rsidRDefault="00FC79D4" w:rsidP="00232014">
      <w:pPr>
        <w:pStyle w:val="NormalWeb"/>
        <w:numPr>
          <w:ilvl w:val="0"/>
          <w:numId w:val="31"/>
        </w:numPr>
        <w:shd w:val="clear" w:color="auto" w:fill="FFFFFF"/>
        <w:spacing w:before="0" w:beforeAutospacing="0" w:after="0" w:afterAutospacing="0"/>
        <w:rPr>
          <w:rFonts w:asciiTheme="minorHAnsi" w:hAnsiTheme="minorHAnsi" w:cstheme="minorHAnsi"/>
          <w:color w:val="222222"/>
        </w:rPr>
      </w:pPr>
      <w:r w:rsidRPr="00232014">
        <w:rPr>
          <w:rFonts w:asciiTheme="minorHAnsi" w:hAnsiTheme="minorHAnsi" w:cstheme="minorHAnsi"/>
          <w:color w:val="222222"/>
        </w:rPr>
        <w:t>Patient must not have developed disease progression while receiving treatment with this drug for this condition.</w:t>
      </w:r>
    </w:p>
    <w:p w14:paraId="4588066E" w14:textId="77777777" w:rsidR="00C1356C" w:rsidRPr="00BB3281" w:rsidDel="00EE2BBB" w:rsidRDefault="00C1356C" w:rsidP="00BB3281">
      <w:pPr>
        <w:pStyle w:val="NormalWeb"/>
        <w:shd w:val="clear" w:color="auto" w:fill="FFFFFF"/>
        <w:spacing w:before="240" w:beforeAutospacing="0" w:after="0" w:afterAutospacing="0"/>
        <w:rPr>
          <w:rFonts w:asciiTheme="minorHAnsi" w:hAnsiTheme="minorHAnsi" w:cstheme="minorHAnsi"/>
          <w:color w:val="222222"/>
        </w:rPr>
      </w:pPr>
    </w:p>
    <w:p w14:paraId="797747AF" w14:textId="1839EE1C" w:rsidR="000D1FDB" w:rsidRDefault="006775F1" w:rsidP="00313942">
      <w:pPr>
        <w:rPr>
          <w:rStyle w:val="Hyperlink"/>
        </w:rPr>
      </w:pPr>
      <w:r w:rsidRPr="006775F1" w:rsidDel="00EE2BBB">
        <w:t xml:space="preserve">For </w:t>
      </w:r>
      <w:r w:rsidR="00835337" w:rsidDel="00EE2BBB">
        <w:t xml:space="preserve">details of the current PBS listing refer to the </w:t>
      </w:r>
      <w:hyperlink r:id="rId13" w:history="1">
        <w:r w:rsidR="00835337" w:rsidRPr="00645D51" w:rsidDel="00EE2BBB">
          <w:rPr>
            <w:rStyle w:val="Hyperlink"/>
          </w:rPr>
          <w:t>PBS website</w:t>
        </w:r>
      </w:hyperlink>
      <w:r w:rsidR="00835337" w:rsidDel="00EE2BBB">
        <w:rPr>
          <w:rStyle w:val="Hyperlink"/>
        </w:rPr>
        <w:t>.</w:t>
      </w:r>
    </w:p>
    <w:p w14:paraId="01705D73" w14:textId="4EBDBDDF" w:rsidR="007B5D20" w:rsidRDefault="007B5D20" w:rsidP="00313942">
      <w:pPr>
        <w:rPr>
          <w:rStyle w:val="Hyperlink"/>
        </w:rPr>
      </w:pPr>
    </w:p>
    <w:p w14:paraId="6029FD96" w14:textId="77777777" w:rsidR="007B5D20" w:rsidRPr="00313942" w:rsidRDefault="007B5D20" w:rsidP="00313942"/>
    <w:p w14:paraId="232720EF" w14:textId="66D7A239" w:rsidR="009C35F2" w:rsidRDefault="00675BB1" w:rsidP="00D96821">
      <w:pPr>
        <w:pStyle w:val="Heading3"/>
      </w:pPr>
      <w:r w:rsidRPr="00675BB1" w:rsidDel="00EE2BBB">
        <w:lastRenderedPageBreak/>
        <w:t>Changes to listing</w:t>
      </w:r>
    </w:p>
    <w:p w14:paraId="50E4ADA8" w14:textId="3EFBD1B4" w:rsidR="00710803" w:rsidRPr="00710803" w:rsidRDefault="00710803" w:rsidP="00710803">
      <w:pPr>
        <w:pStyle w:val="Tabletitle"/>
      </w:pPr>
      <w:r w:rsidRPr="001420B3" w:rsidDel="00EE2BBB">
        <w:t xml:space="preserve">Table </w:t>
      </w:r>
      <w:r w:rsidR="008B2F2E">
        <w:t>3</w:t>
      </w:r>
      <w:r w:rsidRPr="001420B3" w:rsidDel="00EE2BBB">
        <w:t>:</w:t>
      </w:r>
      <w:r w:rsidR="008B2F2E">
        <w:t xml:space="preserve"> C</w:t>
      </w:r>
      <w:r w:rsidR="00086D4B">
        <w:t>hronology of c</w:t>
      </w:r>
      <w:r w:rsidR="008B2F2E">
        <w:t>hanges to</w:t>
      </w:r>
      <w:r w:rsidR="00086D4B">
        <w:t xml:space="preserve"> olaparib</w:t>
      </w:r>
      <w:r w:rsidR="008B2F2E">
        <w:t xml:space="preserve"> listing </w:t>
      </w:r>
      <w:r w:rsidRPr="001420B3" w:rsidDel="00EE2BBB">
        <w:t xml:space="preserve"> </w:t>
      </w:r>
    </w:p>
    <w:tbl>
      <w:tblPr>
        <w:tblStyle w:val="TableGrid"/>
        <w:tblW w:w="0" w:type="auto"/>
        <w:tblLook w:val="04A0" w:firstRow="1" w:lastRow="0" w:firstColumn="1" w:lastColumn="0" w:noHBand="0" w:noVBand="1"/>
      </w:tblPr>
      <w:tblGrid>
        <w:gridCol w:w="1838"/>
        <w:gridCol w:w="7109"/>
      </w:tblGrid>
      <w:tr w:rsidR="00A02D8E" w:rsidRPr="008B2F2E" w14:paraId="5456A4A1" w14:textId="77777777" w:rsidTr="008B2F2E">
        <w:tc>
          <w:tcPr>
            <w:tcW w:w="1838" w:type="dxa"/>
            <w:shd w:val="clear" w:color="auto" w:fill="BFBFBF" w:themeFill="background1" w:themeFillShade="BF"/>
          </w:tcPr>
          <w:p w14:paraId="06FC8FAD" w14:textId="43AEBEE2" w:rsidR="00A02D8E" w:rsidRPr="008B2F2E" w:rsidRDefault="00FD2BBA" w:rsidP="004D3FB8">
            <w:pPr>
              <w:spacing w:before="60" w:after="60"/>
              <w:rPr>
                <w:b/>
                <w:bCs/>
                <w:sz w:val="20"/>
                <w:szCs w:val="20"/>
              </w:rPr>
            </w:pPr>
            <w:r w:rsidRPr="008B2F2E">
              <w:rPr>
                <w:b/>
                <w:bCs/>
                <w:sz w:val="20"/>
                <w:szCs w:val="20"/>
              </w:rPr>
              <w:t xml:space="preserve">Date </w:t>
            </w:r>
          </w:p>
        </w:tc>
        <w:tc>
          <w:tcPr>
            <w:tcW w:w="7109" w:type="dxa"/>
            <w:shd w:val="clear" w:color="auto" w:fill="BFBFBF" w:themeFill="background1" w:themeFillShade="BF"/>
          </w:tcPr>
          <w:p w14:paraId="22208337" w14:textId="603BB216" w:rsidR="00A02D8E" w:rsidRPr="008B2F2E" w:rsidRDefault="00FD2BBA" w:rsidP="004D3FB8">
            <w:pPr>
              <w:spacing w:before="60" w:after="60"/>
              <w:rPr>
                <w:b/>
                <w:bCs/>
                <w:sz w:val="20"/>
                <w:szCs w:val="20"/>
              </w:rPr>
            </w:pPr>
            <w:r w:rsidRPr="008B2F2E">
              <w:rPr>
                <w:b/>
                <w:bCs/>
                <w:sz w:val="20"/>
                <w:szCs w:val="20"/>
              </w:rPr>
              <w:t xml:space="preserve">Change </w:t>
            </w:r>
            <w:r w:rsidR="00086D4B">
              <w:rPr>
                <w:b/>
                <w:bCs/>
                <w:sz w:val="20"/>
                <w:szCs w:val="20"/>
              </w:rPr>
              <w:t xml:space="preserve">to listing </w:t>
            </w:r>
          </w:p>
        </w:tc>
      </w:tr>
      <w:tr w:rsidR="00A02D8E" w:rsidRPr="008B2F2E" w14:paraId="62FE1A20" w14:textId="77777777" w:rsidTr="008B2F2E">
        <w:tc>
          <w:tcPr>
            <w:tcW w:w="1838" w:type="dxa"/>
          </w:tcPr>
          <w:p w14:paraId="1AF6918D" w14:textId="69F1ABC4" w:rsidR="00A02D8E" w:rsidRPr="008B2F2E" w:rsidRDefault="00D96821" w:rsidP="004D3FB8">
            <w:pPr>
              <w:spacing w:before="60" w:after="60"/>
              <w:rPr>
                <w:sz w:val="20"/>
                <w:szCs w:val="20"/>
              </w:rPr>
            </w:pPr>
            <w:r w:rsidRPr="008B2F2E">
              <w:rPr>
                <w:sz w:val="20"/>
                <w:szCs w:val="20"/>
              </w:rPr>
              <w:t>1 February 2017</w:t>
            </w:r>
          </w:p>
        </w:tc>
        <w:tc>
          <w:tcPr>
            <w:tcW w:w="7109" w:type="dxa"/>
          </w:tcPr>
          <w:p w14:paraId="0557DC68" w14:textId="5A913CD6" w:rsidR="00A02D8E" w:rsidRPr="008B2F2E" w:rsidRDefault="00373914" w:rsidP="004D3FB8">
            <w:pPr>
              <w:spacing w:before="60" w:after="60"/>
              <w:rPr>
                <w:sz w:val="20"/>
                <w:szCs w:val="20"/>
              </w:rPr>
            </w:pPr>
            <w:r w:rsidRPr="008B2F2E">
              <w:rPr>
                <w:sz w:val="20"/>
                <w:szCs w:val="20"/>
              </w:rPr>
              <w:t>Olaparib</w:t>
            </w:r>
            <w:r w:rsidR="00FD2BBA" w:rsidRPr="008B2F2E">
              <w:rPr>
                <w:sz w:val="20"/>
                <w:szCs w:val="20"/>
              </w:rPr>
              <w:t xml:space="preserve"> (50 mg capsule)</w:t>
            </w:r>
            <w:r w:rsidRPr="008B2F2E">
              <w:rPr>
                <w:sz w:val="20"/>
                <w:szCs w:val="20"/>
              </w:rPr>
              <w:t xml:space="preserve"> was PBS listed for</w:t>
            </w:r>
            <w:r w:rsidR="0017330D" w:rsidRPr="008B2F2E">
              <w:rPr>
                <w:sz w:val="20"/>
                <w:szCs w:val="20"/>
              </w:rPr>
              <w:t xml:space="preserve"> second-line treatment of </w:t>
            </w:r>
            <w:r w:rsidRPr="008B2F2E">
              <w:rPr>
                <w:sz w:val="20"/>
                <w:szCs w:val="20"/>
              </w:rPr>
              <w:t xml:space="preserve">high grade serous ovarian, primary </w:t>
            </w:r>
            <w:r w:rsidR="00FD2BBA" w:rsidRPr="008B2F2E">
              <w:rPr>
                <w:sz w:val="20"/>
                <w:szCs w:val="20"/>
              </w:rPr>
              <w:t>peritoneal</w:t>
            </w:r>
            <w:r w:rsidRPr="008B2F2E">
              <w:rPr>
                <w:sz w:val="20"/>
                <w:szCs w:val="20"/>
              </w:rPr>
              <w:t xml:space="preserve"> and serous fallopian tube cancer. </w:t>
            </w:r>
          </w:p>
          <w:p w14:paraId="003A98A1" w14:textId="3D652E76" w:rsidR="0017330D" w:rsidRPr="008B2F2E" w:rsidRDefault="00FD2BBA" w:rsidP="004D3FB8">
            <w:pPr>
              <w:spacing w:before="60" w:after="60"/>
              <w:rPr>
                <w:sz w:val="20"/>
                <w:szCs w:val="20"/>
              </w:rPr>
            </w:pPr>
            <w:r w:rsidRPr="008B2F2E">
              <w:rPr>
                <w:sz w:val="20"/>
                <w:szCs w:val="20"/>
              </w:rPr>
              <w:t xml:space="preserve">This was recommended at the </w:t>
            </w:r>
            <w:hyperlink r:id="rId14" w:history="1">
              <w:r w:rsidR="0017330D" w:rsidRPr="00F55654">
                <w:rPr>
                  <w:rStyle w:val="Hyperlink"/>
                  <w:sz w:val="20"/>
                  <w:szCs w:val="20"/>
                </w:rPr>
                <w:t>November 2016 PBAC Meeting</w:t>
              </w:r>
            </w:hyperlink>
            <w:r w:rsidR="0017330D" w:rsidRPr="008B2F2E">
              <w:rPr>
                <w:sz w:val="20"/>
                <w:szCs w:val="20"/>
              </w:rPr>
              <w:t xml:space="preserve">. </w:t>
            </w:r>
          </w:p>
        </w:tc>
      </w:tr>
      <w:tr w:rsidR="00A02D8E" w:rsidRPr="008B2F2E" w14:paraId="20908CEB" w14:textId="77777777" w:rsidTr="008B2F2E">
        <w:tc>
          <w:tcPr>
            <w:tcW w:w="1838" w:type="dxa"/>
          </w:tcPr>
          <w:p w14:paraId="493D1BF6" w14:textId="28265941" w:rsidR="00A02D8E" w:rsidRPr="008B2F2E" w:rsidRDefault="00D96821" w:rsidP="004D3FB8">
            <w:pPr>
              <w:spacing w:before="60" w:after="60"/>
              <w:rPr>
                <w:sz w:val="20"/>
                <w:szCs w:val="20"/>
              </w:rPr>
            </w:pPr>
            <w:r w:rsidRPr="008B2F2E">
              <w:rPr>
                <w:sz w:val="20"/>
                <w:szCs w:val="20"/>
              </w:rPr>
              <w:t>1 December 2018</w:t>
            </w:r>
          </w:p>
        </w:tc>
        <w:tc>
          <w:tcPr>
            <w:tcW w:w="7109" w:type="dxa"/>
          </w:tcPr>
          <w:p w14:paraId="759EEFD4" w14:textId="342761AD" w:rsidR="00A02D8E" w:rsidRPr="008B2F2E" w:rsidRDefault="00FD2BBA" w:rsidP="004D3FB8">
            <w:pPr>
              <w:spacing w:before="60" w:after="60"/>
              <w:rPr>
                <w:sz w:val="20"/>
                <w:szCs w:val="20"/>
              </w:rPr>
            </w:pPr>
            <w:r w:rsidRPr="008B2F2E">
              <w:rPr>
                <w:sz w:val="20"/>
                <w:szCs w:val="20"/>
              </w:rPr>
              <w:t xml:space="preserve">A new form of olaparib was PBS listed (tablet 100 mg, tablet 150 mg). </w:t>
            </w:r>
          </w:p>
          <w:p w14:paraId="48668887" w14:textId="56A934DB" w:rsidR="0017330D" w:rsidRPr="008B2F2E" w:rsidRDefault="00FD2BBA" w:rsidP="004D3FB8">
            <w:pPr>
              <w:spacing w:before="60" w:after="60"/>
              <w:rPr>
                <w:sz w:val="20"/>
                <w:szCs w:val="20"/>
              </w:rPr>
            </w:pPr>
            <w:r w:rsidRPr="008B2F2E">
              <w:rPr>
                <w:sz w:val="20"/>
                <w:szCs w:val="20"/>
              </w:rPr>
              <w:t xml:space="preserve">This was recommended at the </w:t>
            </w:r>
            <w:hyperlink r:id="rId15" w:history="1">
              <w:r w:rsidR="0017330D" w:rsidRPr="000E1708">
                <w:rPr>
                  <w:rStyle w:val="Hyperlink"/>
                  <w:sz w:val="20"/>
                  <w:szCs w:val="20"/>
                </w:rPr>
                <w:t>March 2018 PBAC Meeting</w:t>
              </w:r>
            </w:hyperlink>
            <w:r w:rsidR="0017330D" w:rsidRPr="008B2F2E">
              <w:rPr>
                <w:sz w:val="20"/>
                <w:szCs w:val="20"/>
              </w:rPr>
              <w:t xml:space="preserve">. </w:t>
            </w:r>
          </w:p>
        </w:tc>
      </w:tr>
      <w:tr w:rsidR="0017330D" w:rsidRPr="008B2F2E" w14:paraId="300BADA6" w14:textId="77777777" w:rsidTr="008B2F2E">
        <w:tc>
          <w:tcPr>
            <w:tcW w:w="1838" w:type="dxa"/>
          </w:tcPr>
          <w:p w14:paraId="0B523259" w14:textId="4641E162" w:rsidR="0017330D" w:rsidRPr="008B2F2E" w:rsidRDefault="0017330D" w:rsidP="004D3FB8">
            <w:pPr>
              <w:spacing w:before="60" w:after="60"/>
              <w:rPr>
                <w:sz w:val="20"/>
                <w:szCs w:val="20"/>
              </w:rPr>
            </w:pPr>
            <w:r w:rsidRPr="008B2F2E">
              <w:rPr>
                <w:sz w:val="20"/>
                <w:szCs w:val="20"/>
              </w:rPr>
              <w:t xml:space="preserve">1 May 2019 </w:t>
            </w:r>
          </w:p>
        </w:tc>
        <w:tc>
          <w:tcPr>
            <w:tcW w:w="7109" w:type="dxa"/>
          </w:tcPr>
          <w:p w14:paraId="6B622AAA" w14:textId="0C70D23C" w:rsidR="0017330D" w:rsidRPr="008B2F2E" w:rsidRDefault="00FD2BBA" w:rsidP="004D3FB8">
            <w:pPr>
              <w:spacing w:before="60" w:after="60"/>
              <w:rPr>
                <w:sz w:val="20"/>
                <w:szCs w:val="20"/>
              </w:rPr>
            </w:pPr>
            <w:r w:rsidRPr="008B2F2E">
              <w:rPr>
                <w:sz w:val="20"/>
                <w:szCs w:val="20"/>
              </w:rPr>
              <w:t xml:space="preserve">The capsule form (50 mg) of olaparib was delisted. </w:t>
            </w:r>
          </w:p>
        </w:tc>
      </w:tr>
      <w:tr w:rsidR="00A02D8E" w:rsidRPr="008B2F2E" w14:paraId="22A14769" w14:textId="77777777" w:rsidTr="008B2F2E">
        <w:tc>
          <w:tcPr>
            <w:tcW w:w="1838" w:type="dxa"/>
          </w:tcPr>
          <w:p w14:paraId="647AE019" w14:textId="719F05C3" w:rsidR="00A02D8E" w:rsidRPr="008B2F2E" w:rsidRDefault="00D96821" w:rsidP="004D3FB8">
            <w:pPr>
              <w:spacing w:before="60" w:after="60"/>
              <w:rPr>
                <w:sz w:val="20"/>
                <w:szCs w:val="20"/>
              </w:rPr>
            </w:pPr>
            <w:r w:rsidRPr="008B2F2E">
              <w:rPr>
                <w:sz w:val="20"/>
                <w:szCs w:val="20"/>
              </w:rPr>
              <w:t xml:space="preserve">1 August 2020 </w:t>
            </w:r>
          </w:p>
        </w:tc>
        <w:tc>
          <w:tcPr>
            <w:tcW w:w="7109" w:type="dxa"/>
          </w:tcPr>
          <w:p w14:paraId="6AAC4947" w14:textId="55EC6FB0" w:rsidR="00240AF0" w:rsidRPr="00240AF0" w:rsidRDefault="00240AF0" w:rsidP="004D3FB8">
            <w:pPr>
              <w:spacing w:before="60" w:after="60"/>
              <w:rPr>
                <w:sz w:val="20"/>
                <w:szCs w:val="20"/>
              </w:rPr>
            </w:pPr>
            <w:r w:rsidRPr="00240AF0">
              <w:rPr>
                <w:sz w:val="20"/>
                <w:szCs w:val="20"/>
              </w:rPr>
              <w:t xml:space="preserve">The listing was </w:t>
            </w:r>
            <w:r w:rsidR="00086D4B">
              <w:rPr>
                <w:sz w:val="20"/>
                <w:szCs w:val="20"/>
              </w:rPr>
              <w:t>extended</w:t>
            </w:r>
            <w:r w:rsidRPr="00240AF0">
              <w:rPr>
                <w:sz w:val="20"/>
                <w:szCs w:val="20"/>
              </w:rPr>
              <w:t xml:space="preserve"> to include patients with somatic BRCA1/2 mutations.</w:t>
            </w:r>
          </w:p>
          <w:p w14:paraId="58F3F8EB" w14:textId="21879D5A" w:rsidR="0017330D" w:rsidRPr="008B2F2E" w:rsidRDefault="00FD2BBA" w:rsidP="004D3FB8">
            <w:pPr>
              <w:spacing w:before="60" w:after="60"/>
              <w:rPr>
                <w:sz w:val="20"/>
                <w:szCs w:val="20"/>
              </w:rPr>
            </w:pPr>
            <w:r w:rsidRPr="008B2F2E">
              <w:rPr>
                <w:sz w:val="20"/>
                <w:szCs w:val="20"/>
              </w:rPr>
              <w:t xml:space="preserve">This was recommended at the </w:t>
            </w:r>
            <w:hyperlink r:id="rId16" w:history="1">
              <w:r w:rsidR="0017330D" w:rsidRPr="00F55654">
                <w:rPr>
                  <w:rStyle w:val="Hyperlink"/>
                  <w:sz w:val="20"/>
                  <w:szCs w:val="20"/>
                </w:rPr>
                <w:t>March 2020 PBAC Meeting</w:t>
              </w:r>
            </w:hyperlink>
            <w:r w:rsidR="0017330D" w:rsidRPr="008B2F2E">
              <w:rPr>
                <w:sz w:val="20"/>
                <w:szCs w:val="20"/>
              </w:rPr>
              <w:t xml:space="preserve">. </w:t>
            </w:r>
          </w:p>
        </w:tc>
      </w:tr>
      <w:tr w:rsidR="00A02D8E" w:rsidRPr="008B2F2E" w14:paraId="1C297B5F" w14:textId="77777777" w:rsidTr="008B2F2E">
        <w:tc>
          <w:tcPr>
            <w:tcW w:w="1838" w:type="dxa"/>
          </w:tcPr>
          <w:p w14:paraId="203D3A2C" w14:textId="7806E224" w:rsidR="00A02D8E" w:rsidRPr="008B2F2E" w:rsidRDefault="00D96821" w:rsidP="004D3FB8">
            <w:pPr>
              <w:spacing w:before="60" w:after="60"/>
              <w:rPr>
                <w:sz w:val="20"/>
                <w:szCs w:val="20"/>
              </w:rPr>
            </w:pPr>
            <w:r w:rsidRPr="008B2F2E">
              <w:rPr>
                <w:sz w:val="20"/>
                <w:szCs w:val="20"/>
              </w:rPr>
              <w:t>1 November 2020</w:t>
            </w:r>
          </w:p>
        </w:tc>
        <w:tc>
          <w:tcPr>
            <w:tcW w:w="7109" w:type="dxa"/>
          </w:tcPr>
          <w:p w14:paraId="4792EEE8" w14:textId="76E36377" w:rsidR="00A02D8E" w:rsidRPr="00BD75F3" w:rsidRDefault="0017330D" w:rsidP="004D3FB8">
            <w:pPr>
              <w:pStyle w:val="Default"/>
              <w:spacing w:before="60" w:after="60"/>
              <w:rPr>
                <w:rFonts w:eastAsiaTheme="minorEastAsia" w:cs="Calibri"/>
                <w:sz w:val="20"/>
                <w:szCs w:val="20"/>
                <w:lang w:eastAsia="en-AU"/>
              </w:rPr>
            </w:pPr>
            <w:r w:rsidRPr="00BD75F3">
              <w:rPr>
                <w:sz w:val="20"/>
                <w:szCs w:val="20"/>
              </w:rPr>
              <w:t xml:space="preserve">Listing was extended to include </w:t>
            </w:r>
            <w:r w:rsidR="00BD75F3" w:rsidRPr="00BD75F3">
              <w:rPr>
                <w:rFonts w:cs="Calibri"/>
                <w:sz w:val="20"/>
                <w:szCs w:val="20"/>
              </w:rPr>
              <w:t>maintenance</w:t>
            </w:r>
            <w:r w:rsidR="00BD75F3">
              <w:rPr>
                <w:rFonts w:cs="Calibri"/>
                <w:sz w:val="20"/>
                <w:szCs w:val="20"/>
              </w:rPr>
              <w:t xml:space="preserve"> treatment</w:t>
            </w:r>
            <w:r w:rsidR="00BD75F3" w:rsidRPr="00BD75F3">
              <w:rPr>
                <w:rFonts w:cs="Calibri"/>
                <w:sz w:val="20"/>
                <w:szCs w:val="20"/>
              </w:rPr>
              <w:t xml:space="preserve"> following a partial or complete response to first line (1L) platinum-based chemotherapy in a patient with evidence of a BRCA1 or BRCA2 gene mutation (BRCAm) via germline or somatic testing. </w:t>
            </w:r>
          </w:p>
          <w:p w14:paraId="67ED7835" w14:textId="4A3C65CF" w:rsidR="00FD2BBA" w:rsidRPr="008B2F2E" w:rsidRDefault="00FD2BBA" w:rsidP="004D3FB8">
            <w:pPr>
              <w:spacing w:before="60" w:after="60"/>
              <w:rPr>
                <w:sz w:val="20"/>
                <w:szCs w:val="20"/>
              </w:rPr>
            </w:pPr>
            <w:r w:rsidRPr="008B2F2E">
              <w:rPr>
                <w:sz w:val="20"/>
                <w:szCs w:val="20"/>
              </w:rPr>
              <w:t xml:space="preserve">This was recommended at the </w:t>
            </w:r>
            <w:hyperlink r:id="rId17" w:history="1">
              <w:r w:rsidRPr="00F55654">
                <w:rPr>
                  <w:rStyle w:val="Hyperlink"/>
                  <w:sz w:val="20"/>
                  <w:szCs w:val="20"/>
                </w:rPr>
                <w:t>July 2020 PBAC Meeting.</w:t>
              </w:r>
            </w:hyperlink>
            <w:r w:rsidRPr="008B2F2E">
              <w:rPr>
                <w:sz w:val="20"/>
                <w:szCs w:val="20"/>
              </w:rPr>
              <w:t xml:space="preserve"> </w:t>
            </w:r>
          </w:p>
        </w:tc>
      </w:tr>
      <w:tr w:rsidR="00A02D8E" w:rsidRPr="008B2F2E" w14:paraId="31C46CD7" w14:textId="77777777" w:rsidTr="008B2F2E">
        <w:tc>
          <w:tcPr>
            <w:tcW w:w="1838" w:type="dxa"/>
          </w:tcPr>
          <w:p w14:paraId="7E6EB77C" w14:textId="156D46E6" w:rsidR="00A02D8E" w:rsidRPr="008B2F2E" w:rsidRDefault="00D96821" w:rsidP="004D3FB8">
            <w:pPr>
              <w:spacing w:before="60" w:after="60"/>
              <w:rPr>
                <w:sz w:val="20"/>
                <w:szCs w:val="20"/>
              </w:rPr>
            </w:pPr>
            <w:r w:rsidRPr="008B2F2E">
              <w:rPr>
                <w:sz w:val="20"/>
                <w:szCs w:val="20"/>
              </w:rPr>
              <w:t xml:space="preserve">1 September 2022 </w:t>
            </w:r>
          </w:p>
        </w:tc>
        <w:tc>
          <w:tcPr>
            <w:tcW w:w="7109" w:type="dxa"/>
          </w:tcPr>
          <w:p w14:paraId="2B51D2C6" w14:textId="3DDC6884" w:rsidR="00086D4B" w:rsidRDefault="00086D4B" w:rsidP="004D3FB8">
            <w:pPr>
              <w:spacing w:before="60" w:after="60"/>
              <w:rPr>
                <w:sz w:val="20"/>
                <w:szCs w:val="20"/>
              </w:rPr>
            </w:pPr>
            <w:r>
              <w:rPr>
                <w:sz w:val="20"/>
                <w:szCs w:val="20"/>
              </w:rPr>
              <w:t>Addition of</w:t>
            </w:r>
            <w:r w:rsidR="00292CBF" w:rsidRPr="008B2F2E">
              <w:rPr>
                <w:sz w:val="20"/>
                <w:szCs w:val="20"/>
              </w:rPr>
              <w:t xml:space="preserve"> treatment criterion</w:t>
            </w:r>
            <w:r w:rsidR="00615B9E">
              <w:rPr>
                <w:sz w:val="20"/>
                <w:szCs w:val="20"/>
              </w:rPr>
              <w:t xml:space="preserve"> due to PBS listing of </w:t>
            </w:r>
            <w:r w:rsidR="00615B9E" w:rsidRPr="00615B9E">
              <w:rPr>
                <w:sz w:val="20"/>
                <w:szCs w:val="20"/>
              </w:rPr>
              <w:t>niraparib for h</w:t>
            </w:r>
            <w:r w:rsidR="00615B9E" w:rsidRPr="00615B9E">
              <w:rPr>
                <w:rFonts w:cstheme="minorHAnsi"/>
                <w:color w:val="222222"/>
                <w:sz w:val="20"/>
                <w:szCs w:val="20"/>
              </w:rPr>
              <w:t>igh grade stage III/IV epithelial ovarian, fallopian tube or primary peritoneal cancer</w:t>
            </w:r>
            <w:r w:rsidRPr="00615B9E">
              <w:rPr>
                <w:rFonts w:cstheme="minorHAnsi"/>
                <w:sz w:val="20"/>
                <w:szCs w:val="20"/>
              </w:rPr>
              <w:t>:</w:t>
            </w:r>
          </w:p>
          <w:p w14:paraId="16D66C99" w14:textId="44584111" w:rsidR="00086D4B" w:rsidRDefault="00086D4B" w:rsidP="004D3FB8">
            <w:pPr>
              <w:pStyle w:val="ListParagraph"/>
              <w:numPr>
                <w:ilvl w:val="0"/>
                <w:numId w:val="38"/>
              </w:numPr>
              <w:spacing w:before="60" w:after="60"/>
              <w:rPr>
                <w:sz w:val="20"/>
                <w:szCs w:val="20"/>
              </w:rPr>
            </w:pPr>
            <w:r>
              <w:rPr>
                <w:sz w:val="20"/>
                <w:szCs w:val="20"/>
              </w:rPr>
              <w:t>To a</w:t>
            </w:r>
            <w:r w:rsidR="00292CBF" w:rsidRPr="00086D4B">
              <w:rPr>
                <w:sz w:val="20"/>
                <w:szCs w:val="20"/>
              </w:rPr>
              <w:t>llow patients with intolerance to niraparib to switch to olaparib.</w:t>
            </w:r>
          </w:p>
          <w:p w14:paraId="2E6457FB" w14:textId="563E94E1" w:rsidR="00A02D8E" w:rsidRPr="00086D4B" w:rsidRDefault="00086D4B" w:rsidP="004D3FB8">
            <w:pPr>
              <w:pStyle w:val="ListParagraph"/>
              <w:numPr>
                <w:ilvl w:val="0"/>
                <w:numId w:val="38"/>
              </w:numPr>
              <w:spacing w:before="60" w:after="60"/>
              <w:rPr>
                <w:sz w:val="20"/>
                <w:szCs w:val="20"/>
              </w:rPr>
            </w:pPr>
            <w:r>
              <w:rPr>
                <w:sz w:val="20"/>
                <w:szCs w:val="20"/>
              </w:rPr>
              <w:t xml:space="preserve">To </w:t>
            </w:r>
            <w:r w:rsidR="00292CBF" w:rsidRPr="00086D4B">
              <w:rPr>
                <w:sz w:val="20"/>
                <w:szCs w:val="20"/>
              </w:rPr>
              <w:t xml:space="preserve">prevent sequential </w:t>
            </w:r>
            <w:r>
              <w:rPr>
                <w:sz w:val="20"/>
                <w:szCs w:val="20"/>
              </w:rPr>
              <w:t>treatment with</w:t>
            </w:r>
            <w:r w:rsidR="00292CBF" w:rsidRPr="00086D4B">
              <w:rPr>
                <w:sz w:val="20"/>
                <w:szCs w:val="20"/>
              </w:rPr>
              <w:t xml:space="preserve"> olaparib after disease progression following treatment with niraparib.</w:t>
            </w:r>
          </w:p>
          <w:p w14:paraId="7882174A" w14:textId="16948C94" w:rsidR="00292CBF" w:rsidRPr="008B2F2E" w:rsidRDefault="00086D4B" w:rsidP="004D3FB8">
            <w:pPr>
              <w:spacing w:before="60" w:after="60"/>
              <w:rPr>
                <w:sz w:val="20"/>
                <w:szCs w:val="20"/>
              </w:rPr>
            </w:pPr>
            <w:r>
              <w:rPr>
                <w:sz w:val="20"/>
                <w:szCs w:val="20"/>
              </w:rPr>
              <w:t>This was recommended at</w:t>
            </w:r>
            <w:r w:rsidR="00292CBF" w:rsidRPr="008B2F2E">
              <w:rPr>
                <w:sz w:val="20"/>
                <w:szCs w:val="20"/>
              </w:rPr>
              <w:t xml:space="preserve"> </w:t>
            </w:r>
            <w:hyperlink r:id="rId18" w:history="1">
              <w:r w:rsidR="00F55654" w:rsidRPr="00DD15BA">
                <w:rPr>
                  <w:rStyle w:val="Hyperlink"/>
                  <w:sz w:val="20"/>
                  <w:szCs w:val="20"/>
                </w:rPr>
                <w:t>March</w:t>
              </w:r>
              <w:r w:rsidR="00292CBF" w:rsidRPr="00DD15BA">
                <w:rPr>
                  <w:rStyle w:val="Hyperlink"/>
                  <w:sz w:val="20"/>
                  <w:szCs w:val="20"/>
                </w:rPr>
                <w:t xml:space="preserve"> 2022 PBAC Meeting</w:t>
              </w:r>
            </w:hyperlink>
            <w:r w:rsidR="00292CBF" w:rsidRPr="008B2F2E">
              <w:rPr>
                <w:sz w:val="20"/>
                <w:szCs w:val="20"/>
              </w:rPr>
              <w:t xml:space="preserve"> </w:t>
            </w:r>
            <w:r w:rsidR="00A9568C">
              <w:rPr>
                <w:sz w:val="20"/>
                <w:szCs w:val="20"/>
              </w:rPr>
              <w:t>as part of the</w:t>
            </w:r>
            <w:r>
              <w:rPr>
                <w:sz w:val="20"/>
                <w:szCs w:val="20"/>
              </w:rPr>
              <w:t xml:space="preserve"> committee’s consideration of niraparib. </w:t>
            </w:r>
          </w:p>
        </w:tc>
      </w:tr>
    </w:tbl>
    <w:p w14:paraId="7F33497F" w14:textId="77777777" w:rsidR="002B734E" w:rsidRDefault="002B734E" w:rsidP="00BF544D"/>
    <w:p w14:paraId="64C94A85" w14:textId="37E249BB" w:rsidR="00BF544D" w:rsidRPr="002F61CA" w:rsidDel="00EE2BBB" w:rsidRDefault="00BF544D" w:rsidP="00BF544D">
      <w:r w:rsidRPr="002F61CA" w:rsidDel="00EE2BBB">
        <w:t xml:space="preserve">Current PBS listing details are available from </w:t>
      </w:r>
      <w:r w:rsidDel="00EE2BBB">
        <w:t xml:space="preserve">the </w:t>
      </w:r>
      <w:hyperlink r:id="rId19" w:history="1">
        <w:r w:rsidRPr="00645D51" w:rsidDel="00EE2BBB">
          <w:rPr>
            <w:rStyle w:val="Hyperlink"/>
          </w:rPr>
          <w:t>PBS website</w:t>
        </w:r>
      </w:hyperlink>
      <w:r w:rsidDel="00EE2BBB">
        <w:t>.</w:t>
      </w:r>
    </w:p>
    <w:p w14:paraId="65F96B72" w14:textId="152E1EDA" w:rsidR="00EA0DAD" w:rsidRPr="00EA0DAD" w:rsidRDefault="00394AEE" w:rsidP="00EA0DAD">
      <w:pPr>
        <w:pStyle w:val="Heading2"/>
      </w:pPr>
      <w:r>
        <w:t>Relevant aspects of</w:t>
      </w:r>
      <w:r w:rsidR="00736041" w:rsidRPr="005E22C2">
        <w:t xml:space="preserve"> consideration</w:t>
      </w:r>
      <w:r>
        <w:t xml:space="preserve"> by the Pharmaceutical Benefits Advisory Committee (PBAC)</w:t>
      </w:r>
    </w:p>
    <w:p w14:paraId="70539E18" w14:textId="19B827C6" w:rsidR="00D94863" w:rsidRPr="00C1356C" w:rsidRDefault="00EA0DAD" w:rsidP="00D94863">
      <w:pPr>
        <w:rPr>
          <w:rFonts w:cstheme="minorHAnsi"/>
          <w:color w:val="222222"/>
        </w:rPr>
      </w:pPr>
      <w:r>
        <w:t xml:space="preserve">The PBAC has considered seven olaparib </w:t>
      </w:r>
      <w:r w:rsidR="00F24331">
        <w:rPr>
          <w:rFonts w:cstheme="minorHAnsi"/>
          <w:color w:val="222222"/>
        </w:rPr>
        <w:t>monotherapy</w:t>
      </w:r>
      <w:r w:rsidR="00F24331">
        <w:t xml:space="preserve"> </w:t>
      </w:r>
      <w:r>
        <w:t xml:space="preserve">submissions for the treatment of </w:t>
      </w:r>
      <w:r w:rsidRPr="00232014">
        <w:rPr>
          <w:rFonts w:cstheme="minorHAnsi"/>
          <w:color w:val="222222"/>
        </w:rPr>
        <w:t>ovarian, fallopian tube or primary peritoneal cancer</w:t>
      </w:r>
      <w:r>
        <w:rPr>
          <w:rFonts w:cstheme="minorHAnsi"/>
          <w:color w:val="222222"/>
        </w:rPr>
        <w:t xml:space="preserve">. A summary of PBAC considerations can be found in Appendix A. </w:t>
      </w:r>
    </w:p>
    <w:p w14:paraId="0DEBD50F" w14:textId="69B931E7" w:rsidR="00094DCF" w:rsidRDefault="00ED633B" w:rsidP="00CF5E22">
      <w:pPr>
        <w:pStyle w:val="Heading2"/>
      </w:pPr>
      <w:r>
        <w:t xml:space="preserve">Previous reviews by </w:t>
      </w:r>
      <w:r w:rsidR="00177B86">
        <w:t xml:space="preserve">the </w:t>
      </w:r>
      <w:r>
        <w:t>DUSC</w:t>
      </w:r>
    </w:p>
    <w:p w14:paraId="46E5DE6A" w14:textId="2BAF50EE" w:rsidR="008B2F2E" w:rsidRDefault="008B2F2E" w:rsidP="00A35800">
      <w:r>
        <w:t>DUSC reviewed the use of bevacizumab for Stage IIIB, IIIC or IV epithelial ovarian, fallopian tube, or primary peritoneal cancer</w:t>
      </w:r>
      <w:r w:rsidR="009F6253">
        <w:t xml:space="preserve"> at its September 2018 meeting</w:t>
      </w:r>
      <w:r>
        <w:t xml:space="preserve">. Since </w:t>
      </w:r>
      <w:r w:rsidR="00EA0DAD">
        <w:t xml:space="preserve">PBS </w:t>
      </w:r>
      <w:r>
        <w:t>listing on 1</w:t>
      </w:r>
      <w:r w:rsidR="000804D5">
        <w:t> </w:t>
      </w:r>
      <w:r>
        <w:t xml:space="preserve">August 2014, 17,550 prescriptions of bevacizumab were supplied to 1,765 patients under the PBS item codes for epithelial ovarian, fallopian tube, or primary peritoneal cancer. The number of patients starting on bevacizumab each month was steady, and the number of treated patients and dispensed prescriptions has been relatively stable since the beginning of 2016. The number of initiating patients was close to the number predicted, suggesting that most eligible patients have been able to access bevacizumab. However, the number of </w:t>
      </w:r>
      <w:r>
        <w:lastRenderedPageBreak/>
        <w:t>prescriptions dispensed was lower than predicted. This was likely because a large proportion of patients had not received the lifetime limit of 18 treatments.</w:t>
      </w:r>
    </w:p>
    <w:p w14:paraId="4B92C8BC" w14:textId="31A47B75" w:rsidR="00FB6EC5" w:rsidRPr="000D1FDB" w:rsidRDefault="009D1ED5" w:rsidP="000D1FDB">
      <w:r>
        <w:t xml:space="preserve">For details of the DUSC consideration of </w:t>
      </w:r>
      <w:r w:rsidR="008B2F2E">
        <w:t xml:space="preserve">bevacizumab for ovarian and primary peritoneal cancer </w:t>
      </w:r>
      <w:r>
        <w:t xml:space="preserve">refer to the </w:t>
      </w:r>
      <w:hyperlink r:id="rId20" w:history="1">
        <w:r w:rsidRPr="008B2F2E">
          <w:rPr>
            <w:rStyle w:val="Hyperlink"/>
          </w:rPr>
          <w:t>Public Release Document</w:t>
        </w:r>
      </w:hyperlink>
      <w:r>
        <w:t xml:space="preserve"> from the </w:t>
      </w:r>
      <w:r w:rsidR="008B2F2E">
        <w:t>September 2018</w:t>
      </w:r>
      <w:r>
        <w:t xml:space="preserve"> DUSC meeting.</w:t>
      </w:r>
    </w:p>
    <w:p w14:paraId="0312FFEC" w14:textId="45AE5229" w:rsidR="00E677DD" w:rsidRPr="005E22C2" w:rsidRDefault="00E677DD" w:rsidP="00CF5E22">
      <w:pPr>
        <w:pStyle w:val="Heading1"/>
      </w:pPr>
      <w:r w:rsidRPr="005E22C2">
        <w:t>Method</w:t>
      </w:r>
      <w:r w:rsidR="001B5D37" w:rsidRPr="005E22C2">
        <w:t>s</w:t>
      </w:r>
    </w:p>
    <w:p w14:paraId="6D8C9BF9" w14:textId="4D917742" w:rsidR="006804E0" w:rsidRDefault="006804E0" w:rsidP="00524D13">
      <w:r w:rsidRPr="006804E0">
        <w:t xml:space="preserve">Data extracted from the PBS claims database maintained by the Department of Health and Aged Care and processed by Services Australia were used for the analyses. Prescription data were extracted from </w:t>
      </w:r>
      <w:r w:rsidR="007A0DAF">
        <w:t>1 February 2017</w:t>
      </w:r>
      <w:r w:rsidRPr="006804E0">
        <w:t xml:space="preserve"> up to and including </w:t>
      </w:r>
      <w:r w:rsidR="007A0DAF">
        <w:t>31 December 2022</w:t>
      </w:r>
      <w:r w:rsidRPr="006804E0">
        <w:t xml:space="preserve">. </w:t>
      </w:r>
    </w:p>
    <w:p w14:paraId="3965ADFB" w14:textId="776575E4" w:rsidR="00A070A9" w:rsidRDefault="00A070A9" w:rsidP="00524D13">
      <w:r>
        <w:t xml:space="preserve">These data were used to determine the number of initiating and prevalent patients, number of prescriptions supplied and to analyse patient demographics such as age. Initiating and prevalent patients were counted by quarter of supply. An initiating patient was defined based on their first date of supply of olaparib. </w:t>
      </w:r>
      <w:r w:rsidR="00020608">
        <w:t xml:space="preserve">Line of therapy was derived based on item code. </w:t>
      </w:r>
    </w:p>
    <w:p w14:paraId="1E754816" w14:textId="0D44B0CF" w:rsidR="007627B5" w:rsidRDefault="007627B5" w:rsidP="00524D13">
      <w:r>
        <w:t xml:space="preserve">The treatment duration of olaparib </w:t>
      </w:r>
      <w:r w:rsidR="00E53A00">
        <w:t xml:space="preserve">for first-line therapy </w:t>
      </w:r>
      <w:r>
        <w:t>was ascertained. A Kaplan-Meier curve was generated to present treatment duration. A cohort of initiating patients were selected from 1 June 202</w:t>
      </w:r>
      <w:r w:rsidR="00E53A00">
        <w:t>1</w:t>
      </w:r>
      <w:r>
        <w:t xml:space="preserve">, to account for the wash out period of grandfathered patients, up to and including </w:t>
      </w:r>
      <w:r w:rsidR="00E53A00">
        <w:t>31 December 2021</w:t>
      </w:r>
      <w:r>
        <w:t>. These patients were followed until 3</w:t>
      </w:r>
      <w:r w:rsidR="00E53A00">
        <w:t xml:space="preserve">1 December </w:t>
      </w:r>
      <w:r>
        <w:t xml:space="preserve">2022, with patients censored if they were still continuing treatment. Another Kaplan Meier curve was generated accounting for breaks in treatment. A patient was considered to be on a treatment break if they did not receive a supply in more than two sets of standard treatment days. The median standard treatment days was calculated to be </w:t>
      </w:r>
      <w:r w:rsidR="00A028BD">
        <w:t>29</w:t>
      </w:r>
      <w:r>
        <w:t xml:space="preserve"> days.</w:t>
      </w:r>
    </w:p>
    <w:p w14:paraId="4112FC4E" w14:textId="5B95FDA3" w:rsidR="007627B5" w:rsidRDefault="007627B5" w:rsidP="00524D13">
      <w:r>
        <w:t xml:space="preserve">Date of death data were linked to the PBS claims data based on the unique </w:t>
      </w:r>
      <w:r w:rsidR="00804D63">
        <w:t xml:space="preserve">de-identified </w:t>
      </w:r>
      <w:r>
        <w:t xml:space="preserve">patient identifier. This was used to determine the proportion of patients who ceased </w:t>
      </w:r>
      <w:r w:rsidR="00B300FF">
        <w:t>olaparib</w:t>
      </w:r>
      <w:r>
        <w:t xml:space="preserve"> treatment due to death. </w:t>
      </w:r>
    </w:p>
    <w:p w14:paraId="1AD2E318" w14:textId="5F776DF1" w:rsidR="007627B5" w:rsidRDefault="006804E0" w:rsidP="00524D13">
      <w:r w:rsidRPr="006804E0">
        <w:t>As this analysis uses date of supply prescription data, there may be small differences compared with publicly available Services Australia Medicare date of processing data.</w:t>
      </w:r>
      <w:r w:rsidR="00576B18">
        <w:rPr>
          <w:rStyle w:val="FootnoteReference"/>
        </w:rPr>
        <w:footnoteReference w:id="4"/>
      </w:r>
      <w:r w:rsidR="00576B18">
        <w:t xml:space="preserve"> </w:t>
      </w:r>
      <w:r w:rsidR="0090691F">
        <w:t xml:space="preserve">The </w:t>
      </w:r>
      <w:r w:rsidR="00AC5054">
        <w:t xml:space="preserve">publicly available </w:t>
      </w:r>
      <w:r w:rsidRPr="006804E0">
        <w:t xml:space="preserve">Services Australia </w:t>
      </w:r>
      <w:r w:rsidR="0090691F">
        <w:t xml:space="preserve">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w:t>
      </w:r>
    </w:p>
    <w:p w14:paraId="3C6C939B" w14:textId="5E3547A7" w:rsidR="007627B5" w:rsidRDefault="007627B5" w:rsidP="00524D13">
      <w:r>
        <w:t>Data manipulation was undertaken using SAS.</w:t>
      </w:r>
    </w:p>
    <w:p w14:paraId="3A60BBE3" w14:textId="77777777" w:rsidR="008A5EEA" w:rsidRDefault="008A5EEA">
      <w:pPr>
        <w:spacing w:line="276" w:lineRule="auto"/>
        <w:rPr>
          <w:rFonts w:eastAsiaTheme="majorEastAsia" w:cstheme="majorBidi"/>
          <w:b/>
          <w:bCs/>
          <w:sz w:val="32"/>
          <w:szCs w:val="32"/>
        </w:rPr>
      </w:pPr>
      <w:r>
        <w:br w:type="page"/>
      </w:r>
    </w:p>
    <w:p w14:paraId="4F91A98A" w14:textId="696748CC"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37CE0CC0" w14:textId="10F7B360" w:rsidR="008A5EEA" w:rsidRDefault="00736041" w:rsidP="004D4596">
      <w:pPr>
        <w:pStyle w:val="Heading3"/>
      </w:pPr>
      <w:r w:rsidRPr="005E22C2">
        <w:t>Overall utilisation</w:t>
      </w:r>
    </w:p>
    <w:p w14:paraId="09A934F5" w14:textId="5F4F7E77" w:rsidR="003F2B30" w:rsidRPr="003F2B30" w:rsidRDefault="003F2B30" w:rsidP="003F2B30">
      <w:pPr>
        <w:pStyle w:val="Tabletitle"/>
      </w:pPr>
      <w:r w:rsidRPr="001420B3" w:rsidDel="00EE2BBB">
        <w:t xml:space="preserve">Table </w:t>
      </w:r>
      <w:r w:rsidR="00814E84">
        <w:t>4</w:t>
      </w:r>
      <w:r w:rsidRPr="001420B3" w:rsidDel="00EE2BBB">
        <w:t xml:space="preserve">: </w:t>
      </w:r>
      <w:r>
        <w:t xml:space="preserve">Number of olaparib prescriptions supplied and patients treated by calendar year  </w:t>
      </w:r>
    </w:p>
    <w:tbl>
      <w:tblPr>
        <w:tblStyle w:val="TableGrid"/>
        <w:tblW w:w="0" w:type="auto"/>
        <w:tblLook w:val="04A0" w:firstRow="1" w:lastRow="0" w:firstColumn="1" w:lastColumn="0" w:noHBand="0" w:noVBand="1"/>
      </w:tblPr>
      <w:tblGrid>
        <w:gridCol w:w="1307"/>
        <w:gridCol w:w="1272"/>
        <w:gridCol w:w="1273"/>
        <w:gridCol w:w="1273"/>
        <w:gridCol w:w="1274"/>
        <w:gridCol w:w="1274"/>
        <w:gridCol w:w="1274"/>
      </w:tblGrid>
      <w:tr w:rsidR="003F2B30" w:rsidRPr="003F2B30" w14:paraId="6699A70D" w14:textId="77777777" w:rsidTr="003F2B30">
        <w:tc>
          <w:tcPr>
            <w:tcW w:w="1310" w:type="dxa"/>
            <w:shd w:val="clear" w:color="auto" w:fill="BFBFBF" w:themeFill="background1" w:themeFillShade="BF"/>
          </w:tcPr>
          <w:p w14:paraId="5AF24C54" w14:textId="77777777" w:rsidR="003F2B30" w:rsidRPr="003F2B30" w:rsidRDefault="003F2B30" w:rsidP="002B559C">
            <w:pPr>
              <w:spacing w:before="60" w:after="60"/>
              <w:rPr>
                <w:b/>
                <w:bCs/>
                <w:sz w:val="20"/>
                <w:szCs w:val="20"/>
              </w:rPr>
            </w:pPr>
          </w:p>
        </w:tc>
        <w:tc>
          <w:tcPr>
            <w:tcW w:w="1310" w:type="dxa"/>
            <w:shd w:val="clear" w:color="auto" w:fill="BFBFBF" w:themeFill="background1" w:themeFillShade="BF"/>
          </w:tcPr>
          <w:p w14:paraId="1C672875" w14:textId="7E5D7C68" w:rsidR="003F2B30" w:rsidRPr="003F2B30" w:rsidRDefault="003F2B30" w:rsidP="002B559C">
            <w:pPr>
              <w:spacing w:before="60" w:after="60"/>
              <w:jc w:val="center"/>
              <w:rPr>
                <w:b/>
                <w:bCs/>
                <w:sz w:val="20"/>
                <w:szCs w:val="20"/>
              </w:rPr>
            </w:pPr>
            <w:r w:rsidRPr="003F2B30">
              <w:rPr>
                <w:b/>
                <w:bCs/>
                <w:sz w:val="20"/>
                <w:szCs w:val="20"/>
              </w:rPr>
              <w:t>2017</w:t>
            </w:r>
          </w:p>
        </w:tc>
        <w:tc>
          <w:tcPr>
            <w:tcW w:w="1310" w:type="dxa"/>
            <w:shd w:val="clear" w:color="auto" w:fill="BFBFBF" w:themeFill="background1" w:themeFillShade="BF"/>
          </w:tcPr>
          <w:p w14:paraId="3C87C03C" w14:textId="3509563C" w:rsidR="003F2B30" w:rsidRPr="003F2B30" w:rsidRDefault="003F2B30" w:rsidP="002B559C">
            <w:pPr>
              <w:spacing w:before="60" w:after="60"/>
              <w:jc w:val="center"/>
              <w:rPr>
                <w:b/>
                <w:bCs/>
                <w:sz w:val="20"/>
                <w:szCs w:val="20"/>
              </w:rPr>
            </w:pPr>
            <w:r w:rsidRPr="003F2B30">
              <w:rPr>
                <w:b/>
                <w:bCs/>
                <w:sz w:val="20"/>
                <w:szCs w:val="20"/>
              </w:rPr>
              <w:t>2018</w:t>
            </w:r>
          </w:p>
        </w:tc>
        <w:tc>
          <w:tcPr>
            <w:tcW w:w="1310" w:type="dxa"/>
            <w:shd w:val="clear" w:color="auto" w:fill="BFBFBF" w:themeFill="background1" w:themeFillShade="BF"/>
          </w:tcPr>
          <w:p w14:paraId="3EE68C52" w14:textId="00CC7EEC" w:rsidR="003F2B30" w:rsidRPr="003F2B30" w:rsidRDefault="003F2B30" w:rsidP="002B559C">
            <w:pPr>
              <w:spacing w:before="60" w:after="60"/>
              <w:jc w:val="center"/>
              <w:rPr>
                <w:b/>
                <w:bCs/>
                <w:sz w:val="20"/>
                <w:szCs w:val="20"/>
              </w:rPr>
            </w:pPr>
            <w:r w:rsidRPr="003F2B30">
              <w:rPr>
                <w:b/>
                <w:bCs/>
                <w:sz w:val="20"/>
                <w:szCs w:val="20"/>
              </w:rPr>
              <w:t>2019</w:t>
            </w:r>
          </w:p>
        </w:tc>
        <w:tc>
          <w:tcPr>
            <w:tcW w:w="1311" w:type="dxa"/>
            <w:shd w:val="clear" w:color="auto" w:fill="BFBFBF" w:themeFill="background1" w:themeFillShade="BF"/>
          </w:tcPr>
          <w:p w14:paraId="2DA20D6B" w14:textId="362B4286" w:rsidR="003F2B30" w:rsidRPr="003F2B30" w:rsidRDefault="003F2B30" w:rsidP="002B559C">
            <w:pPr>
              <w:spacing w:before="60" w:after="60"/>
              <w:jc w:val="center"/>
              <w:rPr>
                <w:b/>
                <w:bCs/>
                <w:sz w:val="20"/>
                <w:szCs w:val="20"/>
              </w:rPr>
            </w:pPr>
            <w:r w:rsidRPr="003F2B30">
              <w:rPr>
                <w:b/>
                <w:bCs/>
                <w:sz w:val="20"/>
                <w:szCs w:val="20"/>
              </w:rPr>
              <w:t>2020</w:t>
            </w:r>
          </w:p>
        </w:tc>
        <w:tc>
          <w:tcPr>
            <w:tcW w:w="1311" w:type="dxa"/>
            <w:shd w:val="clear" w:color="auto" w:fill="BFBFBF" w:themeFill="background1" w:themeFillShade="BF"/>
          </w:tcPr>
          <w:p w14:paraId="3CE97D5D" w14:textId="22930C23" w:rsidR="003F2B30" w:rsidRPr="003F2B30" w:rsidRDefault="003F2B30" w:rsidP="002B559C">
            <w:pPr>
              <w:spacing w:before="60" w:after="60"/>
              <w:jc w:val="center"/>
              <w:rPr>
                <w:b/>
                <w:bCs/>
                <w:sz w:val="20"/>
                <w:szCs w:val="20"/>
              </w:rPr>
            </w:pPr>
            <w:r w:rsidRPr="003F2B30">
              <w:rPr>
                <w:b/>
                <w:bCs/>
                <w:sz w:val="20"/>
                <w:szCs w:val="20"/>
              </w:rPr>
              <w:t>2021</w:t>
            </w:r>
          </w:p>
        </w:tc>
        <w:tc>
          <w:tcPr>
            <w:tcW w:w="1311" w:type="dxa"/>
            <w:shd w:val="clear" w:color="auto" w:fill="BFBFBF" w:themeFill="background1" w:themeFillShade="BF"/>
          </w:tcPr>
          <w:p w14:paraId="647B3B2A" w14:textId="0D5F8FFB" w:rsidR="003F2B30" w:rsidRPr="003F2B30" w:rsidRDefault="003F2B30" w:rsidP="002B559C">
            <w:pPr>
              <w:spacing w:before="60" w:after="60"/>
              <w:jc w:val="center"/>
              <w:rPr>
                <w:b/>
                <w:bCs/>
                <w:sz w:val="20"/>
                <w:szCs w:val="20"/>
              </w:rPr>
            </w:pPr>
            <w:r w:rsidRPr="003F2B30">
              <w:rPr>
                <w:b/>
                <w:bCs/>
                <w:sz w:val="20"/>
                <w:szCs w:val="20"/>
              </w:rPr>
              <w:t>2022</w:t>
            </w:r>
          </w:p>
        </w:tc>
      </w:tr>
      <w:tr w:rsidR="003F2B30" w:rsidRPr="003F2B30" w14:paraId="40A0D02E" w14:textId="77777777" w:rsidTr="003F2B30">
        <w:tc>
          <w:tcPr>
            <w:tcW w:w="1310" w:type="dxa"/>
          </w:tcPr>
          <w:p w14:paraId="3FD80715" w14:textId="665BBCE1" w:rsidR="003F2B30" w:rsidRDefault="003F2B30" w:rsidP="002B559C">
            <w:pPr>
              <w:spacing w:before="60" w:after="60"/>
              <w:rPr>
                <w:sz w:val="20"/>
                <w:szCs w:val="20"/>
              </w:rPr>
            </w:pPr>
            <w:r w:rsidRPr="003F2B30">
              <w:rPr>
                <w:sz w:val="20"/>
                <w:szCs w:val="20"/>
              </w:rPr>
              <w:t>Patients</w:t>
            </w:r>
          </w:p>
        </w:tc>
        <w:tc>
          <w:tcPr>
            <w:tcW w:w="1310" w:type="dxa"/>
          </w:tcPr>
          <w:p w14:paraId="5D947C15" w14:textId="3DB32854" w:rsidR="003F2B30" w:rsidRDefault="003F2B30" w:rsidP="002B559C">
            <w:pPr>
              <w:spacing w:before="60" w:after="60"/>
              <w:jc w:val="center"/>
              <w:rPr>
                <w:sz w:val="20"/>
                <w:szCs w:val="20"/>
              </w:rPr>
            </w:pPr>
            <w:r>
              <w:rPr>
                <w:sz w:val="20"/>
                <w:szCs w:val="20"/>
              </w:rPr>
              <w:t>193</w:t>
            </w:r>
          </w:p>
        </w:tc>
        <w:tc>
          <w:tcPr>
            <w:tcW w:w="1310" w:type="dxa"/>
          </w:tcPr>
          <w:p w14:paraId="24690819" w14:textId="1D1EEEEB" w:rsidR="003F2B30" w:rsidRDefault="003F2B30" w:rsidP="002B559C">
            <w:pPr>
              <w:spacing w:before="60" w:after="60"/>
              <w:jc w:val="center"/>
              <w:rPr>
                <w:sz w:val="20"/>
                <w:szCs w:val="20"/>
              </w:rPr>
            </w:pPr>
            <w:r>
              <w:rPr>
                <w:sz w:val="20"/>
                <w:szCs w:val="20"/>
              </w:rPr>
              <w:t>252</w:t>
            </w:r>
          </w:p>
        </w:tc>
        <w:tc>
          <w:tcPr>
            <w:tcW w:w="1310" w:type="dxa"/>
          </w:tcPr>
          <w:p w14:paraId="6C687215" w14:textId="46C05D07" w:rsidR="003F2B30" w:rsidRDefault="003F2B30" w:rsidP="002B559C">
            <w:pPr>
              <w:spacing w:before="60" w:after="60"/>
              <w:jc w:val="center"/>
              <w:rPr>
                <w:sz w:val="20"/>
                <w:szCs w:val="20"/>
              </w:rPr>
            </w:pPr>
            <w:r>
              <w:rPr>
                <w:sz w:val="20"/>
                <w:szCs w:val="20"/>
              </w:rPr>
              <w:t>259</w:t>
            </w:r>
          </w:p>
        </w:tc>
        <w:tc>
          <w:tcPr>
            <w:tcW w:w="1311" w:type="dxa"/>
          </w:tcPr>
          <w:p w14:paraId="7DED8902" w14:textId="5CBD9D19" w:rsidR="003F2B30" w:rsidRDefault="003F2B30" w:rsidP="002B559C">
            <w:pPr>
              <w:spacing w:before="60" w:after="60"/>
              <w:jc w:val="center"/>
              <w:rPr>
                <w:sz w:val="20"/>
                <w:szCs w:val="20"/>
              </w:rPr>
            </w:pPr>
            <w:r>
              <w:rPr>
                <w:sz w:val="20"/>
                <w:szCs w:val="20"/>
              </w:rPr>
              <w:t>402</w:t>
            </w:r>
          </w:p>
        </w:tc>
        <w:tc>
          <w:tcPr>
            <w:tcW w:w="1311" w:type="dxa"/>
          </w:tcPr>
          <w:p w14:paraId="1CAE1BD2" w14:textId="7140B3D4" w:rsidR="003F2B30" w:rsidRDefault="003F2B30" w:rsidP="002B559C">
            <w:pPr>
              <w:spacing w:before="60" w:after="60"/>
              <w:jc w:val="center"/>
              <w:rPr>
                <w:sz w:val="20"/>
                <w:szCs w:val="20"/>
              </w:rPr>
            </w:pPr>
            <w:r>
              <w:rPr>
                <w:sz w:val="20"/>
                <w:szCs w:val="20"/>
              </w:rPr>
              <w:t>543</w:t>
            </w:r>
          </w:p>
        </w:tc>
        <w:tc>
          <w:tcPr>
            <w:tcW w:w="1311" w:type="dxa"/>
          </w:tcPr>
          <w:p w14:paraId="5E6E1823" w14:textId="5A3FAD7F" w:rsidR="003F2B30" w:rsidRDefault="003F2B30" w:rsidP="002B559C">
            <w:pPr>
              <w:spacing w:before="60" w:after="60"/>
              <w:jc w:val="center"/>
              <w:rPr>
                <w:sz w:val="20"/>
                <w:szCs w:val="20"/>
              </w:rPr>
            </w:pPr>
            <w:r>
              <w:rPr>
                <w:sz w:val="20"/>
                <w:szCs w:val="20"/>
              </w:rPr>
              <w:t>598</w:t>
            </w:r>
          </w:p>
        </w:tc>
      </w:tr>
      <w:tr w:rsidR="003F2B30" w:rsidRPr="003F2B30" w14:paraId="21161B13" w14:textId="77777777" w:rsidTr="003F2B30">
        <w:tc>
          <w:tcPr>
            <w:tcW w:w="1310" w:type="dxa"/>
          </w:tcPr>
          <w:p w14:paraId="2FAA9409" w14:textId="6517333F" w:rsidR="003F2B30" w:rsidRPr="003F2B30" w:rsidRDefault="003F2B30" w:rsidP="002B559C">
            <w:pPr>
              <w:spacing w:before="60" w:after="60"/>
              <w:rPr>
                <w:sz w:val="20"/>
                <w:szCs w:val="20"/>
              </w:rPr>
            </w:pPr>
            <w:r>
              <w:rPr>
                <w:sz w:val="20"/>
                <w:szCs w:val="20"/>
              </w:rPr>
              <w:t>Prescriptions</w:t>
            </w:r>
          </w:p>
        </w:tc>
        <w:tc>
          <w:tcPr>
            <w:tcW w:w="1310" w:type="dxa"/>
          </w:tcPr>
          <w:p w14:paraId="3DFDEFD7" w14:textId="3A67DF54" w:rsidR="003F2B30" w:rsidRPr="003F2B30" w:rsidRDefault="003F2B30" w:rsidP="002B559C">
            <w:pPr>
              <w:spacing w:before="60" w:after="60"/>
              <w:jc w:val="center"/>
              <w:rPr>
                <w:sz w:val="20"/>
                <w:szCs w:val="20"/>
              </w:rPr>
            </w:pPr>
            <w:r>
              <w:rPr>
                <w:sz w:val="20"/>
                <w:szCs w:val="20"/>
              </w:rPr>
              <w:t>1,109</w:t>
            </w:r>
          </w:p>
        </w:tc>
        <w:tc>
          <w:tcPr>
            <w:tcW w:w="1310" w:type="dxa"/>
          </w:tcPr>
          <w:p w14:paraId="51E6EB63" w14:textId="65F1187F" w:rsidR="003F2B30" w:rsidRPr="003F2B30" w:rsidRDefault="003F2B30" w:rsidP="002B559C">
            <w:pPr>
              <w:spacing w:before="60" w:after="60"/>
              <w:jc w:val="center"/>
              <w:rPr>
                <w:sz w:val="20"/>
                <w:szCs w:val="20"/>
              </w:rPr>
            </w:pPr>
            <w:r>
              <w:rPr>
                <w:sz w:val="20"/>
                <w:szCs w:val="20"/>
              </w:rPr>
              <w:t>1,551</w:t>
            </w:r>
          </w:p>
        </w:tc>
        <w:tc>
          <w:tcPr>
            <w:tcW w:w="1310" w:type="dxa"/>
          </w:tcPr>
          <w:p w14:paraId="22E11E77" w14:textId="1CC8761A" w:rsidR="003F2B30" w:rsidRPr="003F2B30" w:rsidRDefault="003F2B30" w:rsidP="002B559C">
            <w:pPr>
              <w:spacing w:before="60" w:after="60"/>
              <w:jc w:val="center"/>
              <w:rPr>
                <w:sz w:val="20"/>
                <w:szCs w:val="20"/>
              </w:rPr>
            </w:pPr>
            <w:r>
              <w:rPr>
                <w:sz w:val="20"/>
                <w:szCs w:val="20"/>
              </w:rPr>
              <w:t>1,983</w:t>
            </w:r>
          </w:p>
        </w:tc>
        <w:tc>
          <w:tcPr>
            <w:tcW w:w="1311" w:type="dxa"/>
          </w:tcPr>
          <w:p w14:paraId="315A8B7B" w14:textId="78103935" w:rsidR="003F2B30" w:rsidRPr="003F2B30" w:rsidRDefault="003F2B30" w:rsidP="002B559C">
            <w:pPr>
              <w:spacing w:before="60" w:after="60"/>
              <w:jc w:val="center"/>
              <w:rPr>
                <w:sz w:val="20"/>
                <w:szCs w:val="20"/>
              </w:rPr>
            </w:pPr>
            <w:r>
              <w:rPr>
                <w:sz w:val="20"/>
                <w:szCs w:val="20"/>
              </w:rPr>
              <w:t>2,200</w:t>
            </w:r>
          </w:p>
        </w:tc>
        <w:tc>
          <w:tcPr>
            <w:tcW w:w="1311" w:type="dxa"/>
          </w:tcPr>
          <w:p w14:paraId="79A5B5C3" w14:textId="3019EC6D" w:rsidR="003F2B30" w:rsidRPr="003F2B30" w:rsidRDefault="003F2B30" w:rsidP="002B559C">
            <w:pPr>
              <w:spacing w:before="60" w:after="60"/>
              <w:jc w:val="center"/>
              <w:rPr>
                <w:sz w:val="20"/>
                <w:szCs w:val="20"/>
              </w:rPr>
            </w:pPr>
            <w:r>
              <w:rPr>
                <w:sz w:val="20"/>
                <w:szCs w:val="20"/>
              </w:rPr>
              <w:t>4,363</w:t>
            </w:r>
          </w:p>
        </w:tc>
        <w:tc>
          <w:tcPr>
            <w:tcW w:w="1311" w:type="dxa"/>
          </w:tcPr>
          <w:p w14:paraId="653AF000" w14:textId="0909B574" w:rsidR="003F2B30" w:rsidRPr="003F2B30" w:rsidRDefault="003F2B30" w:rsidP="002B559C">
            <w:pPr>
              <w:spacing w:before="60" w:after="60"/>
              <w:jc w:val="center"/>
              <w:rPr>
                <w:sz w:val="20"/>
                <w:szCs w:val="20"/>
              </w:rPr>
            </w:pPr>
            <w:r>
              <w:rPr>
                <w:sz w:val="20"/>
                <w:szCs w:val="20"/>
              </w:rPr>
              <w:t>4,864</w:t>
            </w:r>
          </w:p>
        </w:tc>
      </w:tr>
    </w:tbl>
    <w:p w14:paraId="2E295D81" w14:textId="5BFA8A6F" w:rsidR="003F2B30" w:rsidRDefault="003F2B30" w:rsidP="003F2B30">
      <w:pPr>
        <w:rPr>
          <w:sz w:val="20"/>
          <w:szCs w:val="20"/>
        </w:rPr>
      </w:pPr>
      <w:r w:rsidRPr="003F2B30">
        <w:rPr>
          <w:sz w:val="20"/>
          <w:szCs w:val="20"/>
        </w:rPr>
        <w:t>Note: As olaparib was</w:t>
      </w:r>
      <w:r w:rsidR="004A4D94">
        <w:rPr>
          <w:sz w:val="20"/>
          <w:szCs w:val="20"/>
        </w:rPr>
        <w:t xml:space="preserve"> first</w:t>
      </w:r>
      <w:r w:rsidRPr="003F2B30">
        <w:rPr>
          <w:sz w:val="20"/>
          <w:szCs w:val="20"/>
        </w:rPr>
        <w:t xml:space="preserve"> PBS listed from February 2017, </w:t>
      </w:r>
      <w:r>
        <w:rPr>
          <w:sz w:val="20"/>
          <w:szCs w:val="20"/>
        </w:rPr>
        <w:t xml:space="preserve">patient and prescription counts for 2017 </w:t>
      </w:r>
      <w:r w:rsidR="00A8270A">
        <w:rPr>
          <w:sz w:val="20"/>
          <w:szCs w:val="20"/>
        </w:rPr>
        <w:t>are</w:t>
      </w:r>
      <w:r>
        <w:rPr>
          <w:sz w:val="20"/>
          <w:szCs w:val="20"/>
        </w:rPr>
        <w:t xml:space="preserve"> inclusive of February 2017 to December 2017. </w:t>
      </w:r>
    </w:p>
    <w:p w14:paraId="233CE701" w14:textId="77777777" w:rsidR="003F2B30" w:rsidRPr="003F2B30" w:rsidRDefault="003F2B30" w:rsidP="003F2B30">
      <w:pPr>
        <w:rPr>
          <w:sz w:val="20"/>
          <w:szCs w:val="20"/>
        </w:rPr>
      </w:pPr>
    </w:p>
    <w:p w14:paraId="67B161E5" w14:textId="553D41FE" w:rsidR="004D4596" w:rsidRDefault="004D4596" w:rsidP="004D4596">
      <w:pPr>
        <w:jc w:val="center"/>
      </w:pPr>
      <w:r>
        <w:rPr>
          <w:noProof/>
        </w:rPr>
        <w:drawing>
          <wp:inline distT="0" distB="0" distL="0" distR="0" wp14:anchorId="6B22BA00" wp14:editId="5F96C6B0">
            <wp:extent cx="4972050" cy="3209925"/>
            <wp:effectExtent l="0" t="0" r="0" b="9525"/>
            <wp:docPr id="2" name="Chart 2">
              <a:extLst xmlns:a="http://schemas.openxmlformats.org/drawingml/2006/main">
                <a:ext uri="{FF2B5EF4-FFF2-40B4-BE49-F238E27FC236}">
                  <a16:creationId xmlns:a16="http://schemas.microsoft.com/office/drawing/2014/main" id="{8655E22D-183B-49BD-B7B3-458F48D361D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832D23" w14:textId="7512CC80" w:rsidR="004D4596" w:rsidRDefault="004D4596" w:rsidP="004D4596">
      <w:pPr>
        <w:pStyle w:val="Figuretitle"/>
      </w:pPr>
      <w:r w:rsidRPr="00FE645A">
        <w:t xml:space="preserve">Figure 1: </w:t>
      </w:r>
      <w:r>
        <w:t xml:space="preserve">Number of olaparib prescriptions supplied by supply quarter </w:t>
      </w:r>
    </w:p>
    <w:p w14:paraId="6D3C3545" w14:textId="205711AA" w:rsidR="00C97B15" w:rsidRDefault="00986DCD" w:rsidP="00C97B15">
      <w:r>
        <w:t xml:space="preserve">                                                                                                                                                                                                                                                                                                                                                                                                                                                                                                                                                                                                                                                                                                                                                                                                                                                                                                                                                                                                                                                                                                                                                                                                                                                                                                                                                                                                                                                                                                                                                                                                                                                                                                                                                                                                                                                                                                                                                                                                                                                                                                                                                                                                                                                                                                                                                                                                                                                                                                                                                                                                                                                    </w:t>
      </w:r>
    </w:p>
    <w:p w14:paraId="101266F7" w14:textId="2276FCF5" w:rsidR="00DB093B" w:rsidRDefault="00DB093B" w:rsidP="00C97B15">
      <w:r>
        <w:t>In Figure 1, the number of olaparib prescriptions supplied has been increasing over time. A large increase in the number of olaparib prescriptions supplied was observed following 2020Q3</w:t>
      </w:r>
      <w:r w:rsidR="00605CB6">
        <w:t xml:space="preserve">. This was likely due to </w:t>
      </w:r>
      <w:r>
        <w:t xml:space="preserve">extension </w:t>
      </w:r>
      <w:r w:rsidR="00605CB6">
        <w:t xml:space="preserve">of PBS listing </w:t>
      </w:r>
      <w:r>
        <w:t>to include patients with somatic BRCA1/2 mutations in August 2020 and a further extension to include treatment for first-line olaparib patients</w:t>
      </w:r>
      <w:r w:rsidR="00605CB6">
        <w:t xml:space="preserve"> in November 2020</w:t>
      </w:r>
      <w:r>
        <w:t xml:space="preserve">. </w:t>
      </w:r>
    </w:p>
    <w:p w14:paraId="11203863" w14:textId="77777777" w:rsidR="00DB093B" w:rsidRDefault="00DB093B" w:rsidP="00C97B15"/>
    <w:p w14:paraId="4ACBD052" w14:textId="77777777" w:rsidR="00DB093B" w:rsidRPr="00C97B15" w:rsidRDefault="00DB093B" w:rsidP="00C97B15"/>
    <w:p w14:paraId="1DA7555B" w14:textId="68C008C0" w:rsidR="008A5EEA" w:rsidRDefault="008A5EEA" w:rsidP="008A5EEA">
      <w:pPr>
        <w:pStyle w:val="Figurecaption"/>
        <w:jc w:val="center"/>
      </w:pPr>
      <w:r>
        <w:rPr>
          <w:noProof/>
        </w:rPr>
        <w:lastRenderedPageBreak/>
        <w:drawing>
          <wp:inline distT="0" distB="0" distL="0" distR="0" wp14:anchorId="54AB1B24" wp14:editId="678034A3">
            <wp:extent cx="4971600" cy="3211200"/>
            <wp:effectExtent l="0" t="0" r="635" b="8255"/>
            <wp:docPr id="1" name="Chart 1">
              <a:extLst xmlns:a="http://schemas.openxmlformats.org/drawingml/2006/main">
                <a:ext uri="{FF2B5EF4-FFF2-40B4-BE49-F238E27FC236}">
                  <a16:creationId xmlns:a16="http://schemas.microsoft.com/office/drawing/2014/main" id="{8E5818B9-6BC5-46E7-8B65-20E2E41AD2C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7CBEC84" w14:textId="0908A661" w:rsidR="004D4596" w:rsidRDefault="004D4596" w:rsidP="004D4596">
      <w:pPr>
        <w:pStyle w:val="Figuretitle"/>
      </w:pPr>
      <w:r w:rsidRPr="00FE645A">
        <w:t xml:space="preserve">Figure </w:t>
      </w:r>
      <w:r>
        <w:t>2</w:t>
      </w:r>
      <w:r w:rsidRPr="00FE645A">
        <w:t xml:space="preserve">: </w:t>
      </w:r>
      <w:r>
        <w:t xml:space="preserve">Number of initiating and prevalent </w:t>
      </w:r>
      <w:r w:rsidR="00DB74FA">
        <w:t>o</w:t>
      </w:r>
      <w:r>
        <w:t xml:space="preserve">laparib patients by supply quarter  </w:t>
      </w:r>
    </w:p>
    <w:p w14:paraId="2BE39727" w14:textId="014AE434" w:rsidR="004B0997" w:rsidRDefault="004B0997" w:rsidP="004B0997"/>
    <w:p w14:paraId="4640CB7D" w14:textId="55F2145E" w:rsidR="00C1356C" w:rsidRDefault="00605CB6" w:rsidP="004B0997">
      <w:r>
        <w:t>Similar to Figure 1</w:t>
      </w:r>
      <w:r w:rsidR="00A8270A">
        <w:t>, in Figure 2</w:t>
      </w:r>
      <w:r>
        <w:t xml:space="preserve"> the number of patients treated with olaparib has</w:t>
      </w:r>
      <w:r w:rsidR="00A8270A">
        <w:t xml:space="preserve"> increased</w:t>
      </w:r>
      <w:r>
        <w:t xml:space="preserve"> over time, with the large increase observed following extensions to listing following 2020Q3 and an increase in the number of patients initiating treatment in 2020Q4. </w:t>
      </w:r>
    </w:p>
    <w:p w14:paraId="58184889" w14:textId="77777777" w:rsidR="00C576DE" w:rsidRDefault="00C576DE" w:rsidP="004B0997"/>
    <w:p w14:paraId="2C15CBD3" w14:textId="77777777" w:rsidR="00C576DE" w:rsidRDefault="00C576DE">
      <w:pPr>
        <w:spacing w:line="276" w:lineRule="auto"/>
        <w:rPr>
          <w:b/>
          <w:bCs/>
          <w:i/>
          <w:iCs/>
        </w:rPr>
      </w:pPr>
      <w:r>
        <w:rPr>
          <w:b/>
          <w:bCs/>
          <w:i/>
          <w:iCs/>
        </w:rPr>
        <w:br w:type="page"/>
      </w:r>
    </w:p>
    <w:p w14:paraId="1C404C56" w14:textId="17978D56" w:rsidR="00C1356C" w:rsidRPr="00C1356C" w:rsidRDefault="00C1356C" w:rsidP="004B0997">
      <w:pPr>
        <w:rPr>
          <w:b/>
          <w:bCs/>
          <w:i/>
          <w:iCs/>
        </w:rPr>
      </w:pPr>
      <w:r>
        <w:rPr>
          <w:b/>
          <w:bCs/>
          <w:i/>
          <w:iCs/>
        </w:rPr>
        <w:lastRenderedPageBreak/>
        <w:t xml:space="preserve">Utilisation by line of therapy </w:t>
      </w:r>
    </w:p>
    <w:p w14:paraId="5116833E" w14:textId="0077306E" w:rsidR="008A5EEA" w:rsidRPr="00A35800" w:rsidRDefault="00322CFD" w:rsidP="008A5EEA">
      <w:pPr>
        <w:pStyle w:val="Figurecaption"/>
        <w:jc w:val="center"/>
      </w:pPr>
      <w:r>
        <w:rPr>
          <w:noProof/>
        </w:rPr>
        <w:drawing>
          <wp:inline distT="0" distB="0" distL="0" distR="0" wp14:anchorId="77899CBC" wp14:editId="394CC5EF">
            <wp:extent cx="4774019" cy="2838893"/>
            <wp:effectExtent l="0" t="0" r="7620" b="0"/>
            <wp:docPr id="4" name="Chart 4">
              <a:extLst xmlns:a="http://schemas.openxmlformats.org/drawingml/2006/main">
                <a:ext uri="{FF2B5EF4-FFF2-40B4-BE49-F238E27FC236}">
                  <a16:creationId xmlns:a16="http://schemas.microsoft.com/office/drawing/2014/main" id="{BEEA3286-42F7-46E9-8F56-0A4ED014382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00D8CE" w14:textId="187123DA" w:rsidR="00DB74FA" w:rsidRDefault="00DB74FA" w:rsidP="00DB74FA">
      <w:pPr>
        <w:pStyle w:val="Figuretitle"/>
      </w:pPr>
      <w:r w:rsidRPr="00FE645A">
        <w:t xml:space="preserve">Figure </w:t>
      </w:r>
      <w:r>
        <w:t>3</w:t>
      </w:r>
      <w:r w:rsidRPr="00FE645A">
        <w:t xml:space="preserve">: </w:t>
      </w:r>
      <w:r>
        <w:t xml:space="preserve">Number of olaparib prescriptions supplied by line of therapy and supply quarter  </w:t>
      </w:r>
    </w:p>
    <w:p w14:paraId="1F0A2CBB" w14:textId="77777777" w:rsidR="00C576DE" w:rsidRDefault="00C576DE" w:rsidP="00C97B15"/>
    <w:p w14:paraId="1D7A42E5" w14:textId="2329DB23" w:rsidR="00DC4DC0" w:rsidRDefault="00C1356C" w:rsidP="00C97B15">
      <w:r>
        <w:t xml:space="preserve">Figure 3 shows </w:t>
      </w:r>
      <w:r w:rsidR="00465987">
        <w:t>the number of olaparib prescriptions supplied by line of therapy</w:t>
      </w:r>
      <w:r w:rsidR="00A8270A">
        <w:t xml:space="preserve"> based on item code</w:t>
      </w:r>
      <w:r w:rsidR="00465987">
        <w:t xml:space="preserve">. A greater number of prescriptions have been supplied for second-line therapy compared to first-line therapy. </w:t>
      </w:r>
      <w:r>
        <w:t xml:space="preserve"> </w:t>
      </w:r>
    </w:p>
    <w:p w14:paraId="3949FA07" w14:textId="77777777" w:rsidR="00C576DE" w:rsidRDefault="00C576DE" w:rsidP="00C97B15"/>
    <w:p w14:paraId="1C6DCD94" w14:textId="3594C22A" w:rsidR="00DC4DC0" w:rsidRDefault="00DC4DC0" w:rsidP="00DC4DC0">
      <w:pPr>
        <w:jc w:val="center"/>
      </w:pPr>
      <w:r>
        <w:rPr>
          <w:noProof/>
        </w:rPr>
        <w:drawing>
          <wp:inline distT="0" distB="0" distL="0" distR="0" wp14:anchorId="38B92D8B" wp14:editId="5C1DCB0A">
            <wp:extent cx="4880256" cy="3040912"/>
            <wp:effectExtent l="0" t="0" r="15875" b="7620"/>
            <wp:docPr id="6" name="Chart 6">
              <a:extLst xmlns:a="http://schemas.openxmlformats.org/drawingml/2006/main">
                <a:ext uri="{FF2B5EF4-FFF2-40B4-BE49-F238E27FC236}">
                  <a16:creationId xmlns:a16="http://schemas.microsoft.com/office/drawing/2014/main" id="{151F01C1-8579-4067-9DEC-AC1DF7A528F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C727EE2" w14:textId="67A5B90C" w:rsidR="00DC4DC0" w:rsidRDefault="00DC4DC0" w:rsidP="00DC4DC0">
      <w:pPr>
        <w:pStyle w:val="Figuretitle"/>
      </w:pPr>
      <w:r w:rsidRPr="00FE645A">
        <w:t xml:space="preserve">Figure </w:t>
      </w:r>
      <w:r>
        <w:t>4</w:t>
      </w:r>
      <w:r w:rsidRPr="00FE645A">
        <w:t xml:space="preserve">: </w:t>
      </w:r>
      <w:r>
        <w:t xml:space="preserve">Number of </w:t>
      </w:r>
      <w:r w:rsidR="00F26745">
        <w:t>o</w:t>
      </w:r>
      <w:r>
        <w:t xml:space="preserve">laparib treated patients by line of therapy and supply quarter </w:t>
      </w:r>
    </w:p>
    <w:p w14:paraId="26E9A684" w14:textId="279D42B5" w:rsidR="00DC4DC0" w:rsidRDefault="00DC4DC0" w:rsidP="00DC4DC0"/>
    <w:p w14:paraId="680E05E6" w14:textId="5BA1004C" w:rsidR="003C7E45" w:rsidRDefault="003C7E45" w:rsidP="00DC4DC0">
      <w:r>
        <w:lastRenderedPageBreak/>
        <w:t xml:space="preserve">Similar to Figure 3, Figure 4 shows a greater proportion of patients were treated with olaparib in the second-line setting compared to first-line.  </w:t>
      </w:r>
    </w:p>
    <w:p w14:paraId="4A954252" w14:textId="77777777" w:rsidR="00D45A8E" w:rsidRDefault="00D45A8E" w:rsidP="00DC4DC0"/>
    <w:p w14:paraId="6664B239" w14:textId="0909BABD" w:rsidR="00DC4DC0" w:rsidRDefault="00F26745" w:rsidP="00DC4DC0">
      <w:pPr>
        <w:jc w:val="center"/>
      </w:pPr>
      <w:r>
        <w:rPr>
          <w:noProof/>
        </w:rPr>
        <w:drawing>
          <wp:inline distT="0" distB="0" distL="0" distR="0" wp14:anchorId="554D8FD1" wp14:editId="58FC7E0C">
            <wp:extent cx="4827182" cy="2955851"/>
            <wp:effectExtent l="0" t="0" r="12065" b="16510"/>
            <wp:docPr id="8" name="Chart 8">
              <a:extLst xmlns:a="http://schemas.openxmlformats.org/drawingml/2006/main">
                <a:ext uri="{FF2B5EF4-FFF2-40B4-BE49-F238E27FC236}">
                  <a16:creationId xmlns:a16="http://schemas.microsoft.com/office/drawing/2014/main" id="{EAC29294-CBCD-4021-96DF-BE3259DAE27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E5F7505" w14:textId="0FF99298" w:rsidR="00F26745" w:rsidRDefault="00F26745" w:rsidP="00F26745">
      <w:pPr>
        <w:pStyle w:val="Figuretitle"/>
      </w:pPr>
      <w:r w:rsidRPr="00FE645A">
        <w:t xml:space="preserve">Figure </w:t>
      </w:r>
      <w:r>
        <w:t>5</w:t>
      </w:r>
      <w:r w:rsidRPr="00FE645A">
        <w:t xml:space="preserve">: </w:t>
      </w:r>
      <w:r>
        <w:t xml:space="preserve">Number of olaparib initiating patients by line of therapy and supply quarter </w:t>
      </w:r>
    </w:p>
    <w:p w14:paraId="70047AE2" w14:textId="5B1E0E0B" w:rsidR="00DC4DC0" w:rsidRDefault="00DC4DC0" w:rsidP="00F26745"/>
    <w:p w14:paraId="2B0D9610" w14:textId="6C9E74D3" w:rsidR="00D45A8E" w:rsidRDefault="00D45A8E" w:rsidP="00F26745">
      <w:r>
        <w:t>Figure 5 shows the number of patients who initiated treatment with olaparib based on line of therap</w:t>
      </w:r>
      <w:r w:rsidR="00805870">
        <w:t xml:space="preserve">y. Up until 2020Q3, </w:t>
      </w:r>
      <w:r w:rsidR="00B67DCF">
        <w:t xml:space="preserve">there was an average of approximately 23 patients initiating treatment with olaparib per supply quarter. </w:t>
      </w:r>
    </w:p>
    <w:p w14:paraId="68304A48" w14:textId="77777777" w:rsidR="002B734E" w:rsidRDefault="002B734E" w:rsidP="00F26745"/>
    <w:p w14:paraId="33953087" w14:textId="7D7381BB" w:rsidR="00C576DE" w:rsidRDefault="00C576DE" w:rsidP="00C97B15"/>
    <w:p w14:paraId="5344E934" w14:textId="77777777" w:rsidR="00C576DE" w:rsidRPr="00C97B15" w:rsidRDefault="00C576DE" w:rsidP="00C97B15"/>
    <w:p w14:paraId="2182EABD" w14:textId="77777777" w:rsidR="002B734E" w:rsidRDefault="002B734E">
      <w:pPr>
        <w:spacing w:line="276" w:lineRule="auto"/>
        <w:rPr>
          <w:b/>
          <w:i/>
          <w:szCs w:val="28"/>
        </w:rPr>
      </w:pPr>
      <w:r>
        <w:br w:type="page"/>
      </w:r>
    </w:p>
    <w:p w14:paraId="7FAA6EDC" w14:textId="2964F678" w:rsidR="002B734E" w:rsidRDefault="00736041" w:rsidP="00505E04">
      <w:pPr>
        <w:pStyle w:val="Heading3"/>
      </w:pPr>
      <w:r w:rsidRPr="005E22C2">
        <w:lastRenderedPageBreak/>
        <w:t>Utilisation by relevant sub-populations/regions</w:t>
      </w:r>
      <w:r w:rsidR="001B5D37" w:rsidRPr="005E22C2">
        <w:t xml:space="preserve"> or patient level analysis</w:t>
      </w:r>
    </w:p>
    <w:p w14:paraId="184F5DE6" w14:textId="0D4E064E" w:rsidR="00505E04" w:rsidRDefault="00505E04" w:rsidP="00505E04">
      <w:pPr>
        <w:pStyle w:val="Tabletitle"/>
      </w:pPr>
      <w:r w:rsidRPr="001420B3" w:rsidDel="00EE2BBB">
        <w:t xml:space="preserve">Table </w:t>
      </w:r>
      <w:r w:rsidR="00814E84">
        <w:t>5</w:t>
      </w:r>
      <w:r>
        <w:t xml:space="preserve">: </w:t>
      </w:r>
      <w:r w:rsidR="009F7DCD">
        <w:t>Summary statistics</w:t>
      </w:r>
      <w:r>
        <w:t xml:space="preserve"> </w:t>
      </w:r>
      <w:r w:rsidR="00E178A3">
        <w:t xml:space="preserve">of </w:t>
      </w:r>
      <w:r w:rsidR="009F7DCD">
        <w:t xml:space="preserve">the age of </w:t>
      </w:r>
      <w:r w:rsidR="00E178A3">
        <w:t xml:space="preserve">initiating olaparib </w:t>
      </w:r>
      <w:r w:rsidR="001F1F33">
        <w:t xml:space="preserve">patients </w:t>
      </w:r>
    </w:p>
    <w:tbl>
      <w:tblPr>
        <w:tblStyle w:val="TableGrid"/>
        <w:tblW w:w="8959" w:type="dxa"/>
        <w:tblLook w:val="04A0" w:firstRow="1" w:lastRow="0" w:firstColumn="1" w:lastColumn="0" w:noHBand="0" w:noVBand="1"/>
      </w:tblPr>
      <w:tblGrid>
        <w:gridCol w:w="1838"/>
        <w:gridCol w:w="1424"/>
        <w:gridCol w:w="1424"/>
        <w:gridCol w:w="1424"/>
        <w:gridCol w:w="1424"/>
        <w:gridCol w:w="1425"/>
      </w:tblGrid>
      <w:tr w:rsidR="00E26031" w:rsidRPr="00505E04" w14:paraId="6E3984F7" w14:textId="77777777" w:rsidTr="00E26031">
        <w:trPr>
          <w:trHeight w:val="485"/>
        </w:trPr>
        <w:tc>
          <w:tcPr>
            <w:tcW w:w="1838" w:type="dxa"/>
            <w:shd w:val="clear" w:color="auto" w:fill="BFBFBF" w:themeFill="background1" w:themeFillShade="BF"/>
          </w:tcPr>
          <w:p w14:paraId="46C949F2" w14:textId="77777777" w:rsidR="00E26031" w:rsidRPr="00505E04" w:rsidRDefault="00E26031" w:rsidP="002B559C">
            <w:pPr>
              <w:spacing w:before="60" w:after="60"/>
              <w:rPr>
                <w:b/>
                <w:bCs/>
                <w:sz w:val="20"/>
                <w:szCs w:val="20"/>
              </w:rPr>
            </w:pPr>
          </w:p>
        </w:tc>
        <w:tc>
          <w:tcPr>
            <w:tcW w:w="1424" w:type="dxa"/>
            <w:shd w:val="clear" w:color="auto" w:fill="BFBFBF" w:themeFill="background1" w:themeFillShade="BF"/>
          </w:tcPr>
          <w:p w14:paraId="3326A407" w14:textId="10FB1EA1" w:rsidR="00E26031" w:rsidRPr="00505E04" w:rsidRDefault="00E26031" w:rsidP="002B559C">
            <w:pPr>
              <w:spacing w:before="60" w:after="60"/>
              <w:jc w:val="center"/>
              <w:rPr>
                <w:b/>
                <w:bCs/>
                <w:sz w:val="20"/>
                <w:szCs w:val="20"/>
              </w:rPr>
            </w:pPr>
            <w:r w:rsidRPr="00505E04">
              <w:rPr>
                <w:b/>
                <w:bCs/>
                <w:sz w:val="20"/>
                <w:szCs w:val="20"/>
              </w:rPr>
              <w:t>Mean</w:t>
            </w:r>
          </w:p>
        </w:tc>
        <w:tc>
          <w:tcPr>
            <w:tcW w:w="1424" w:type="dxa"/>
            <w:shd w:val="clear" w:color="auto" w:fill="BFBFBF" w:themeFill="background1" w:themeFillShade="BF"/>
          </w:tcPr>
          <w:p w14:paraId="6C6F7596" w14:textId="0CD2B147" w:rsidR="00E26031" w:rsidRPr="00505E04" w:rsidRDefault="00E26031" w:rsidP="002B559C">
            <w:pPr>
              <w:spacing w:before="60" w:after="60"/>
              <w:jc w:val="center"/>
              <w:rPr>
                <w:b/>
                <w:bCs/>
                <w:sz w:val="20"/>
                <w:szCs w:val="20"/>
              </w:rPr>
            </w:pPr>
            <w:r w:rsidRPr="00505E04">
              <w:rPr>
                <w:b/>
                <w:bCs/>
                <w:sz w:val="20"/>
                <w:szCs w:val="20"/>
              </w:rPr>
              <w:t>Median</w:t>
            </w:r>
          </w:p>
        </w:tc>
        <w:tc>
          <w:tcPr>
            <w:tcW w:w="1424" w:type="dxa"/>
            <w:shd w:val="clear" w:color="auto" w:fill="BFBFBF" w:themeFill="background1" w:themeFillShade="BF"/>
          </w:tcPr>
          <w:p w14:paraId="079F5673" w14:textId="77777777" w:rsidR="00E26031" w:rsidRDefault="00E26031" w:rsidP="002B559C">
            <w:pPr>
              <w:spacing w:before="60" w:after="60"/>
              <w:jc w:val="center"/>
              <w:rPr>
                <w:b/>
                <w:bCs/>
                <w:sz w:val="20"/>
                <w:szCs w:val="20"/>
              </w:rPr>
            </w:pPr>
            <w:r>
              <w:rPr>
                <w:b/>
                <w:bCs/>
                <w:sz w:val="20"/>
                <w:szCs w:val="20"/>
              </w:rPr>
              <w:t xml:space="preserve">Q1 </w:t>
            </w:r>
          </w:p>
          <w:p w14:paraId="39F115B0" w14:textId="31182DBC" w:rsidR="00E26031" w:rsidRPr="00505E04" w:rsidRDefault="00E26031" w:rsidP="002B559C">
            <w:pPr>
              <w:spacing w:before="60" w:after="60"/>
              <w:jc w:val="center"/>
              <w:rPr>
                <w:b/>
                <w:bCs/>
                <w:sz w:val="20"/>
                <w:szCs w:val="20"/>
              </w:rPr>
            </w:pPr>
            <w:r w:rsidRPr="00505E04">
              <w:rPr>
                <w:b/>
                <w:bCs/>
                <w:sz w:val="20"/>
                <w:szCs w:val="20"/>
              </w:rPr>
              <w:t>25</w:t>
            </w:r>
            <w:r w:rsidRPr="00505E04">
              <w:rPr>
                <w:b/>
                <w:bCs/>
                <w:sz w:val="20"/>
                <w:szCs w:val="20"/>
                <w:vertAlign w:val="superscript"/>
              </w:rPr>
              <w:t>th</w:t>
            </w:r>
            <w:r w:rsidRPr="00505E04">
              <w:rPr>
                <w:b/>
                <w:bCs/>
                <w:sz w:val="20"/>
                <w:szCs w:val="20"/>
              </w:rPr>
              <w:t xml:space="preserve"> percentile</w:t>
            </w:r>
          </w:p>
        </w:tc>
        <w:tc>
          <w:tcPr>
            <w:tcW w:w="1424" w:type="dxa"/>
            <w:shd w:val="clear" w:color="auto" w:fill="BFBFBF" w:themeFill="background1" w:themeFillShade="BF"/>
          </w:tcPr>
          <w:p w14:paraId="656364A0" w14:textId="77777777" w:rsidR="00E26031" w:rsidRDefault="00E26031" w:rsidP="002B559C">
            <w:pPr>
              <w:spacing w:before="60" w:after="60"/>
              <w:jc w:val="center"/>
              <w:rPr>
                <w:b/>
                <w:bCs/>
                <w:sz w:val="20"/>
                <w:szCs w:val="20"/>
              </w:rPr>
            </w:pPr>
            <w:r>
              <w:rPr>
                <w:b/>
                <w:bCs/>
                <w:sz w:val="20"/>
                <w:szCs w:val="20"/>
              </w:rPr>
              <w:t>Q3</w:t>
            </w:r>
          </w:p>
          <w:p w14:paraId="584D29E4" w14:textId="0CC46500" w:rsidR="00E26031" w:rsidRPr="00505E04" w:rsidRDefault="00E26031" w:rsidP="002B559C">
            <w:pPr>
              <w:spacing w:before="60" w:after="60"/>
              <w:jc w:val="center"/>
              <w:rPr>
                <w:b/>
                <w:bCs/>
                <w:sz w:val="20"/>
                <w:szCs w:val="20"/>
              </w:rPr>
            </w:pPr>
            <w:r w:rsidRPr="00505E04">
              <w:rPr>
                <w:b/>
                <w:bCs/>
                <w:sz w:val="20"/>
                <w:szCs w:val="20"/>
              </w:rPr>
              <w:t>75</w:t>
            </w:r>
            <w:r w:rsidRPr="00505E04">
              <w:rPr>
                <w:b/>
                <w:bCs/>
                <w:sz w:val="20"/>
                <w:szCs w:val="20"/>
                <w:vertAlign w:val="superscript"/>
              </w:rPr>
              <w:t>th</w:t>
            </w:r>
            <w:r w:rsidRPr="00505E04">
              <w:rPr>
                <w:b/>
                <w:bCs/>
                <w:sz w:val="20"/>
                <w:szCs w:val="20"/>
              </w:rPr>
              <w:t xml:space="preserve"> percentile</w:t>
            </w:r>
          </w:p>
        </w:tc>
        <w:tc>
          <w:tcPr>
            <w:tcW w:w="1425" w:type="dxa"/>
            <w:shd w:val="clear" w:color="auto" w:fill="BFBFBF" w:themeFill="background1" w:themeFillShade="BF"/>
          </w:tcPr>
          <w:p w14:paraId="0AFEDB8E" w14:textId="66E1C437" w:rsidR="00E26031" w:rsidRPr="00505E04" w:rsidRDefault="00E26031" w:rsidP="002B559C">
            <w:pPr>
              <w:spacing w:before="60" w:after="60"/>
              <w:jc w:val="center"/>
              <w:rPr>
                <w:b/>
                <w:bCs/>
                <w:sz w:val="20"/>
                <w:szCs w:val="20"/>
              </w:rPr>
            </w:pPr>
            <w:r>
              <w:rPr>
                <w:b/>
                <w:bCs/>
                <w:sz w:val="20"/>
                <w:szCs w:val="20"/>
              </w:rPr>
              <w:t xml:space="preserve">Range </w:t>
            </w:r>
          </w:p>
        </w:tc>
      </w:tr>
      <w:tr w:rsidR="00E26031" w:rsidRPr="00505E04" w14:paraId="5C536095" w14:textId="77777777" w:rsidTr="00E26031">
        <w:trPr>
          <w:trHeight w:val="242"/>
        </w:trPr>
        <w:tc>
          <w:tcPr>
            <w:tcW w:w="1838" w:type="dxa"/>
          </w:tcPr>
          <w:p w14:paraId="2FAEE248" w14:textId="0BA16A03" w:rsidR="00E26031" w:rsidRPr="00505E04" w:rsidRDefault="00E26031" w:rsidP="002B559C">
            <w:pPr>
              <w:spacing w:before="60" w:after="60"/>
              <w:rPr>
                <w:sz w:val="20"/>
                <w:szCs w:val="20"/>
              </w:rPr>
            </w:pPr>
            <w:r w:rsidRPr="00505E04">
              <w:rPr>
                <w:sz w:val="20"/>
                <w:szCs w:val="20"/>
              </w:rPr>
              <w:t>First-line</w:t>
            </w:r>
          </w:p>
        </w:tc>
        <w:tc>
          <w:tcPr>
            <w:tcW w:w="1424" w:type="dxa"/>
          </w:tcPr>
          <w:p w14:paraId="632BA305" w14:textId="31AA43EA" w:rsidR="00E26031" w:rsidRPr="00505E04" w:rsidRDefault="00E26031" w:rsidP="002B559C">
            <w:pPr>
              <w:spacing w:before="60" w:after="60"/>
              <w:jc w:val="center"/>
              <w:rPr>
                <w:sz w:val="20"/>
                <w:szCs w:val="20"/>
              </w:rPr>
            </w:pPr>
            <w:r>
              <w:rPr>
                <w:sz w:val="20"/>
                <w:szCs w:val="20"/>
              </w:rPr>
              <w:t>62</w:t>
            </w:r>
          </w:p>
        </w:tc>
        <w:tc>
          <w:tcPr>
            <w:tcW w:w="1424" w:type="dxa"/>
          </w:tcPr>
          <w:p w14:paraId="1C19DFDE" w14:textId="05468840" w:rsidR="00E26031" w:rsidRPr="00505E04" w:rsidRDefault="00E26031" w:rsidP="002B559C">
            <w:pPr>
              <w:spacing w:before="60" w:after="60"/>
              <w:jc w:val="center"/>
              <w:rPr>
                <w:sz w:val="20"/>
                <w:szCs w:val="20"/>
              </w:rPr>
            </w:pPr>
            <w:r>
              <w:rPr>
                <w:sz w:val="20"/>
                <w:szCs w:val="20"/>
              </w:rPr>
              <w:t>62</w:t>
            </w:r>
          </w:p>
        </w:tc>
        <w:tc>
          <w:tcPr>
            <w:tcW w:w="1424" w:type="dxa"/>
          </w:tcPr>
          <w:p w14:paraId="70EA131E" w14:textId="56752E9B" w:rsidR="00E26031" w:rsidRPr="00505E04" w:rsidRDefault="00E26031" w:rsidP="002B559C">
            <w:pPr>
              <w:spacing w:before="60" w:after="60"/>
              <w:jc w:val="center"/>
              <w:rPr>
                <w:sz w:val="20"/>
                <w:szCs w:val="20"/>
              </w:rPr>
            </w:pPr>
            <w:r>
              <w:rPr>
                <w:sz w:val="20"/>
                <w:szCs w:val="20"/>
              </w:rPr>
              <w:t>53</w:t>
            </w:r>
          </w:p>
        </w:tc>
        <w:tc>
          <w:tcPr>
            <w:tcW w:w="1424" w:type="dxa"/>
          </w:tcPr>
          <w:p w14:paraId="57F23F33" w14:textId="0AF45045" w:rsidR="00E26031" w:rsidRPr="00505E04" w:rsidRDefault="00E26031" w:rsidP="002B559C">
            <w:pPr>
              <w:spacing w:before="60" w:after="60"/>
              <w:jc w:val="center"/>
              <w:rPr>
                <w:sz w:val="20"/>
                <w:szCs w:val="20"/>
              </w:rPr>
            </w:pPr>
            <w:r>
              <w:rPr>
                <w:sz w:val="20"/>
                <w:szCs w:val="20"/>
              </w:rPr>
              <w:t>70</w:t>
            </w:r>
          </w:p>
        </w:tc>
        <w:tc>
          <w:tcPr>
            <w:tcW w:w="1425" w:type="dxa"/>
          </w:tcPr>
          <w:p w14:paraId="27AE1474" w14:textId="7DE37E50" w:rsidR="00E26031" w:rsidRPr="00505E04" w:rsidRDefault="00E26031" w:rsidP="002B559C">
            <w:pPr>
              <w:spacing w:before="60" w:after="60"/>
              <w:jc w:val="center"/>
              <w:rPr>
                <w:sz w:val="20"/>
                <w:szCs w:val="20"/>
              </w:rPr>
            </w:pPr>
            <w:r>
              <w:rPr>
                <w:sz w:val="20"/>
                <w:szCs w:val="20"/>
              </w:rPr>
              <w:t>29 to 88</w:t>
            </w:r>
          </w:p>
        </w:tc>
      </w:tr>
      <w:tr w:rsidR="00E26031" w:rsidRPr="00505E04" w14:paraId="60E04293" w14:textId="77777777" w:rsidTr="00E26031">
        <w:trPr>
          <w:trHeight w:val="242"/>
        </w:trPr>
        <w:tc>
          <w:tcPr>
            <w:tcW w:w="1838" w:type="dxa"/>
          </w:tcPr>
          <w:p w14:paraId="05AD280C" w14:textId="42D540AC" w:rsidR="00E26031" w:rsidRPr="00505E04" w:rsidRDefault="00E26031" w:rsidP="002B559C">
            <w:pPr>
              <w:spacing w:before="60" w:after="60"/>
              <w:rPr>
                <w:sz w:val="20"/>
                <w:szCs w:val="20"/>
              </w:rPr>
            </w:pPr>
            <w:r w:rsidRPr="00505E04">
              <w:rPr>
                <w:sz w:val="20"/>
                <w:szCs w:val="20"/>
              </w:rPr>
              <w:t>Second-line</w:t>
            </w:r>
          </w:p>
        </w:tc>
        <w:tc>
          <w:tcPr>
            <w:tcW w:w="1424" w:type="dxa"/>
          </w:tcPr>
          <w:p w14:paraId="5EE607C2" w14:textId="445D9733" w:rsidR="00E26031" w:rsidRPr="00505E04" w:rsidRDefault="00E26031" w:rsidP="002B559C">
            <w:pPr>
              <w:spacing w:before="60" w:after="60"/>
              <w:jc w:val="center"/>
              <w:rPr>
                <w:sz w:val="20"/>
                <w:szCs w:val="20"/>
              </w:rPr>
            </w:pPr>
            <w:r>
              <w:rPr>
                <w:sz w:val="20"/>
                <w:szCs w:val="20"/>
              </w:rPr>
              <w:t>62</w:t>
            </w:r>
          </w:p>
        </w:tc>
        <w:tc>
          <w:tcPr>
            <w:tcW w:w="1424" w:type="dxa"/>
          </w:tcPr>
          <w:p w14:paraId="39C48E8B" w14:textId="7DE5C382" w:rsidR="00E26031" w:rsidRPr="00505E04" w:rsidRDefault="00E26031" w:rsidP="002B559C">
            <w:pPr>
              <w:spacing w:before="60" w:after="60"/>
              <w:jc w:val="center"/>
              <w:rPr>
                <w:sz w:val="20"/>
                <w:szCs w:val="20"/>
              </w:rPr>
            </w:pPr>
            <w:r>
              <w:rPr>
                <w:sz w:val="20"/>
                <w:szCs w:val="20"/>
              </w:rPr>
              <w:t>63</w:t>
            </w:r>
          </w:p>
        </w:tc>
        <w:tc>
          <w:tcPr>
            <w:tcW w:w="1424" w:type="dxa"/>
          </w:tcPr>
          <w:p w14:paraId="2BEDDE06" w14:textId="6916C520" w:rsidR="00E26031" w:rsidRPr="00505E04" w:rsidRDefault="00E26031" w:rsidP="002B559C">
            <w:pPr>
              <w:spacing w:before="60" w:after="60"/>
              <w:jc w:val="center"/>
              <w:rPr>
                <w:sz w:val="20"/>
                <w:szCs w:val="20"/>
              </w:rPr>
            </w:pPr>
            <w:r>
              <w:rPr>
                <w:sz w:val="20"/>
                <w:szCs w:val="20"/>
              </w:rPr>
              <w:t>56</w:t>
            </w:r>
          </w:p>
        </w:tc>
        <w:tc>
          <w:tcPr>
            <w:tcW w:w="1424" w:type="dxa"/>
          </w:tcPr>
          <w:p w14:paraId="62CC06C2" w14:textId="5F59A23E" w:rsidR="00E26031" w:rsidRPr="00505E04" w:rsidRDefault="00E26031" w:rsidP="002B559C">
            <w:pPr>
              <w:spacing w:before="60" w:after="60"/>
              <w:jc w:val="center"/>
              <w:rPr>
                <w:sz w:val="20"/>
                <w:szCs w:val="20"/>
              </w:rPr>
            </w:pPr>
            <w:r>
              <w:rPr>
                <w:sz w:val="20"/>
                <w:szCs w:val="20"/>
              </w:rPr>
              <w:t>70</w:t>
            </w:r>
          </w:p>
        </w:tc>
        <w:tc>
          <w:tcPr>
            <w:tcW w:w="1425" w:type="dxa"/>
          </w:tcPr>
          <w:p w14:paraId="449D4802" w14:textId="22444D64" w:rsidR="00E26031" w:rsidRPr="00505E04" w:rsidRDefault="00E26031" w:rsidP="002B559C">
            <w:pPr>
              <w:spacing w:before="60" w:after="60"/>
              <w:jc w:val="center"/>
              <w:rPr>
                <w:sz w:val="20"/>
                <w:szCs w:val="20"/>
              </w:rPr>
            </w:pPr>
            <w:r>
              <w:rPr>
                <w:sz w:val="20"/>
                <w:szCs w:val="20"/>
              </w:rPr>
              <w:t>29 to 90</w:t>
            </w:r>
          </w:p>
        </w:tc>
      </w:tr>
      <w:tr w:rsidR="00E26031" w:rsidRPr="00505E04" w14:paraId="3E5B5C4A" w14:textId="77777777" w:rsidTr="00E26031">
        <w:trPr>
          <w:trHeight w:val="242"/>
        </w:trPr>
        <w:tc>
          <w:tcPr>
            <w:tcW w:w="1838" w:type="dxa"/>
          </w:tcPr>
          <w:p w14:paraId="1666F70B" w14:textId="3142109A" w:rsidR="00E26031" w:rsidRPr="00505E04" w:rsidRDefault="00E26031" w:rsidP="002B559C">
            <w:pPr>
              <w:spacing w:before="60" w:after="60"/>
              <w:rPr>
                <w:sz w:val="20"/>
                <w:szCs w:val="20"/>
              </w:rPr>
            </w:pPr>
            <w:r w:rsidRPr="00505E04">
              <w:rPr>
                <w:sz w:val="20"/>
                <w:szCs w:val="20"/>
              </w:rPr>
              <w:t xml:space="preserve">Overall </w:t>
            </w:r>
          </w:p>
        </w:tc>
        <w:tc>
          <w:tcPr>
            <w:tcW w:w="1424" w:type="dxa"/>
          </w:tcPr>
          <w:p w14:paraId="07201B38" w14:textId="776ED018" w:rsidR="00E26031" w:rsidRPr="00505E04" w:rsidRDefault="00E26031" w:rsidP="002B559C">
            <w:pPr>
              <w:spacing w:before="60" w:after="60"/>
              <w:jc w:val="center"/>
              <w:rPr>
                <w:sz w:val="20"/>
                <w:szCs w:val="20"/>
              </w:rPr>
            </w:pPr>
            <w:r>
              <w:rPr>
                <w:sz w:val="20"/>
                <w:szCs w:val="20"/>
              </w:rPr>
              <w:t>62</w:t>
            </w:r>
          </w:p>
        </w:tc>
        <w:tc>
          <w:tcPr>
            <w:tcW w:w="1424" w:type="dxa"/>
          </w:tcPr>
          <w:p w14:paraId="75C0EBFD" w14:textId="728A3E45" w:rsidR="00E26031" w:rsidRPr="00505E04" w:rsidRDefault="00E26031" w:rsidP="002B559C">
            <w:pPr>
              <w:spacing w:before="60" w:after="60"/>
              <w:jc w:val="center"/>
              <w:rPr>
                <w:sz w:val="20"/>
                <w:szCs w:val="20"/>
              </w:rPr>
            </w:pPr>
            <w:r>
              <w:rPr>
                <w:sz w:val="20"/>
                <w:szCs w:val="20"/>
              </w:rPr>
              <w:t>63</w:t>
            </w:r>
          </w:p>
        </w:tc>
        <w:tc>
          <w:tcPr>
            <w:tcW w:w="1424" w:type="dxa"/>
          </w:tcPr>
          <w:p w14:paraId="3507CD12" w14:textId="3C10EDF4" w:rsidR="00E26031" w:rsidRPr="00505E04" w:rsidRDefault="00E26031" w:rsidP="002B559C">
            <w:pPr>
              <w:spacing w:before="60" w:after="60"/>
              <w:jc w:val="center"/>
              <w:rPr>
                <w:sz w:val="20"/>
                <w:szCs w:val="20"/>
              </w:rPr>
            </w:pPr>
            <w:r>
              <w:rPr>
                <w:sz w:val="20"/>
                <w:szCs w:val="20"/>
              </w:rPr>
              <w:t>55</w:t>
            </w:r>
          </w:p>
        </w:tc>
        <w:tc>
          <w:tcPr>
            <w:tcW w:w="1424" w:type="dxa"/>
          </w:tcPr>
          <w:p w14:paraId="626CDF65" w14:textId="4C4E6026" w:rsidR="00E26031" w:rsidRPr="00505E04" w:rsidRDefault="00E26031" w:rsidP="002B559C">
            <w:pPr>
              <w:spacing w:before="60" w:after="60"/>
              <w:jc w:val="center"/>
              <w:rPr>
                <w:sz w:val="20"/>
                <w:szCs w:val="20"/>
              </w:rPr>
            </w:pPr>
            <w:r>
              <w:rPr>
                <w:sz w:val="20"/>
                <w:szCs w:val="20"/>
              </w:rPr>
              <w:t>70</w:t>
            </w:r>
          </w:p>
        </w:tc>
        <w:tc>
          <w:tcPr>
            <w:tcW w:w="1425" w:type="dxa"/>
          </w:tcPr>
          <w:p w14:paraId="052A2F0B" w14:textId="34768067" w:rsidR="00E26031" w:rsidRPr="00505E04" w:rsidRDefault="00E26031" w:rsidP="002B559C">
            <w:pPr>
              <w:spacing w:before="60" w:after="60"/>
              <w:jc w:val="center"/>
              <w:rPr>
                <w:sz w:val="20"/>
                <w:szCs w:val="20"/>
              </w:rPr>
            </w:pPr>
            <w:r>
              <w:rPr>
                <w:sz w:val="20"/>
                <w:szCs w:val="20"/>
              </w:rPr>
              <w:t>29 to 90</w:t>
            </w:r>
          </w:p>
        </w:tc>
      </w:tr>
    </w:tbl>
    <w:p w14:paraId="52C0F18A" w14:textId="77777777" w:rsidR="00E26031" w:rsidRDefault="00E26031" w:rsidP="00B05CF6"/>
    <w:p w14:paraId="00861DC2" w14:textId="3A574040" w:rsidR="007F59D5" w:rsidRDefault="00505E04" w:rsidP="00505E04">
      <w:pPr>
        <w:jc w:val="center"/>
      </w:pPr>
      <w:r>
        <w:rPr>
          <w:noProof/>
        </w:rPr>
        <w:drawing>
          <wp:inline distT="0" distB="0" distL="0" distR="0" wp14:anchorId="4048AF24" wp14:editId="043F6EBD">
            <wp:extent cx="3724275" cy="2793310"/>
            <wp:effectExtent l="0" t="0" r="0" b="762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3777116" cy="2832942"/>
                    </a:xfrm>
                    <a:prstGeom prst="rect">
                      <a:avLst/>
                    </a:prstGeom>
                  </pic:spPr>
                </pic:pic>
              </a:graphicData>
            </a:graphic>
          </wp:inline>
        </w:drawing>
      </w:r>
    </w:p>
    <w:p w14:paraId="08BAE068" w14:textId="56C57CA2" w:rsidR="00505E04" w:rsidRDefault="00505E04" w:rsidP="00505E04">
      <w:pPr>
        <w:pStyle w:val="Figuretitle"/>
      </w:pPr>
      <w:r w:rsidRPr="00FE645A">
        <w:t xml:space="preserve">Figure </w:t>
      </w:r>
      <w:r>
        <w:t>6</w:t>
      </w:r>
      <w:r w:rsidRPr="00FE645A">
        <w:t xml:space="preserve">: </w:t>
      </w:r>
      <w:r>
        <w:t xml:space="preserve">Age distribution of initiating olaparib patients </w:t>
      </w:r>
    </w:p>
    <w:p w14:paraId="714B3933" w14:textId="77777777" w:rsidR="00505E04" w:rsidRPr="00505E04" w:rsidRDefault="00505E04" w:rsidP="00505E04"/>
    <w:p w14:paraId="3C183AE7" w14:textId="0055B9CE" w:rsidR="007F59D5" w:rsidRDefault="007F59D5" w:rsidP="004F6456">
      <w:pPr>
        <w:jc w:val="center"/>
      </w:pPr>
      <w:r>
        <w:rPr>
          <w:noProof/>
        </w:rPr>
        <w:drawing>
          <wp:inline distT="0" distB="0" distL="0" distR="0" wp14:anchorId="41E09525" wp14:editId="1088073A">
            <wp:extent cx="3914775" cy="293619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3930718" cy="2948147"/>
                    </a:xfrm>
                    <a:prstGeom prst="rect">
                      <a:avLst/>
                    </a:prstGeom>
                  </pic:spPr>
                </pic:pic>
              </a:graphicData>
            </a:graphic>
          </wp:inline>
        </w:drawing>
      </w:r>
    </w:p>
    <w:p w14:paraId="067ECE1A" w14:textId="0BAC3DEB" w:rsidR="00505E04" w:rsidRDefault="00505E04" w:rsidP="00505E04">
      <w:pPr>
        <w:pStyle w:val="Figuretitle"/>
      </w:pPr>
      <w:r w:rsidRPr="00FE645A">
        <w:lastRenderedPageBreak/>
        <w:t xml:space="preserve">Figure </w:t>
      </w:r>
      <w:r>
        <w:t>7</w:t>
      </w:r>
      <w:r w:rsidRPr="00FE645A">
        <w:t xml:space="preserve">: </w:t>
      </w:r>
      <w:r>
        <w:t xml:space="preserve">Age distribution of initiating olaparib patients by line of therapy </w:t>
      </w:r>
    </w:p>
    <w:p w14:paraId="69D012A5" w14:textId="49D523AB" w:rsidR="005A2DB3" w:rsidRPr="005A2DB3" w:rsidRDefault="005A2DB3" w:rsidP="005A2DB3"/>
    <w:p w14:paraId="45122607" w14:textId="6C61BAA4" w:rsidR="00B33A66" w:rsidRDefault="005A2DB3" w:rsidP="00B05CF6">
      <w:r>
        <w:t xml:space="preserve">As shown in Table </w:t>
      </w:r>
      <w:r w:rsidR="00814E84">
        <w:t>5</w:t>
      </w:r>
      <w:r>
        <w:t xml:space="preserve"> and Figure 6 above, the mean and median age of initiating olaparib patients was 62 and 63 years, respectively. In Figure 7, the age distribution of first- and second-line patients was similar. </w:t>
      </w:r>
    </w:p>
    <w:p w14:paraId="6D4E6C13" w14:textId="77777777" w:rsidR="005A2DB3" w:rsidRPr="00B05CF6" w:rsidRDefault="005A2DB3" w:rsidP="00B05CF6"/>
    <w:p w14:paraId="3F72CD7A" w14:textId="1A39756A" w:rsidR="00A13B0D" w:rsidRDefault="002B734E" w:rsidP="00A13B0D">
      <w:pPr>
        <w:pStyle w:val="Figuretitle"/>
      </w:pPr>
      <w:r>
        <w:t xml:space="preserve">Table </w:t>
      </w:r>
      <w:r w:rsidR="00814E84">
        <w:t>6</w:t>
      </w:r>
      <w:r w:rsidR="00A13B0D">
        <w:t>: Estimated length of treatment from Kaplan</w:t>
      </w:r>
      <w:r w:rsidR="00B71807">
        <w:t>-</w:t>
      </w:r>
      <w:r w:rsidR="00A13B0D">
        <w:t xml:space="preserve">Meier analysis in patients who initiated </w:t>
      </w:r>
      <w:r w:rsidR="00BC417A">
        <w:t xml:space="preserve">first-line </w:t>
      </w:r>
      <w:r w:rsidR="001730D9">
        <w:t>o</w:t>
      </w:r>
      <w:r w:rsidR="00A13B0D">
        <w:t xml:space="preserve">laparib treatment </w:t>
      </w:r>
    </w:p>
    <w:tbl>
      <w:tblPr>
        <w:tblStyle w:val="TableGrid"/>
        <w:tblW w:w="0" w:type="auto"/>
        <w:tblLayout w:type="fixed"/>
        <w:tblLook w:val="04A0" w:firstRow="1" w:lastRow="0" w:firstColumn="1" w:lastColumn="0" w:noHBand="0" w:noVBand="1"/>
      </w:tblPr>
      <w:tblGrid>
        <w:gridCol w:w="2376"/>
        <w:gridCol w:w="1131"/>
        <w:gridCol w:w="997"/>
        <w:gridCol w:w="992"/>
        <w:gridCol w:w="1039"/>
        <w:gridCol w:w="971"/>
        <w:gridCol w:w="834"/>
        <w:gridCol w:w="833"/>
      </w:tblGrid>
      <w:tr w:rsidR="00FD7FC6" w:rsidRPr="00A13B0D" w14:paraId="4E3C2E95" w14:textId="77777777" w:rsidTr="007D686F">
        <w:tc>
          <w:tcPr>
            <w:tcW w:w="2376" w:type="dxa"/>
            <w:shd w:val="clear" w:color="auto" w:fill="BFBFBF" w:themeFill="background1" w:themeFillShade="BF"/>
          </w:tcPr>
          <w:p w14:paraId="08428E42" w14:textId="77777777" w:rsidR="0098209C" w:rsidRPr="00A13B0D" w:rsidRDefault="0098209C" w:rsidP="002B559C">
            <w:pPr>
              <w:spacing w:before="60" w:after="60"/>
              <w:jc w:val="center"/>
              <w:rPr>
                <w:b/>
                <w:bCs/>
                <w:sz w:val="20"/>
                <w:szCs w:val="20"/>
              </w:rPr>
            </w:pPr>
          </w:p>
        </w:tc>
        <w:tc>
          <w:tcPr>
            <w:tcW w:w="1131" w:type="dxa"/>
            <w:shd w:val="clear" w:color="auto" w:fill="BFBFBF" w:themeFill="background1" w:themeFillShade="BF"/>
          </w:tcPr>
          <w:p w14:paraId="0033B8C3" w14:textId="3E240E3A" w:rsidR="0098209C" w:rsidRPr="00A13B0D" w:rsidRDefault="0098209C" w:rsidP="002B559C">
            <w:pPr>
              <w:spacing w:before="60" w:after="60"/>
              <w:jc w:val="center"/>
              <w:rPr>
                <w:b/>
                <w:bCs/>
                <w:sz w:val="20"/>
                <w:szCs w:val="20"/>
              </w:rPr>
            </w:pPr>
            <w:r w:rsidRPr="00A13B0D">
              <w:rPr>
                <w:b/>
                <w:bCs/>
                <w:sz w:val="20"/>
                <w:szCs w:val="20"/>
              </w:rPr>
              <w:t xml:space="preserve">Number of patients </w:t>
            </w:r>
          </w:p>
        </w:tc>
        <w:tc>
          <w:tcPr>
            <w:tcW w:w="997" w:type="dxa"/>
            <w:shd w:val="clear" w:color="auto" w:fill="BFBFBF" w:themeFill="background1" w:themeFillShade="BF"/>
          </w:tcPr>
          <w:p w14:paraId="5B43B960" w14:textId="77777777" w:rsidR="0098209C" w:rsidRPr="00A13B0D" w:rsidRDefault="0098209C" w:rsidP="002B559C">
            <w:pPr>
              <w:spacing w:before="60" w:after="60"/>
              <w:jc w:val="center"/>
              <w:rPr>
                <w:b/>
                <w:bCs/>
                <w:sz w:val="20"/>
                <w:szCs w:val="20"/>
              </w:rPr>
            </w:pPr>
            <w:r w:rsidRPr="00A13B0D">
              <w:rPr>
                <w:b/>
                <w:bCs/>
                <w:sz w:val="20"/>
                <w:szCs w:val="20"/>
              </w:rPr>
              <w:t xml:space="preserve">Censored </w:t>
            </w:r>
          </w:p>
        </w:tc>
        <w:tc>
          <w:tcPr>
            <w:tcW w:w="992" w:type="dxa"/>
            <w:shd w:val="clear" w:color="auto" w:fill="BFBFBF" w:themeFill="background1" w:themeFillShade="BF"/>
          </w:tcPr>
          <w:p w14:paraId="502B7BFB" w14:textId="77777777" w:rsidR="0098209C" w:rsidRPr="00A13B0D" w:rsidRDefault="0098209C" w:rsidP="002B559C">
            <w:pPr>
              <w:spacing w:before="60" w:after="60"/>
              <w:jc w:val="center"/>
              <w:rPr>
                <w:b/>
                <w:bCs/>
                <w:sz w:val="20"/>
                <w:szCs w:val="20"/>
              </w:rPr>
            </w:pPr>
            <w:r w:rsidRPr="00A13B0D">
              <w:rPr>
                <w:b/>
                <w:bCs/>
                <w:sz w:val="20"/>
                <w:szCs w:val="20"/>
              </w:rPr>
              <w:t>Median</w:t>
            </w:r>
            <w:r>
              <w:rPr>
                <w:b/>
                <w:bCs/>
                <w:sz w:val="20"/>
                <w:szCs w:val="20"/>
              </w:rPr>
              <w:t xml:space="preserve"> (months)</w:t>
            </w:r>
            <w:r w:rsidRPr="00A13B0D">
              <w:rPr>
                <w:b/>
                <w:bCs/>
                <w:sz w:val="20"/>
                <w:szCs w:val="20"/>
              </w:rPr>
              <w:t xml:space="preserve"> </w:t>
            </w:r>
          </w:p>
        </w:tc>
        <w:tc>
          <w:tcPr>
            <w:tcW w:w="1039" w:type="dxa"/>
            <w:shd w:val="clear" w:color="auto" w:fill="BFBFBF" w:themeFill="background1" w:themeFillShade="BF"/>
          </w:tcPr>
          <w:p w14:paraId="2F4027D2" w14:textId="77777777" w:rsidR="0098209C" w:rsidRPr="00A13B0D" w:rsidRDefault="0098209C" w:rsidP="002B559C">
            <w:pPr>
              <w:spacing w:before="60" w:after="60"/>
              <w:jc w:val="center"/>
              <w:rPr>
                <w:b/>
                <w:bCs/>
                <w:sz w:val="20"/>
                <w:szCs w:val="20"/>
              </w:rPr>
            </w:pPr>
            <w:r w:rsidRPr="00A13B0D">
              <w:rPr>
                <w:b/>
                <w:bCs/>
                <w:sz w:val="20"/>
                <w:szCs w:val="20"/>
              </w:rPr>
              <w:t>Mean</w:t>
            </w:r>
            <w:r>
              <w:rPr>
                <w:b/>
                <w:bCs/>
                <w:sz w:val="20"/>
                <w:szCs w:val="20"/>
              </w:rPr>
              <w:t xml:space="preserve"> (months)</w:t>
            </w:r>
            <w:r w:rsidRPr="00A13B0D">
              <w:rPr>
                <w:b/>
                <w:bCs/>
                <w:sz w:val="20"/>
                <w:szCs w:val="20"/>
              </w:rPr>
              <w:t xml:space="preserve"> </w:t>
            </w:r>
          </w:p>
        </w:tc>
        <w:tc>
          <w:tcPr>
            <w:tcW w:w="971" w:type="dxa"/>
            <w:shd w:val="clear" w:color="auto" w:fill="BFBFBF" w:themeFill="background1" w:themeFillShade="BF"/>
          </w:tcPr>
          <w:p w14:paraId="4B4482BF" w14:textId="77777777" w:rsidR="0098209C" w:rsidRPr="00A13B0D" w:rsidRDefault="0098209C" w:rsidP="002B559C">
            <w:pPr>
              <w:spacing w:before="60" w:after="60"/>
              <w:jc w:val="center"/>
              <w:rPr>
                <w:b/>
                <w:bCs/>
                <w:sz w:val="20"/>
                <w:szCs w:val="20"/>
              </w:rPr>
            </w:pPr>
            <w:r w:rsidRPr="00A13B0D">
              <w:rPr>
                <w:b/>
                <w:bCs/>
                <w:sz w:val="20"/>
                <w:szCs w:val="20"/>
              </w:rPr>
              <w:t xml:space="preserve">Standard error </w:t>
            </w:r>
          </w:p>
        </w:tc>
        <w:tc>
          <w:tcPr>
            <w:tcW w:w="1667" w:type="dxa"/>
            <w:gridSpan w:val="2"/>
            <w:shd w:val="clear" w:color="auto" w:fill="BFBFBF" w:themeFill="background1" w:themeFillShade="BF"/>
          </w:tcPr>
          <w:p w14:paraId="1E58C2F7" w14:textId="77777777" w:rsidR="0098209C" w:rsidRPr="00A13B0D" w:rsidRDefault="0098209C" w:rsidP="002B559C">
            <w:pPr>
              <w:spacing w:before="60" w:after="60"/>
              <w:jc w:val="center"/>
              <w:rPr>
                <w:b/>
                <w:bCs/>
                <w:sz w:val="20"/>
                <w:szCs w:val="20"/>
              </w:rPr>
            </w:pPr>
            <w:r w:rsidRPr="00A13B0D">
              <w:rPr>
                <w:b/>
                <w:bCs/>
                <w:sz w:val="20"/>
                <w:szCs w:val="20"/>
              </w:rPr>
              <w:t>95% confidence interval (</w:t>
            </w:r>
            <w:r>
              <w:rPr>
                <w:b/>
                <w:bCs/>
                <w:sz w:val="20"/>
                <w:szCs w:val="20"/>
              </w:rPr>
              <w:t>months</w:t>
            </w:r>
            <w:r w:rsidRPr="00A13B0D">
              <w:rPr>
                <w:b/>
                <w:bCs/>
                <w:sz w:val="20"/>
                <w:szCs w:val="20"/>
              </w:rPr>
              <w:t xml:space="preserve">) </w:t>
            </w:r>
          </w:p>
        </w:tc>
      </w:tr>
      <w:tr w:rsidR="00FD7FC6" w:rsidRPr="00A13B0D" w14:paraId="47BB78C4" w14:textId="77777777" w:rsidTr="007D686F">
        <w:tc>
          <w:tcPr>
            <w:tcW w:w="2376" w:type="dxa"/>
          </w:tcPr>
          <w:p w14:paraId="5B4AEA0A" w14:textId="7552C17B" w:rsidR="0098209C" w:rsidRDefault="0098209C" w:rsidP="002B559C">
            <w:pPr>
              <w:spacing w:before="60" w:after="60"/>
              <w:jc w:val="center"/>
              <w:rPr>
                <w:sz w:val="20"/>
                <w:szCs w:val="20"/>
              </w:rPr>
            </w:pPr>
            <w:r>
              <w:rPr>
                <w:sz w:val="20"/>
                <w:szCs w:val="20"/>
              </w:rPr>
              <w:t xml:space="preserve">Without accounting for breaks </w:t>
            </w:r>
          </w:p>
        </w:tc>
        <w:tc>
          <w:tcPr>
            <w:tcW w:w="1131" w:type="dxa"/>
          </w:tcPr>
          <w:p w14:paraId="154D8614" w14:textId="7C581C84" w:rsidR="0098209C" w:rsidRDefault="0098209C" w:rsidP="002B559C">
            <w:pPr>
              <w:spacing w:before="60" w:after="60"/>
              <w:jc w:val="center"/>
              <w:rPr>
                <w:sz w:val="20"/>
                <w:szCs w:val="20"/>
              </w:rPr>
            </w:pPr>
            <w:r>
              <w:rPr>
                <w:sz w:val="20"/>
                <w:szCs w:val="20"/>
              </w:rPr>
              <w:t>91</w:t>
            </w:r>
          </w:p>
        </w:tc>
        <w:tc>
          <w:tcPr>
            <w:tcW w:w="997" w:type="dxa"/>
          </w:tcPr>
          <w:p w14:paraId="5A1D6F47" w14:textId="7ED7D61C" w:rsidR="0098209C" w:rsidRDefault="0098209C" w:rsidP="002B559C">
            <w:pPr>
              <w:spacing w:before="60" w:after="60"/>
              <w:jc w:val="center"/>
              <w:rPr>
                <w:sz w:val="20"/>
                <w:szCs w:val="20"/>
              </w:rPr>
            </w:pPr>
            <w:r>
              <w:rPr>
                <w:sz w:val="20"/>
                <w:szCs w:val="20"/>
              </w:rPr>
              <w:t>36</w:t>
            </w:r>
          </w:p>
        </w:tc>
        <w:tc>
          <w:tcPr>
            <w:tcW w:w="992" w:type="dxa"/>
          </w:tcPr>
          <w:p w14:paraId="3642D19B" w14:textId="393DF29F" w:rsidR="0098209C" w:rsidRDefault="0098209C" w:rsidP="002B559C">
            <w:pPr>
              <w:spacing w:before="60" w:after="60"/>
              <w:jc w:val="center"/>
              <w:rPr>
                <w:sz w:val="20"/>
                <w:szCs w:val="20"/>
              </w:rPr>
            </w:pPr>
            <w:r>
              <w:rPr>
                <w:sz w:val="20"/>
                <w:szCs w:val="20"/>
              </w:rPr>
              <w:t>11.42</w:t>
            </w:r>
          </w:p>
        </w:tc>
        <w:tc>
          <w:tcPr>
            <w:tcW w:w="1039" w:type="dxa"/>
          </w:tcPr>
          <w:p w14:paraId="3C7006D8" w14:textId="1891A0BF" w:rsidR="0098209C" w:rsidRDefault="0098209C" w:rsidP="002B559C">
            <w:pPr>
              <w:spacing w:before="60" w:after="60"/>
              <w:jc w:val="center"/>
              <w:rPr>
                <w:sz w:val="20"/>
                <w:szCs w:val="20"/>
              </w:rPr>
            </w:pPr>
            <w:r>
              <w:rPr>
                <w:sz w:val="20"/>
                <w:szCs w:val="20"/>
              </w:rPr>
              <w:t>10.41</w:t>
            </w:r>
          </w:p>
        </w:tc>
        <w:tc>
          <w:tcPr>
            <w:tcW w:w="971" w:type="dxa"/>
          </w:tcPr>
          <w:p w14:paraId="30C356A6" w14:textId="25D070D7" w:rsidR="0098209C" w:rsidRDefault="0098209C" w:rsidP="002B559C">
            <w:pPr>
              <w:spacing w:before="60" w:after="60"/>
              <w:jc w:val="center"/>
              <w:rPr>
                <w:sz w:val="20"/>
                <w:szCs w:val="20"/>
              </w:rPr>
            </w:pPr>
            <w:r>
              <w:rPr>
                <w:sz w:val="20"/>
                <w:szCs w:val="20"/>
              </w:rPr>
              <w:t>0.61</w:t>
            </w:r>
          </w:p>
        </w:tc>
        <w:tc>
          <w:tcPr>
            <w:tcW w:w="834" w:type="dxa"/>
          </w:tcPr>
          <w:p w14:paraId="50DFF166" w14:textId="4885BD73" w:rsidR="0098209C" w:rsidRPr="001F1F33" w:rsidRDefault="0098209C" w:rsidP="002B559C">
            <w:pPr>
              <w:spacing w:before="60" w:after="60"/>
              <w:jc w:val="center"/>
              <w:rPr>
                <w:sz w:val="20"/>
                <w:szCs w:val="20"/>
                <w:highlight w:val="yellow"/>
              </w:rPr>
            </w:pPr>
            <w:r w:rsidRPr="00CE70FC">
              <w:rPr>
                <w:sz w:val="20"/>
                <w:szCs w:val="20"/>
              </w:rPr>
              <w:t>9.19</w:t>
            </w:r>
          </w:p>
        </w:tc>
        <w:tc>
          <w:tcPr>
            <w:tcW w:w="833" w:type="dxa"/>
          </w:tcPr>
          <w:p w14:paraId="3A3CC0C1" w14:textId="4DC1BA58" w:rsidR="0098209C" w:rsidRPr="001F1F33" w:rsidRDefault="0098209C" w:rsidP="002B559C">
            <w:pPr>
              <w:spacing w:before="60" w:after="60"/>
              <w:jc w:val="center"/>
              <w:rPr>
                <w:sz w:val="20"/>
                <w:szCs w:val="20"/>
                <w:highlight w:val="yellow"/>
              </w:rPr>
            </w:pPr>
            <w:r w:rsidRPr="00CE70FC">
              <w:rPr>
                <w:sz w:val="20"/>
                <w:szCs w:val="20"/>
              </w:rPr>
              <w:t>11.63</w:t>
            </w:r>
          </w:p>
        </w:tc>
      </w:tr>
      <w:tr w:rsidR="0098209C" w:rsidRPr="00A13B0D" w14:paraId="2493142D" w14:textId="77777777" w:rsidTr="007D686F">
        <w:tc>
          <w:tcPr>
            <w:tcW w:w="2376" w:type="dxa"/>
          </w:tcPr>
          <w:p w14:paraId="4494A878" w14:textId="000247D1" w:rsidR="0098209C" w:rsidRDefault="0098209C" w:rsidP="002B559C">
            <w:pPr>
              <w:spacing w:before="60" w:after="60"/>
              <w:jc w:val="center"/>
              <w:rPr>
                <w:sz w:val="20"/>
                <w:szCs w:val="20"/>
              </w:rPr>
            </w:pPr>
            <w:r>
              <w:rPr>
                <w:sz w:val="20"/>
                <w:szCs w:val="20"/>
              </w:rPr>
              <w:t>Accounting for breaks</w:t>
            </w:r>
          </w:p>
        </w:tc>
        <w:tc>
          <w:tcPr>
            <w:tcW w:w="1131" w:type="dxa"/>
          </w:tcPr>
          <w:p w14:paraId="160FE168" w14:textId="1BFB44DD" w:rsidR="0098209C" w:rsidRDefault="0098209C" w:rsidP="002B559C">
            <w:pPr>
              <w:spacing w:before="60" w:after="60"/>
              <w:jc w:val="center"/>
              <w:rPr>
                <w:sz w:val="20"/>
                <w:szCs w:val="20"/>
              </w:rPr>
            </w:pPr>
            <w:r>
              <w:rPr>
                <w:sz w:val="20"/>
                <w:szCs w:val="20"/>
              </w:rPr>
              <w:t>91</w:t>
            </w:r>
          </w:p>
        </w:tc>
        <w:tc>
          <w:tcPr>
            <w:tcW w:w="997" w:type="dxa"/>
          </w:tcPr>
          <w:p w14:paraId="7A471623" w14:textId="118D847E" w:rsidR="0098209C" w:rsidRDefault="0098209C" w:rsidP="002B559C">
            <w:pPr>
              <w:spacing w:before="60" w:after="60"/>
              <w:jc w:val="center"/>
              <w:rPr>
                <w:sz w:val="20"/>
                <w:szCs w:val="20"/>
              </w:rPr>
            </w:pPr>
            <w:r>
              <w:rPr>
                <w:sz w:val="20"/>
                <w:szCs w:val="20"/>
              </w:rPr>
              <w:t>36</w:t>
            </w:r>
          </w:p>
        </w:tc>
        <w:tc>
          <w:tcPr>
            <w:tcW w:w="992" w:type="dxa"/>
          </w:tcPr>
          <w:p w14:paraId="1429483C" w14:textId="7D207DB5" w:rsidR="0098209C" w:rsidRDefault="0098209C" w:rsidP="002B559C">
            <w:pPr>
              <w:spacing w:before="60" w:after="60"/>
              <w:jc w:val="center"/>
              <w:rPr>
                <w:sz w:val="20"/>
                <w:szCs w:val="20"/>
              </w:rPr>
            </w:pPr>
            <w:r>
              <w:rPr>
                <w:sz w:val="20"/>
                <w:szCs w:val="20"/>
              </w:rPr>
              <w:t>8.96</w:t>
            </w:r>
          </w:p>
        </w:tc>
        <w:tc>
          <w:tcPr>
            <w:tcW w:w="1039" w:type="dxa"/>
          </w:tcPr>
          <w:p w14:paraId="0EC4E1AB" w14:textId="628381D6" w:rsidR="0098209C" w:rsidRDefault="0098209C" w:rsidP="002B559C">
            <w:pPr>
              <w:spacing w:before="60" w:after="60"/>
              <w:jc w:val="center"/>
              <w:rPr>
                <w:sz w:val="20"/>
                <w:szCs w:val="20"/>
              </w:rPr>
            </w:pPr>
            <w:r>
              <w:rPr>
                <w:sz w:val="20"/>
                <w:szCs w:val="20"/>
              </w:rPr>
              <w:t>9.17</w:t>
            </w:r>
          </w:p>
        </w:tc>
        <w:tc>
          <w:tcPr>
            <w:tcW w:w="971" w:type="dxa"/>
          </w:tcPr>
          <w:p w14:paraId="3212159E" w14:textId="6A18DCF6" w:rsidR="0098209C" w:rsidRDefault="0098209C" w:rsidP="002B559C">
            <w:pPr>
              <w:spacing w:before="60" w:after="60"/>
              <w:jc w:val="center"/>
              <w:rPr>
                <w:sz w:val="20"/>
                <w:szCs w:val="20"/>
              </w:rPr>
            </w:pPr>
            <w:r>
              <w:rPr>
                <w:sz w:val="20"/>
                <w:szCs w:val="20"/>
              </w:rPr>
              <w:t>0.59</w:t>
            </w:r>
          </w:p>
        </w:tc>
        <w:tc>
          <w:tcPr>
            <w:tcW w:w="834" w:type="dxa"/>
          </w:tcPr>
          <w:p w14:paraId="7AD42696" w14:textId="56E1AA9F" w:rsidR="0098209C" w:rsidRPr="00CE70FC" w:rsidRDefault="0098209C" w:rsidP="002B559C">
            <w:pPr>
              <w:spacing w:before="60" w:after="60"/>
              <w:jc w:val="center"/>
              <w:rPr>
                <w:sz w:val="20"/>
                <w:szCs w:val="20"/>
              </w:rPr>
            </w:pPr>
            <w:r>
              <w:rPr>
                <w:sz w:val="20"/>
                <w:szCs w:val="20"/>
              </w:rPr>
              <w:t>8.00</w:t>
            </w:r>
          </w:p>
        </w:tc>
        <w:tc>
          <w:tcPr>
            <w:tcW w:w="833" w:type="dxa"/>
          </w:tcPr>
          <w:p w14:paraId="37D940AE" w14:textId="2A5B8D20" w:rsidR="0098209C" w:rsidRPr="00CE70FC" w:rsidRDefault="0098209C" w:rsidP="002B559C">
            <w:pPr>
              <w:spacing w:before="60" w:after="60"/>
              <w:jc w:val="center"/>
              <w:rPr>
                <w:sz w:val="20"/>
                <w:szCs w:val="20"/>
              </w:rPr>
            </w:pPr>
            <w:r>
              <w:rPr>
                <w:sz w:val="20"/>
                <w:szCs w:val="20"/>
              </w:rPr>
              <w:t>10.33</w:t>
            </w:r>
          </w:p>
        </w:tc>
      </w:tr>
    </w:tbl>
    <w:p w14:paraId="41E40EFA" w14:textId="77777777" w:rsidR="00A13B0D" w:rsidRDefault="00A13B0D" w:rsidP="00B05CF6"/>
    <w:p w14:paraId="76A2460A" w14:textId="76E5ADA3" w:rsidR="00A13B0D" w:rsidRDefault="00AD3DE4" w:rsidP="00A13B0D">
      <w:pPr>
        <w:jc w:val="center"/>
      </w:pPr>
      <w:r>
        <w:rPr>
          <w:noProof/>
        </w:rPr>
        <w:drawing>
          <wp:inline distT="0" distB="0" distL="0" distR="0" wp14:anchorId="64434BA9" wp14:editId="4D8A093F">
            <wp:extent cx="4493093" cy="3369945"/>
            <wp:effectExtent l="0" t="0" r="0" b="0"/>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4523770" cy="3392954"/>
                    </a:xfrm>
                    <a:prstGeom prst="rect">
                      <a:avLst/>
                    </a:prstGeom>
                  </pic:spPr>
                </pic:pic>
              </a:graphicData>
            </a:graphic>
          </wp:inline>
        </w:drawing>
      </w:r>
    </w:p>
    <w:p w14:paraId="093E3A43" w14:textId="42EDEE9E" w:rsidR="00AD3DE4" w:rsidRPr="00906326" w:rsidRDefault="00052BBF" w:rsidP="009F7DCD">
      <w:pPr>
        <w:pStyle w:val="Figuretitle"/>
      </w:pPr>
      <w:r w:rsidRPr="00FE645A">
        <w:t xml:space="preserve">Figure </w:t>
      </w:r>
      <w:r w:rsidR="002B734E">
        <w:t>8</w:t>
      </w:r>
      <w:r>
        <w:t xml:space="preserve">: Treatment duration for patients who initiated </w:t>
      </w:r>
      <w:r w:rsidR="001F1F33">
        <w:t xml:space="preserve">first- line </w:t>
      </w:r>
      <w:r>
        <w:t xml:space="preserve">olaparib treatment </w:t>
      </w:r>
    </w:p>
    <w:p w14:paraId="672E744F" w14:textId="0ECA7156" w:rsidR="00D047B1" w:rsidRDefault="005A2DB3" w:rsidP="00AD3DE4">
      <w:r>
        <w:t xml:space="preserve">In Table </w:t>
      </w:r>
      <w:r w:rsidR="00814E84">
        <w:t>6</w:t>
      </w:r>
      <w:r>
        <w:t xml:space="preserve"> and Figure 8, of patients who initiated first-line treatment with olaparib between 1 June 2021 and 31 December 2021 and followed to 31 December 2022, the mean and median treatment duration was 10.41 and 11.42 months, resp</w:t>
      </w:r>
      <w:r w:rsidR="00D047B1">
        <w:t>ec</w:t>
      </w:r>
      <w:r>
        <w:t>tively. 60.4% of</w:t>
      </w:r>
      <w:r w:rsidR="00D047B1">
        <w:t xml:space="preserve"> these patients ceased treatment as at the analysis end date, with 5 patients </w:t>
      </w:r>
      <w:r w:rsidR="00B71807">
        <w:t xml:space="preserve">who </w:t>
      </w:r>
      <w:r w:rsidR="00D047B1">
        <w:t xml:space="preserve">ceased treatment due to death. </w:t>
      </w:r>
    </w:p>
    <w:p w14:paraId="1AAB9408" w14:textId="2A7CAAE5" w:rsidR="00AD3DE4" w:rsidRPr="00AD3DE4" w:rsidRDefault="00AD3DE4" w:rsidP="00AD3DE4">
      <w:pPr>
        <w:tabs>
          <w:tab w:val="left" w:pos="1755"/>
        </w:tabs>
      </w:pPr>
    </w:p>
    <w:p w14:paraId="1DA30A60" w14:textId="3ED9AAEF" w:rsidR="00F42792" w:rsidRDefault="00CE70FC" w:rsidP="00F42792">
      <w:pPr>
        <w:jc w:val="center"/>
      </w:pPr>
      <w:r>
        <w:rPr>
          <w:noProof/>
        </w:rPr>
        <w:lastRenderedPageBreak/>
        <w:drawing>
          <wp:inline distT="0" distB="0" distL="0" distR="0" wp14:anchorId="3F7F635F" wp14:editId="4391932C">
            <wp:extent cx="4465674" cy="3349380"/>
            <wp:effectExtent l="0" t="0" r="0" b="0"/>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4475245" cy="3356559"/>
                    </a:xfrm>
                    <a:prstGeom prst="rect">
                      <a:avLst/>
                    </a:prstGeom>
                  </pic:spPr>
                </pic:pic>
              </a:graphicData>
            </a:graphic>
          </wp:inline>
        </w:drawing>
      </w:r>
    </w:p>
    <w:p w14:paraId="105BB818" w14:textId="266EB0EA" w:rsidR="00AD3DE4" w:rsidRDefault="00AD3DE4" w:rsidP="00AD3DE4">
      <w:pPr>
        <w:pStyle w:val="Figuretitle"/>
      </w:pPr>
      <w:r w:rsidRPr="00FE645A">
        <w:t xml:space="preserve">Figure </w:t>
      </w:r>
      <w:r w:rsidR="00906326">
        <w:t>9</w:t>
      </w:r>
      <w:r>
        <w:t>: Treatment duration for patients who initiated first- line olaparib treatment</w:t>
      </w:r>
      <w:r w:rsidR="007A24E9">
        <w:t>, accounting for breaks in treatment</w:t>
      </w:r>
    </w:p>
    <w:p w14:paraId="710C7A94" w14:textId="48CE760D" w:rsidR="00906326" w:rsidRDefault="00906326" w:rsidP="00E53A00"/>
    <w:p w14:paraId="3393B042" w14:textId="699E8156" w:rsidR="007A24E9" w:rsidRPr="00B05CF6" w:rsidRDefault="007A24E9" w:rsidP="00E53A00">
      <w:r>
        <w:t xml:space="preserve">When accounting for breaks in treatment, the mean and median treatment duration was reduced. The mean treatment duration reduced from 10.41 months to 9.17 months and the median treatment duration reduced from 11.42 months to 8.96 months. </w:t>
      </w:r>
    </w:p>
    <w:p w14:paraId="38EEFBF2" w14:textId="71CAD8E6" w:rsidR="006A4796" w:rsidRDefault="006A4796" w:rsidP="0080411B">
      <w:pPr>
        <w:jc w:val="center"/>
      </w:pPr>
    </w:p>
    <w:p w14:paraId="0DEFF5C1" w14:textId="49B3ACE1" w:rsidR="007A24E9" w:rsidRDefault="007A24E9" w:rsidP="0080411B">
      <w:pPr>
        <w:jc w:val="center"/>
      </w:pPr>
    </w:p>
    <w:p w14:paraId="0CFBFD52" w14:textId="77777777" w:rsidR="007A24E9" w:rsidRDefault="007A24E9" w:rsidP="0080411B">
      <w:pPr>
        <w:jc w:val="center"/>
      </w:pPr>
    </w:p>
    <w:p w14:paraId="2560BC98" w14:textId="785EA8D3" w:rsidR="000C6EC0" w:rsidRDefault="000C6EC0" w:rsidP="0080411B">
      <w:pPr>
        <w:jc w:val="center"/>
      </w:pPr>
      <w:r>
        <w:rPr>
          <w:noProof/>
        </w:rPr>
        <w:lastRenderedPageBreak/>
        <w:drawing>
          <wp:inline distT="0" distB="0" distL="0" distR="0" wp14:anchorId="627F9578" wp14:editId="697C8778">
            <wp:extent cx="4667415" cy="2926080"/>
            <wp:effectExtent l="0" t="0" r="0" b="7620"/>
            <wp:docPr id="10" name="Chart 10">
              <a:extLst xmlns:a="http://schemas.openxmlformats.org/drawingml/2006/main">
                <a:ext uri="{FF2B5EF4-FFF2-40B4-BE49-F238E27FC236}">
                  <a16:creationId xmlns:a16="http://schemas.microsoft.com/office/drawing/2014/main" id="{0A71ABD0-5AA3-4BA2-9961-5406EE2DEBE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6243D8E" w14:textId="4BAC7E3B" w:rsidR="001730D9" w:rsidRDefault="001730D9" w:rsidP="001730D9">
      <w:pPr>
        <w:pStyle w:val="Figuretitle"/>
      </w:pPr>
      <w:r w:rsidRPr="00FE645A">
        <w:t xml:space="preserve">Figure </w:t>
      </w:r>
      <w:r w:rsidR="00906326">
        <w:t>10</w:t>
      </w:r>
      <w:r>
        <w:t>: Number of patients treated for PBS-listed medicines for ovarian, fallopian, primary peritoneal cancer</w:t>
      </w:r>
    </w:p>
    <w:p w14:paraId="256CD49B" w14:textId="2DF5F3BE" w:rsidR="00856656" w:rsidRPr="000C6EC0" w:rsidRDefault="00856656" w:rsidP="00856656">
      <w:pPr>
        <w:rPr>
          <w:sz w:val="20"/>
          <w:szCs w:val="20"/>
        </w:rPr>
      </w:pPr>
      <w:r w:rsidRPr="00856656">
        <w:rPr>
          <w:sz w:val="20"/>
          <w:szCs w:val="20"/>
        </w:rPr>
        <w:t>Note: Patient counts of less than 5</w:t>
      </w:r>
      <w:r w:rsidR="009F7DCD">
        <w:rPr>
          <w:sz w:val="20"/>
          <w:szCs w:val="20"/>
        </w:rPr>
        <w:t xml:space="preserve"> have been replaced with 5 to protect patient confidentiality. </w:t>
      </w:r>
      <w:r w:rsidRPr="00856656">
        <w:rPr>
          <w:sz w:val="20"/>
          <w:szCs w:val="20"/>
        </w:rPr>
        <w:t xml:space="preserve"> </w:t>
      </w:r>
    </w:p>
    <w:p w14:paraId="790BBD52" w14:textId="398B388E" w:rsidR="000C6EC0" w:rsidRDefault="000C6EC0" w:rsidP="00A35800">
      <w:r>
        <w:t>As shown in Figure</w:t>
      </w:r>
      <w:r w:rsidR="007074E8">
        <w:t xml:space="preserve"> 10</w:t>
      </w:r>
      <w:r>
        <w:t xml:space="preserve">, bevacizumab, niraparib and olaparib are the current PBS-listed medicines for ovarian, fallopian tube and primary peritoneal cancer. </w:t>
      </w:r>
    </w:p>
    <w:p w14:paraId="315B318D" w14:textId="0857F0F6" w:rsidR="00C655C1" w:rsidRDefault="00060822" w:rsidP="00A35800">
      <w:r>
        <w:t>Bevacizumab was a first-line listing</w:t>
      </w:r>
      <w:r w:rsidR="007074E8">
        <w:t xml:space="preserve"> for Stage IIIB, IIIC or Stage IV epithelial ovarian, fallopian tube or primary peritoneal cancer. Prior to 1 June 2021, a greater number of patients were treated with bevacizumab compared to olaparib.</w:t>
      </w:r>
      <w:r>
        <w:t xml:space="preserve"> </w:t>
      </w:r>
      <w:r w:rsidR="000C6EC0">
        <w:t>From 1 June 2021 onwards, the PBS listing for b</w:t>
      </w:r>
      <w:r w:rsidR="001730D9">
        <w:t>evacizumab became unrestricted</w:t>
      </w:r>
      <w:r w:rsidR="000C6EC0">
        <w:t xml:space="preserve">. As such, the number of patients treated for ovarian, fallopian tube and primary peritoneal cancer could not be determined following its restriction change. </w:t>
      </w:r>
    </w:p>
    <w:p w14:paraId="06A466D2" w14:textId="34D7B74E" w:rsidR="002E2D8B" w:rsidRDefault="000C6EC0" w:rsidP="002E2D8B">
      <w:r>
        <w:t xml:space="preserve">Niraparib was </w:t>
      </w:r>
      <w:r w:rsidR="007A24E9">
        <w:t xml:space="preserve">recently </w:t>
      </w:r>
      <w:r>
        <w:t>PBS-listed in 1 September 2022</w:t>
      </w:r>
      <w:r w:rsidR="00060822">
        <w:t xml:space="preserve"> for the first-line treatment of high grade </w:t>
      </w:r>
      <w:r w:rsidR="007074E8">
        <w:t>S</w:t>
      </w:r>
      <w:r w:rsidR="00060822">
        <w:t>tage III/IV epithelial ovarian, fallopian tube or primary peritoneal cancer</w:t>
      </w:r>
      <w:r w:rsidR="007074E8">
        <w:t>.</w:t>
      </w:r>
    </w:p>
    <w:p w14:paraId="442A5220" w14:textId="77777777" w:rsidR="007074E8" w:rsidRDefault="007074E8" w:rsidP="002E2D8B"/>
    <w:p w14:paraId="705CE492" w14:textId="77777777" w:rsidR="002E2D8B" w:rsidRDefault="002E2D8B" w:rsidP="002E2D8B"/>
    <w:p w14:paraId="39325FB8" w14:textId="167EA516" w:rsidR="008F3A28" w:rsidRDefault="00BD4502" w:rsidP="002E2D8B">
      <w:pPr>
        <w:spacing w:line="276" w:lineRule="auto"/>
        <w:jc w:val="center"/>
      </w:pPr>
      <w:r w:rsidRPr="002E2D8B">
        <w:br w:type="page"/>
      </w:r>
    </w:p>
    <w:p w14:paraId="07635E00" w14:textId="655647EC" w:rsidR="008F3A28" w:rsidRDefault="008F3A28" w:rsidP="008F3A28">
      <w:pPr>
        <w:pStyle w:val="Heading2"/>
      </w:pPr>
      <w:r w:rsidRPr="005E22C2">
        <w:lastRenderedPageBreak/>
        <w:t xml:space="preserve">Analysis of </w:t>
      </w:r>
      <w:r>
        <w:t xml:space="preserve">actual versus predicted utilisation of olaparib for first-line </w:t>
      </w:r>
      <w:r w:rsidR="00B72524">
        <w:t>therapy</w:t>
      </w:r>
    </w:p>
    <w:p w14:paraId="037E616F" w14:textId="011E90B7" w:rsidR="008F3A28" w:rsidRPr="008F3A28" w:rsidRDefault="008F3A28" w:rsidP="008F3A28">
      <w:pPr>
        <w:pStyle w:val="Heading3"/>
        <w:rPr>
          <w:i w:val="0"/>
          <w:iCs/>
        </w:rPr>
      </w:pPr>
      <w:r w:rsidRPr="008F3A28">
        <w:rPr>
          <w:i w:val="0"/>
          <w:iCs/>
        </w:rPr>
        <w:t xml:space="preserve">Approach taken to estimate utilisation </w:t>
      </w:r>
    </w:p>
    <w:p w14:paraId="3BFE6AD8" w14:textId="154721BF" w:rsidR="008F3A28" w:rsidRPr="008F3A28" w:rsidRDefault="008F3A28" w:rsidP="00180181">
      <w:r w:rsidRPr="008F3A28">
        <w:t>The resubmission</w:t>
      </w:r>
      <w:r w:rsidR="00A74125">
        <w:t xml:space="preserve"> considered by the PBAC </w:t>
      </w:r>
      <w:r w:rsidR="0028014B">
        <w:t>at its</w:t>
      </w:r>
      <w:r w:rsidR="00A74125">
        <w:t xml:space="preserve"> July 2020</w:t>
      </w:r>
      <w:r w:rsidRPr="008F3A28">
        <w:t xml:space="preserve"> </w:t>
      </w:r>
      <w:r w:rsidR="0028014B">
        <w:t xml:space="preserve">meeting </w:t>
      </w:r>
      <w:r w:rsidRPr="008F3A28">
        <w:t>used an epidemiological approach to estimate olaparib utilisation for first-line patients with F</w:t>
      </w:r>
      <w:r w:rsidR="0028014B">
        <w:t>ederation of Gynaecology and Obstetrics (FIGO)</w:t>
      </w:r>
      <w:r w:rsidRPr="008F3A28">
        <w:t xml:space="preserve"> Stage III/IV ovarian, fallopian tube and primary peritoneal cancer.</w:t>
      </w:r>
      <w:r w:rsidR="00477173">
        <w:t xml:space="preserve"> The resubmission’s utilisation estimates were based on: </w:t>
      </w:r>
    </w:p>
    <w:p w14:paraId="4390F719" w14:textId="169F8C03" w:rsidR="008F3A28" w:rsidRDefault="008F3A28" w:rsidP="008F3A28">
      <w:pPr>
        <w:pStyle w:val="ListParagraph"/>
        <w:numPr>
          <w:ilvl w:val="0"/>
          <w:numId w:val="42"/>
        </w:numPr>
      </w:pPr>
      <w:r>
        <w:t xml:space="preserve">The incidence of ovarian cancer was </w:t>
      </w:r>
      <w:r w:rsidR="005C7E04">
        <w:t xml:space="preserve">based on AIHW data and </w:t>
      </w:r>
      <w:r>
        <w:t xml:space="preserve">revised to exclude non-epithelial cancers. </w:t>
      </w:r>
    </w:p>
    <w:p w14:paraId="7CDC1891" w14:textId="309002E5" w:rsidR="00A74125" w:rsidRDefault="008F3A28" w:rsidP="00A74125">
      <w:pPr>
        <w:pStyle w:val="ListParagraph"/>
        <w:numPr>
          <w:ilvl w:val="0"/>
          <w:numId w:val="42"/>
        </w:numPr>
      </w:pPr>
      <w:r>
        <w:t>The prevalence of g</w:t>
      </w:r>
      <w:r w:rsidR="0028014B">
        <w:t xml:space="preserve">ermline </w:t>
      </w:r>
      <w:r>
        <w:t>BRCA mutations was estimated to be 20.3% and the prevalence of s</w:t>
      </w:r>
      <w:r w:rsidR="0028014B">
        <w:t xml:space="preserve">omatic </w:t>
      </w:r>
      <w:r>
        <w:t>BRCA</w:t>
      </w:r>
      <w:r w:rsidR="0028014B">
        <w:t xml:space="preserve"> mutations</w:t>
      </w:r>
      <w:r>
        <w:t xml:space="preserve"> was</w:t>
      </w:r>
      <w:r w:rsidR="00A74125">
        <w:t xml:space="preserve"> estimated to be</w:t>
      </w:r>
      <w:r>
        <w:t xml:space="preserve"> 5%.</w:t>
      </w:r>
    </w:p>
    <w:p w14:paraId="72F6C7EE" w14:textId="76E7A027" w:rsidR="00180181" w:rsidRDefault="008F3A28" w:rsidP="008F3A28">
      <w:pPr>
        <w:pStyle w:val="ListParagraph"/>
        <w:numPr>
          <w:ilvl w:val="0"/>
          <w:numId w:val="42"/>
        </w:numPr>
      </w:pPr>
      <w:r>
        <w:t>95% of eligible patients would undertake tumour BRCA</w:t>
      </w:r>
      <w:r w:rsidR="0028014B">
        <w:t xml:space="preserve"> mutation</w:t>
      </w:r>
      <w:r>
        <w:t xml:space="preserve"> testing, as 5% of patients would not </w:t>
      </w:r>
      <w:r w:rsidR="00507356">
        <w:t>undergo</w:t>
      </w:r>
      <w:r>
        <w:t xml:space="preserve"> testing as these patients may be </w:t>
      </w:r>
      <w:r w:rsidR="00507356">
        <w:t>elderly</w:t>
      </w:r>
      <w:r>
        <w:t xml:space="preserve"> or frail and do not undergo surgery and commence platinum</w:t>
      </w:r>
      <w:r w:rsidR="00507356">
        <w:t>-</w:t>
      </w:r>
      <w:r>
        <w:t xml:space="preserve">based chemotherapy. </w:t>
      </w:r>
    </w:p>
    <w:p w14:paraId="01B8F5EC" w14:textId="4DB9020C" w:rsidR="00F37E28" w:rsidRDefault="008F3A28" w:rsidP="00F37E28">
      <w:pPr>
        <w:pStyle w:val="ListParagraph"/>
        <w:numPr>
          <w:ilvl w:val="0"/>
          <w:numId w:val="42"/>
        </w:numPr>
      </w:pPr>
      <w:r>
        <w:t>The average duration o</w:t>
      </w:r>
      <w:r w:rsidR="00507356">
        <w:t>f 1L olaparib maintenance was based on time to treatment discontinuation curve from</w:t>
      </w:r>
      <w:r w:rsidR="0028014B">
        <w:t xml:space="preserve"> the key trial</w:t>
      </w:r>
      <w:r w:rsidR="00507356">
        <w:t xml:space="preserve"> SOLO1. </w:t>
      </w:r>
      <w:r w:rsidR="00A74125">
        <w:t xml:space="preserve">Treatment interruptions were estimated to account for 1 month out of a total of 21.5 months of treatment. </w:t>
      </w:r>
    </w:p>
    <w:p w14:paraId="482F0F61" w14:textId="042D0550" w:rsidR="00F37E28" w:rsidRDefault="00F37E28" w:rsidP="00F37E28">
      <w:pPr>
        <w:pStyle w:val="Figuretitle"/>
      </w:pPr>
      <w:r>
        <w:t xml:space="preserve">Table </w:t>
      </w:r>
      <w:r w:rsidR="00814E84">
        <w:t>7</w:t>
      </w:r>
      <w:r>
        <w:t xml:space="preserve">: Estimated use and financial implications (PBAC revised estimates)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7"/>
        <w:gridCol w:w="16"/>
        <w:gridCol w:w="1142"/>
        <w:gridCol w:w="25"/>
        <w:gridCol w:w="1133"/>
        <w:gridCol w:w="34"/>
        <w:gridCol w:w="1124"/>
        <w:gridCol w:w="43"/>
        <w:gridCol w:w="1115"/>
        <w:gridCol w:w="52"/>
        <w:gridCol w:w="1105"/>
        <w:gridCol w:w="61"/>
        <w:gridCol w:w="1100"/>
        <w:gridCol w:w="70"/>
      </w:tblGrid>
      <w:tr w:rsidR="00D04BEE" w:rsidRPr="00F37E28" w14:paraId="3FC88090" w14:textId="77777777" w:rsidTr="00445190">
        <w:trPr>
          <w:gridAfter w:val="1"/>
          <w:wAfter w:w="39" w:type="pct"/>
          <w:tblHeader/>
        </w:trPr>
        <w:tc>
          <w:tcPr>
            <w:tcW w:w="1107" w:type="pct"/>
            <w:shd w:val="clear" w:color="auto" w:fill="BFBFBF" w:themeFill="background1" w:themeFillShade="BF"/>
            <w:vAlign w:val="center"/>
          </w:tcPr>
          <w:p w14:paraId="3998C653" w14:textId="77777777" w:rsidR="00D04BEE" w:rsidRPr="00F37E28" w:rsidRDefault="00D04BEE" w:rsidP="00445190">
            <w:pPr>
              <w:keepNext/>
              <w:spacing w:after="0"/>
              <w:jc w:val="center"/>
              <w:rPr>
                <w:rFonts w:eastAsia="MS Gothic" w:cstheme="minorHAnsi"/>
                <w:b/>
                <w:sz w:val="20"/>
                <w:szCs w:val="20"/>
              </w:rPr>
            </w:pPr>
          </w:p>
        </w:tc>
        <w:tc>
          <w:tcPr>
            <w:tcW w:w="642" w:type="pct"/>
            <w:gridSpan w:val="2"/>
            <w:shd w:val="clear" w:color="auto" w:fill="BFBFBF" w:themeFill="background1" w:themeFillShade="BF"/>
            <w:vAlign w:val="center"/>
          </w:tcPr>
          <w:p w14:paraId="34FD3346" w14:textId="77777777" w:rsidR="00D04BEE" w:rsidRPr="00F37E28" w:rsidRDefault="00D04BEE" w:rsidP="00445190">
            <w:pPr>
              <w:keepNext/>
              <w:spacing w:after="0"/>
              <w:jc w:val="center"/>
              <w:rPr>
                <w:rFonts w:eastAsia="MS Gothic" w:cstheme="minorHAnsi"/>
                <w:b/>
                <w:sz w:val="20"/>
                <w:szCs w:val="20"/>
              </w:rPr>
            </w:pPr>
            <w:r w:rsidRPr="00F37E28">
              <w:rPr>
                <w:rFonts w:eastAsia="MS Gothic" w:cstheme="minorHAnsi"/>
                <w:b/>
                <w:sz w:val="20"/>
                <w:szCs w:val="20"/>
              </w:rPr>
              <w:t>Year 1</w:t>
            </w:r>
          </w:p>
        </w:tc>
        <w:tc>
          <w:tcPr>
            <w:tcW w:w="642" w:type="pct"/>
            <w:gridSpan w:val="2"/>
            <w:shd w:val="clear" w:color="auto" w:fill="BFBFBF" w:themeFill="background1" w:themeFillShade="BF"/>
            <w:vAlign w:val="center"/>
          </w:tcPr>
          <w:p w14:paraId="70A4C517" w14:textId="77777777" w:rsidR="00D04BEE" w:rsidRPr="00F37E28" w:rsidRDefault="00D04BEE" w:rsidP="00445190">
            <w:pPr>
              <w:keepNext/>
              <w:spacing w:after="0"/>
              <w:jc w:val="center"/>
              <w:rPr>
                <w:rFonts w:eastAsia="MS Gothic" w:cstheme="minorHAnsi"/>
                <w:b/>
                <w:sz w:val="20"/>
                <w:szCs w:val="20"/>
              </w:rPr>
            </w:pPr>
            <w:r w:rsidRPr="00F37E28">
              <w:rPr>
                <w:rFonts w:eastAsia="MS Gothic" w:cstheme="minorHAnsi"/>
                <w:b/>
                <w:sz w:val="20"/>
                <w:szCs w:val="20"/>
              </w:rPr>
              <w:t>Year 2</w:t>
            </w:r>
          </w:p>
        </w:tc>
        <w:tc>
          <w:tcPr>
            <w:tcW w:w="642" w:type="pct"/>
            <w:gridSpan w:val="2"/>
            <w:shd w:val="clear" w:color="auto" w:fill="BFBFBF" w:themeFill="background1" w:themeFillShade="BF"/>
            <w:vAlign w:val="center"/>
          </w:tcPr>
          <w:p w14:paraId="7C29FA30" w14:textId="77777777" w:rsidR="00D04BEE" w:rsidRPr="00F37E28" w:rsidRDefault="00D04BEE" w:rsidP="00445190">
            <w:pPr>
              <w:keepNext/>
              <w:spacing w:after="0"/>
              <w:jc w:val="center"/>
              <w:rPr>
                <w:rFonts w:eastAsia="MS Gothic" w:cstheme="minorHAnsi"/>
                <w:b/>
                <w:sz w:val="20"/>
                <w:szCs w:val="20"/>
              </w:rPr>
            </w:pPr>
            <w:r w:rsidRPr="00F37E28">
              <w:rPr>
                <w:rFonts w:eastAsia="MS Gothic" w:cstheme="minorHAnsi"/>
                <w:b/>
                <w:sz w:val="20"/>
                <w:szCs w:val="20"/>
              </w:rPr>
              <w:t>Year 3</w:t>
            </w:r>
          </w:p>
        </w:tc>
        <w:tc>
          <w:tcPr>
            <w:tcW w:w="642" w:type="pct"/>
            <w:gridSpan w:val="2"/>
            <w:shd w:val="clear" w:color="auto" w:fill="BFBFBF" w:themeFill="background1" w:themeFillShade="BF"/>
            <w:vAlign w:val="center"/>
          </w:tcPr>
          <w:p w14:paraId="717006EF" w14:textId="77777777" w:rsidR="00D04BEE" w:rsidRPr="00F37E28" w:rsidRDefault="00D04BEE" w:rsidP="00445190">
            <w:pPr>
              <w:keepNext/>
              <w:spacing w:after="0"/>
              <w:jc w:val="center"/>
              <w:rPr>
                <w:rFonts w:eastAsia="MS Gothic" w:cstheme="minorHAnsi"/>
                <w:b/>
                <w:sz w:val="20"/>
                <w:szCs w:val="20"/>
              </w:rPr>
            </w:pPr>
            <w:r w:rsidRPr="00F37E28">
              <w:rPr>
                <w:rFonts w:eastAsia="MS Gothic" w:cstheme="minorHAnsi"/>
                <w:b/>
                <w:sz w:val="20"/>
                <w:szCs w:val="20"/>
              </w:rPr>
              <w:t>Year 4</w:t>
            </w:r>
          </w:p>
        </w:tc>
        <w:tc>
          <w:tcPr>
            <w:tcW w:w="642" w:type="pct"/>
            <w:gridSpan w:val="2"/>
            <w:shd w:val="clear" w:color="auto" w:fill="BFBFBF" w:themeFill="background1" w:themeFillShade="BF"/>
            <w:vAlign w:val="center"/>
          </w:tcPr>
          <w:p w14:paraId="71C6F6A2" w14:textId="77777777" w:rsidR="00D04BEE" w:rsidRPr="00F37E28" w:rsidRDefault="00D04BEE" w:rsidP="00445190">
            <w:pPr>
              <w:keepNext/>
              <w:spacing w:after="0"/>
              <w:jc w:val="center"/>
              <w:rPr>
                <w:rFonts w:eastAsia="MS Gothic" w:cstheme="minorHAnsi"/>
                <w:b/>
                <w:sz w:val="20"/>
                <w:szCs w:val="20"/>
              </w:rPr>
            </w:pPr>
            <w:r w:rsidRPr="00F37E28">
              <w:rPr>
                <w:rFonts w:eastAsia="MS Gothic" w:cstheme="minorHAnsi"/>
                <w:b/>
                <w:sz w:val="20"/>
                <w:szCs w:val="20"/>
              </w:rPr>
              <w:t>Year 5</w:t>
            </w:r>
          </w:p>
        </w:tc>
        <w:tc>
          <w:tcPr>
            <w:tcW w:w="644" w:type="pct"/>
            <w:gridSpan w:val="2"/>
            <w:shd w:val="clear" w:color="auto" w:fill="BFBFBF" w:themeFill="background1" w:themeFillShade="BF"/>
          </w:tcPr>
          <w:p w14:paraId="78F08FC5" w14:textId="77777777" w:rsidR="00D04BEE" w:rsidRPr="00F37E28" w:rsidRDefault="00D04BEE" w:rsidP="00445190">
            <w:pPr>
              <w:keepNext/>
              <w:spacing w:after="0"/>
              <w:jc w:val="center"/>
              <w:rPr>
                <w:rFonts w:eastAsia="MS Gothic" w:cstheme="minorHAnsi"/>
                <w:b/>
                <w:sz w:val="20"/>
                <w:szCs w:val="20"/>
              </w:rPr>
            </w:pPr>
            <w:r w:rsidRPr="00F37E28">
              <w:rPr>
                <w:rFonts w:eastAsia="MS Gothic" w:cstheme="minorHAnsi"/>
                <w:b/>
                <w:sz w:val="20"/>
                <w:szCs w:val="20"/>
              </w:rPr>
              <w:t>Year 6</w:t>
            </w:r>
          </w:p>
        </w:tc>
      </w:tr>
      <w:tr w:rsidR="00D04BEE" w:rsidRPr="00C41F2B" w14:paraId="2BFDB50D" w14:textId="77777777" w:rsidTr="00445190">
        <w:tc>
          <w:tcPr>
            <w:tcW w:w="5000" w:type="pct"/>
            <w:gridSpan w:val="14"/>
            <w:shd w:val="clear" w:color="auto" w:fill="auto"/>
            <w:vAlign w:val="center"/>
          </w:tcPr>
          <w:p w14:paraId="09F8E1DE" w14:textId="77777777" w:rsidR="00D04BEE" w:rsidRPr="00E9713A" w:rsidRDefault="00D04BEE" w:rsidP="00445190">
            <w:pPr>
              <w:pStyle w:val="In-tableHeading"/>
              <w:rPr>
                <w:bCs/>
                <w:color w:val="000000"/>
                <w:lang w:val="en-AU"/>
              </w:rPr>
            </w:pPr>
            <w:r w:rsidRPr="00C41F2B">
              <w:rPr>
                <w:bCs/>
                <w:color w:val="000000"/>
                <w:lang w:val="en-AU"/>
              </w:rPr>
              <w:t>Estimated extent of use</w:t>
            </w:r>
          </w:p>
        </w:tc>
      </w:tr>
      <w:tr w:rsidR="00D04BEE" w:rsidRPr="00C41F2B" w14:paraId="692FC7C0" w14:textId="77777777" w:rsidTr="00445190">
        <w:tc>
          <w:tcPr>
            <w:tcW w:w="1116" w:type="pct"/>
            <w:gridSpan w:val="2"/>
            <w:shd w:val="clear" w:color="auto" w:fill="auto"/>
            <w:vAlign w:val="center"/>
          </w:tcPr>
          <w:p w14:paraId="3F177E6D" w14:textId="77777777" w:rsidR="00D04BEE" w:rsidRPr="00C41F2B" w:rsidRDefault="00D04BEE" w:rsidP="00445190">
            <w:pPr>
              <w:pStyle w:val="TableText"/>
              <w:rPr>
                <w:rFonts w:ascii="Times" w:hAnsi="Times"/>
                <w:szCs w:val="20"/>
              </w:rPr>
            </w:pPr>
            <w:r w:rsidRPr="00C41F2B">
              <w:rPr>
                <w:szCs w:val="20"/>
              </w:rPr>
              <w:t>Number of patients treated (resubmission estimates)</w:t>
            </w:r>
          </w:p>
        </w:tc>
        <w:tc>
          <w:tcPr>
            <w:tcW w:w="647" w:type="pct"/>
            <w:gridSpan w:val="2"/>
            <w:shd w:val="clear" w:color="auto" w:fill="auto"/>
            <w:vAlign w:val="bottom"/>
          </w:tcPr>
          <w:p w14:paraId="0359F91D" w14:textId="77777777" w:rsidR="00D04BEE" w:rsidRPr="00C41F2B" w:rsidRDefault="00D04BEE" w:rsidP="00445190">
            <w:pPr>
              <w:pStyle w:val="TableText"/>
              <w:jc w:val="center"/>
              <w:rPr>
                <w:color w:val="000000"/>
              </w:rPr>
            </w:pPr>
            <w:r>
              <w:rPr>
                <w:noProof/>
                <w:color w:val="000000"/>
                <w:highlight w:val="black"/>
              </w:rPr>
              <w:t>''''''''</w:t>
            </w:r>
            <w:r w:rsidRPr="00C41F2B">
              <w:rPr>
                <w:vertAlign w:val="superscript"/>
              </w:rPr>
              <w:t>a</w:t>
            </w:r>
          </w:p>
        </w:tc>
        <w:tc>
          <w:tcPr>
            <w:tcW w:w="647" w:type="pct"/>
            <w:gridSpan w:val="2"/>
            <w:shd w:val="clear" w:color="auto" w:fill="auto"/>
            <w:vAlign w:val="bottom"/>
          </w:tcPr>
          <w:p w14:paraId="2DB67506" w14:textId="77777777" w:rsidR="00D04BEE" w:rsidRPr="00E9713A" w:rsidRDefault="00D04BEE" w:rsidP="00445190">
            <w:pPr>
              <w:pStyle w:val="TableText"/>
              <w:jc w:val="center"/>
              <w:rPr>
                <w:color w:val="000000"/>
                <w:highlight w:val="black"/>
              </w:rPr>
            </w:pPr>
            <w:r>
              <w:rPr>
                <w:noProof/>
                <w:color w:val="000000"/>
                <w:highlight w:val="black"/>
              </w:rPr>
              <w:t>''''''''''</w:t>
            </w:r>
          </w:p>
        </w:tc>
        <w:tc>
          <w:tcPr>
            <w:tcW w:w="647" w:type="pct"/>
            <w:gridSpan w:val="2"/>
            <w:shd w:val="clear" w:color="auto" w:fill="auto"/>
            <w:vAlign w:val="bottom"/>
          </w:tcPr>
          <w:p w14:paraId="4BB43674" w14:textId="77777777" w:rsidR="00D04BEE" w:rsidRPr="00E9713A" w:rsidRDefault="00D04BEE" w:rsidP="00445190">
            <w:pPr>
              <w:pStyle w:val="TableText"/>
              <w:jc w:val="center"/>
              <w:rPr>
                <w:color w:val="000000"/>
                <w:highlight w:val="black"/>
              </w:rPr>
            </w:pPr>
            <w:r>
              <w:rPr>
                <w:noProof/>
                <w:color w:val="000000"/>
                <w:highlight w:val="black"/>
              </w:rPr>
              <w:t>''''''''</w:t>
            </w:r>
          </w:p>
        </w:tc>
        <w:tc>
          <w:tcPr>
            <w:tcW w:w="647" w:type="pct"/>
            <w:gridSpan w:val="2"/>
            <w:shd w:val="clear" w:color="auto" w:fill="auto"/>
            <w:vAlign w:val="bottom"/>
          </w:tcPr>
          <w:p w14:paraId="5B99E0B9" w14:textId="77777777" w:rsidR="00D04BEE" w:rsidRPr="00E9713A" w:rsidRDefault="00D04BEE" w:rsidP="00445190">
            <w:pPr>
              <w:pStyle w:val="TableText"/>
              <w:jc w:val="center"/>
              <w:rPr>
                <w:color w:val="000000"/>
                <w:highlight w:val="black"/>
              </w:rPr>
            </w:pPr>
            <w:r>
              <w:rPr>
                <w:noProof/>
                <w:color w:val="000000"/>
                <w:highlight w:val="black"/>
              </w:rPr>
              <w:t>'''''''''</w:t>
            </w:r>
          </w:p>
        </w:tc>
        <w:tc>
          <w:tcPr>
            <w:tcW w:w="647" w:type="pct"/>
            <w:gridSpan w:val="2"/>
            <w:shd w:val="clear" w:color="auto" w:fill="auto"/>
            <w:vAlign w:val="bottom"/>
          </w:tcPr>
          <w:p w14:paraId="394EF838" w14:textId="77777777" w:rsidR="00D04BEE" w:rsidRPr="00E9713A" w:rsidRDefault="00D04BEE" w:rsidP="00445190">
            <w:pPr>
              <w:pStyle w:val="TableText"/>
              <w:jc w:val="center"/>
              <w:rPr>
                <w:color w:val="000000"/>
                <w:highlight w:val="black"/>
              </w:rPr>
            </w:pPr>
            <w:r>
              <w:rPr>
                <w:noProof/>
                <w:color w:val="000000"/>
                <w:highlight w:val="black"/>
              </w:rPr>
              <w:t>''''''''''</w:t>
            </w:r>
          </w:p>
        </w:tc>
        <w:tc>
          <w:tcPr>
            <w:tcW w:w="649" w:type="pct"/>
            <w:gridSpan w:val="2"/>
            <w:vAlign w:val="bottom"/>
          </w:tcPr>
          <w:p w14:paraId="25953C1C" w14:textId="77777777" w:rsidR="00D04BEE" w:rsidRPr="00E9713A" w:rsidRDefault="00D04BEE" w:rsidP="00445190">
            <w:pPr>
              <w:pStyle w:val="TableText"/>
              <w:jc w:val="center"/>
              <w:rPr>
                <w:color w:val="000000"/>
                <w:highlight w:val="black"/>
              </w:rPr>
            </w:pPr>
            <w:r>
              <w:rPr>
                <w:noProof/>
                <w:color w:val="000000"/>
                <w:highlight w:val="black"/>
              </w:rPr>
              <w:t>''''''''</w:t>
            </w:r>
          </w:p>
        </w:tc>
      </w:tr>
      <w:tr w:rsidR="00D04BEE" w:rsidRPr="00C41F2B" w14:paraId="25DE0756" w14:textId="77777777" w:rsidTr="00445190">
        <w:tc>
          <w:tcPr>
            <w:tcW w:w="1116" w:type="pct"/>
            <w:gridSpan w:val="2"/>
            <w:shd w:val="clear" w:color="auto" w:fill="auto"/>
            <w:vAlign w:val="center"/>
          </w:tcPr>
          <w:p w14:paraId="690EF8D3" w14:textId="77777777" w:rsidR="00D04BEE" w:rsidRPr="00C41F2B" w:rsidRDefault="00D04BEE" w:rsidP="00445190">
            <w:pPr>
              <w:pStyle w:val="TableText"/>
              <w:rPr>
                <w:szCs w:val="20"/>
              </w:rPr>
            </w:pPr>
            <w:r w:rsidRPr="00C41F2B">
              <w:rPr>
                <w:szCs w:val="20"/>
              </w:rPr>
              <w:t xml:space="preserve">PBAC revised number of patients treated </w:t>
            </w:r>
            <w:r w:rsidRPr="00C41F2B">
              <w:rPr>
                <w:szCs w:val="20"/>
                <w:vertAlign w:val="superscript"/>
              </w:rPr>
              <w:t>e</w:t>
            </w:r>
          </w:p>
        </w:tc>
        <w:tc>
          <w:tcPr>
            <w:tcW w:w="647" w:type="pct"/>
            <w:gridSpan w:val="2"/>
            <w:shd w:val="clear" w:color="auto" w:fill="auto"/>
            <w:vAlign w:val="center"/>
          </w:tcPr>
          <w:p w14:paraId="7E6C9BF4" w14:textId="77777777" w:rsidR="00D04BEE" w:rsidRPr="00E9713A" w:rsidRDefault="00D04BEE" w:rsidP="00445190">
            <w:pPr>
              <w:pStyle w:val="TableText"/>
              <w:jc w:val="center"/>
              <w:rPr>
                <w:highlight w:val="black"/>
              </w:rPr>
            </w:pPr>
            <w:r>
              <w:rPr>
                <w:noProof/>
                <w:color w:val="000000"/>
                <w:highlight w:val="black"/>
              </w:rPr>
              <w:t>''''''''''</w:t>
            </w:r>
          </w:p>
        </w:tc>
        <w:tc>
          <w:tcPr>
            <w:tcW w:w="647" w:type="pct"/>
            <w:gridSpan w:val="2"/>
            <w:shd w:val="clear" w:color="auto" w:fill="auto"/>
            <w:vAlign w:val="center"/>
          </w:tcPr>
          <w:p w14:paraId="27A7CFA9" w14:textId="77777777" w:rsidR="00D04BEE" w:rsidRPr="00E9713A" w:rsidRDefault="00D04BEE" w:rsidP="00445190">
            <w:pPr>
              <w:pStyle w:val="TableText"/>
              <w:jc w:val="center"/>
              <w:rPr>
                <w:highlight w:val="black"/>
              </w:rPr>
            </w:pPr>
            <w:r>
              <w:rPr>
                <w:noProof/>
                <w:color w:val="000000"/>
                <w:highlight w:val="black"/>
              </w:rPr>
              <w:t>'''''''''</w:t>
            </w:r>
          </w:p>
        </w:tc>
        <w:tc>
          <w:tcPr>
            <w:tcW w:w="647" w:type="pct"/>
            <w:gridSpan w:val="2"/>
            <w:shd w:val="clear" w:color="auto" w:fill="auto"/>
            <w:vAlign w:val="center"/>
          </w:tcPr>
          <w:p w14:paraId="6BD64F26" w14:textId="77777777" w:rsidR="00D04BEE" w:rsidRPr="00E9713A" w:rsidRDefault="00D04BEE" w:rsidP="00445190">
            <w:pPr>
              <w:pStyle w:val="TableText"/>
              <w:jc w:val="center"/>
              <w:rPr>
                <w:highlight w:val="black"/>
              </w:rPr>
            </w:pPr>
            <w:r>
              <w:rPr>
                <w:noProof/>
                <w:color w:val="000000"/>
                <w:highlight w:val="black"/>
              </w:rPr>
              <w:t>'''''''''</w:t>
            </w:r>
          </w:p>
        </w:tc>
        <w:tc>
          <w:tcPr>
            <w:tcW w:w="647" w:type="pct"/>
            <w:gridSpan w:val="2"/>
            <w:shd w:val="clear" w:color="auto" w:fill="auto"/>
            <w:vAlign w:val="center"/>
          </w:tcPr>
          <w:p w14:paraId="17A74CF5" w14:textId="77777777" w:rsidR="00D04BEE" w:rsidRPr="00E9713A" w:rsidRDefault="00D04BEE" w:rsidP="00445190">
            <w:pPr>
              <w:pStyle w:val="TableText"/>
              <w:jc w:val="center"/>
              <w:rPr>
                <w:highlight w:val="black"/>
              </w:rPr>
            </w:pPr>
            <w:r>
              <w:rPr>
                <w:noProof/>
                <w:color w:val="000000"/>
                <w:highlight w:val="black"/>
              </w:rPr>
              <w:t>''''''''</w:t>
            </w:r>
          </w:p>
        </w:tc>
        <w:tc>
          <w:tcPr>
            <w:tcW w:w="647" w:type="pct"/>
            <w:gridSpan w:val="2"/>
            <w:shd w:val="clear" w:color="auto" w:fill="auto"/>
            <w:vAlign w:val="center"/>
          </w:tcPr>
          <w:p w14:paraId="08401911" w14:textId="77777777" w:rsidR="00D04BEE" w:rsidRPr="00E9713A" w:rsidRDefault="00D04BEE" w:rsidP="00445190">
            <w:pPr>
              <w:pStyle w:val="TableText"/>
              <w:jc w:val="center"/>
              <w:rPr>
                <w:highlight w:val="black"/>
              </w:rPr>
            </w:pPr>
            <w:r>
              <w:rPr>
                <w:noProof/>
                <w:color w:val="000000"/>
                <w:highlight w:val="black"/>
              </w:rPr>
              <w:t>''''''''''</w:t>
            </w:r>
          </w:p>
        </w:tc>
        <w:tc>
          <w:tcPr>
            <w:tcW w:w="649" w:type="pct"/>
            <w:gridSpan w:val="2"/>
            <w:vAlign w:val="center"/>
          </w:tcPr>
          <w:p w14:paraId="1E0E4E49" w14:textId="77777777" w:rsidR="00D04BEE" w:rsidRPr="00E9713A" w:rsidRDefault="00D04BEE" w:rsidP="00445190">
            <w:pPr>
              <w:pStyle w:val="TableText"/>
              <w:jc w:val="center"/>
              <w:rPr>
                <w:highlight w:val="black"/>
              </w:rPr>
            </w:pPr>
            <w:r>
              <w:rPr>
                <w:noProof/>
                <w:color w:val="000000"/>
                <w:highlight w:val="black"/>
              </w:rPr>
              <w:t>''''''''</w:t>
            </w:r>
          </w:p>
        </w:tc>
      </w:tr>
      <w:tr w:rsidR="00D04BEE" w:rsidRPr="00C41F2B" w14:paraId="44D5CDAE" w14:textId="77777777" w:rsidTr="00445190">
        <w:tc>
          <w:tcPr>
            <w:tcW w:w="1116" w:type="pct"/>
            <w:gridSpan w:val="2"/>
            <w:tcBorders>
              <w:bottom w:val="nil"/>
            </w:tcBorders>
            <w:shd w:val="clear" w:color="auto" w:fill="auto"/>
            <w:vAlign w:val="center"/>
          </w:tcPr>
          <w:p w14:paraId="51CC264A" w14:textId="77777777" w:rsidR="00D04BEE" w:rsidRPr="00C41F2B" w:rsidRDefault="00D04BEE" w:rsidP="00445190">
            <w:pPr>
              <w:pStyle w:val="TableText"/>
              <w:rPr>
                <w:szCs w:val="20"/>
              </w:rPr>
            </w:pPr>
            <w:r w:rsidRPr="00C41F2B">
              <w:rPr>
                <w:szCs w:val="20"/>
              </w:rPr>
              <w:t xml:space="preserve">PBAC revised number of scripts </w:t>
            </w:r>
            <w:r w:rsidRPr="00C41F2B">
              <w:rPr>
                <w:szCs w:val="20"/>
                <w:vertAlign w:val="superscript"/>
              </w:rPr>
              <w:t xml:space="preserve">b </w:t>
            </w:r>
          </w:p>
        </w:tc>
        <w:tc>
          <w:tcPr>
            <w:tcW w:w="647" w:type="pct"/>
            <w:gridSpan w:val="2"/>
            <w:tcBorders>
              <w:bottom w:val="nil"/>
            </w:tcBorders>
            <w:shd w:val="clear" w:color="auto" w:fill="auto"/>
            <w:vAlign w:val="bottom"/>
          </w:tcPr>
          <w:p w14:paraId="1FE5B9A1" w14:textId="77777777" w:rsidR="00D04BEE" w:rsidRPr="00E9713A" w:rsidRDefault="00D04BEE" w:rsidP="00445190">
            <w:pPr>
              <w:pStyle w:val="TableText"/>
              <w:jc w:val="center"/>
              <w:rPr>
                <w:highlight w:val="black"/>
              </w:rPr>
            </w:pPr>
            <w:r>
              <w:rPr>
                <w:noProof/>
                <w:color w:val="000000"/>
                <w:highlight w:val="black"/>
              </w:rPr>
              <w:t>'''''''''''</w:t>
            </w:r>
          </w:p>
        </w:tc>
        <w:tc>
          <w:tcPr>
            <w:tcW w:w="647" w:type="pct"/>
            <w:gridSpan w:val="2"/>
            <w:tcBorders>
              <w:bottom w:val="nil"/>
            </w:tcBorders>
            <w:shd w:val="clear" w:color="auto" w:fill="auto"/>
            <w:vAlign w:val="bottom"/>
          </w:tcPr>
          <w:p w14:paraId="4B0F19AC" w14:textId="77777777" w:rsidR="00D04BEE" w:rsidRPr="00E9713A" w:rsidRDefault="00D04BEE" w:rsidP="00445190">
            <w:pPr>
              <w:pStyle w:val="TableText"/>
              <w:jc w:val="center"/>
              <w:rPr>
                <w:highlight w:val="black"/>
              </w:rPr>
            </w:pPr>
            <w:r>
              <w:rPr>
                <w:noProof/>
                <w:color w:val="000000"/>
                <w:highlight w:val="black"/>
              </w:rPr>
              <w:t>'''''''''''</w:t>
            </w:r>
          </w:p>
        </w:tc>
        <w:tc>
          <w:tcPr>
            <w:tcW w:w="647" w:type="pct"/>
            <w:gridSpan w:val="2"/>
            <w:tcBorders>
              <w:bottom w:val="nil"/>
            </w:tcBorders>
            <w:shd w:val="clear" w:color="auto" w:fill="auto"/>
            <w:vAlign w:val="bottom"/>
          </w:tcPr>
          <w:p w14:paraId="1D58C091" w14:textId="77777777" w:rsidR="00D04BEE" w:rsidRPr="00E9713A" w:rsidRDefault="00D04BEE" w:rsidP="00445190">
            <w:pPr>
              <w:pStyle w:val="TableText"/>
              <w:jc w:val="center"/>
              <w:rPr>
                <w:highlight w:val="black"/>
              </w:rPr>
            </w:pPr>
            <w:r>
              <w:rPr>
                <w:noProof/>
                <w:color w:val="000000"/>
                <w:highlight w:val="black"/>
              </w:rPr>
              <w:t>''''''''''''</w:t>
            </w:r>
          </w:p>
        </w:tc>
        <w:tc>
          <w:tcPr>
            <w:tcW w:w="647" w:type="pct"/>
            <w:gridSpan w:val="2"/>
            <w:tcBorders>
              <w:bottom w:val="nil"/>
            </w:tcBorders>
            <w:shd w:val="clear" w:color="auto" w:fill="auto"/>
            <w:vAlign w:val="bottom"/>
          </w:tcPr>
          <w:p w14:paraId="70E02F6C" w14:textId="77777777" w:rsidR="00D04BEE" w:rsidRPr="00E9713A" w:rsidRDefault="00D04BEE" w:rsidP="00445190">
            <w:pPr>
              <w:pStyle w:val="TableText"/>
              <w:jc w:val="center"/>
              <w:rPr>
                <w:highlight w:val="black"/>
              </w:rPr>
            </w:pPr>
            <w:r>
              <w:rPr>
                <w:noProof/>
                <w:color w:val="000000"/>
                <w:highlight w:val="black"/>
              </w:rPr>
              <w:t>'''''''''''</w:t>
            </w:r>
          </w:p>
        </w:tc>
        <w:tc>
          <w:tcPr>
            <w:tcW w:w="647" w:type="pct"/>
            <w:gridSpan w:val="2"/>
            <w:tcBorders>
              <w:bottom w:val="nil"/>
            </w:tcBorders>
            <w:shd w:val="clear" w:color="auto" w:fill="auto"/>
            <w:vAlign w:val="bottom"/>
          </w:tcPr>
          <w:p w14:paraId="63883DA4" w14:textId="77777777" w:rsidR="00D04BEE" w:rsidRPr="00E9713A" w:rsidRDefault="00D04BEE" w:rsidP="00445190">
            <w:pPr>
              <w:pStyle w:val="TableText"/>
              <w:jc w:val="center"/>
              <w:rPr>
                <w:highlight w:val="black"/>
              </w:rPr>
            </w:pPr>
            <w:r>
              <w:rPr>
                <w:noProof/>
                <w:color w:val="000000"/>
                <w:highlight w:val="black"/>
              </w:rPr>
              <w:t>'''''''''''</w:t>
            </w:r>
          </w:p>
        </w:tc>
        <w:tc>
          <w:tcPr>
            <w:tcW w:w="649" w:type="pct"/>
            <w:gridSpan w:val="2"/>
            <w:tcBorders>
              <w:bottom w:val="nil"/>
            </w:tcBorders>
            <w:vAlign w:val="bottom"/>
          </w:tcPr>
          <w:p w14:paraId="7CB19CB5" w14:textId="77777777" w:rsidR="00D04BEE" w:rsidRPr="00E9713A" w:rsidRDefault="00D04BEE" w:rsidP="00445190">
            <w:pPr>
              <w:pStyle w:val="TableText"/>
              <w:jc w:val="center"/>
              <w:rPr>
                <w:highlight w:val="black"/>
              </w:rPr>
            </w:pPr>
            <w:r>
              <w:rPr>
                <w:noProof/>
                <w:color w:val="000000"/>
                <w:highlight w:val="black"/>
              </w:rPr>
              <w:t>'''''''''''''</w:t>
            </w:r>
          </w:p>
        </w:tc>
      </w:tr>
      <w:tr w:rsidR="00D04BEE" w:rsidRPr="00C41F2B" w14:paraId="1669D477" w14:textId="77777777" w:rsidTr="00445190">
        <w:tc>
          <w:tcPr>
            <w:tcW w:w="5000" w:type="pct"/>
            <w:gridSpan w:val="14"/>
            <w:shd w:val="clear" w:color="auto" w:fill="auto"/>
            <w:vAlign w:val="center"/>
          </w:tcPr>
          <w:p w14:paraId="594064DA" w14:textId="77777777" w:rsidR="00D04BEE" w:rsidRPr="00C41F2B" w:rsidRDefault="00D04BEE" w:rsidP="00445190">
            <w:pPr>
              <w:pStyle w:val="In-tableHeading"/>
              <w:rPr>
                <w:lang w:val="en-AU"/>
              </w:rPr>
            </w:pPr>
            <w:r w:rsidRPr="00C41F2B">
              <w:rPr>
                <w:lang w:val="en-AU"/>
              </w:rPr>
              <w:t xml:space="preserve">Estimated financial implications of 1L olaparib treatment </w:t>
            </w:r>
          </w:p>
        </w:tc>
      </w:tr>
      <w:tr w:rsidR="00D04BEE" w:rsidRPr="00C41F2B" w14:paraId="079923DE" w14:textId="77777777" w:rsidTr="00445190">
        <w:tc>
          <w:tcPr>
            <w:tcW w:w="1116" w:type="pct"/>
            <w:gridSpan w:val="2"/>
            <w:tcBorders>
              <w:bottom w:val="nil"/>
            </w:tcBorders>
            <w:shd w:val="clear" w:color="auto" w:fill="auto"/>
            <w:vAlign w:val="center"/>
          </w:tcPr>
          <w:p w14:paraId="7508A7D4" w14:textId="77777777" w:rsidR="00D04BEE" w:rsidRPr="00C41F2B" w:rsidRDefault="00D04BEE" w:rsidP="00445190">
            <w:pPr>
              <w:pStyle w:val="TableText"/>
              <w:rPr>
                <w:szCs w:val="20"/>
              </w:rPr>
            </w:pPr>
            <w:r w:rsidRPr="00C41F2B">
              <w:rPr>
                <w:szCs w:val="20"/>
              </w:rPr>
              <w:t>PBAC revised cost to PBS/RPBS less copayments (A)</w:t>
            </w:r>
          </w:p>
        </w:tc>
        <w:tc>
          <w:tcPr>
            <w:tcW w:w="647" w:type="pct"/>
            <w:gridSpan w:val="2"/>
            <w:tcBorders>
              <w:bottom w:val="nil"/>
            </w:tcBorders>
            <w:shd w:val="clear" w:color="auto" w:fill="auto"/>
            <w:vAlign w:val="center"/>
          </w:tcPr>
          <w:p w14:paraId="681B5E9C"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7D096467"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6C5DCC89"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657C8D31"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76418084" w14:textId="77777777" w:rsidR="00D04BEE" w:rsidRPr="00C41F2B" w:rsidRDefault="00D04BEE" w:rsidP="00445190">
            <w:pPr>
              <w:pStyle w:val="TableText"/>
              <w:jc w:val="center"/>
            </w:pPr>
            <w:r w:rsidRPr="00C41F2B">
              <w:t>$</w:t>
            </w:r>
            <w:r>
              <w:rPr>
                <w:noProof/>
                <w:color w:val="000000"/>
                <w:highlight w:val="black"/>
              </w:rPr>
              <w:t>'''''''''''''''''''''''''''</w:t>
            </w:r>
          </w:p>
        </w:tc>
        <w:tc>
          <w:tcPr>
            <w:tcW w:w="649" w:type="pct"/>
            <w:gridSpan w:val="2"/>
            <w:tcBorders>
              <w:bottom w:val="nil"/>
            </w:tcBorders>
            <w:vAlign w:val="center"/>
          </w:tcPr>
          <w:p w14:paraId="49EC417D" w14:textId="77777777" w:rsidR="00D04BEE" w:rsidRPr="00C41F2B" w:rsidRDefault="00D04BEE" w:rsidP="00445190">
            <w:pPr>
              <w:pStyle w:val="TableText"/>
              <w:jc w:val="center"/>
            </w:pPr>
            <w:r w:rsidRPr="00C41F2B">
              <w:t>$</w:t>
            </w:r>
            <w:r>
              <w:rPr>
                <w:noProof/>
                <w:color w:val="000000"/>
                <w:highlight w:val="black"/>
              </w:rPr>
              <w:t>''''''''''''''''''''''''''''</w:t>
            </w:r>
          </w:p>
        </w:tc>
      </w:tr>
      <w:tr w:rsidR="00D04BEE" w:rsidRPr="00C41F2B" w14:paraId="7026D61D" w14:textId="77777777" w:rsidTr="00445190">
        <w:tc>
          <w:tcPr>
            <w:tcW w:w="5000" w:type="pct"/>
            <w:gridSpan w:val="14"/>
            <w:shd w:val="clear" w:color="auto" w:fill="auto"/>
            <w:vAlign w:val="center"/>
          </w:tcPr>
          <w:p w14:paraId="1901ABC1" w14:textId="77777777" w:rsidR="00D04BEE" w:rsidRPr="00C41F2B" w:rsidRDefault="00D04BEE" w:rsidP="00445190">
            <w:pPr>
              <w:pStyle w:val="TableText"/>
              <w:rPr>
                <w:b/>
                <w:bCs w:val="0"/>
                <w:szCs w:val="20"/>
              </w:rPr>
            </w:pPr>
            <w:r w:rsidRPr="00C41F2B">
              <w:rPr>
                <w:b/>
                <w:bCs w:val="0"/>
                <w:szCs w:val="20"/>
              </w:rPr>
              <w:t xml:space="preserve">Estimated financial implications for offset 2L olaparib </w:t>
            </w:r>
          </w:p>
        </w:tc>
      </w:tr>
      <w:tr w:rsidR="00D04BEE" w:rsidRPr="00C41F2B" w14:paraId="5319E257" w14:textId="77777777" w:rsidTr="00445190">
        <w:tc>
          <w:tcPr>
            <w:tcW w:w="1116" w:type="pct"/>
            <w:gridSpan w:val="2"/>
            <w:tcBorders>
              <w:bottom w:val="nil"/>
            </w:tcBorders>
            <w:shd w:val="clear" w:color="auto" w:fill="auto"/>
            <w:vAlign w:val="center"/>
          </w:tcPr>
          <w:p w14:paraId="1CF10FEC" w14:textId="77777777" w:rsidR="00D04BEE" w:rsidRPr="00C41F2B" w:rsidRDefault="00D04BEE" w:rsidP="00445190">
            <w:pPr>
              <w:pStyle w:val="TableText"/>
              <w:rPr>
                <w:rFonts w:ascii="Arial" w:eastAsia="Times New Roman" w:hAnsi="Arial" w:cs="Arial"/>
                <w:bCs w:val="0"/>
                <w:color w:val="000000"/>
                <w:szCs w:val="20"/>
              </w:rPr>
            </w:pPr>
            <w:r w:rsidRPr="00C41F2B">
              <w:rPr>
                <w:szCs w:val="20"/>
              </w:rPr>
              <w:t>PBAC revised cost to PBS/RPBS less copayments</w:t>
            </w:r>
            <w:r w:rsidRPr="00C41F2B">
              <w:rPr>
                <w:szCs w:val="20"/>
                <w:vertAlign w:val="superscript"/>
              </w:rPr>
              <w:t xml:space="preserve">c,d </w:t>
            </w:r>
            <w:r w:rsidRPr="00C41F2B">
              <w:rPr>
                <w:szCs w:val="20"/>
              </w:rPr>
              <w:t>(B)</w:t>
            </w:r>
          </w:p>
        </w:tc>
        <w:tc>
          <w:tcPr>
            <w:tcW w:w="647" w:type="pct"/>
            <w:gridSpan w:val="2"/>
            <w:tcBorders>
              <w:bottom w:val="nil"/>
            </w:tcBorders>
            <w:shd w:val="clear" w:color="auto" w:fill="auto"/>
            <w:vAlign w:val="center"/>
          </w:tcPr>
          <w:p w14:paraId="66FC8E19"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01E44C39"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2E4CD2D7"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54415B6C"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top w:val="nil"/>
              <w:bottom w:val="nil"/>
            </w:tcBorders>
            <w:shd w:val="clear" w:color="auto" w:fill="auto"/>
            <w:vAlign w:val="center"/>
          </w:tcPr>
          <w:p w14:paraId="6A5D1C7E" w14:textId="77777777" w:rsidR="00D04BEE" w:rsidRPr="00C41F2B" w:rsidRDefault="00D04BEE" w:rsidP="00445190">
            <w:pPr>
              <w:pStyle w:val="TableText"/>
              <w:jc w:val="center"/>
            </w:pPr>
            <w:r w:rsidRPr="00C41F2B">
              <w:t>$</w:t>
            </w:r>
            <w:r>
              <w:rPr>
                <w:noProof/>
                <w:color w:val="000000"/>
                <w:highlight w:val="black"/>
              </w:rPr>
              <w:t>''''''''''''''''''''''</w:t>
            </w:r>
          </w:p>
        </w:tc>
        <w:tc>
          <w:tcPr>
            <w:tcW w:w="649" w:type="pct"/>
            <w:gridSpan w:val="2"/>
            <w:tcBorders>
              <w:bottom w:val="nil"/>
            </w:tcBorders>
            <w:vAlign w:val="center"/>
          </w:tcPr>
          <w:p w14:paraId="111AFAF2" w14:textId="77777777" w:rsidR="00D04BEE" w:rsidRPr="00C41F2B" w:rsidRDefault="00D04BEE" w:rsidP="00445190">
            <w:pPr>
              <w:pStyle w:val="TableText"/>
              <w:jc w:val="center"/>
            </w:pPr>
            <w:r w:rsidRPr="00C41F2B">
              <w:t>$</w:t>
            </w:r>
            <w:r>
              <w:rPr>
                <w:noProof/>
                <w:color w:val="000000"/>
                <w:highlight w:val="black"/>
              </w:rPr>
              <w:t>'''''''''''''''''''''''''</w:t>
            </w:r>
          </w:p>
        </w:tc>
      </w:tr>
      <w:tr w:rsidR="00D04BEE" w:rsidRPr="00C41F2B" w14:paraId="45F63DFB" w14:textId="77777777" w:rsidTr="00445190">
        <w:tc>
          <w:tcPr>
            <w:tcW w:w="5000" w:type="pct"/>
            <w:gridSpan w:val="14"/>
            <w:shd w:val="clear" w:color="auto" w:fill="auto"/>
            <w:vAlign w:val="center"/>
          </w:tcPr>
          <w:p w14:paraId="230D07F0" w14:textId="77777777" w:rsidR="00D04BEE" w:rsidRPr="00C41F2B" w:rsidRDefault="00D04BEE" w:rsidP="00445190">
            <w:pPr>
              <w:pStyle w:val="In-tableHeading"/>
              <w:rPr>
                <w:lang w:val="en-AU"/>
              </w:rPr>
            </w:pPr>
            <w:r w:rsidRPr="00C41F2B">
              <w:rPr>
                <w:lang w:val="en-AU"/>
              </w:rPr>
              <w:t xml:space="preserve">Net financial implications </w:t>
            </w:r>
          </w:p>
        </w:tc>
      </w:tr>
      <w:tr w:rsidR="00D04BEE" w:rsidRPr="00C41F2B" w14:paraId="798B97E5" w14:textId="77777777" w:rsidTr="00445190">
        <w:tc>
          <w:tcPr>
            <w:tcW w:w="1116" w:type="pct"/>
            <w:gridSpan w:val="2"/>
            <w:tcBorders>
              <w:bottom w:val="nil"/>
            </w:tcBorders>
            <w:shd w:val="clear" w:color="auto" w:fill="auto"/>
            <w:vAlign w:val="center"/>
          </w:tcPr>
          <w:p w14:paraId="12B49E14" w14:textId="77777777" w:rsidR="00D04BEE" w:rsidRPr="00C41F2B" w:rsidRDefault="00D04BEE" w:rsidP="00445190">
            <w:pPr>
              <w:pStyle w:val="TableText"/>
              <w:rPr>
                <w:szCs w:val="20"/>
              </w:rPr>
            </w:pPr>
            <w:r w:rsidRPr="00C41F2B">
              <w:rPr>
                <w:szCs w:val="20"/>
              </w:rPr>
              <w:t xml:space="preserve">Net cost to PBS/RPBS </w:t>
            </w:r>
          </w:p>
        </w:tc>
        <w:tc>
          <w:tcPr>
            <w:tcW w:w="647" w:type="pct"/>
            <w:gridSpan w:val="2"/>
            <w:tcBorders>
              <w:bottom w:val="nil"/>
            </w:tcBorders>
            <w:shd w:val="clear" w:color="auto" w:fill="auto"/>
            <w:vAlign w:val="center"/>
          </w:tcPr>
          <w:p w14:paraId="36211B37"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2F1DDE6E"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27EAE672"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79977E00"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center"/>
          </w:tcPr>
          <w:p w14:paraId="43C9B6FE" w14:textId="77777777" w:rsidR="00D04BEE" w:rsidRPr="00C41F2B" w:rsidRDefault="00D04BEE" w:rsidP="00445190">
            <w:pPr>
              <w:pStyle w:val="TableText"/>
              <w:jc w:val="center"/>
            </w:pPr>
            <w:r w:rsidRPr="00C41F2B">
              <w:t>$</w:t>
            </w:r>
            <w:r>
              <w:rPr>
                <w:noProof/>
                <w:color w:val="000000"/>
                <w:highlight w:val="black"/>
              </w:rPr>
              <w:t>''''''''''''''''''''''''''''</w:t>
            </w:r>
          </w:p>
        </w:tc>
        <w:tc>
          <w:tcPr>
            <w:tcW w:w="649" w:type="pct"/>
            <w:gridSpan w:val="2"/>
            <w:tcBorders>
              <w:bottom w:val="nil"/>
            </w:tcBorders>
            <w:vAlign w:val="center"/>
          </w:tcPr>
          <w:p w14:paraId="2C7E04D1" w14:textId="77777777" w:rsidR="00D04BEE" w:rsidRPr="00C41F2B" w:rsidRDefault="00D04BEE" w:rsidP="00445190">
            <w:pPr>
              <w:pStyle w:val="TableText"/>
              <w:jc w:val="center"/>
            </w:pPr>
            <w:r w:rsidRPr="00C41F2B">
              <w:t>$</w:t>
            </w:r>
            <w:r>
              <w:rPr>
                <w:noProof/>
                <w:color w:val="000000"/>
                <w:highlight w:val="black"/>
              </w:rPr>
              <w:t>''''''''''''''''''''''''''''</w:t>
            </w:r>
          </w:p>
        </w:tc>
      </w:tr>
      <w:tr w:rsidR="00D04BEE" w:rsidRPr="00C41F2B" w14:paraId="2872CADF" w14:textId="77777777" w:rsidTr="00445190">
        <w:tc>
          <w:tcPr>
            <w:tcW w:w="1116" w:type="pct"/>
            <w:gridSpan w:val="2"/>
            <w:shd w:val="clear" w:color="auto" w:fill="auto"/>
            <w:vAlign w:val="center"/>
          </w:tcPr>
          <w:p w14:paraId="7B4F2173" w14:textId="77777777" w:rsidR="00D04BEE" w:rsidRPr="00C41F2B" w:rsidRDefault="00D04BEE" w:rsidP="00445190">
            <w:pPr>
              <w:pStyle w:val="TableText"/>
              <w:rPr>
                <w:rFonts w:ascii="Times" w:hAnsi="Times"/>
                <w:szCs w:val="20"/>
              </w:rPr>
            </w:pPr>
            <w:r w:rsidRPr="00C41F2B">
              <w:rPr>
                <w:szCs w:val="20"/>
              </w:rPr>
              <w:t>Net cost to MBS</w:t>
            </w:r>
          </w:p>
        </w:tc>
        <w:tc>
          <w:tcPr>
            <w:tcW w:w="647" w:type="pct"/>
            <w:gridSpan w:val="2"/>
            <w:shd w:val="clear" w:color="auto" w:fill="auto"/>
            <w:vAlign w:val="bottom"/>
          </w:tcPr>
          <w:p w14:paraId="25C34352"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shd w:val="clear" w:color="auto" w:fill="auto"/>
            <w:vAlign w:val="bottom"/>
          </w:tcPr>
          <w:p w14:paraId="4EFA7515"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shd w:val="clear" w:color="auto" w:fill="auto"/>
            <w:vAlign w:val="bottom"/>
          </w:tcPr>
          <w:p w14:paraId="796A8DBA"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shd w:val="clear" w:color="auto" w:fill="auto"/>
            <w:vAlign w:val="bottom"/>
          </w:tcPr>
          <w:p w14:paraId="07CC1661"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shd w:val="clear" w:color="auto" w:fill="auto"/>
            <w:vAlign w:val="bottom"/>
          </w:tcPr>
          <w:p w14:paraId="3B8339D1" w14:textId="77777777" w:rsidR="00D04BEE" w:rsidRPr="00C41F2B" w:rsidRDefault="00D04BEE" w:rsidP="00445190">
            <w:pPr>
              <w:pStyle w:val="TableText"/>
              <w:jc w:val="center"/>
            </w:pPr>
            <w:r w:rsidRPr="00C41F2B">
              <w:t>$</w:t>
            </w:r>
            <w:r>
              <w:rPr>
                <w:noProof/>
                <w:color w:val="000000"/>
                <w:highlight w:val="black"/>
              </w:rPr>
              <w:t>''''''''''''''''''</w:t>
            </w:r>
          </w:p>
        </w:tc>
        <w:tc>
          <w:tcPr>
            <w:tcW w:w="649" w:type="pct"/>
            <w:gridSpan w:val="2"/>
            <w:vAlign w:val="bottom"/>
          </w:tcPr>
          <w:p w14:paraId="344DD1B5" w14:textId="77777777" w:rsidR="00D04BEE" w:rsidRPr="00C41F2B" w:rsidRDefault="00D04BEE" w:rsidP="00445190">
            <w:pPr>
              <w:pStyle w:val="TableText"/>
              <w:jc w:val="center"/>
            </w:pPr>
            <w:r w:rsidRPr="00C41F2B">
              <w:t>$</w:t>
            </w:r>
            <w:r>
              <w:rPr>
                <w:noProof/>
                <w:color w:val="000000"/>
                <w:highlight w:val="black"/>
              </w:rPr>
              <w:t>''''''''''''''''''''</w:t>
            </w:r>
          </w:p>
        </w:tc>
      </w:tr>
      <w:tr w:rsidR="00D04BEE" w:rsidRPr="00C41F2B" w14:paraId="2D71E8D3" w14:textId="77777777" w:rsidTr="00445190">
        <w:tc>
          <w:tcPr>
            <w:tcW w:w="1116" w:type="pct"/>
            <w:gridSpan w:val="2"/>
            <w:tcBorders>
              <w:bottom w:val="nil"/>
            </w:tcBorders>
            <w:shd w:val="clear" w:color="auto" w:fill="auto"/>
            <w:vAlign w:val="center"/>
          </w:tcPr>
          <w:p w14:paraId="56DD96BD" w14:textId="77777777" w:rsidR="00D04BEE" w:rsidRPr="00C41F2B" w:rsidRDefault="00D04BEE" w:rsidP="00445190">
            <w:pPr>
              <w:pStyle w:val="TableText"/>
              <w:rPr>
                <w:szCs w:val="20"/>
              </w:rPr>
            </w:pPr>
            <w:r w:rsidRPr="00C41F2B">
              <w:rPr>
                <w:szCs w:val="20"/>
              </w:rPr>
              <w:t xml:space="preserve">Net cost to PBS/RPBS/MBS </w:t>
            </w:r>
          </w:p>
        </w:tc>
        <w:tc>
          <w:tcPr>
            <w:tcW w:w="647" w:type="pct"/>
            <w:gridSpan w:val="2"/>
            <w:tcBorders>
              <w:bottom w:val="nil"/>
            </w:tcBorders>
            <w:shd w:val="clear" w:color="auto" w:fill="auto"/>
            <w:vAlign w:val="bottom"/>
          </w:tcPr>
          <w:p w14:paraId="0DECC6AD"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bottom"/>
          </w:tcPr>
          <w:p w14:paraId="4F8E918B"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bottom"/>
          </w:tcPr>
          <w:p w14:paraId="2B727244"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bottom"/>
          </w:tcPr>
          <w:p w14:paraId="60965C57"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tcBorders>
              <w:bottom w:val="nil"/>
            </w:tcBorders>
            <w:shd w:val="clear" w:color="auto" w:fill="auto"/>
            <w:vAlign w:val="bottom"/>
          </w:tcPr>
          <w:p w14:paraId="036153F2" w14:textId="77777777" w:rsidR="00D04BEE" w:rsidRPr="00C41F2B" w:rsidRDefault="00D04BEE" w:rsidP="00445190">
            <w:pPr>
              <w:pStyle w:val="TableText"/>
              <w:jc w:val="center"/>
            </w:pPr>
            <w:r w:rsidRPr="00C41F2B">
              <w:t>$</w:t>
            </w:r>
            <w:r>
              <w:rPr>
                <w:noProof/>
                <w:color w:val="000000"/>
                <w:highlight w:val="black"/>
              </w:rPr>
              <w:t>'''''''''''''''''''''''''''</w:t>
            </w:r>
          </w:p>
        </w:tc>
        <w:tc>
          <w:tcPr>
            <w:tcW w:w="649" w:type="pct"/>
            <w:gridSpan w:val="2"/>
            <w:tcBorders>
              <w:bottom w:val="nil"/>
            </w:tcBorders>
            <w:vAlign w:val="bottom"/>
          </w:tcPr>
          <w:p w14:paraId="47DE1254" w14:textId="77777777" w:rsidR="00D04BEE" w:rsidRPr="00C41F2B" w:rsidRDefault="00D04BEE" w:rsidP="00445190">
            <w:pPr>
              <w:pStyle w:val="TableText"/>
              <w:jc w:val="center"/>
            </w:pPr>
            <w:r w:rsidRPr="00C41F2B">
              <w:t>$</w:t>
            </w:r>
            <w:r>
              <w:rPr>
                <w:noProof/>
                <w:color w:val="000000"/>
                <w:highlight w:val="black"/>
              </w:rPr>
              <w:t>''''''''''''''''''''''''''''</w:t>
            </w:r>
          </w:p>
        </w:tc>
      </w:tr>
      <w:tr w:rsidR="00D04BEE" w:rsidRPr="00C41F2B" w14:paraId="6EAF82E8" w14:textId="77777777" w:rsidTr="00445190">
        <w:tc>
          <w:tcPr>
            <w:tcW w:w="5000" w:type="pct"/>
            <w:gridSpan w:val="14"/>
            <w:shd w:val="clear" w:color="auto" w:fill="auto"/>
            <w:vAlign w:val="center"/>
          </w:tcPr>
          <w:p w14:paraId="05FDA4FF" w14:textId="77777777" w:rsidR="00D04BEE" w:rsidRPr="00C41F2B" w:rsidRDefault="00D04BEE" w:rsidP="00445190">
            <w:pPr>
              <w:pStyle w:val="In-tableHeading"/>
              <w:rPr>
                <w:lang w:val="en-AU"/>
              </w:rPr>
            </w:pPr>
            <w:r w:rsidRPr="00C41F2B">
              <w:rPr>
                <w:lang w:val="en-AU"/>
              </w:rPr>
              <w:t>Previous submission: November 2019</w:t>
            </w:r>
          </w:p>
        </w:tc>
      </w:tr>
      <w:tr w:rsidR="00D04BEE" w:rsidRPr="00C41F2B" w14:paraId="054C5FE8" w14:textId="77777777" w:rsidTr="00445190">
        <w:tc>
          <w:tcPr>
            <w:tcW w:w="1116" w:type="pct"/>
            <w:gridSpan w:val="2"/>
            <w:shd w:val="clear" w:color="auto" w:fill="auto"/>
            <w:vAlign w:val="center"/>
          </w:tcPr>
          <w:p w14:paraId="5E3DE7EE" w14:textId="77777777" w:rsidR="00D04BEE" w:rsidRPr="00C41F2B" w:rsidRDefault="00D04BEE" w:rsidP="00445190">
            <w:pPr>
              <w:pStyle w:val="TableText"/>
              <w:rPr>
                <w:szCs w:val="20"/>
              </w:rPr>
            </w:pPr>
            <w:r w:rsidRPr="00C41F2B">
              <w:rPr>
                <w:szCs w:val="20"/>
              </w:rPr>
              <w:t>Net cost to PBS/RPBS</w:t>
            </w:r>
          </w:p>
        </w:tc>
        <w:tc>
          <w:tcPr>
            <w:tcW w:w="647" w:type="pct"/>
            <w:gridSpan w:val="2"/>
            <w:shd w:val="clear" w:color="auto" w:fill="auto"/>
            <w:vAlign w:val="center"/>
          </w:tcPr>
          <w:p w14:paraId="07F773CD"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shd w:val="clear" w:color="auto" w:fill="auto"/>
            <w:vAlign w:val="center"/>
          </w:tcPr>
          <w:p w14:paraId="3B2226E3"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shd w:val="clear" w:color="auto" w:fill="auto"/>
            <w:vAlign w:val="center"/>
          </w:tcPr>
          <w:p w14:paraId="283A9AC6"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shd w:val="clear" w:color="auto" w:fill="auto"/>
            <w:vAlign w:val="center"/>
          </w:tcPr>
          <w:p w14:paraId="6B505C45" w14:textId="77777777" w:rsidR="00D04BEE" w:rsidRPr="00C41F2B" w:rsidRDefault="00D04BEE" w:rsidP="00445190">
            <w:pPr>
              <w:pStyle w:val="TableText"/>
              <w:jc w:val="center"/>
            </w:pPr>
            <w:r w:rsidRPr="00C41F2B">
              <w:t>$</w:t>
            </w:r>
            <w:r>
              <w:rPr>
                <w:noProof/>
                <w:color w:val="000000"/>
                <w:highlight w:val="black"/>
              </w:rPr>
              <w:t>'''''''''''''''''''''''''''</w:t>
            </w:r>
          </w:p>
        </w:tc>
        <w:tc>
          <w:tcPr>
            <w:tcW w:w="647" w:type="pct"/>
            <w:gridSpan w:val="2"/>
            <w:shd w:val="clear" w:color="auto" w:fill="auto"/>
            <w:vAlign w:val="center"/>
          </w:tcPr>
          <w:p w14:paraId="04F0A1B4" w14:textId="77777777" w:rsidR="00D04BEE" w:rsidRPr="00C41F2B" w:rsidRDefault="00D04BEE" w:rsidP="00445190">
            <w:pPr>
              <w:pStyle w:val="TableText"/>
              <w:jc w:val="center"/>
            </w:pPr>
            <w:r w:rsidRPr="00C41F2B">
              <w:t>$</w:t>
            </w:r>
            <w:r>
              <w:rPr>
                <w:noProof/>
                <w:color w:val="000000"/>
                <w:highlight w:val="black"/>
              </w:rPr>
              <w:t>''''''''''''''''''''''''''''</w:t>
            </w:r>
          </w:p>
        </w:tc>
        <w:tc>
          <w:tcPr>
            <w:tcW w:w="649" w:type="pct"/>
            <w:gridSpan w:val="2"/>
            <w:shd w:val="clear" w:color="auto" w:fill="auto"/>
            <w:vAlign w:val="center"/>
          </w:tcPr>
          <w:p w14:paraId="1E7839C1" w14:textId="77777777" w:rsidR="00D04BEE" w:rsidRPr="00C41F2B" w:rsidRDefault="00D04BEE" w:rsidP="00445190">
            <w:pPr>
              <w:pStyle w:val="TableText"/>
              <w:jc w:val="center"/>
            </w:pPr>
            <w:r w:rsidRPr="00C41F2B">
              <w:t>$</w:t>
            </w:r>
            <w:r>
              <w:rPr>
                <w:noProof/>
                <w:color w:val="000000"/>
                <w:highlight w:val="black"/>
              </w:rPr>
              <w:t>'''''''''''''''''''''''''''</w:t>
            </w:r>
          </w:p>
        </w:tc>
      </w:tr>
    </w:tbl>
    <w:p w14:paraId="5E0802FF" w14:textId="77777777" w:rsidR="00D04BEE" w:rsidRPr="00F37E28" w:rsidRDefault="00D04BEE" w:rsidP="00D04BEE">
      <w:pPr>
        <w:spacing w:after="120"/>
        <w:contextualSpacing/>
        <w:jc w:val="both"/>
        <w:rPr>
          <w:rFonts w:ascii="Arial Narrow" w:eastAsia="MS Gothic" w:hAnsi="Arial Narrow" w:cs="Times New Roman"/>
          <w:b/>
          <w:bCs/>
          <w:snapToGrid w:val="0"/>
          <w:sz w:val="18"/>
          <w:lang w:eastAsia="en-GB"/>
        </w:rPr>
      </w:pPr>
      <w:r w:rsidRPr="00F37E28">
        <w:rPr>
          <w:rFonts w:ascii="Arial Narrow" w:eastAsia="Times New Roman" w:hAnsi="Arial Narrow" w:cs="Times New Roman"/>
          <w:snapToGrid w:val="0"/>
          <w:sz w:val="18"/>
          <w:szCs w:val="22"/>
          <w:lang w:eastAsia="en-GB"/>
        </w:rPr>
        <w:t xml:space="preserve">Source:  </w:t>
      </w:r>
      <w:r w:rsidRPr="00B378AB">
        <w:rPr>
          <w:highlight w:val="black"/>
        </w:rPr>
        <w:t>xxx</w:t>
      </w:r>
      <w:r>
        <w:rPr>
          <w:highlight w:val="black"/>
        </w:rPr>
        <w:t>x</w:t>
      </w:r>
      <w:r w:rsidRPr="00B378AB">
        <w:rPr>
          <w:highlight w:val="black"/>
        </w:rPr>
        <w:t>xx xxx</w:t>
      </w:r>
      <w:r>
        <w:rPr>
          <w:highlight w:val="black"/>
        </w:rPr>
        <w:t>x</w:t>
      </w:r>
      <w:r w:rsidRPr="00B378AB">
        <w:rPr>
          <w:highlight w:val="black"/>
        </w:rPr>
        <w:t>xx</w:t>
      </w:r>
      <w:r w:rsidRPr="00D32D68">
        <w:rPr>
          <w:highlight w:val="black"/>
        </w:rPr>
        <w:t xml:space="preserve"> </w:t>
      </w:r>
      <w:r w:rsidRPr="00B378AB">
        <w:rPr>
          <w:highlight w:val="black"/>
        </w:rPr>
        <w:t>xxx</w:t>
      </w:r>
      <w:r>
        <w:rPr>
          <w:highlight w:val="black"/>
        </w:rPr>
        <w:t>x</w:t>
      </w:r>
      <w:r w:rsidRPr="00B378AB">
        <w:rPr>
          <w:highlight w:val="black"/>
        </w:rPr>
        <w:t>xx xxx</w:t>
      </w:r>
      <w:r>
        <w:rPr>
          <w:highlight w:val="black"/>
        </w:rPr>
        <w:t>x</w:t>
      </w:r>
      <w:r w:rsidRPr="00B378AB">
        <w:rPr>
          <w:highlight w:val="black"/>
        </w:rPr>
        <w:t>xx</w:t>
      </w:r>
      <w:r w:rsidRPr="00D32D68">
        <w:rPr>
          <w:highlight w:val="black"/>
        </w:rPr>
        <w:t xml:space="preserve"> </w:t>
      </w:r>
      <w:r w:rsidRPr="00B378AB">
        <w:rPr>
          <w:highlight w:val="black"/>
        </w:rPr>
        <w:t>xxx</w:t>
      </w:r>
      <w:r>
        <w:rPr>
          <w:highlight w:val="black"/>
        </w:rPr>
        <w:t>x</w:t>
      </w:r>
      <w:r w:rsidRPr="00B378AB">
        <w:rPr>
          <w:highlight w:val="black"/>
        </w:rPr>
        <w:t>xx xxx</w:t>
      </w:r>
      <w:r>
        <w:rPr>
          <w:highlight w:val="black"/>
        </w:rPr>
        <w:t>x</w:t>
      </w:r>
      <w:r w:rsidRPr="00B378AB">
        <w:rPr>
          <w:highlight w:val="black"/>
        </w:rPr>
        <w:t>xx</w:t>
      </w:r>
      <w:r w:rsidRPr="00D32D68">
        <w:rPr>
          <w:highlight w:val="black"/>
        </w:rPr>
        <w:t xml:space="preserve"> </w:t>
      </w:r>
      <w:r w:rsidRPr="00B378AB">
        <w:rPr>
          <w:highlight w:val="black"/>
        </w:rPr>
        <w:t>xxx</w:t>
      </w:r>
      <w:r>
        <w:rPr>
          <w:highlight w:val="black"/>
        </w:rPr>
        <w:t>x</w:t>
      </w:r>
      <w:r w:rsidRPr="00B378AB">
        <w:rPr>
          <w:highlight w:val="black"/>
        </w:rPr>
        <w:t>xx xxx</w:t>
      </w:r>
      <w:r>
        <w:rPr>
          <w:highlight w:val="black"/>
        </w:rPr>
        <w:t>x</w:t>
      </w:r>
      <w:r w:rsidRPr="00B378AB">
        <w:rPr>
          <w:highlight w:val="black"/>
        </w:rPr>
        <w:t>xx</w:t>
      </w:r>
      <w:r w:rsidRPr="00D32D68">
        <w:rPr>
          <w:highlight w:val="black"/>
        </w:rPr>
        <w:t xml:space="preserve"> </w:t>
      </w:r>
      <w:r w:rsidRPr="00B378AB">
        <w:rPr>
          <w:highlight w:val="black"/>
        </w:rPr>
        <w:t>xxx</w:t>
      </w:r>
      <w:r>
        <w:rPr>
          <w:highlight w:val="black"/>
        </w:rPr>
        <w:t>x</w:t>
      </w:r>
      <w:r w:rsidRPr="00B378AB">
        <w:rPr>
          <w:highlight w:val="black"/>
        </w:rPr>
        <w:t>xx xxx</w:t>
      </w:r>
      <w:r>
        <w:rPr>
          <w:highlight w:val="black"/>
        </w:rPr>
        <w:t>x</w:t>
      </w:r>
      <w:r w:rsidRPr="00B378AB">
        <w:rPr>
          <w:highlight w:val="black"/>
        </w:rPr>
        <w:t>xx</w:t>
      </w:r>
      <w:r w:rsidRPr="00D32D68">
        <w:rPr>
          <w:highlight w:val="black"/>
        </w:rPr>
        <w:t xml:space="preserve"> </w:t>
      </w:r>
      <w:r w:rsidRPr="00B378AB">
        <w:rPr>
          <w:highlight w:val="black"/>
        </w:rPr>
        <w:t>xxx</w:t>
      </w:r>
      <w:r>
        <w:rPr>
          <w:highlight w:val="black"/>
        </w:rPr>
        <w:t>x</w:t>
      </w:r>
      <w:r w:rsidRPr="00B378AB">
        <w:rPr>
          <w:highlight w:val="black"/>
        </w:rPr>
        <w:t>xx x</w:t>
      </w:r>
      <w:r w:rsidRPr="00F37E28">
        <w:rPr>
          <w:rFonts w:ascii="Arial Narrow" w:eastAsia="Times New Roman" w:hAnsi="Arial Narrow" w:cs="Times New Roman"/>
          <w:snapToGrid w:val="0"/>
          <w:sz w:val="18"/>
          <w:szCs w:val="22"/>
          <w:lang w:eastAsia="en-GB"/>
        </w:rPr>
        <w:t xml:space="preserve">.Previous submission values from Table PBAC.15 6.05 olaparib PSD, November 2019 PBAC Meeting </w:t>
      </w:r>
    </w:p>
    <w:p w14:paraId="7467E7EB" w14:textId="77777777" w:rsidR="00D04BEE" w:rsidRPr="00F37E28" w:rsidRDefault="00D04BEE" w:rsidP="00D04BEE">
      <w:pPr>
        <w:spacing w:after="120"/>
        <w:contextualSpacing/>
        <w:jc w:val="both"/>
        <w:rPr>
          <w:rFonts w:ascii="Arial Narrow" w:eastAsia="Times New Roman" w:hAnsi="Arial Narrow" w:cs="Times New Roman"/>
          <w:snapToGrid w:val="0"/>
          <w:sz w:val="18"/>
          <w:szCs w:val="22"/>
          <w:lang w:eastAsia="en-GB"/>
        </w:rPr>
      </w:pPr>
      <w:r w:rsidRPr="00F37E28">
        <w:rPr>
          <w:rFonts w:ascii="Arial Narrow" w:eastAsia="Times New Roman" w:hAnsi="Arial Narrow" w:cs="Times New Roman"/>
          <w:snapToGrid w:val="0"/>
          <w:sz w:val="18"/>
          <w:szCs w:val="22"/>
          <w:vertAlign w:val="superscript"/>
          <w:lang w:eastAsia="en-GB"/>
        </w:rPr>
        <w:t>a</w:t>
      </w:r>
      <w:r w:rsidRPr="00F37E28">
        <w:rPr>
          <w:rFonts w:ascii="Arial Narrow" w:eastAsia="Times New Roman" w:hAnsi="Arial Narrow" w:cs="Times New Roman"/>
          <w:snapToGrid w:val="0"/>
          <w:sz w:val="18"/>
          <w:szCs w:val="22"/>
          <w:lang w:eastAsia="en-GB"/>
        </w:rPr>
        <w:t xml:space="preserve"> Figure also includes </w:t>
      </w:r>
      <w:r>
        <w:rPr>
          <w:noProof/>
          <w:color w:val="000000"/>
          <w:highlight w:val="black"/>
        </w:rPr>
        <w:t>''''''''''</w:t>
      </w:r>
      <w:r>
        <w:rPr>
          <w:noProof/>
          <w:color w:val="000000"/>
        </w:rPr>
        <w:t xml:space="preserve"> </w:t>
      </w:r>
      <w:r w:rsidRPr="00F37E28">
        <w:rPr>
          <w:rFonts w:ascii="Arial Narrow" w:eastAsia="Times New Roman" w:hAnsi="Arial Narrow" w:cs="Times New Roman"/>
          <w:snapToGrid w:val="0"/>
          <w:sz w:val="18"/>
          <w:szCs w:val="22"/>
          <w:lang w:eastAsia="en-GB"/>
        </w:rPr>
        <w:t xml:space="preserve">grandfathered patients. </w:t>
      </w:r>
    </w:p>
    <w:p w14:paraId="5139292B" w14:textId="77777777" w:rsidR="00D04BEE" w:rsidRPr="00F37E28" w:rsidRDefault="00D04BEE" w:rsidP="00D04BEE">
      <w:pPr>
        <w:spacing w:after="120"/>
        <w:contextualSpacing/>
        <w:jc w:val="both"/>
        <w:rPr>
          <w:rFonts w:ascii="Arial Narrow" w:eastAsia="Times New Roman" w:hAnsi="Arial Narrow" w:cs="Times New Roman"/>
          <w:snapToGrid w:val="0"/>
          <w:sz w:val="18"/>
          <w:szCs w:val="22"/>
          <w:lang w:eastAsia="en-GB"/>
        </w:rPr>
      </w:pPr>
      <w:r w:rsidRPr="00F37E28">
        <w:rPr>
          <w:rFonts w:ascii="Arial Narrow" w:eastAsia="Times New Roman" w:hAnsi="Arial Narrow" w:cs="Times New Roman"/>
          <w:snapToGrid w:val="0"/>
          <w:sz w:val="18"/>
          <w:szCs w:val="22"/>
          <w:vertAlign w:val="superscript"/>
          <w:lang w:eastAsia="en-GB"/>
        </w:rPr>
        <w:t>b</w:t>
      </w:r>
      <w:r w:rsidRPr="00F37E28">
        <w:rPr>
          <w:rFonts w:ascii="Arial Narrow" w:eastAsia="Times New Roman" w:hAnsi="Arial Narrow" w:cs="Times New Roman"/>
          <w:snapToGrid w:val="0"/>
          <w:sz w:val="18"/>
          <w:szCs w:val="22"/>
          <w:lang w:eastAsia="en-GB"/>
        </w:rPr>
        <w:t xml:space="preserve"> Number of scripts based on TTD curve from SOLO1, which allowed treatment beyond 24 months which was permitted according to the protocol for patients with residual disease who may continue to receive benefit according to investigator’s discretion. The resubmission appeared to make an error in converting the number of packs required (28 day supply) to the average number of months treatment in a calendar year (365.25/12= 30.4 days per month), this error has been corrected. The resubmission estimated that the average duration of </w:t>
      </w:r>
      <w:r w:rsidRPr="00F37E28">
        <w:rPr>
          <w:rFonts w:ascii="Arial Narrow" w:eastAsia="Times New Roman" w:hAnsi="Arial Narrow" w:cs="Times New Roman"/>
          <w:snapToGrid w:val="0"/>
          <w:sz w:val="18"/>
          <w:szCs w:val="22"/>
          <w:lang w:eastAsia="en-GB"/>
        </w:rPr>
        <w:lastRenderedPageBreak/>
        <w:t>therapy was 20.65 months, which would require 22.1 scripts. However, 22.44 scripts would actually be required for a treatment duration of 20.65 months. This included approximately 10% of patients who received treatment beyond 24 months. 1L script numbers reduced to account for treatment interruptions.</w:t>
      </w:r>
    </w:p>
    <w:p w14:paraId="18ED27C5" w14:textId="77777777" w:rsidR="00D04BEE" w:rsidRPr="00F37E28" w:rsidRDefault="00D04BEE" w:rsidP="00D04BEE">
      <w:pPr>
        <w:spacing w:after="120"/>
        <w:contextualSpacing/>
        <w:jc w:val="both"/>
        <w:rPr>
          <w:rFonts w:ascii="Arial Narrow" w:eastAsia="Times New Roman" w:hAnsi="Arial Narrow" w:cs="Times New Roman"/>
          <w:iCs/>
          <w:snapToGrid w:val="0"/>
          <w:sz w:val="18"/>
          <w:szCs w:val="22"/>
          <w:lang w:eastAsia="en-GB"/>
        </w:rPr>
      </w:pPr>
      <w:r w:rsidRPr="00F37E28">
        <w:rPr>
          <w:rFonts w:ascii="Arial Narrow" w:eastAsia="Times New Roman" w:hAnsi="Arial Narrow" w:cs="Times New Roman"/>
          <w:iCs/>
          <w:snapToGrid w:val="0"/>
          <w:sz w:val="18"/>
          <w:szCs w:val="22"/>
          <w:vertAlign w:val="superscript"/>
          <w:lang w:eastAsia="en-GB"/>
        </w:rPr>
        <w:t>c</w:t>
      </w:r>
      <w:r w:rsidRPr="00F37E28">
        <w:rPr>
          <w:rFonts w:ascii="Arial Narrow" w:eastAsia="Times New Roman" w:hAnsi="Arial Narrow" w:cs="Times New Roman"/>
          <w:iCs/>
          <w:snapToGrid w:val="0"/>
          <w:sz w:val="18"/>
          <w:szCs w:val="22"/>
          <w:lang w:eastAsia="en-GB"/>
        </w:rPr>
        <w:t xml:space="preserve"> The resubmission only accounted for 82 germline GF patients. Revised to include 120 GF patients.</w:t>
      </w:r>
    </w:p>
    <w:p w14:paraId="5D1B7F8A" w14:textId="77777777" w:rsidR="00D04BEE" w:rsidRPr="00F37E28" w:rsidRDefault="00D04BEE" w:rsidP="00D04BEE">
      <w:pPr>
        <w:spacing w:after="120"/>
        <w:contextualSpacing/>
        <w:jc w:val="both"/>
        <w:rPr>
          <w:rFonts w:ascii="Arial Narrow" w:eastAsia="Times New Roman" w:hAnsi="Arial Narrow" w:cs="Times New Roman"/>
          <w:iCs/>
          <w:snapToGrid w:val="0"/>
          <w:sz w:val="18"/>
          <w:szCs w:val="22"/>
          <w:lang w:eastAsia="en-GB"/>
        </w:rPr>
      </w:pPr>
      <w:r w:rsidRPr="00F37E28">
        <w:rPr>
          <w:rFonts w:ascii="Arial Narrow" w:eastAsia="Times New Roman" w:hAnsi="Arial Narrow" w:cs="Times New Roman"/>
          <w:iCs/>
          <w:snapToGrid w:val="0"/>
          <w:sz w:val="18"/>
          <w:szCs w:val="22"/>
          <w:vertAlign w:val="superscript"/>
          <w:lang w:eastAsia="en-GB"/>
        </w:rPr>
        <w:t xml:space="preserve">d </w:t>
      </w:r>
      <w:r w:rsidRPr="00F37E28">
        <w:rPr>
          <w:rFonts w:ascii="Arial Narrow" w:eastAsia="Times New Roman" w:hAnsi="Arial Narrow" w:cs="Times New Roman"/>
          <w:iCs/>
          <w:snapToGrid w:val="0"/>
          <w:sz w:val="18"/>
          <w:szCs w:val="22"/>
          <w:lang w:eastAsia="en-GB"/>
        </w:rPr>
        <w:t xml:space="preserve">The resubmission stated that it was assumed that 12 packs were required per treatment per year. The number of scripts required per patient year is actually 13.04 scripts (365.25 days / 28 days per script). Further to this, the resubmission assumed that 3 scripts would also be required in the second year. This calculation was not explained by the resubmission and appeared incorrect. </w:t>
      </w:r>
    </w:p>
    <w:p w14:paraId="02F8BC36" w14:textId="77777777" w:rsidR="00D04BEE" w:rsidRDefault="00D04BEE" w:rsidP="00D04BEE">
      <w:pPr>
        <w:spacing w:after="120"/>
        <w:contextualSpacing/>
        <w:jc w:val="both"/>
        <w:rPr>
          <w:rFonts w:ascii="Arial Narrow" w:eastAsia="Times New Roman" w:hAnsi="Arial Narrow" w:cs="Times New Roman"/>
          <w:iCs/>
          <w:snapToGrid w:val="0"/>
          <w:sz w:val="18"/>
          <w:szCs w:val="22"/>
          <w:vertAlign w:val="superscript"/>
          <w:lang w:eastAsia="en-GB"/>
        </w:rPr>
      </w:pPr>
      <w:r w:rsidRPr="00F37E28">
        <w:rPr>
          <w:rFonts w:ascii="Arial Narrow" w:eastAsia="Times New Roman" w:hAnsi="Arial Narrow" w:cs="Times New Roman"/>
          <w:iCs/>
          <w:snapToGrid w:val="0"/>
          <w:sz w:val="18"/>
          <w:szCs w:val="22"/>
          <w:vertAlign w:val="superscript"/>
          <w:lang w:eastAsia="en-GB"/>
        </w:rPr>
        <w:t xml:space="preserve">e </w:t>
      </w:r>
      <w:r w:rsidRPr="00F37E28">
        <w:rPr>
          <w:rFonts w:ascii="Arial Narrow" w:eastAsia="Times New Roman" w:hAnsi="Arial Narrow" w:cs="Times New Roman"/>
          <w:iCs/>
          <w:snapToGrid w:val="0"/>
          <w:sz w:val="18"/>
          <w:szCs w:val="22"/>
          <w:lang w:eastAsia="en-GB"/>
        </w:rPr>
        <w:t xml:space="preserve">Patient numbers revised to exclude non-epithelial ovarian cancers (16%), 1.14 multiplication factor removed, 5% somatic BRCAm, 100% of patients treated in year 1 but 64% uptake). </w:t>
      </w:r>
    </w:p>
    <w:p w14:paraId="49AEE3B0" w14:textId="77777777" w:rsidR="00DD6AC4" w:rsidRPr="00DD6AC4" w:rsidRDefault="00DD6AC4" w:rsidP="00DD6AC4">
      <w:pPr>
        <w:spacing w:after="120"/>
        <w:contextualSpacing/>
        <w:jc w:val="both"/>
        <w:rPr>
          <w:rFonts w:ascii="Arial Narrow" w:eastAsia="Times New Roman" w:hAnsi="Arial Narrow" w:cs="Times New Roman"/>
          <w:iCs/>
          <w:snapToGrid w:val="0"/>
          <w:sz w:val="18"/>
          <w:szCs w:val="22"/>
          <w:vertAlign w:val="superscript"/>
          <w:lang w:eastAsia="en-GB"/>
        </w:rPr>
      </w:pPr>
    </w:p>
    <w:p w14:paraId="6C8CEB6E" w14:textId="5B6BC681" w:rsidR="00180181" w:rsidRDefault="00B83DD1" w:rsidP="00B83DD1">
      <w:pPr>
        <w:pStyle w:val="Figuretitle"/>
      </w:pPr>
      <w:r>
        <w:t xml:space="preserve">Table </w:t>
      </w:r>
      <w:r w:rsidR="00814E84">
        <w:t>8</w:t>
      </w:r>
      <w:r>
        <w:t>: Actual versus predicted utili</w:t>
      </w:r>
      <w:r w:rsidR="00DE1C23">
        <w:t>s</w:t>
      </w:r>
      <w:r>
        <w:t xml:space="preserve">ation of </w:t>
      </w:r>
      <w:r w:rsidR="00B8018C">
        <w:t>o</w:t>
      </w:r>
      <w:r>
        <w:t>laparib</w:t>
      </w:r>
      <w:r w:rsidR="00B8018C">
        <w:t xml:space="preserve"> for first-line therapy </w:t>
      </w:r>
      <w:r>
        <w:t xml:space="preserve"> </w:t>
      </w:r>
    </w:p>
    <w:tbl>
      <w:tblPr>
        <w:tblStyle w:val="TableGrid"/>
        <w:tblW w:w="9180" w:type="dxa"/>
        <w:tblLook w:val="04A0" w:firstRow="1" w:lastRow="0" w:firstColumn="1" w:lastColumn="0" w:noHBand="0" w:noVBand="1"/>
      </w:tblPr>
      <w:tblGrid>
        <w:gridCol w:w="2295"/>
        <w:gridCol w:w="2295"/>
        <w:gridCol w:w="2295"/>
        <w:gridCol w:w="2295"/>
      </w:tblGrid>
      <w:tr w:rsidR="009E5A30" w:rsidRPr="00BE7A51" w14:paraId="342F4D7F" w14:textId="77777777" w:rsidTr="00445190">
        <w:tc>
          <w:tcPr>
            <w:tcW w:w="2295" w:type="dxa"/>
            <w:vMerge w:val="restart"/>
            <w:shd w:val="clear" w:color="auto" w:fill="BFBFBF" w:themeFill="background1" w:themeFillShade="BF"/>
          </w:tcPr>
          <w:p w14:paraId="5A2AF7C5" w14:textId="77777777" w:rsidR="009E5A30" w:rsidRPr="00BE7A51" w:rsidRDefault="009E5A30" w:rsidP="00445190">
            <w:pPr>
              <w:spacing w:line="276" w:lineRule="auto"/>
              <w:rPr>
                <w:b/>
                <w:bCs/>
                <w:sz w:val="20"/>
                <w:szCs w:val="20"/>
              </w:rPr>
            </w:pPr>
          </w:p>
        </w:tc>
        <w:tc>
          <w:tcPr>
            <w:tcW w:w="2295" w:type="dxa"/>
            <w:vMerge w:val="restart"/>
            <w:shd w:val="clear" w:color="auto" w:fill="BFBFBF" w:themeFill="background1" w:themeFillShade="BF"/>
          </w:tcPr>
          <w:p w14:paraId="3D70372E" w14:textId="77777777" w:rsidR="009E5A30" w:rsidRPr="00BE7A51" w:rsidRDefault="009E5A30" w:rsidP="00445190">
            <w:pPr>
              <w:spacing w:line="276" w:lineRule="auto"/>
              <w:rPr>
                <w:b/>
                <w:bCs/>
                <w:sz w:val="20"/>
                <w:szCs w:val="20"/>
              </w:rPr>
            </w:pPr>
          </w:p>
        </w:tc>
        <w:tc>
          <w:tcPr>
            <w:tcW w:w="2295" w:type="dxa"/>
            <w:shd w:val="clear" w:color="auto" w:fill="BFBFBF" w:themeFill="background1" w:themeFillShade="BF"/>
          </w:tcPr>
          <w:p w14:paraId="1501A7CB" w14:textId="77777777" w:rsidR="009E5A30" w:rsidRPr="00BE7A51" w:rsidRDefault="009E5A30" w:rsidP="00445190">
            <w:pPr>
              <w:spacing w:line="276" w:lineRule="auto"/>
              <w:jc w:val="center"/>
              <w:rPr>
                <w:b/>
                <w:bCs/>
                <w:sz w:val="20"/>
                <w:szCs w:val="20"/>
              </w:rPr>
            </w:pPr>
            <w:r w:rsidRPr="00BE7A51">
              <w:rPr>
                <w:b/>
                <w:bCs/>
                <w:sz w:val="20"/>
                <w:szCs w:val="20"/>
              </w:rPr>
              <w:t>Year 1</w:t>
            </w:r>
          </w:p>
        </w:tc>
        <w:tc>
          <w:tcPr>
            <w:tcW w:w="2295" w:type="dxa"/>
            <w:shd w:val="clear" w:color="auto" w:fill="BFBFBF" w:themeFill="background1" w:themeFillShade="BF"/>
          </w:tcPr>
          <w:p w14:paraId="7B8EE68B" w14:textId="77777777" w:rsidR="009E5A30" w:rsidRPr="00BE7A51" w:rsidRDefault="009E5A30" w:rsidP="00445190">
            <w:pPr>
              <w:spacing w:line="276" w:lineRule="auto"/>
              <w:jc w:val="center"/>
              <w:rPr>
                <w:b/>
                <w:bCs/>
                <w:sz w:val="20"/>
                <w:szCs w:val="20"/>
              </w:rPr>
            </w:pPr>
            <w:r w:rsidRPr="00BE7A51">
              <w:rPr>
                <w:b/>
                <w:bCs/>
                <w:sz w:val="20"/>
                <w:szCs w:val="20"/>
              </w:rPr>
              <w:t xml:space="preserve">Year 2 </w:t>
            </w:r>
          </w:p>
        </w:tc>
      </w:tr>
      <w:tr w:rsidR="009E5A30" w:rsidRPr="00BE7A51" w14:paraId="7953D232" w14:textId="77777777" w:rsidTr="00445190">
        <w:tc>
          <w:tcPr>
            <w:tcW w:w="2295" w:type="dxa"/>
            <w:vMerge/>
            <w:shd w:val="clear" w:color="auto" w:fill="BFBFBF" w:themeFill="background1" w:themeFillShade="BF"/>
          </w:tcPr>
          <w:p w14:paraId="15BCC34D" w14:textId="77777777" w:rsidR="009E5A30" w:rsidRPr="00BE7A51" w:rsidRDefault="009E5A30" w:rsidP="00445190">
            <w:pPr>
              <w:spacing w:line="276" w:lineRule="auto"/>
              <w:rPr>
                <w:b/>
                <w:bCs/>
                <w:sz w:val="20"/>
                <w:szCs w:val="20"/>
              </w:rPr>
            </w:pPr>
          </w:p>
        </w:tc>
        <w:tc>
          <w:tcPr>
            <w:tcW w:w="2295" w:type="dxa"/>
            <w:vMerge/>
            <w:shd w:val="clear" w:color="auto" w:fill="BFBFBF" w:themeFill="background1" w:themeFillShade="BF"/>
          </w:tcPr>
          <w:p w14:paraId="059D235D" w14:textId="77777777" w:rsidR="009E5A30" w:rsidRPr="00BE7A51" w:rsidRDefault="009E5A30" w:rsidP="00445190">
            <w:pPr>
              <w:spacing w:line="276" w:lineRule="auto"/>
              <w:rPr>
                <w:b/>
                <w:bCs/>
                <w:sz w:val="20"/>
                <w:szCs w:val="20"/>
              </w:rPr>
            </w:pPr>
          </w:p>
        </w:tc>
        <w:tc>
          <w:tcPr>
            <w:tcW w:w="2295" w:type="dxa"/>
            <w:shd w:val="clear" w:color="auto" w:fill="BFBFBF" w:themeFill="background1" w:themeFillShade="BF"/>
          </w:tcPr>
          <w:p w14:paraId="786257B6" w14:textId="77777777" w:rsidR="009E5A30" w:rsidRPr="00BE7A51" w:rsidRDefault="009E5A30" w:rsidP="00445190">
            <w:pPr>
              <w:spacing w:line="276" w:lineRule="auto"/>
              <w:jc w:val="center"/>
              <w:rPr>
                <w:b/>
                <w:bCs/>
                <w:sz w:val="20"/>
                <w:szCs w:val="20"/>
              </w:rPr>
            </w:pPr>
            <w:r w:rsidRPr="00BE7A51">
              <w:rPr>
                <w:b/>
                <w:bCs/>
                <w:sz w:val="20"/>
                <w:szCs w:val="20"/>
              </w:rPr>
              <w:t>November 2020-October 2021</w:t>
            </w:r>
          </w:p>
        </w:tc>
        <w:tc>
          <w:tcPr>
            <w:tcW w:w="2295" w:type="dxa"/>
            <w:shd w:val="clear" w:color="auto" w:fill="BFBFBF" w:themeFill="background1" w:themeFillShade="BF"/>
          </w:tcPr>
          <w:p w14:paraId="6FCBD268" w14:textId="77777777" w:rsidR="009E5A30" w:rsidRPr="00BE7A51" w:rsidRDefault="009E5A30" w:rsidP="00445190">
            <w:pPr>
              <w:spacing w:line="276" w:lineRule="auto"/>
              <w:jc w:val="center"/>
              <w:rPr>
                <w:b/>
                <w:bCs/>
                <w:sz w:val="20"/>
                <w:szCs w:val="20"/>
              </w:rPr>
            </w:pPr>
            <w:r w:rsidRPr="00BE7A51">
              <w:rPr>
                <w:b/>
                <w:bCs/>
                <w:sz w:val="20"/>
                <w:szCs w:val="20"/>
              </w:rPr>
              <w:t>November 2021-October 2022</w:t>
            </w:r>
          </w:p>
        </w:tc>
      </w:tr>
      <w:tr w:rsidR="009E5A30" w:rsidRPr="00BE7A51" w14:paraId="02347218" w14:textId="77777777" w:rsidTr="00445190">
        <w:tc>
          <w:tcPr>
            <w:tcW w:w="2295" w:type="dxa"/>
            <w:vMerge w:val="restart"/>
          </w:tcPr>
          <w:p w14:paraId="1FB3B018" w14:textId="77777777" w:rsidR="009E5A30" w:rsidRPr="00770096" w:rsidRDefault="009E5A30" w:rsidP="00445190">
            <w:pPr>
              <w:spacing w:line="276" w:lineRule="auto"/>
              <w:rPr>
                <w:sz w:val="20"/>
                <w:szCs w:val="20"/>
              </w:rPr>
            </w:pPr>
            <w:r w:rsidRPr="00770096">
              <w:rPr>
                <w:sz w:val="20"/>
                <w:szCs w:val="20"/>
              </w:rPr>
              <w:t xml:space="preserve">Patients </w:t>
            </w:r>
          </w:p>
        </w:tc>
        <w:tc>
          <w:tcPr>
            <w:tcW w:w="2295" w:type="dxa"/>
          </w:tcPr>
          <w:p w14:paraId="4B7739CC" w14:textId="77777777" w:rsidR="009E5A30" w:rsidRPr="00770096" w:rsidRDefault="009E5A30" w:rsidP="00445190">
            <w:pPr>
              <w:spacing w:line="276" w:lineRule="auto"/>
              <w:rPr>
                <w:sz w:val="20"/>
                <w:szCs w:val="20"/>
              </w:rPr>
            </w:pPr>
            <w:r w:rsidRPr="00770096">
              <w:rPr>
                <w:sz w:val="20"/>
                <w:szCs w:val="20"/>
              </w:rPr>
              <w:t xml:space="preserve">Predicted </w:t>
            </w:r>
          </w:p>
        </w:tc>
        <w:tc>
          <w:tcPr>
            <w:tcW w:w="2295" w:type="dxa"/>
          </w:tcPr>
          <w:p w14:paraId="37F11FFA" w14:textId="77777777" w:rsidR="009E5A30" w:rsidRPr="00DB64AD" w:rsidRDefault="009E5A30" w:rsidP="00445190">
            <w:pPr>
              <w:spacing w:line="276" w:lineRule="auto"/>
              <w:jc w:val="center"/>
              <w:rPr>
                <w:sz w:val="20"/>
                <w:szCs w:val="20"/>
                <w:highlight w:val="lightGray"/>
                <w:vertAlign w:val="superscript"/>
              </w:rPr>
            </w:pPr>
            <w:r w:rsidRPr="00B378AB">
              <w:rPr>
                <w:highlight w:val="black"/>
              </w:rPr>
              <w:t>xxx</w:t>
            </w:r>
            <w:r>
              <w:rPr>
                <w:highlight w:val="black"/>
              </w:rPr>
              <w:t>x</w:t>
            </w:r>
            <w:r w:rsidRPr="00B378AB">
              <w:rPr>
                <w:highlight w:val="black"/>
              </w:rPr>
              <w:t>xx</w:t>
            </w:r>
          </w:p>
        </w:tc>
        <w:tc>
          <w:tcPr>
            <w:tcW w:w="2295" w:type="dxa"/>
          </w:tcPr>
          <w:p w14:paraId="38647DA2" w14:textId="77777777" w:rsidR="009E5A30" w:rsidRPr="007F4345" w:rsidRDefault="009E5A30" w:rsidP="00445190">
            <w:pPr>
              <w:spacing w:line="276" w:lineRule="auto"/>
              <w:jc w:val="center"/>
              <w:rPr>
                <w:sz w:val="20"/>
                <w:szCs w:val="20"/>
                <w:highlight w:val="lightGray"/>
              </w:rPr>
            </w:pPr>
            <w:r w:rsidRPr="00B378AB">
              <w:rPr>
                <w:highlight w:val="black"/>
              </w:rPr>
              <w:t>xxx</w:t>
            </w:r>
            <w:r>
              <w:rPr>
                <w:highlight w:val="black"/>
              </w:rPr>
              <w:t>x</w:t>
            </w:r>
            <w:r w:rsidRPr="00B378AB">
              <w:rPr>
                <w:highlight w:val="black"/>
              </w:rPr>
              <w:t>xx</w:t>
            </w:r>
          </w:p>
        </w:tc>
      </w:tr>
      <w:tr w:rsidR="009E5A30" w:rsidRPr="00BE7A51" w14:paraId="2D0812C6" w14:textId="77777777" w:rsidTr="00445190">
        <w:tc>
          <w:tcPr>
            <w:tcW w:w="2295" w:type="dxa"/>
            <w:vMerge/>
          </w:tcPr>
          <w:p w14:paraId="3109A5B6" w14:textId="77777777" w:rsidR="009E5A30" w:rsidRPr="00770096" w:rsidRDefault="009E5A30" w:rsidP="00445190">
            <w:pPr>
              <w:spacing w:line="276" w:lineRule="auto"/>
              <w:rPr>
                <w:sz w:val="20"/>
                <w:szCs w:val="20"/>
              </w:rPr>
            </w:pPr>
          </w:p>
        </w:tc>
        <w:tc>
          <w:tcPr>
            <w:tcW w:w="2295" w:type="dxa"/>
          </w:tcPr>
          <w:p w14:paraId="5A270A4A" w14:textId="77777777" w:rsidR="009E5A30" w:rsidRPr="00770096" w:rsidRDefault="009E5A30" w:rsidP="00445190">
            <w:pPr>
              <w:spacing w:line="276" w:lineRule="auto"/>
              <w:rPr>
                <w:sz w:val="20"/>
                <w:szCs w:val="20"/>
              </w:rPr>
            </w:pPr>
            <w:r w:rsidRPr="00770096">
              <w:rPr>
                <w:sz w:val="20"/>
                <w:szCs w:val="20"/>
              </w:rPr>
              <w:t xml:space="preserve">Actual </w:t>
            </w:r>
          </w:p>
        </w:tc>
        <w:tc>
          <w:tcPr>
            <w:tcW w:w="2295" w:type="dxa"/>
          </w:tcPr>
          <w:p w14:paraId="26C29B31" w14:textId="77777777" w:rsidR="009E5A30" w:rsidRPr="00BE7A51" w:rsidRDefault="009E5A30" w:rsidP="00445190">
            <w:pPr>
              <w:spacing w:line="276" w:lineRule="auto"/>
              <w:jc w:val="center"/>
              <w:rPr>
                <w:sz w:val="20"/>
                <w:szCs w:val="20"/>
              </w:rPr>
            </w:pPr>
            <w:r>
              <w:rPr>
                <w:sz w:val="20"/>
                <w:szCs w:val="20"/>
              </w:rPr>
              <w:t>302</w:t>
            </w:r>
          </w:p>
        </w:tc>
        <w:tc>
          <w:tcPr>
            <w:tcW w:w="2295" w:type="dxa"/>
          </w:tcPr>
          <w:p w14:paraId="12C86645" w14:textId="77777777" w:rsidR="009E5A30" w:rsidRPr="00BE7A51" w:rsidRDefault="009E5A30" w:rsidP="00445190">
            <w:pPr>
              <w:spacing w:line="276" w:lineRule="auto"/>
              <w:jc w:val="center"/>
              <w:rPr>
                <w:sz w:val="20"/>
                <w:szCs w:val="20"/>
              </w:rPr>
            </w:pPr>
            <w:r>
              <w:rPr>
                <w:sz w:val="20"/>
                <w:szCs w:val="20"/>
              </w:rPr>
              <w:t>323</w:t>
            </w:r>
          </w:p>
        </w:tc>
      </w:tr>
      <w:tr w:rsidR="009E5A30" w:rsidRPr="00BE7A51" w14:paraId="3298A1E5" w14:textId="77777777" w:rsidTr="00445190">
        <w:tc>
          <w:tcPr>
            <w:tcW w:w="2295" w:type="dxa"/>
            <w:vMerge/>
          </w:tcPr>
          <w:p w14:paraId="29C50821" w14:textId="77777777" w:rsidR="009E5A30" w:rsidRPr="00770096" w:rsidRDefault="009E5A30" w:rsidP="00445190">
            <w:pPr>
              <w:spacing w:line="276" w:lineRule="auto"/>
              <w:rPr>
                <w:sz w:val="20"/>
                <w:szCs w:val="20"/>
              </w:rPr>
            </w:pPr>
          </w:p>
        </w:tc>
        <w:tc>
          <w:tcPr>
            <w:tcW w:w="2295" w:type="dxa"/>
          </w:tcPr>
          <w:p w14:paraId="06D5976F" w14:textId="77777777" w:rsidR="009E5A30" w:rsidRPr="00770096" w:rsidRDefault="009E5A30" w:rsidP="00445190">
            <w:pPr>
              <w:spacing w:line="276" w:lineRule="auto"/>
              <w:rPr>
                <w:sz w:val="20"/>
                <w:szCs w:val="20"/>
              </w:rPr>
            </w:pPr>
            <w:r w:rsidRPr="00770096">
              <w:rPr>
                <w:sz w:val="20"/>
                <w:szCs w:val="20"/>
              </w:rPr>
              <w:t xml:space="preserve">Difference </w:t>
            </w:r>
          </w:p>
        </w:tc>
        <w:tc>
          <w:tcPr>
            <w:tcW w:w="2295" w:type="dxa"/>
          </w:tcPr>
          <w:p w14:paraId="4B1F2EB4" w14:textId="77777777" w:rsidR="009E5A30" w:rsidRPr="007F4345" w:rsidRDefault="009E5A30" w:rsidP="00445190">
            <w:pPr>
              <w:spacing w:line="276" w:lineRule="auto"/>
              <w:jc w:val="center"/>
              <w:rPr>
                <w:sz w:val="20"/>
                <w:szCs w:val="20"/>
                <w:highlight w:val="lightGray"/>
              </w:rPr>
            </w:pPr>
            <w:r w:rsidRPr="00B378AB">
              <w:rPr>
                <w:highlight w:val="black"/>
              </w:rPr>
              <w:t>xxx</w:t>
            </w:r>
            <w:r>
              <w:rPr>
                <w:highlight w:val="black"/>
              </w:rPr>
              <w:t>x</w:t>
            </w:r>
            <w:r w:rsidRPr="00B378AB">
              <w:rPr>
                <w:highlight w:val="black"/>
              </w:rPr>
              <w:t>xx</w:t>
            </w:r>
          </w:p>
        </w:tc>
        <w:tc>
          <w:tcPr>
            <w:tcW w:w="2295" w:type="dxa"/>
          </w:tcPr>
          <w:p w14:paraId="064F7DC5" w14:textId="77777777" w:rsidR="009E5A30" w:rsidRPr="007F4345" w:rsidRDefault="009E5A30" w:rsidP="00445190">
            <w:pPr>
              <w:spacing w:line="276" w:lineRule="auto"/>
              <w:jc w:val="center"/>
              <w:rPr>
                <w:sz w:val="20"/>
                <w:szCs w:val="20"/>
                <w:highlight w:val="lightGray"/>
              </w:rPr>
            </w:pPr>
            <w:r w:rsidRPr="00B378AB">
              <w:rPr>
                <w:highlight w:val="black"/>
              </w:rPr>
              <w:t>xxx</w:t>
            </w:r>
            <w:r>
              <w:rPr>
                <w:highlight w:val="black"/>
              </w:rPr>
              <w:t>x</w:t>
            </w:r>
            <w:r w:rsidRPr="00B378AB">
              <w:rPr>
                <w:highlight w:val="black"/>
              </w:rPr>
              <w:t>xx</w:t>
            </w:r>
          </w:p>
        </w:tc>
      </w:tr>
      <w:tr w:rsidR="009E5A30" w:rsidRPr="00BE7A51" w14:paraId="295D471E" w14:textId="77777777" w:rsidTr="00445190">
        <w:tc>
          <w:tcPr>
            <w:tcW w:w="2295" w:type="dxa"/>
            <w:vMerge w:val="restart"/>
          </w:tcPr>
          <w:p w14:paraId="248791EE" w14:textId="77777777" w:rsidR="009E5A30" w:rsidRPr="00770096" w:rsidRDefault="009E5A30" w:rsidP="00445190">
            <w:pPr>
              <w:spacing w:line="276" w:lineRule="auto"/>
              <w:rPr>
                <w:sz w:val="20"/>
                <w:szCs w:val="20"/>
              </w:rPr>
            </w:pPr>
            <w:r w:rsidRPr="00770096">
              <w:rPr>
                <w:sz w:val="20"/>
                <w:szCs w:val="20"/>
              </w:rPr>
              <w:t xml:space="preserve">Prescriptions  </w:t>
            </w:r>
          </w:p>
        </w:tc>
        <w:tc>
          <w:tcPr>
            <w:tcW w:w="2295" w:type="dxa"/>
          </w:tcPr>
          <w:p w14:paraId="7FF612BA" w14:textId="77777777" w:rsidR="009E5A30" w:rsidRPr="00770096" w:rsidRDefault="009E5A30" w:rsidP="00445190">
            <w:pPr>
              <w:spacing w:line="276" w:lineRule="auto"/>
              <w:rPr>
                <w:sz w:val="20"/>
                <w:szCs w:val="20"/>
              </w:rPr>
            </w:pPr>
            <w:r w:rsidRPr="00770096">
              <w:rPr>
                <w:sz w:val="20"/>
                <w:szCs w:val="20"/>
              </w:rPr>
              <w:t xml:space="preserve">Predicted </w:t>
            </w:r>
          </w:p>
        </w:tc>
        <w:tc>
          <w:tcPr>
            <w:tcW w:w="2295" w:type="dxa"/>
          </w:tcPr>
          <w:p w14:paraId="1E395D69" w14:textId="77777777" w:rsidR="009E5A30" w:rsidRPr="007F4345" w:rsidRDefault="009E5A30" w:rsidP="00445190">
            <w:pPr>
              <w:spacing w:line="276" w:lineRule="auto"/>
              <w:jc w:val="center"/>
              <w:rPr>
                <w:sz w:val="20"/>
                <w:szCs w:val="20"/>
                <w:highlight w:val="lightGray"/>
              </w:rPr>
            </w:pPr>
            <w:r w:rsidRPr="00B378AB">
              <w:rPr>
                <w:highlight w:val="black"/>
              </w:rPr>
              <w:t>xxx</w:t>
            </w:r>
            <w:r>
              <w:rPr>
                <w:highlight w:val="black"/>
              </w:rPr>
              <w:t>x</w:t>
            </w:r>
            <w:r w:rsidRPr="00B378AB">
              <w:rPr>
                <w:highlight w:val="black"/>
              </w:rPr>
              <w:t>xx</w:t>
            </w:r>
          </w:p>
        </w:tc>
        <w:tc>
          <w:tcPr>
            <w:tcW w:w="2295" w:type="dxa"/>
          </w:tcPr>
          <w:p w14:paraId="19C15818" w14:textId="77777777" w:rsidR="009E5A30" w:rsidRPr="007F4345" w:rsidRDefault="009E5A30" w:rsidP="00445190">
            <w:pPr>
              <w:spacing w:line="276" w:lineRule="auto"/>
              <w:jc w:val="center"/>
              <w:rPr>
                <w:sz w:val="20"/>
                <w:szCs w:val="20"/>
                <w:highlight w:val="lightGray"/>
              </w:rPr>
            </w:pPr>
            <w:r w:rsidRPr="00B378AB">
              <w:rPr>
                <w:highlight w:val="black"/>
              </w:rPr>
              <w:t>xxx</w:t>
            </w:r>
            <w:r>
              <w:rPr>
                <w:highlight w:val="black"/>
              </w:rPr>
              <w:t>x</w:t>
            </w:r>
            <w:r w:rsidRPr="00B378AB">
              <w:rPr>
                <w:highlight w:val="black"/>
              </w:rPr>
              <w:t>xx</w:t>
            </w:r>
          </w:p>
        </w:tc>
      </w:tr>
      <w:tr w:rsidR="009E5A30" w:rsidRPr="00BE7A51" w14:paraId="3A5900A5" w14:textId="77777777" w:rsidTr="00445190">
        <w:tc>
          <w:tcPr>
            <w:tcW w:w="2295" w:type="dxa"/>
            <w:vMerge/>
          </w:tcPr>
          <w:p w14:paraId="7A7E1ECA" w14:textId="77777777" w:rsidR="009E5A30" w:rsidRPr="00770096" w:rsidRDefault="009E5A30" w:rsidP="00445190">
            <w:pPr>
              <w:spacing w:line="276" w:lineRule="auto"/>
              <w:rPr>
                <w:sz w:val="20"/>
                <w:szCs w:val="20"/>
              </w:rPr>
            </w:pPr>
          </w:p>
        </w:tc>
        <w:tc>
          <w:tcPr>
            <w:tcW w:w="2295" w:type="dxa"/>
          </w:tcPr>
          <w:p w14:paraId="537023DE" w14:textId="77777777" w:rsidR="009E5A30" w:rsidRPr="00770096" w:rsidRDefault="009E5A30" w:rsidP="00445190">
            <w:pPr>
              <w:spacing w:line="276" w:lineRule="auto"/>
              <w:rPr>
                <w:sz w:val="20"/>
                <w:szCs w:val="20"/>
              </w:rPr>
            </w:pPr>
            <w:r w:rsidRPr="00770096">
              <w:rPr>
                <w:sz w:val="20"/>
                <w:szCs w:val="20"/>
              </w:rPr>
              <w:t xml:space="preserve">Actual </w:t>
            </w:r>
          </w:p>
        </w:tc>
        <w:tc>
          <w:tcPr>
            <w:tcW w:w="2295" w:type="dxa"/>
          </w:tcPr>
          <w:p w14:paraId="101CD87D" w14:textId="77777777" w:rsidR="009E5A30" w:rsidRPr="00BE7A51" w:rsidRDefault="009E5A30" w:rsidP="00445190">
            <w:pPr>
              <w:spacing w:line="276" w:lineRule="auto"/>
              <w:jc w:val="center"/>
              <w:rPr>
                <w:sz w:val="20"/>
                <w:szCs w:val="20"/>
              </w:rPr>
            </w:pPr>
            <w:r>
              <w:rPr>
                <w:sz w:val="20"/>
                <w:szCs w:val="20"/>
              </w:rPr>
              <w:t>1,646</w:t>
            </w:r>
          </w:p>
        </w:tc>
        <w:tc>
          <w:tcPr>
            <w:tcW w:w="2295" w:type="dxa"/>
          </w:tcPr>
          <w:p w14:paraId="3DA9E8E9" w14:textId="77777777" w:rsidR="009E5A30" w:rsidRPr="00BE7A51" w:rsidRDefault="009E5A30" w:rsidP="00445190">
            <w:pPr>
              <w:spacing w:line="276" w:lineRule="auto"/>
              <w:jc w:val="center"/>
              <w:rPr>
                <w:sz w:val="20"/>
                <w:szCs w:val="20"/>
              </w:rPr>
            </w:pPr>
            <w:r>
              <w:rPr>
                <w:sz w:val="20"/>
                <w:szCs w:val="20"/>
              </w:rPr>
              <w:t>1,865</w:t>
            </w:r>
          </w:p>
        </w:tc>
      </w:tr>
      <w:tr w:rsidR="009E5A30" w:rsidRPr="00BE7A51" w14:paraId="10224896" w14:textId="77777777" w:rsidTr="00445190">
        <w:tc>
          <w:tcPr>
            <w:tcW w:w="2295" w:type="dxa"/>
            <w:vMerge/>
          </w:tcPr>
          <w:p w14:paraId="037A9728" w14:textId="77777777" w:rsidR="009E5A30" w:rsidRPr="00770096" w:rsidRDefault="009E5A30" w:rsidP="00445190">
            <w:pPr>
              <w:spacing w:line="276" w:lineRule="auto"/>
              <w:rPr>
                <w:sz w:val="20"/>
                <w:szCs w:val="20"/>
              </w:rPr>
            </w:pPr>
          </w:p>
        </w:tc>
        <w:tc>
          <w:tcPr>
            <w:tcW w:w="2295" w:type="dxa"/>
          </w:tcPr>
          <w:p w14:paraId="11058B83" w14:textId="77777777" w:rsidR="009E5A30" w:rsidRPr="00770096" w:rsidRDefault="009E5A30" w:rsidP="00445190">
            <w:pPr>
              <w:spacing w:line="276" w:lineRule="auto"/>
              <w:rPr>
                <w:sz w:val="20"/>
                <w:szCs w:val="20"/>
              </w:rPr>
            </w:pPr>
            <w:r w:rsidRPr="00770096">
              <w:rPr>
                <w:sz w:val="20"/>
                <w:szCs w:val="20"/>
              </w:rPr>
              <w:t xml:space="preserve">Difference </w:t>
            </w:r>
          </w:p>
        </w:tc>
        <w:tc>
          <w:tcPr>
            <w:tcW w:w="2295" w:type="dxa"/>
          </w:tcPr>
          <w:p w14:paraId="1CC5D9FD" w14:textId="77777777" w:rsidR="009E5A30" w:rsidRPr="007F4345" w:rsidRDefault="009E5A30" w:rsidP="00445190">
            <w:pPr>
              <w:spacing w:line="276" w:lineRule="auto"/>
              <w:jc w:val="center"/>
              <w:rPr>
                <w:sz w:val="20"/>
                <w:szCs w:val="20"/>
                <w:highlight w:val="lightGray"/>
              </w:rPr>
            </w:pPr>
            <w:r w:rsidRPr="00B378AB">
              <w:rPr>
                <w:highlight w:val="black"/>
              </w:rPr>
              <w:t>xxx</w:t>
            </w:r>
            <w:r>
              <w:rPr>
                <w:highlight w:val="black"/>
              </w:rPr>
              <w:t>x</w:t>
            </w:r>
            <w:r w:rsidRPr="00B378AB">
              <w:rPr>
                <w:highlight w:val="black"/>
              </w:rPr>
              <w:t>xx</w:t>
            </w:r>
          </w:p>
        </w:tc>
        <w:tc>
          <w:tcPr>
            <w:tcW w:w="2295" w:type="dxa"/>
          </w:tcPr>
          <w:p w14:paraId="6D4877A1" w14:textId="77777777" w:rsidR="009E5A30" w:rsidRPr="007F4345" w:rsidRDefault="009E5A30" w:rsidP="00445190">
            <w:pPr>
              <w:spacing w:line="276" w:lineRule="auto"/>
              <w:jc w:val="center"/>
              <w:rPr>
                <w:sz w:val="20"/>
                <w:szCs w:val="20"/>
                <w:highlight w:val="lightGray"/>
              </w:rPr>
            </w:pPr>
            <w:r w:rsidRPr="00B378AB">
              <w:rPr>
                <w:highlight w:val="black"/>
              </w:rPr>
              <w:t xml:space="preserve"> xxx</w:t>
            </w:r>
            <w:r>
              <w:rPr>
                <w:highlight w:val="black"/>
              </w:rPr>
              <w:t>x</w:t>
            </w:r>
            <w:r w:rsidRPr="00B378AB">
              <w:rPr>
                <w:highlight w:val="black"/>
              </w:rPr>
              <w:t>xx</w:t>
            </w:r>
          </w:p>
        </w:tc>
      </w:tr>
    </w:tbl>
    <w:p w14:paraId="0E4767F4" w14:textId="77777777" w:rsidR="009E5A30" w:rsidRDefault="009E5A30" w:rsidP="009E5A30"/>
    <w:p w14:paraId="646BBDBA" w14:textId="77777777" w:rsidR="009E5A30" w:rsidRPr="00DB64AD" w:rsidRDefault="009E5A30" w:rsidP="009E5A30">
      <w:r>
        <w:t xml:space="preserve">From Table 8, in the first two years of PBS listing, the number of patients treated with olaparib was </w:t>
      </w:r>
      <w:r w:rsidRPr="00B378AB">
        <w:rPr>
          <w:highlight w:val="black"/>
        </w:rPr>
        <w:t>xxx</w:t>
      </w:r>
      <w:r>
        <w:rPr>
          <w:highlight w:val="black"/>
        </w:rPr>
        <w:t>x</w:t>
      </w:r>
      <w:r w:rsidRPr="00B378AB">
        <w:rPr>
          <w:highlight w:val="black"/>
        </w:rPr>
        <w:t>xx</w:t>
      </w:r>
      <w:r w:rsidRPr="00475B8B">
        <w:t xml:space="preserve"> </w:t>
      </w:r>
      <w:r>
        <w:t xml:space="preserve">than estimated </w:t>
      </w:r>
      <w:r w:rsidRPr="00B378AB">
        <w:rPr>
          <w:highlight w:val="black"/>
        </w:rPr>
        <w:t>xxx</w:t>
      </w:r>
      <w:r>
        <w:rPr>
          <w:highlight w:val="black"/>
        </w:rPr>
        <w:t>x</w:t>
      </w:r>
      <w:r w:rsidRPr="00B378AB">
        <w:rPr>
          <w:highlight w:val="black"/>
        </w:rPr>
        <w:t>xxxxx</w:t>
      </w:r>
      <w:r>
        <w:rPr>
          <w:highlight w:val="black"/>
        </w:rPr>
        <w:t>x</w:t>
      </w:r>
      <w:r w:rsidRPr="00B378AB">
        <w:rPr>
          <w:highlight w:val="black"/>
        </w:rPr>
        <w:t>xx</w:t>
      </w:r>
      <w:r w:rsidRPr="00475B8B">
        <w:t xml:space="preserve"> </w:t>
      </w:r>
      <w:r>
        <w:t xml:space="preserve">whereas the number of olaparib prescriptions supplied was </w:t>
      </w:r>
      <w:r w:rsidRPr="00B378AB">
        <w:rPr>
          <w:highlight w:val="black"/>
        </w:rPr>
        <w:t>xxx</w:t>
      </w:r>
      <w:r>
        <w:rPr>
          <w:highlight w:val="black"/>
        </w:rPr>
        <w:t>x</w:t>
      </w:r>
      <w:r w:rsidRPr="00B378AB">
        <w:rPr>
          <w:highlight w:val="black"/>
        </w:rPr>
        <w:t>xx</w:t>
      </w:r>
      <w:r w:rsidRPr="00475B8B">
        <w:t xml:space="preserve"> </w:t>
      </w:r>
      <w:r>
        <w:t xml:space="preserve">than estimated </w:t>
      </w:r>
      <w:r w:rsidRPr="00B378AB">
        <w:rPr>
          <w:highlight w:val="black"/>
        </w:rPr>
        <w:t>xxx</w:t>
      </w:r>
      <w:r>
        <w:rPr>
          <w:highlight w:val="black"/>
        </w:rPr>
        <w:t>x</w:t>
      </w:r>
      <w:r w:rsidRPr="00B378AB">
        <w:rPr>
          <w:highlight w:val="black"/>
        </w:rPr>
        <w:t>xx xxx</w:t>
      </w:r>
      <w:r>
        <w:rPr>
          <w:highlight w:val="black"/>
        </w:rPr>
        <w:t>x</w:t>
      </w:r>
      <w:r w:rsidRPr="00B378AB">
        <w:rPr>
          <w:highlight w:val="black"/>
        </w:rPr>
        <w:t>xx</w:t>
      </w:r>
      <w:r>
        <w:t xml:space="preserve"> </w:t>
      </w:r>
    </w:p>
    <w:p w14:paraId="12E3B877" w14:textId="044A5A24" w:rsidR="00F26745" w:rsidRDefault="00AB3733" w:rsidP="00075BBA">
      <w:pPr>
        <w:pStyle w:val="Heading1"/>
      </w:pPr>
      <w:r>
        <w:t>D</w:t>
      </w:r>
      <w:r w:rsidR="007346C7" w:rsidRPr="005E22C2">
        <w:t>iscussion</w:t>
      </w:r>
    </w:p>
    <w:p w14:paraId="4EB3AFFA" w14:textId="7A385AFA" w:rsidR="00770096" w:rsidRDefault="00770096" w:rsidP="00F26745">
      <w:r>
        <w:t>Following its initial listing in February 2017 for second-line therapy, a number of changes have been made to the PBS listi</w:t>
      </w:r>
      <w:r w:rsidR="003C456E">
        <w:t xml:space="preserve">ng of </w:t>
      </w:r>
      <w:r w:rsidR="00BA5300">
        <w:t>olaparib. The listing was</w:t>
      </w:r>
      <w:r w:rsidR="0059245D">
        <w:t xml:space="preserve"> </w:t>
      </w:r>
      <w:r w:rsidR="00BA5300">
        <w:t xml:space="preserve">extended </w:t>
      </w:r>
      <w:r w:rsidR="0059245D">
        <w:t>to include patients with somatic BRCA1/2 mutations</w:t>
      </w:r>
      <w:r w:rsidR="004D282D">
        <w:t xml:space="preserve"> in August 2020</w:t>
      </w:r>
      <w:r w:rsidR="00BA5300">
        <w:t>. There was also a further</w:t>
      </w:r>
      <w:r w:rsidR="0059245D">
        <w:t xml:space="preserve"> </w:t>
      </w:r>
      <w:r w:rsidR="008D5B34">
        <w:t>extension</w:t>
      </w:r>
      <w:r w:rsidR="008D5B34" w:rsidRPr="008D5B34">
        <w:t xml:space="preserve"> to include maintenance treatment following a partial or complete response to 1L platinum-based chemotherapy in a patient with evidence of a BRCA1</w:t>
      </w:r>
      <w:r w:rsidR="006815A8">
        <w:t>/2</w:t>
      </w:r>
      <w:r w:rsidR="008D5B34" w:rsidRPr="008D5B34">
        <w:t xml:space="preserve"> mutation via germline or somatic testing</w:t>
      </w:r>
      <w:r w:rsidR="008D5B34">
        <w:t xml:space="preserve"> </w:t>
      </w:r>
      <w:r w:rsidR="004D282D">
        <w:t>in November 2020</w:t>
      </w:r>
      <w:r w:rsidR="008D5B34" w:rsidRPr="008D5B34">
        <w:t>.</w:t>
      </w:r>
    </w:p>
    <w:p w14:paraId="3439538D" w14:textId="32F7E8CD" w:rsidR="008A0627" w:rsidRDefault="00F26745" w:rsidP="00F26745">
      <w:r>
        <w:t>At its July 2020</w:t>
      </w:r>
      <w:r w:rsidR="000D1FDB">
        <w:t xml:space="preserve"> meeting</w:t>
      </w:r>
      <w:r>
        <w:t xml:space="preserve">, the </w:t>
      </w:r>
      <w:r w:rsidR="004C3914">
        <w:t xml:space="preserve">PBAC </w:t>
      </w:r>
      <w:r w:rsidRPr="00C41F2B">
        <w:t>considered that 6 years after listing 1L olaparib, it is likely that all patients would be treated with 1L olaparib and that it was unlikely that there would be a market for use of 2L olaparib</w:t>
      </w:r>
      <w:r w:rsidR="004C3914">
        <w:t xml:space="preserve"> (paragraph 7.20, olaparib P</w:t>
      </w:r>
      <w:r w:rsidR="0043660F">
        <w:t>ublic Summary Document</w:t>
      </w:r>
      <w:r w:rsidR="004C3914">
        <w:t xml:space="preserve"> July 2020). </w:t>
      </w:r>
      <w:r w:rsidR="003C456E">
        <w:t xml:space="preserve">As shown in Figure 4, following the extension of listing to </w:t>
      </w:r>
      <w:r w:rsidR="00ED4E88">
        <w:t>1L olaparib</w:t>
      </w:r>
      <w:r w:rsidR="003C456E">
        <w:t xml:space="preserve">, the number of patients treated for </w:t>
      </w:r>
      <w:r w:rsidR="0043660F">
        <w:t>2L</w:t>
      </w:r>
      <w:r w:rsidR="003C456E">
        <w:t xml:space="preserve"> remains greater than those treated for </w:t>
      </w:r>
      <w:r w:rsidR="00ED4E88">
        <w:t>1L</w:t>
      </w:r>
      <w:r w:rsidR="003C456E">
        <w:t xml:space="preserve"> </w:t>
      </w:r>
      <w:r w:rsidR="00ED4E88">
        <w:t>olaparib</w:t>
      </w:r>
      <w:r w:rsidR="003C456E">
        <w:t>. However, in Figure 5, a greater number of patients have been initiating</w:t>
      </w:r>
      <w:r w:rsidR="00887D85">
        <w:t xml:space="preserve"> olaparib treatment as</w:t>
      </w:r>
      <w:r w:rsidR="003C456E">
        <w:t xml:space="preserve"> </w:t>
      </w:r>
      <w:r w:rsidR="00ED4E88">
        <w:t>1L</w:t>
      </w:r>
      <w:r w:rsidR="003C456E">
        <w:t xml:space="preserve"> </w:t>
      </w:r>
      <w:r w:rsidR="00ED4E88">
        <w:t xml:space="preserve">compared to 2L. </w:t>
      </w:r>
    </w:p>
    <w:p w14:paraId="753A2C40" w14:textId="77777777" w:rsidR="00E91ADF" w:rsidRPr="00B72082" w:rsidRDefault="00E91ADF" w:rsidP="00F26745">
      <w:r w:rsidRPr="00B72082">
        <w:t xml:space="preserve">Utilisation of olaparib for 1L therapy was different from estimated. The number of treated patients was greater than estimated, whereas the number of olaparib prescriptions supplied was lower than estimated. </w:t>
      </w:r>
    </w:p>
    <w:p w14:paraId="4757CB46" w14:textId="7C289FC7" w:rsidR="00E91ADF" w:rsidRPr="00B72082" w:rsidRDefault="008A0627" w:rsidP="00F26745">
      <w:r w:rsidRPr="00B72082">
        <w:lastRenderedPageBreak/>
        <w:t>Th</w:t>
      </w:r>
      <w:r w:rsidR="00E91ADF" w:rsidRPr="00B72082">
        <w:t>e lower than estimated number of prescriptions supplied</w:t>
      </w:r>
      <w:r w:rsidRPr="00B72082">
        <w:t xml:space="preserve"> cor</w:t>
      </w:r>
      <w:r w:rsidR="00391863" w:rsidRPr="00B72082">
        <w:t>responds with the</w:t>
      </w:r>
      <w:r w:rsidR="007201F1" w:rsidRPr="00B72082">
        <w:t xml:space="preserve"> shorter than estimated mean treatment duration compared to the </w:t>
      </w:r>
      <w:r w:rsidR="00391863" w:rsidRPr="00B72082">
        <w:t>key trial</w:t>
      </w:r>
      <w:r w:rsidR="00E91ADF" w:rsidRPr="00B72082">
        <w:t>,</w:t>
      </w:r>
      <w:r w:rsidR="00391863" w:rsidRPr="00B72082">
        <w:t xml:space="preserve"> SOLO1. </w:t>
      </w:r>
      <w:r w:rsidR="00E91ADF" w:rsidRPr="00B72082">
        <w:t>The resubmission estimated that, “</w:t>
      </w:r>
      <w:r w:rsidR="00391863" w:rsidRPr="00B72082">
        <w:t>Treatment interruptions were estimated to account for 1 month out of a total of 21.5 months of treatment</w:t>
      </w:r>
      <w:r w:rsidR="00E91ADF" w:rsidRPr="00B72082">
        <w:t>”</w:t>
      </w:r>
      <w:r w:rsidR="0059245D" w:rsidRPr="00B72082">
        <w:t xml:space="preserve"> (paragraph 6.48, olaparib P</w:t>
      </w:r>
      <w:r w:rsidR="0043660F" w:rsidRPr="00B72082">
        <w:t>ublic Summary Document</w:t>
      </w:r>
      <w:r w:rsidR="0059245D" w:rsidRPr="00B72082">
        <w:t xml:space="preserve"> July 2020).</w:t>
      </w:r>
      <w:r w:rsidR="00E91ADF" w:rsidRPr="00B72082">
        <w:t xml:space="preserve"> As shown in Table </w:t>
      </w:r>
      <w:r w:rsidR="00814E84" w:rsidRPr="00B72082">
        <w:t>6</w:t>
      </w:r>
      <w:r w:rsidR="00E91ADF" w:rsidRPr="00B72082">
        <w:t xml:space="preserve">, the mean treatment duration was approximately half of the treatment duration in the trial of </w:t>
      </w:r>
      <w:r w:rsidR="00391863" w:rsidRPr="00B72082">
        <w:t xml:space="preserve">10.41 months and </w:t>
      </w:r>
      <w:r w:rsidR="00E91ADF" w:rsidRPr="00B72082">
        <w:t xml:space="preserve">reduced to 9.17 months when </w:t>
      </w:r>
      <w:r w:rsidR="00391863" w:rsidRPr="00B72082">
        <w:t>accounting for breaks in treatmen</w:t>
      </w:r>
      <w:r w:rsidR="00E91ADF" w:rsidRPr="00B72082">
        <w:t xml:space="preserve">t. </w:t>
      </w:r>
    </w:p>
    <w:p w14:paraId="061CE9B2" w14:textId="64C519B4" w:rsidR="0043660F" w:rsidRDefault="00E91ADF" w:rsidP="00F26745">
      <w:r w:rsidRPr="00B72082">
        <w:t xml:space="preserve">The shorter than estimated treatment duration may have been due to the differences in patient characteristics in the trial compared to </w:t>
      </w:r>
      <w:r w:rsidR="00BA5300" w:rsidRPr="00B72082">
        <w:t xml:space="preserve">the PBS population in </w:t>
      </w:r>
      <w:r w:rsidRPr="00B72082">
        <w:t xml:space="preserve">practice. In the SOLO1 trial, the median age of patients was 53 years, whereas the </w:t>
      </w:r>
      <w:r w:rsidR="00EB0203" w:rsidRPr="00B72082">
        <w:t>median age</w:t>
      </w:r>
      <w:r w:rsidR="00EB0203">
        <w:t xml:space="preserve"> of patients initiating treatment with </w:t>
      </w:r>
      <w:r w:rsidR="00BA5300">
        <w:t xml:space="preserve">PBS listed </w:t>
      </w:r>
      <w:r w:rsidR="00EB0203">
        <w:t xml:space="preserve">olaparib was 62 years. </w:t>
      </w:r>
    </w:p>
    <w:p w14:paraId="03A0A701" w14:textId="77777777" w:rsidR="00BD1A91" w:rsidRDefault="00BD1A91" w:rsidP="00BD1A91">
      <w:pPr>
        <w:pStyle w:val="Heading1"/>
      </w:pPr>
      <w:r>
        <w:t>DUSC consideration</w:t>
      </w:r>
    </w:p>
    <w:p w14:paraId="4CB401C2" w14:textId="77777777" w:rsidR="00B72082" w:rsidRPr="00B72082" w:rsidRDefault="00B72082" w:rsidP="00B72082">
      <w:r w:rsidRPr="00B72082">
        <w:t>DUSC considered possible reasons for the number of patients treated with olaparib for 1L therapy being greater than estimated.</w:t>
      </w:r>
    </w:p>
    <w:p w14:paraId="30B45CCC" w14:textId="77777777" w:rsidR="00B72082" w:rsidRPr="00B72082" w:rsidRDefault="00B72082" w:rsidP="00B72082">
      <w:pPr>
        <w:pStyle w:val="ListParagraph"/>
        <w:numPr>
          <w:ilvl w:val="0"/>
          <w:numId w:val="49"/>
        </w:numPr>
        <w:spacing w:line="276" w:lineRule="auto"/>
      </w:pPr>
      <w:r w:rsidRPr="00B72082">
        <w:t>DUSC considered the impact of the COVID-19 pandemic on the delay in diagnosis and treatment.</w:t>
      </w:r>
      <w:r w:rsidRPr="00B72082">
        <w:rPr>
          <w:rStyle w:val="FootnoteReference"/>
        </w:rPr>
        <w:footnoteReference w:id="5"/>
      </w:r>
      <w:r w:rsidRPr="00B72082">
        <w:t xml:space="preserve"> DUSC noted consumer input from Ovarian Cancer Australia who commented on the decrease in investigations for gynaecological cancers, however implications for diagnosis and treatment are uncertain. </w:t>
      </w:r>
    </w:p>
    <w:p w14:paraId="1258D87A" w14:textId="77777777" w:rsidR="00B72082" w:rsidRPr="00B72082" w:rsidRDefault="00B72082" w:rsidP="00B72082">
      <w:pPr>
        <w:pStyle w:val="ListParagraph"/>
        <w:numPr>
          <w:ilvl w:val="0"/>
          <w:numId w:val="48"/>
        </w:numPr>
        <w:spacing w:after="0"/>
      </w:pPr>
      <w:r w:rsidRPr="00B72082">
        <w:t xml:space="preserve">DUSC noted the utilisation estimates did not include patients who were waiting to initiate treatment who had already completed chemotherapy. DUSC noted less fitter patients were excluded from the SOLO1 trial. </w:t>
      </w:r>
    </w:p>
    <w:p w14:paraId="7575760A" w14:textId="77777777" w:rsidR="00B72082" w:rsidRPr="00B72082" w:rsidRDefault="00B72082" w:rsidP="00B72082">
      <w:pPr>
        <w:pStyle w:val="ListParagraph"/>
        <w:numPr>
          <w:ilvl w:val="0"/>
          <w:numId w:val="48"/>
        </w:numPr>
        <w:spacing w:after="0"/>
      </w:pPr>
      <w:r w:rsidRPr="00B72082">
        <w:t xml:space="preserve">DUSC noted that there was an increase in the number of patients who initiated 2L therapy between June to October 2021, prior to the extension of listing to the 1L setting in November 2021. DUSC noted 26% of these patients had switched to 1L therapy. </w:t>
      </w:r>
    </w:p>
    <w:p w14:paraId="363E66E7" w14:textId="77777777" w:rsidR="00B72082" w:rsidRPr="00B72082" w:rsidRDefault="00B72082" w:rsidP="00B72082"/>
    <w:p w14:paraId="12FE7CC5" w14:textId="77777777" w:rsidR="00B72082" w:rsidRPr="00B72082" w:rsidRDefault="00B72082" w:rsidP="00B72082">
      <w:r w:rsidRPr="00B72082">
        <w:t xml:space="preserve">DUSC considered possible reasons for the number of olaparib prescriptions supplied for 1L therapy being lower than estimated. </w:t>
      </w:r>
    </w:p>
    <w:p w14:paraId="480544AB" w14:textId="77777777" w:rsidR="00B72082" w:rsidRPr="00B72082" w:rsidRDefault="00B72082" w:rsidP="00B72082">
      <w:pPr>
        <w:pStyle w:val="ListParagraph"/>
        <w:numPr>
          <w:ilvl w:val="0"/>
          <w:numId w:val="47"/>
        </w:numPr>
        <w:spacing w:after="0"/>
      </w:pPr>
      <w:r w:rsidRPr="00B72082">
        <w:t xml:space="preserve">DUSC noted the utilisation estimates accounted for dose interruptions assuming all patients would have on average, an interruption of one cycle treatment. DUSC commented that this may not be reflected in practice as a dose interruption would be more likely to reoccur if it had occurred before, as such a patient may undergo multiple dose interruptions. </w:t>
      </w:r>
    </w:p>
    <w:p w14:paraId="0D282951" w14:textId="77777777" w:rsidR="00B72082" w:rsidRPr="00B72082" w:rsidRDefault="00B72082" w:rsidP="00B72082">
      <w:pPr>
        <w:pStyle w:val="ListParagraph"/>
        <w:numPr>
          <w:ilvl w:val="0"/>
          <w:numId w:val="47"/>
        </w:numPr>
        <w:spacing w:after="0"/>
      </w:pPr>
      <w:r w:rsidRPr="00B72082">
        <w:t xml:space="preserve">DUSC noted the utilisation estimates did not account for subsequent dose reductions or prescribing patterns. DUSC commented that dose reductions may result in cumulatively less prescriptions over time. DUSC noted the recommended </w:t>
      </w:r>
      <w:r w:rsidRPr="00B72082">
        <w:lastRenderedPageBreak/>
        <w:t>dose of olaparib is 300 mg (two 150 mg tablets) taken twice daily.</w:t>
      </w:r>
      <w:r w:rsidRPr="00B72082">
        <w:rPr>
          <w:rStyle w:val="FootnoteReference"/>
        </w:rPr>
        <w:footnoteReference w:id="6"/>
      </w:r>
      <w:r w:rsidRPr="00B72082">
        <w:t xml:space="preserve"> If the dose is reduced to 250 mg, patients would only be supplied a prescription for 100 mg as prior supplies for 150 mg would be used. DUSC commented that this would be further extrapolated with subsequent dose reductions. </w:t>
      </w:r>
    </w:p>
    <w:p w14:paraId="58C5D00E" w14:textId="77777777" w:rsidR="00B72082" w:rsidRPr="00B72082" w:rsidRDefault="00B72082" w:rsidP="00B72082">
      <w:pPr>
        <w:pStyle w:val="ListParagraph"/>
        <w:numPr>
          <w:ilvl w:val="0"/>
          <w:numId w:val="47"/>
        </w:numPr>
        <w:spacing w:after="0"/>
      </w:pPr>
      <w:r w:rsidRPr="00B72082">
        <w:t xml:space="preserve">DUSC noted that the utilisation review was based upon 25 months of data since the extension of listing to the 1L setting. DUSC commented on the immaturity of the utilisation data and that with increased time and clinician familiarity, patients may be treated with olaparib for longer. DUSC noted the Pre-Sub-Committee Response commented on the immaturity of the utilisation data with regards to future utilisation in the 1L and 2L setting. </w:t>
      </w:r>
    </w:p>
    <w:p w14:paraId="37CB9BCD" w14:textId="77777777" w:rsidR="00B72082" w:rsidRPr="00B72082" w:rsidRDefault="00B72082" w:rsidP="00B72082">
      <w:pPr>
        <w:pStyle w:val="ListParagraph"/>
        <w:numPr>
          <w:ilvl w:val="0"/>
          <w:numId w:val="47"/>
        </w:numPr>
        <w:spacing w:after="0"/>
      </w:pPr>
      <w:r w:rsidRPr="00B72082">
        <w:t xml:space="preserve">DUSC commented that with an older and less fitter population in practice, these patients would experience more side effects leading to higher rates of discontinuation in practice. </w:t>
      </w:r>
    </w:p>
    <w:p w14:paraId="37BEF58C" w14:textId="3D4F1674" w:rsidR="00B72082" w:rsidRPr="00B72082" w:rsidRDefault="00B72082" w:rsidP="00B72082">
      <w:pPr>
        <w:pStyle w:val="ListParagraph"/>
        <w:numPr>
          <w:ilvl w:val="0"/>
          <w:numId w:val="47"/>
        </w:numPr>
        <w:spacing w:after="0"/>
      </w:pPr>
      <w:r w:rsidRPr="00B72082">
        <w:t xml:space="preserve">DUSC commented that in practice, there is likely to be a greater number of patients with partial response to treatment rather than complete response, and as such the likelihood of progression and discontinuation on olaparib may be higher than the numbers in the SOLO1 trial. </w:t>
      </w:r>
    </w:p>
    <w:p w14:paraId="659E50B7" w14:textId="77777777" w:rsidR="00BD1A91" w:rsidRDefault="00BD1A91" w:rsidP="00BD1A91">
      <w:pPr>
        <w:pStyle w:val="Heading1"/>
      </w:pPr>
      <w:r>
        <w:t>DUSC actions</w:t>
      </w:r>
    </w:p>
    <w:p w14:paraId="20152703" w14:textId="2439E7C7" w:rsidR="00B72082" w:rsidRPr="00B72082" w:rsidRDefault="00B72082" w:rsidP="00BD1A91">
      <w:pPr>
        <w:rPr>
          <w:iCs/>
        </w:rPr>
      </w:pPr>
      <w:r w:rsidRPr="00B72082">
        <w:rPr>
          <w:iCs/>
        </w:rPr>
        <w:t xml:space="preserve">DUSC requested that the report be provided to the PBAC for consideration. </w:t>
      </w:r>
    </w:p>
    <w:p w14:paraId="4E477047" w14:textId="77777777" w:rsidR="00BD1A91" w:rsidRDefault="00BD1A91" w:rsidP="00BD1A91">
      <w:pPr>
        <w:pStyle w:val="Heading1"/>
      </w:pPr>
      <w:r w:rsidRPr="0092516A">
        <w:t>Context for analysis</w:t>
      </w:r>
    </w:p>
    <w:p w14:paraId="25AB3B7F" w14:textId="77777777" w:rsidR="00BD1A91" w:rsidRDefault="00BD1A91" w:rsidP="00BD1A91">
      <w:r>
        <w:t>The DUSC is a Sub Committee of the Pharmaceutical Benefits Advisory Committee (PBAC). The DUSC assesses estimates on projected usage and financial cost of medicines.</w:t>
      </w:r>
    </w:p>
    <w:p w14:paraId="35163999" w14:textId="77777777" w:rsidR="00BD1A91" w:rsidRDefault="00BD1A91" w:rsidP="00BD1A91">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30AC80D8" w14:textId="77777777" w:rsidR="00BD1A91" w:rsidRDefault="00BD1A91" w:rsidP="00BD1A91">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64D7A546" w14:textId="77777777" w:rsidR="00BD1A91" w:rsidRDefault="00BD1A91" w:rsidP="00BD1A91">
      <w:r>
        <w:t>The utilisation analysis report was provided to the pharmaceutical sponsors of each drug and comments on the report were provided to DUSC prior to its consideration of the analysis.</w:t>
      </w:r>
    </w:p>
    <w:p w14:paraId="3FEC6138" w14:textId="77777777" w:rsidR="00BD1A91" w:rsidRDefault="00BD1A91" w:rsidP="00BD1A91">
      <w:pPr>
        <w:pStyle w:val="Heading1"/>
      </w:pPr>
      <w:r>
        <w:lastRenderedPageBreak/>
        <w:t>Sponsor</w:t>
      </w:r>
      <w:r w:rsidRPr="0092516A">
        <w:t>s</w:t>
      </w:r>
      <w:r>
        <w:t>’</w:t>
      </w:r>
      <w:r w:rsidRPr="0092516A">
        <w:t xml:space="preserve"> comments</w:t>
      </w:r>
    </w:p>
    <w:p w14:paraId="01C9DD92" w14:textId="28C7C837" w:rsidR="00BD1A91" w:rsidRPr="002B0075" w:rsidRDefault="00BD1A91" w:rsidP="00BD1A91">
      <w:r w:rsidRPr="002B0075">
        <w:t xml:space="preserve">AstraZeneca Pty Ltd: </w:t>
      </w:r>
      <w:r w:rsidR="005827AC">
        <w:t xml:space="preserve">The sponsor has no comment. </w:t>
      </w:r>
    </w:p>
    <w:p w14:paraId="2DC6F9A4" w14:textId="77777777" w:rsidR="00BD1A91" w:rsidRDefault="00BD1A91" w:rsidP="00BD1A91">
      <w:pPr>
        <w:pStyle w:val="Heading1"/>
      </w:pPr>
      <w:r w:rsidRPr="00A4020E">
        <w:t>Disclaimer</w:t>
      </w:r>
    </w:p>
    <w:p w14:paraId="4563E078" w14:textId="77777777" w:rsidR="00BD1A91" w:rsidRDefault="00BD1A91" w:rsidP="00BD1A91">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23A737E8" w14:textId="77777777" w:rsidR="00BD1A91" w:rsidRDefault="00BD1A91" w:rsidP="00BD1A91">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611890BA" w14:textId="77777777" w:rsidR="00BD1A91" w:rsidRDefault="00BD1A91" w:rsidP="00BD1A91">
      <w:r>
        <w:t xml:space="preserve">To the extent provided by law, the Department of Health and Aged Care makes no warranties or representations as to accuracy or completeness of information contained in this report. </w:t>
      </w:r>
    </w:p>
    <w:p w14:paraId="06751A6C" w14:textId="77777777" w:rsidR="00BD1A91" w:rsidRDefault="00BD1A91" w:rsidP="00BD1A91">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5CE2772A" w14:textId="77777777" w:rsidR="00075BBA" w:rsidRDefault="00075BBA">
      <w:pPr>
        <w:spacing w:line="276" w:lineRule="auto"/>
        <w:rPr>
          <w:rFonts w:eastAsiaTheme="majorEastAsia" w:cstheme="majorBidi"/>
          <w:b/>
          <w:bCs/>
          <w:sz w:val="32"/>
          <w:szCs w:val="32"/>
        </w:rPr>
      </w:pPr>
      <w:r>
        <w:br w:type="page"/>
      </w:r>
    </w:p>
    <w:p w14:paraId="25D65B04" w14:textId="2028EB95" w:rsidR="00FE645A" w:rsidRDefault="002C6E0C" w:rsidP="00576D18">
      <w:pPr>
        <w:pStyle w:val="Heading1"/>
      </w:pPr>
      <w:r>
        <w:lastRenderedPageBreak/>
        <w:t>Appendices</w:t>
      </w:r>
    </w:p>
    <w:p w14:paraId="7B5F2CA8" w14:textId="3C9DD6E1" w:rsidR="00576D18" w:rsidRPr="005E22C2" w:rsidRDefault="00576D18" w:rsidP="00576D18">
      <w:pPr>
        <w:pStyle w:val="Heading2"/>
      </w:pPr>
      <w:r w:rsidRPr="005E22C2">
        <w:t>A</w:t>
      </w:r>
      <w:r>
        <w:t xml:space="preserve">ppendix A: Summary of PBAC considerations for </w:t>
      </w:r>
      <w:r w:rsidR="001625B2">
        <w:t>olaparib</w:t>
      </w:r>
      <w:r w:rsidR="002D020E">
        <w:t xml:space="preserve"> monotherapy</w:t>
      </w:r>
      <w:r w:rsidR="001625B2">
        <w:t xml:space="preserve"> for ovarian, fallopian tube or primary peritoneal cancer </w:t>
      </w:r>
    </w:p>
    <w:tbl>
      <w:tblPr>
        <w:tblStyle w:val="TableGrid"/>
        <w:tblW w:w="0" w:type="auto"/>
        <w:tblLook w:val="04A0" w:firstRow="1" w:lastRow="0" w:firstColumn="1" w:lastColumn="0" w:noHBand="0" w:noVBand="1"/>
      </w:tblPr>
      <w:tblGrid>
        <w:gridCol w:w="1409"/>
        <w:gridCol w:w="7538"/>
      </w:tblGrid>
      <w:tr w:rsidR="00FD2BBA" w:rsidRPr="00126C91" w14:paraId="51FEB80B" w14:textId="77777777" w:rsidTr="001625B2">
        <w:tc>
          <w:tcPr>
            <w:tcW w:w="1409" w:type="dxa"/>
            <w:shd w:val="clear" w:color="auto" w:fill="BFBFBF" w:themeFill="background1" w:themeFillShade="BF"/>
          </w:tcPr>
          <w:p w14:paraId="7542827D" w14:textId="6C3D51DD" w:rsidR="00FD2BBA" w:rsidRPr="00576D18" w:rsidRDefault="00576D18" w:rsidP="002B559C">
            <w:pPr>
              <w:spacing w:before="60" w:after="60"/>
              <w:rPr>
                <w:b/>
                <w:bCs/>
                <w:sz w:val="20"/>
                <w:szCs w:val="20"/>
              </w:rPr>
            </w:pPr>
            <w:r w:rsidRPr="00576D18">
              <w:rPr>
                <w:b/>
                <w:bCs/>
                <w:sz w:val="20"/>
                <w:szCs w:val="20"/>
              </w:rPr>
              <w:t xml:space="preserve">Meeting date </w:t>
            </w:r>
          </w:p>
        </w:tc>
        <w:tc>
          <w:tcPr>
            <w:tcW w:w="7538" w:type="dxa"/>
            <w:shd w:val="clear" w:color="auto" w:fill="BFBFBF" w:themeFill="background1" w:themeFillShade="BF"/>
          </w:tcPr>
          <w:p w14:paraId="1394E415" w14:textId="7B1A0744" w:rsidR="00FD2BBA" w:rsidRPr="00576D18" w:rsidRDefault="00576D18" w:rsidP="002B559C">
            <w:pPr>
              <w:spacing w:before="60" w:after="60"/>
              <w:rPr>
                <w:b/>
                <w:bCs/>
                <w:sz w:val="20"/>
                <w:szCs w:val="20"/>
              </w:rPr>
            </w:pPr>
            <w:r w:rsidRPr="00576D18">
              <w:rPr>
                <w:b/>
                <w:bCs/>
                <w:sz w:val="20"/>
                <w:szCs w:val="20"/>
              </w:rPr>
              <w:t xml:space="preserve">PBAC consideration </w:t>
            </w:r>
          </w:p>
        </w:tc>
      </w:tr>
      <w:tr w:rsidR="00FD2BBA" w:rsidRPr="00126C91" w14:paraId="3A2A72BB" w14:textId="77777777" w:rsidTr="001625B2">
        <w:tc>
          <w:tcPr>
            <w:tcW w:w="1409" w:type="dxa"/>
          </w:tcPr>
          <w:p w14:paraId="33E7639A" w14:textId="77777777" w:rsidR="00FD2BBA" w:rsidRPr="00126C91" w:rsidRDefault="00FD2BBA" w:rsidP="002B559C">
            <w:pPr>
              <w:spacing w:before="60" w:after="60"/>
              <w:rPr>
                <w:sz w:val="20"/>
                <w:szCs w:val="20"/>
              </w:rPr>
            </w:pPr>
            <w:r w:rsidRPr="00126C91">
              <w:rPr>
                <w:sz w:val="20"/>
                <w:szCs w:val="20"/>
              </w:rPr>
              <w:t xml:space="preserve">March 2016 </w:t>
            </w:r>
          </w:p>
        </w:tc>
        <w:tc>
          <w:tcPr>
            <w:tcW w:w="7538" w:type="dxa"/>
          </w:tcPr>
          <w:p w14:paraId="020507EF" w14:textId="74A0E93B" w:rsidR="00FD2BBA" w:rsidRDefault="00FD2BBA" w:rsidP="002B559C">
            <w:pPr>
              <w:spacing w:before="60" w:after="60"/>
              <w:rPr>
                <w:sz w:val="20"/>
                <w:szCs w:val="20"/>
              </w:rPr>
            </w:pPr>
            <w:r w:rsidRPr="00126C91">
              <w:rPr>
                <w:sz w:val="20"/>
                <w:szCs w:val="20"/>
              </w:rPr>
              <w:t>The PBAC deferred its decision on whether olaparib should be listed on the PBS for the treatment of high grade serous ovarian, fallopian tube or primary peritoneal cancer. The PBAC considered that there was a strong clinical need for an oral maintenance treatment with manageable adverse events like olaparib, and the updated data demonstrated an improvement in overall survival in the requested BRCAm subgroup. However, the incremental cost-effectiveness ratio was substantially underestimated and unacceptably high at the price proposed because of concerns with key aspects of the modelled economic evaluation which would need to be addressed before the PBAC could complete its decision.</w:t>
            </w:r>
          </w:p>
          <w:p w14:paraId="5C207D16" w14:textId="77777777" w:rsidR="00126C91" w:rsidRPr="00126C91" w:rsidRDefault="00126C91" w:rsidP="002B559C">
            <w:pPr>
              <w:spacing w:before="60" w:after="60"/>
              <w:rPr>
                <w:sz w:val="20"/>
                <w:szCs w:val="20"/>
              </w:rPr>
            </w:pPr>
          </w:p>
          <w:p w14:paraId="4EE4CA1C" w14:textId="656B8A2F" w:rsidR="00093FFE" w:rsidRPr="00126C91" w:rsidRDefault="00093FFE" w:rsidP="002B559C">
            <w:pPr>
              <w:spacing w:before="60" w:after="60"/>
              <w:rPr>
                <w:sz w:val="20"/>
                <w:szCs w:val="20"/>
              </w:rPr>
            </w:pPr>
            <w:r w:rsidRPr="00126C91">
              <w:rPr>
                <w:sz w:val="20"/>
                <w:szCs w:val="20"/>
              </w:rPr>
              <w:t xml:space="preserve">For further details refer to the </w:t>
            </w:r>
            <w:hyperlink r:id="rId35" w:history="1">
              <w:r w:rsidRPr="00126C91">
                <w:rPr>
                  <w:rStyle w:val="Hyperlink"/>
                  <w:sz w:val="20"/>
                  <w:szCs w:val="20"/>
                </w:rPr>
                <w:t>Public Summary Document</w:t>
              </w:r>
            </w:hyperlink>
            <w:r w:rsidRPr="00126C91">
              <w:rPr>
                <w:sz w:val="20"/>
                <w:szCs w:val="20"/>
              </w:rPr>
              <w:t xml:space="preserve"> from the March 2016 PBAC meeting.</w:t>
            </w:r>
          </w:p>
        </w:tc>
      </w:tr>
      <w:tr w:rsidR="00FD2BBA" w:rsidRPr="00126C91" w14:paraId="3F34766F" w14:textId="77777777" w:rsidTr="001625B2">
        <w:tc>
          <w:tcPr>
            <w:tcW w:w="1409" w:type="dxa"/>
          </w:tcPr>
          <w:p w14:paraId="0980529E" w14:textId="77777777" w:rsidR="00FD2BBA" w:rsidRPr="00126C91" w:rsidRDefault="00FD2BBA" w:rsidP="002B559C">
            <w:pPr>
              <w:spacing w:before="60" w:after="60"/>
              <w:rPr>
                <w:sz w:val="20"/>
                <w:szCs w:val="20"/>
              </w:rPr>
            </w:pPr>
            <w:r w:rsidRPr="00126C91">
              <w:rPr>
                <w:sz w:val="20"/>
                <w:szCs w:val="20"/>
              </w:rPr>
              <w:t>July 2016</w:t>
            </w:r>
          </w:p>
        </w:tc>
        <w:tc>
          <w:tcPr>
            <w:tcW w:w="7538" w:type="dxa"/>
          </w:tcPr>
          <w:p w14:paraId="20299919" w14:textId="69A11B11" w:rsidR="00FD2BBA" w:rsidRDefault="00FD2BBA" w:rsidP="002B559C">
            <w:pPr>
              <w:spacing w:before="60" w:after="60"/>
              <w:rPr>
                <w:sz w:val="20"/>
                <w:szCs w:val="20"/>
              </w:rPr>
            </w:pPr>
            <w:r w:rsidRPr="00126C91">
              <w:rPr>
                <w:sz w:val="20"/>
                <w:szCs w:val="20"/>
              </w:rPr>
              <w:t>The PBAC did not recommended the listing of olaparib for the treatment of high grade serous ovarian, fallopian tube or primary peritoneal cancer on the basis that the magnitude of the overall survival benefit was significantly overestimated in the model presented and, as such, the ICER was substantially underestimated and would be unacceptably high when corrected.</w:t>
            </w:r>
          </w:p>
          <w:p w14:paraId="64984DE4" w14:textId="77777777" w:rsidR="00126C91" w:rsidRPr="00126C91" w:rsidRDefault="00126C91" w:rsidP="002B559C">
            <w:pPr>
              <w:spacing w:before="60" w:after="60"/>
              <w:rPr>
                <w:sz w:val="20"/>
                <w:szCs w:val="20"/>
              </w:rPr>
            </w:pPr>
          </w:p>
          <w:p w14:paraId="1AEE3358" w14:textId="41F10130" w:rsidR="00093FFE" w:rsidRPr="00126C91" w:rsidRDefault="00093FFE" w:rsidP="002B559C">
            <w:pPr>
              <w:spacing w:before="60" w:after="60"/>
              <w:rPr>
                <w:sz w:val="20"/>
                <w:szCs w:val="20"/>
              </w:rPr>
            </w:pPr>
            <w:r w:rsidRPr="00126C91">
              <w:rPr>
                <w:sz w:val="20"/>
                <w:szCs w:val="20"/>
              </w:rPr>
              <w:t xml:space="preserve">For further details refer to the </w:t>
            </w:r>
            <w:hyperlink r:id="rId36" w:history="1">
              <w:r w:rsidRPr="00126C91">
                <w:rPr>
                  <w:rStyle w:val="Hyperlink"/>
                  <w:sz w:val="20"/>
                  <w:szCs w:val="20"/>
                </w:rPr>
                <w:t>Public Summary Document</w:t>
              </w:r>
            </w:hyperlink>
            <w:r w:rsidRPr="00126C91">
              <w:rPr>
                <w:sz w:val="20"/>
                <w:szCs w:val="20"/>
              </w:rPr>
              <w:t xml:space="preserve"> from the July 2016 PBAC meeting.</w:t>
            </w:r>
          </w:p>
        </w:tc>
      </w:tr>
      <w:tr w:rsidR="00FD2BBA" w:rsidRPr="00126C91" w14:paraId="29048045" w14:textId="77777777" w:rsidTr="001625B2">
        <w:tc>
          <w:tcPr>
            <w:tcW w:w="1409" w:type="dxa"/>
          </w:tcPr>
          <w:p w14:paraId="5AB05464" w14:textId="77777777" w:rsidR="00FD2BBA" w:rsidRPr="00126C91" w:rsidRDefault="00FD2BBA" w:rsidP="002B559C">
            <w:pPr>
              <w:spacing w:before="60" w:after="60"/>
              <w:rPr>
                <w:sz w:val="20"/>
                <w:szCs w:val="20"/>
              </w:rPr>
            </w:pPr>
            <w:r w:rsidRPr="00126C91">
              <w:rPr>
                <w:sz w:val="20"/>
                <w:szCs w:val="20"/>
              </w:rPr>
              <w:t xml:space="preserve">November 2016 </w:t>
            </w:r>
          </w:p>
        </w:tc>
        <w:tc>
          <w:tcPr>
            <w:tcW w:w="7538" w:type="dxa"/>
          </w:tcPr>
          <w:p w14:paraId="6727BD04" w14:textId="55C774B7" w:rsidR="00FD2BBA" w:rsidRDefault="00FD2BBA" w:rsidP="002B559C">
            <w:pPr>
              <w:spacing w:before="60" w:after="60"/>
              <w:rPr>
                <w:sz w:val="20"/>
                <w:szCs w:val="20"/>
              </w:rPr>
            </w:pPr>
            <w:r w:rsidRPr="00126C91">
              <w:rPr>
                <w:sz w:val="20"/>
                <w:szCs w:val="20"/>
              </w:rPr>
              <w:t>The PBAC recommended the Authority Required listing of olaparib for the treatment of high grade serous ovarian cancer, high grade serous fallopian tube cancer, and high grade serous primary peritoneal cancer. The PBAC was satisfied that olaparib provides, for some patients, a significant improvement in efficacy over best supportive care.</w:t>
            </w:r>
          </w:p>
          <w:p w14:paraId="5FD567FF" w14:textId="77777777" w:rsidR="00126C91" w:rsidRPr="00126C91" w:rsidRDefault="00126C91" w:rsidP="002B559C">
            <w:pPr>
              <w:spacing w:before="60" w:after="60"/>
              <w:rPr>
                <w:sz w:val="20"/>
                <w:szCs w:val="20"/>
              </w:rPr>
            </w:pPr>
          </w:p>
          <w:p w14:paraId="39A278E3" w14:textId="19038179" w:rsidR="00093FFE" w:rsidRPr="00126C91" w:rsidRDefault="00093FFE" w:rsidP="002B559C">
            <w:pPr>
              <w:spacing w:before="60" w:after="60"/>
              <w:rPr>
                <w:sz w:val="20"/>
                <w:szCs w:val="20"/>
              </w:rPr>
            </w:pPr>
            <w:r w:rsidRPr="00126C91">
              <w:rPr>
                <w:sz w:val="20"/>
                <w:szCs w:val="20"/>
              </w:rPr>
              <w:t xml:space="preserve">For further details refer to the </w:t>
            </w:r>
            <w:hyperlink r:id="rId37" w:history="1">
              <w:r w:rsidRPr="00126C91">
                <w:rPr>
                  <w:rStyle w:val="Hyperlink"/>
                  <w:sz w:val="20"/>
                  <w:szCs w:val="20"/>
                </w:rPr>
                <w:t>Public Summary Document</w:t>
              </w:r>
            </w:hyperlink>
            <w:r w:rsidRPr="00126C91">
              <w:rPr>
                <w:sz w:val="20"/>
                <w:szCs w:val="20"/>
              </w:rPr>
              <w:t xml:space="preserve"> from the November 2016 PBAC meeting.</w:t>
            </w:r>
          </w:p>
        </w:tc>
      </w:tr>
      <w:tr w:rsidR="00FD2BBA" w:rsidRPr="00126C91" w14:paraId="00A02618" w14:textId="77777777" w:rsidTr="001625B2">
        <w:tc>
          <w:tcPr>
            <w:tcW w:w="1409" w:type="dxa"/>
          </w:tcPr>
          <w:p w14:paraId="2CB9AECF" w14:textId="77777777" w:rsidR="00FD2BBA" w:rsidRPr="00126C91" w:rsidRDefault="00FD2BBA" w:rsidP="002B559C">
            <w:pPr>
              <w:spacing w:before="60" w:after="60"/>
              <w:rPr>
                <w:sz w:val="20"/>
                <w:szCs w:val="20"/>
              </w:rPr>
            </w:pPr>
            <w:r w:rsidRPr="00126C91">
              <w:rPr>
                <w:sz w:val="20"/>
                <w:szCs w:val="20"/>
              </w:rPr>
              <w:t xml:space="preserve">March 2018 </w:t>
            </w:r>
          </w:p>
        </w:tc>
        <w:tc>
          <w:tcPr>
            <w:tcW w:w="7538" w:type="dxa"/>
          </w:tcPr>
          <w:p w14:paraId="37ABD3B7" w14:textId="03C0A8EC" w:rsidR="00FD2BBA" w:rsidRDefault="00FD2BBA" w:rsidP="002B559C">
            <w:pPr>
              <w:spacing w:before="60" w:after="60"/>
              <w:rPr>
                <w:sz w:val="20"/>
                <w:szCs w:val="20"/>
              </w:rPr>
            </w:pPr>
            <w:r w:rsidRPr="00126C91">
              <w:rPr>
                <w:sz w:val="20"/>
                <w:szCs w:val="20"/>
              </w:rPr>
              <w:t>The PBAC recommended the Authority Required (General Schedule) listing of a new tablet form of olaparib for the treatment of high grade serous ovarian, fallopian tube and primary peritoneal cancers, on a cost-minimisation basis to olaparib capsules. In making this recommendation, the PBAC noted that the sponsor intended to withdraw the capsule form of this medicine from the market, acknowledged that the new form represented a reduced pill burden for patients and advised that a price reduction was warranted for this listing to be cost neutral to the Commonwealth, at the equi-effective doses recommended by the Committee.</w:t>
            </w:r>
          </w:p>
          <w:p w14:paraId="111D0535" w14:textId="77777777" w:rsidR="00126C91" w:rsidRPr="00126C91" w:rsidRDefault="00126C91" w:rsidP="002B559C">
            <w:pPr>
              <w:spacing w:before="60" w:after="60"/>
              <w:rPr>
                <w:sz w:val="20"/>
                <w:szCs w:val="20"/>
              </w:rPr>
            </w:pPr>
          </w:p>
          <w:p w14:paraId="6A740992" w14:textId="368ABEA6" w:rsidR="00093FFE" w:rsidRPr="00126C91" w:rsidRDefault="00093FFE" w:rsidP="002B559C">
            <w:pPr>
              <w:spacing w:before="60" w:after="60"/>
              <w:rPr>
                <w:sz w:val="20"/>
                <w:szCs w:val="20"/>
              </w:rPr>
            </w:pPr>
            <w:r w:rsidRPr="00126C91">
              <w:rPr>
                <w:sz w:val="20"/>
                <w:szCs w:val="20"/>
              </w:rPr>
              <w:t xml:space="preserve">For further details refer to the </w:t>
            </w:r>
            <w:hyperlink r:id="rId38" w:history="1">
              <w:r w:rsidRPr="00126C91">
                <w:rPr>
                  <w:rStyle w:val="Hyperlink"/>
                  <w:sz w:val="20"/>
                  <w:szCs w:val="20"/>
                </w:rPr>
                <w:t>Public Summary Document</w:t>
              </w:r>
            </w:hyperlink>
            <w:r w:rsidRPr="00126C91">
              <w:rPr>
                <w:sz w:val="20"/>
                <w:szCs w:val="20"/>
              </w:rPr>
              <w:t xml:space="preserve"> from the March 2018 PBAC meeting.</w:t>
            </w:r>
          </w:p>
        </w:tc>
      </w:tr>
      <w:tr w:rsidR="00FD2BBA" w:rsidRPr="00126C91" w14:paraId="3DAE06C3" w14:textId="77777777" w:rsidTr="001625B2">
        <w:tc>
          <w:tcPr>
            <w:tcW w:w="1409" w:type="dxa"/>
          </w:tcPr>
          <w:p w14:paraId="1AE22A75" w14:textId="77777777" w:rsidR="00FD2BBA" w:rsidRPr="00126C91" w:rsidRDefault="00FD2BBA" w:rsidP="002B559C">
            <w:pPr>
              <w:spacing w:before="60" w:after="60"/>
              <w:rPr>
                <w:sz w:val="20"/>
                <w:szCs w:val="20"/>
              </w:rPr>
            </w:pPr>
            <w:r w:rsidRPr="00126C91">
              <w:rPr>
                <w:sz w:val="20"/>
                <w:szCs w:val="20"/>
              </w:rPr>
              <w:t>November 2019</w:t>
            </w:r>
          </w:p>
        </w:tc>
        <w:tc>
          <w:tcPr>
            <w:tcW w:w="7538" w:type="dxa"/>
          </w:tcPr>
          <w:p w14:paraId="468CBB8B" w14:textId="465B4384" w:rsidR="00FD2BBA" w:rsidRDefault="00FD2BBA" w:rsidP="002B559C">
            <w:pPr>
              <w:spacing w:before="60" w:after="60"/>
              <w:rPr>
                <w:sz w:val="20"/>
                <w:szCs w:val="20"/>
              </w:rPr>
            </w:pPr>
            <w:r w:rsidRPr="00126C91">
              <w:rPr>
                <w:sz w:val="20"/>
                <w:szCs w:val="20"/>
              </w:rPr>
              <w:t xml:space="preserve">The PBAC did not recommend the listing of olaparib for the first-line maintenance treatment of ovarian, fallopian tube or primary peritoneal cancer. The PBAC considered that olaparib provided a substantial benefit to some patients in delaying recurrence, which it considered is likely to be a clinically important outcome. The PBAC considered that the modelled cost-effectiveness was uncertain due to an overly complex model </w:t>
            </w:r>
            <w:r w:rsidRPr="00126C91">
              <w:rPr>
                <w:sz w:val="20"/>
                <w:szCs w:val="20"/>
              </w:rPr>
              <w:lastRenderedPageBreak/>
              <w:t>including optimistic assumptions of the extent of the overall survival benefit which were not supported by the clinical evidence. The PBAC advised that the ICER was high at the sponsor’s proposed price. The PBAC considered the extent of use in the first-line setting was overestimated, and the reduction in use in the second-line setting was underestimated.</w:t>
            </w:r>
          </w:p>
          <w:p w14:paraId="3639FE43" w14:textId="77777777" w:rsidR="00126C91" w:rsidRPr="00126C91" w:rsidRDefault="00126C91" w:rsidP="002B559C">
            <w:pPr>
              <w:spacing w:before="60" w:after="60"/>
              <w:rPr>
                <w:sz w:val="20"/>
                <w:szCs w:val="20"/>
              </w:rPr>
            </w:pPr>
          </w:p>
          <w:p w14:paraId="5DAFD5E8" w14:textId="69DC2BFA" w:rsidR="00093FFE" w:rsidRPr="00126C91" w:rsidRDefault="00093FFE" w:rsidP="002B559C">
            <w:pPr>
              <w:spacing w:before="60" w:after="60"/>
              <w:rPr>
                <w:sz w:val="20"/>
                <w:szCs w:val="20"/>
              </w:rPr>
            </w:pPr>
            <w:r w:rsidRPr="00126C91">
              <w:rPr>
                <w:sz w:val="20"/>
                <w:szCs w:val="20"/>
              </w:rPr>
              <w:t xml:space="preserve">For further details refer to the </w:t>
            </w:r>
            <w:hyperlink r:id="rId39" w:history="1">
              <w:r w:rsidRPr="00126C91">
                <w:rPr>
                  <w:rStyle w:val="Hyperlink"/>
                  <w:sz w:val="20"/>
                  <w:szCs w:val="20"/>
                </w:rPr>
                <w:t>Public Summary Document</w:t>
              </w:r>
            </w:hyperlink>
            <w:r w:rsidRPr="00126C91">
              <w:rPr>
                <w:sz w:val="20"/>
                <w:szCs w:val="20"/>
              </w:rPr>
              <w:t xml:space="preserve"> from the November 2019 PBAC meeting.</w:t>
            </w:r>
          </w:p>
        </w:tc>
      </w:tr>
      <w:tr w:rsidR="00FD2BBA" w:rsidRPr="00126C91" w14:paraId="04D863E4" w14:textId="77777777" w:rsidTr="001625B2">
        <w:tc>
          <w:tcPr>
            <w:tcW w:w="1409" w:type="dxa"/>
          </w:tcPr>
          <w:p w14:paraId="58464CBE" w14:textId="77777777" w:rsidR="00FD2BBA" w:rsidRPr="00126C91" w:rsidRDefault="00FD2BBA" w:rsidP="002B559C">
            <w:pPr>
              <w:spacing w:before="60" w:after="60"/>
              <w:rPr>
                <w:sz w:val="20"/>
                <w:szCs w:val="20"/>
              </w:rPr>
            </w:pPr>
            <w:r w:rsidRPr="00126C91">
              <w:rPr>
                <w:sz w:val="20"/>
                <w:szCs w:val="20"/>
              </w:rPr>
              <w:lastRenderedPageBreak/>
              <w:t xml:space="preserve">March 2020 </w:t>
            </w:r>
          </w:p>
        </w:tc>
        <w:tc>
          <w:tcPr>
            <w:tcW w:w="7538" w:type="dxa"/>
          </w:tcPr>
          <w:p w14:paraId="337D524F" w14:textId="3E8FF548" w:rsidR="00FD2BBA" w:rsidRDefault="00FD2BBA" w:rsidP="002B559C">
            <w:pPr>
              <w:spacing w:before="60" w:after="60"/>
              <w:rPr>
                <w:sz w:val="20"/>
                <w:szCs w:val="20"/>
              </w:rPr>
            </w:pPr>
            <w:r w:rsidRPr="00126C91">
              <w:rPr>
                <w:sz w:val="20"/>
                <w:szCs w:val="20"/>
              </w:rPr>
              <w:t>The PBAC recommended that the existing olaparib PBS listing for the treatment of platinum-sensitive relapsed ovarian, fallopian tube and primary peritoneal cancer in patients with germline BRCA1/2 (BReast CAncer gene) mutations be amended to also include patients with somatic BRCA1/2 mutations. The PBAC considered that it was reasonable to assume the cost-effectiveness of olaparib in patients with sBRCAm would be similar to that in patients with gBRCAm, as previously accepted by the PBAC. This followed MSAC’s support for MBS listing of somatic BRCA testing to help identify additional patients who may be suitable for treatment with olaparib at its November 2019 meeting.</w:t>
            </w:r>
          </w:p>
          <w:p w14:paraId="33C18E5E" w14:textId="77777777" w:rsidR="00126C91" w:rsidRPr="00126C91" w:rsidRDefault="00126C91" w:rsidP="002B559C">
            <w:pPr>
              <w:spacing w:before="60" w:after="60"/>
              <w:rPr>
                <w:sz w:val="20"/>
                <w:szCs w:val="20"/>
              </w:rPr>
            </w:pPr>
          </w:p>
          <w:p w14:paraId="1BFAF010" w14:textId="237F835E" w:rsidR="00093FFE" w:rsidRPr="00126C91" w:rsidRDefault="00093FFE" w:rsidP="002B559C">
            <w:pPr>
              <w:spacing w:before="60" w:after="60"/>
              <w:rPr>
                <w:sz w:val="20"/>
                <w:szCs w:val="20"/>
              </w:rPr>
            </w:pPr>
            <w:r w:rsidRPr="00126C91">
              <w:rPr>
                <w:sz w:val="20"/>
                <w:szCs w:val="20"/>
              </w:rPr>
              <w:t xml:space="preserve">For further details refer to the </w:t>
            </w:r>
            <w:hyperlink r:id="rId40" w:history="1">
              <w:r w:rsidRPr="00126C91">
                <w:rPr>
                  <w:rStyle w:val="Hyperlink"/>
                  <w:sz w:val="20"/>
                  <w:szCs w:val="20"/>
                </w:rPr>
                <w:t>Public Summary Document</w:t>
              </w:r>
            </w:hyperlink>
            <w:r w:rsidRPr="00126C91">
              <w:rPr>
                <w:sz w:val="20"/>
                <w:szCs w:val="20"/>
              </w:rPr>
              <w:t xml:space="preserve"> from the March 2020 PBAC meeting.</w:t>
            </w:r>
          </w:p>
        </w:tc>
      </w:tr>
      <w:tr w:rsidR="00FD2BBA" w:rsidRPr="00126C91" w14:paraId="5A79B207" w14:textId="77777777" w:rsidTr="001625B2">
        <w:tc>
          <w:tcPr>
            <w:tcW w:w="1409" w:type="dxa"/>
          </w:tcPr>
          <w:p w14:paraId="7C7CDFA4" w14:textId="77777777" w:rsidR="00FD2BBA" w:rsidRPr="00126C91" w:rsidRDefault="00FD2BBA" w:rsidP="002B559C">
            <w:pPr>
              <w:spacing w:before="60" w:after="60"/>
              <w:rPr>
                <w:sz w:val="20"/>
                <w:szCs w:val="20"/>
              </w:rPr>
            </w:pPr>
            <w:r w:rsidRPr="00126C91">
              <w:rPr>
                <w:sz w:val="20"/>
                <w:szCs w:val="20"/>
              </w:rPr>
              <w:t xml:space="preserve">July 2020 </w:t>
            </w:r>
          </w:p>
        </w:tc>
        <w:tc>
          <w:tcPr>
            <w:tcW w:w="7538" w:type="dxa"/>
          </w:tcPr>
          <w:p w14:paraId="22DF7CA1" w14:textId="6DDF711B" w:rsidR="00FD2BBA" w:rsidRDefault="00FD2BBA" w:rsidP="002B559C">
            <w:pPr>
              <w:spacing w:before="60" w:after="60"/>
              <w:rPr>
                <w:sz w:val="20"/>
                <w:szCs w:val="20"/>
              </w:rPr>
            </w:pPr>
            <w:r w:rsidRPr="00126C91">
              <w:rPr>
                <w:sz w:val="20"/>
                <w:szCs w:val="20"/>
              </w:rPr>
              <w:t xml:space="preserve">The PBAC recommended the listing of olaparib for the treatment of high grade epithelial ovarian, fallopian tube and primary peritoneal cancers as maintenance following a partial or complete response to first line (1L) platinum-based chemotherapy in a patient with evidence of a BRCA1 or BRCA2 gene mutation (BRCAm) via germline or somatic testing. The PBAC was satisfied that 1L maintenance with olaparib provides, for some patients, a significant delay in the time to progression. The PBAC’s recommendation for listing was based on, among other matters, its assessment that the cost-effectiveness of olaparib would be acceptable if the ICER was less than $55,000 - $75,000/QALY for the revised economic model scenario. </w:t>
            </w:r>
          </w:p>
          <w:p w14:paraId="30030F59" w14:textId="77777777" w:rsidR="00126C91" w:rsidRPr="00126C91" w:rsidRDefault="00126C91" w:rsidP="002B559C">
            <w:pPr>
              <w:spacing w:before="60" w:after="60"/>
              <w:rPr>
                <w:sz w:val="20"/>
                <w:szCs w:val="20"/>
              </w:rPr>
            </w:pPr>
          </w:p>
          <w:p w14:paraId="5D9C9129" w14:textId="00708A99" w:rsidR="00093FFE" w:rsidRPr="00126C91" w:rsidRDefault="00093FFE" w:rsidP="002B559C">
            <w:pPr>
              <w:spacing w:before="60" w:after="60"/>
              <w:rPr>
                <w:sz w:val="20"/>
                <w:szCs w:val="20"/>
              </w:rPr>
            </w:pPr>
            <w:r w:rsidRPr="00126C91">
              <w:rPr>
                <w:sz w:val="20"/>
                <w:szCs w:val="20"/>
              </w:rPr>
              <w:t xml:space="preserve">For further details refer to the </w:t>
            </w:r>
            <w:hyperlink r:id="rId41" w:history="1">
              <w:r w:rsidRPr="00126C91">
                <w:rPr>
                  <w:rStyle w:val="Hyperlink"/>
                  <w:sz w:val="20"/>
                  <w:szCs w:val="20"/>
                </w:rPr>
                <w:t>Public Summary Document</w:t>
              </w:r>
            </w:hyperlink>
            <w:r w:rsidRPr="00126C91">
              <w:rPr>
                <w:sz w:val="20"/>
                <w:szCs w:val="20"/>
              </w:rPr>
              <w:t xml:space="preserve"> from the July 2020 PBAC meeting.</w:t>
            </w:r>
          </w:p>
        </w:tc>
      </w:tr>
    </w:tbl>
    <w:p w14:paraId="30F7386A" w14:textId="25096A5F" w:rsidR="00336816" w:rsidRPr="0033504C" w:rsidRDefault="00336816" w:rsidP="008740A3">
      <w:pPr>
        <w:spacing w:after="0"/>
      </w:pPr>
    </w:p>
    <w:sectPr w:rsidR="00336816" w:rsidRPr="0033504C" w:rsidSect="00DD188C">
      <w:headerReference w:type="even" r:id="rId42"/>
      <w:headerReference w:type="default" r:id="rId43"/>
      <w:footerReference w:type="even" r:id="rId44"/>
      <w:footerReference w:type="default" r:id="rId45"/>
      <w:headerReference w:type="first" r:id="rId46"/>
      <w:footerReference w:type="first" r:id="rId4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D41F" w14:textId="77777777" w:rsidR="00CF04F0" w:rsidRDefault="00CF04F0" w:rsidP="00A35800">
      <w:r>
        <w:separator/>
      </w:r>
    </w:p>
  </w:endnote>
  <w:endnote w:type="continuationSeparator" w:id="0">
    <w:p w14:paraId="1895E574" w14:textId="77777777" w:rsidR="00CF04F0" w:rsidRDefault="00CF04F0"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0ABE7763" w:rsidR="000E72C6" w:rsidRPr="000E72C6" w:rsidRDefault="005D0A3A" w:rsidP="000E72C6">
            <w:pPr>
              <w:pStyle w:val="Footer"/>
              <w:jc w:val="center"/>
              <w:rPr>
                <w:i/>
                <w:sz w:val="20"/>
              </w:rPr>
            </w:pPr>
            <w:r>
              <w:rPr>
                <w:i/>
                <w:sz w:val="20"/>
              </w:rPr>
              <w:t xml:space="preserve">Public Release Document, </w:t>
            </w:r>
            <w:r w:rsidR="007D04BE">
              <w:rPr>
                <w:i/>
                <w:sz w:val="20"/>
              </w:rPr>
              <w:t>June 2023 DUSC Meeting</w:t>
            </w:r>
          </w:p>
          <w:p w14:paraId="10292A9A" w14:textId="275D445E"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0A4E">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0A4E">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57A3" w14:textId="77777777" w:rsidR="00CF04F0" w:rsidRDefault="00CF04F0" w:rsidP="00A35800">
      <w:r>
        <w:separator/>
      </w:r>
    </w:p>
  </w:footnote>
  <w:footnote w:type="continuationSeparator" w:id="0">
    <w:p w14:paraId="59AB6D4F" w14:textId="77777777" w:rsidR="00CF04F0" w:rsidRDefault="00CF04F0" w:rsidP="00A35800">
      <w:r>
        <w:continuationSeparator/>
      </w:r>
    </w:p>
  </w:footnote>
  <w:footnote w:id="1">
    <w:p w14:paraId="11C71176" w14:textId="77777777" w:rsidR="006930FF" w:rsidRDefault="006930FF" w:rsidP="006930FF">
      <w:pPr>
        <w:pStyle w:val="FootnoteText"/>
      </w:pPr>
      <w:r>
        <w:rPr>
          <w:rStyle w:val="FootnoteReference"/>
        </w:rPr>
        <w:footnoteRef/>
      </w:r>
      <w:r>
        <w:t xml:space="preserve"> Cancer Australia. Ovarian cancer: Types of ovarian cancer. Available from </w:t>
      </w:r>
      <w:r w:rsidRPr="006930FF">
        <w:t>https://www.canceraustralia.gov.au/cancer-types/ovarian-cancer/types</w:t>
      </w:r>
    </w:p>
  </w:footnote>
  <w:footnote w:id="2">
    <w:p w14:paraId="72E6CFD9" w14:textId="55A8D647" w:rsidR="006930FF" w:rsidRDefault="006930FF">
      <w:pPr>
        <w:pStyle w:val="FootnoteText"/>
      </w:pPr>
      <w:r>
        <w:rPr>
          <w:rStyle w:val="FootnoteReference"/>
        </w:rPr>
        <w:footnoteRef/>
      </w:r>
      <w:r>
        <w:t xml:space="preserve"> Cancer Council Australia. Understanding Ovarian Cancer. April 2022. Available from </w:t>
      </w:r>
      <w:r w:rsidRPr="00500FD9">
        <w:t>https://www.cancer.org.au/</w:t>
      </w:r>
    </w:p>
  </w:footnote>
  <w:footnote w:id="3">
    <w:p w14:paraId="32422035" w14:textId="2C9925F2" w:rsidR="00EE6C70" w:rsidRPr="008142B4" w:rsidRDefault="00EE6C70" w:rsidP="00EE6C70">
      <w:pPr>
        <w:pStyle w:val="FootnoteText"/>
        <w:rPr>
          <w:szCs w:val="18"/>
        </w:rPr>
      </w:pPr>
      <w:r w:rsidRPr="008142B4">
        <w:rPr>
          <w:rStyle w:val="FootnoteReference"/>
          <w:szCs w:val="18"/>
        </w:rPr>
        <w:footnoteRef/>
      </w:r>
      <w:r w:rsidRPr="008142B4">
        <w:rPr>
          <w:szCs w:val="18"/>
        </w:rPr>
        <w:t xml:space="preserve"> </w:t>
      </w:r>
      <w:r>
        <w:rPr>
          <w:szCs w:val="18"/>
        </w:rPr>
        <w:t>Lynparza® Tablets (olaparib). Australian Approved</w:t>
      </w:r>
      <w:r w:rsidR="0046450D">
        <w:rPr>
          <w:szCs w:val="18"/>
        </w:rPr>
        <w:t xml:space="preserve"> Product </w:t>
      </w:r>
      <w:r>
        <w:rPr>
          <w:szCs w:val="18"/>
        </w:rPr>
        <w:t xml:space="preserve">Information. Macquarie Park: AstraZeneca Pty Ltd Approved </w:t>
      </w:r>
      <w:r w:rsidR="006930FF">
        <w:rPr>
          <w:szCs w:val="18"/>
        </w:rPr>
        <w:t>23 May 2018</w:t>
      </w:r>
      <w:r>
        <w:rPr>
          <w:szCs w:val="18"/>
        </w:rPr>
        <w:t xml:space="preserve">, updated </w:t>
      </w:r>
      <w:r w:rsidR="006930FF">
        <w:rPr>
          <w:szCs w:val="18"/>
        </w:rPr>
        <w:t>4 October 2022</w:t>
      </w:r>
      <w:r>
        <w:rPr>
          <w:szCs w:val="18"/>
        </w:rPr>
        <w:t>. Available from &lt;</w:t>
      </w:r>
      <w:r w:rsidRPr="00CD4486">
        <w:t xml:space="preserve"> </w:t>
      </w:r>
      <w:r w:rsidRPr="00CD4486">
        <w:rPr>
          <w:szCs w:val="18"/>
        </w:rPr>
        <w:t>https://www.tga.gov.au/product-information-pi</w:t>
      </w:r>
      <w:r>
        <w:rPr>
          <w:szCs w:val="18"/>
        </w:rPr>
        <w:t>.&gt;</w:t>
      </w:r>
    </w:p>
  </w:footnote>
  <w:footnote w:id="4">
    <w:p w14:paraId="0A4DD767" w14:textId="6B3A91EE" w:rsidR="00576B18" w:rsidRPr="00BC5AE2" w:rsidRDefault="00576B18" w:rsidP="00576B18">
      <w:pPr>
        <w:pStyle w:val="FootnoteText"/>
        <w:rPr>
          <w:sz w:val="20"/>
        </w:rPr>
      </w:pPr>
      <w:r w:rsidRPr="00BC5AE2">
        <w:rPr>
          <w:rStyle w:val="FootnoteReference"/>
          <w:sz w:val="20"/>
        </w:rPr>
        <w:footnoteRef/>
      </w:r>
      <w:r w:rsidRPr="00BC5AE2">
        <w:rPr>
          <w:sz w:val="20"/>
        </w:rPr>
        <w:t xml:space="preserve"> PBS statistics</w:t>
      </w:r>
      <w:r>
        <w:rPr>
          <w:sz w:val="20"/>
        </w:rPr>
        <w:t xml:space="preserve">. Australian Government </w:t>
      </w:r>
      <w:r w:rsidR="006804E0" w:rsidRPr="006804E0">
        <w:rPr>
          <w:sz w:val="20"/>
        </w:rPr>
        <w:t>Services Australia</w:t>
      </w:r>
      <w:r>
        <w:rPr>
          <w:sz w:val="20"/>
        </w:rPr>
        <w:t>. Canberra. Available from &lt;</w:t>
      </w:r>
      <w:hyperlink r:id="rId1" w:history="1">
        <w:r>
          <w:rPr>
            <w:rStyle w:val="Hyperlink"/>
            <w:sz w:val="20"/>
          </w:rPr>
          <w:t>http://www.medicareaustralia.gov.au/provider/pbs/stats.jsp</w:t>
        </w:r>
      </w:hyperlink>
      <w:r>
        <w:rPr>
          <w:sz w:val="20"/>
        </w:rPr>
        <w:t>&gt;.</w:t>
      </w:r>
    </w:p>
  </w:footnote>
  <w:footnote w:id="5">
    <w:p w14:paraId="791D94AB" w14:textId="77777777" w:rsidR="00B72082" w:rsidRDefault="00B72082" w:rsidP="00B72082">
      <w:pPr>
        <w:pStyle w:val="FootnoteText"/>
      </w:pPr>
      <w:r>
        <w:rPr>
          <w:rStyle w:val="FootnoteReference"/>
        </w:rPr>
        <w:footnoteRef/>
      </w:r>
      <w:r>
        <w:t xml:space="preserve"> National Gynae Oncology Registry. Ovarian Cancer Registry: The OvCR Annual Report July 2020-December 2021. Available from &lt;</w:t>
      </w:r>
      <w:r w:rsidRPr="00D174C5">
        <w:t xml:space="preserve"> https://ngor.org.au/index.php/news-and-reports/</w:t>
      </w:r>
      <w:r>
        <w:t>&gt;</w:t>
      </w:r>
    </w:p>
  </w:footnote>
  <w:footnote w:id="6">
    <w:p w14:paraId="7EDD5050" w14:textId="77777777" w:rsidR="00B72082" w:rsidRDefault="00B72082" w:rsidP="00B72082">
      <w:pPr>
        <w:pStyle w:val="FootnoteText"/>
      </w:pPr>
      <w:r>
        <w:rPr>
          <w:rStyle w:val="FootnoteReference"/>
        </w:rPr>
        <w:footnoteRef/>
      </w:r>
      <w:r>
        <w:t xml:space="preserve"> </w:t>
      </w:r>
      <w:r>
        <w:rPr>
          <w:szCs w:val="18"/>
        </w:rPr>
        <w:t>Lynparza® Tablets (olaparib). Australian Approved Product Information. Macquarie Park: AstraZeneca Pty Ltd Approved 23 May 2018, updated 4 October 2022. Available from &lt;</w:t>
      </w:r>
      <w:r w:rsidRPr="00CD4486">
        <w:t xml:space="preserve"> </w:t>
      </w:r>
      <w:r w:rsidRPr="00CD4486">
        <w:rPr>
          <w:szCs w:val="18"/>
        </w:rPr>
        <w:t>https://www.tga.gov.au/product-information-pi</w:t>
      </w:r>
      <w:r>
        <w:rPr>
          <w:szCs w:val="18"/>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F878" w14:textId="77777777" w:rsidR="00DD188C" w:rsidRDefault="00DD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7B84" w14:textId="29CF00F3" w:rsidR="00FB77FA" w:rsidRDefault="00FB77FA" w:rsidP="00FB77FA">
    <w:pPr>
      <w:pStyle w:val="Header"/>
    </w:pPr>
  </w:p>
  <w:p w14:paraId="3A96F15D" w14:textId="77777777" w:rsidR="00FB77FA" w:rsidRDefault="00FB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7C54" w14:textId="77777777" w:rsidR="00DD188C" w:rsidRDefault="00DD1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862"/>
    <w:multiLevelType w:val="hybridMultilevel"/>
    <w:tmpl w:val="A67C8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65E73"/>
    <w:multiLevelType w:val="hybridMultilevel"/>
    <w:tmpl w:val="66FEB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6072D"/>
    <w:multiLevelType w:val="multilevel"/>
    <w:tmpl w:val="F274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10736"/>
    <w:multiLevelType w:val="multilevel"/>
    <w:tmpl w:val="AE20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D4E9C"/>
    <w:multiLevelType w:val="multilevel"/>
    <w:tmpl w:val="FC24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B4F53"/>
    <w:multiLevelType w:val="multilevel"/>
    <w:tmpl w:val="EA66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B419C"/>
    <w:multiLevelType w:val="hybridMultilevel"/>
    <w:tmpl w:val="33661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A093EAD"/>
    <w:multiLevelType w:val="multilevel"/>
    <w:tmpl w:val="4736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543AF1"/>
    <w:multiLevelType w:val="multilevel"/>
    <w:tmpl w:val="F4F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5F5C2B"/>
    <w:multiLevelType w:val="multilevel"/>
    <w:tmpl w:val="47C6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6B3287"/>
    <w:multiLevelType w:val="hybridMultilevel"/>
    <w:tmpl w:val="BA226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C51DEB"/>
    <w:multiLevelType w:val="multilevel"/>
    <w:tmpl w:val="063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96765"/>
    <w:multiLevelType w:val="hybridMultilevel"/>
    <w:tmpl w:val="C690F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B82164"/>
    <w:multiLevelType w:val="hybridMultilevel"/>
    <w:tmpl w:val="76B6B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222CC"/>
    <w:multiLevelType w:val="hybridMultilevel"/>
    <w:tmpl w:val="EDA453B2"/>
    <w:lvl w:ilvl="0" w:tplc="F02C7696">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8736D"/>
    <w:multiLevelType w:val="multilevel"/>
    <w:tmpl w:val="E2BC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97F65"/>
    <w:multiLevelType w:val="multilevel"/>
    <w:tmpl w:val="281A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AD6ABA"/>
    <w:multiLevelType w:val="hybridMultilevel"/>
    <w:tmpl w:val="4B800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470CA"/>
    <w:multiLevelType w:val="multilevel"/>
    <w:tmpl w:val="7682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75AA6"/>
    <w:multiLevelType w:val="multilevel"/>
    <w:tmpl w:val="9D1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0315AD"/>
    <w:multiLevelType w:val="hybridMultilevel"/>
    <w:tmpl w:val="A4DC3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6E5245"/>
    <w:multiLevelType w:val="hybridMultilevel"/>
    <w:tmpl w:val="B3381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056E91"/>
    <w:multiLevelType w:val="hybridMultilevel"/>
    <w:tmpl w:val="ADC83F9E"/>
    <w:lvl w:ilvl="0" w:tplc="BF1665BC">
      <w:start w:val="1"/>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7795380"/>
    <w:multiLevelType w:val="hybridMultilevel"/>
    <w:tmpl w:val="1C5EC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A73996"/>
    <w:multiLevelType w:val="multilevel"/>
    <w:tmpl w:val="C640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420F77"/>
    <w:multiLevelType w:val="multilevel"/>
    <w:tmpl w:val="F9D4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33795"/>
    <w:multiLevelType w:val="multilevel"/>
    <w:tmpl w:val="284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690773"/>
    <w:multiLevelType w:val="multilevel"/>
    <w:tmpl w:val="03AE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A0113"/>
    <w:multiLevelType w:val="multilevel"/>
    <w:tmpl w:val="AAB2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007A9"/>
    <w:multiLevelType w:val="multilevel"/>
    <w:tmpl w:val="2062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21119F"/>
    <w:multiLevelType w:val="hybridMultilevel"/>
    <w:tmpl w:val="8DBE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FB696A"/>
    <w:multiLevelType w:val="multilevel"/>
    <w:tmpl w:val="C29E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D0516"/>
    <w:multiLevelType w:val="hybridMultilevel"/>
    <w:tmpl w:val="81400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631320"/>
    <w:multiLevelType w:val="hybridMultilevel"/>
    <w:tmpl w:val="C810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F8719B"/>
    <w:multiLevelType w:val="hybridMultilevel"/>
    <w:tmpl w:val="4CF81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3E76FB"/>
    <w:multiLevelType w:val="hybridMultilevel"/>
    <w:tmpl w:val="A2E22BC8"/>
    <w:lvl w:ilvl="0" w:tplc="3CE2FFFA">
      <w:start w:val="300"/>
      <w:numFmt w:val="bullet"/>
      <w:lvlText w:val="-"/>
      <w:lvlJc w:val="left"/>
      <w:pPr>
        <w:ind w:left="1080" w:hanging="360"/>
      </w:pPr>
      <w:rPr>
        <w:rFonts w:ascii="Arial Narrow" w:eastAsia="Times New Roman" w:hAnsi="Arial Narrow"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66F0DF1"/>
    <w:multiLevelType w:val="hybridMultilevel"/>
    <w:tmpl w:val="00203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556E44"/>
    <w:multiLevelType w:val="hybridMultilevel"/>
    <w:tmpl w:val="FBCED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912C3"/>
    <w:multiLevelType w:val="hybridMultilevel"/>
    <w:tmpl w:val="025E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880EB7"/>
    <w:multiLevelType w:val="hybridMultilevel"/>
    <w:tmpl w:val="478E6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45F30FF"/>
    <w:multiLevelType w:val="multilevel"/>
    <w:tmpl w:val="DED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A3222"/>
    <w:multiLevelType w:val="hybridMultilevel"/>
    <w:tmpl w:val="FF7C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11952"/>
    <w:multiLevelType w:val="hybridMultilevel"/>
    <w:tmpl w:val="2228C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C87FB5"/>
    <w:multiLevelType w:val="hybridMultilevel"/>
    <w:tmpl w:val="307C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A6112A"/>
    <w:multiLevelType w:val="hybridMultilevel"/>
    <w:tmpl w:val="79460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ED4D2A"/>
    <w:multiLevelType w:val="multilevel"/>
    <w:tmpl w:val="FEA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405286">
    <w:abstractNumId w:val="42"/>
  </w:num>
  <w:num w:numId="2" w16cid:durableId="1638998423">
    <w:abstractNumId w:val="36"/>
  </w:num>
  <w:num w:numId="3" w16cid:durableId="2074312011">
    <w:abstractNumId w:val="18"/>
  </w:num>
  <w:num w:numId="4" w16cid:durableId="250087064">
    <w:abstractNumId w:val="33"/>
  </w:num>
  <w:num w:numId="5" w16cid:durableId="1698119818">
    <w:abstractNumId w:val="28"/>
  </w:num>
  <w:num w:numId="6" w16cid:durableId="1005589875">
    <w:abstractNumId w:val="4"/>
  </w:num>
  <w:num w:numId="7" w16cid:durableId="1452556939">
    <w:abstractNumId w:val="30"/>
  </w:num>
  <w:num w:numId="8" w16cid:durableId="732777297">
    <w:abstractNumId w:val="2"/>
  </w:num>
  <w:num w:numId="9" w16cid:durableId="407767988">
    <w:abstractNumId w:val="8"/>
  </w:num>
  <w:num w:numId="10" w16cid:durableId="171843076">
    <w:abstractNumId w:val="27"/>
  </w:num>
  <w:num w:numId="11" w16cid:durableId="75058642">
    <w:abstractNumId w:val="31"/>
  </w:num>
  <w:num w:numId="12" w16cid:durableId="179778492">
    <w:abstractNumId w:val="43"/>
  </w:num>
  <w:num w:numId="13" w16cid:durableId="1523712137">
    <w:abstractNumId w:val="17"/>
  </w:num>
  <w:num w:numId="14" w16cid:durableId="1780951542">
    <w:abstractNumId w:val="26"/>
  </w:num>
  <w:num w:numId="15" w16cid:durableId="1627275317">
    <w:abstractNumId w:val="5"/>
  </w:num>
  <w:num w:numId="16" w16cid:durableId="919171744">
    <w:abstractNumId w:val="9"/>
  </w:num>
  <w:num w:numId="17" w16cid:durableId="1174342943">
    <w:abstractNumId w:val="10"/>
  </w:num>
  <w:num w:numId="18" w16cid:durableId="1781606262">
    <w:abstractNumId w:val="3"/>
  </w:num>
  <w:num w:numId="19" w16cid:durableId="2021464788">
    <w:abstractNumId w:val="12"/>
  </w:num>
  <w:num w:numId="20" w16cid:durableId="612859680">
    <w:abstractNumId w:val="16"/>
  </w:num>
  <w:num w:numId="21" w16cid:durableId="1130900042">
    <w:abstractNumId w:val="29"/>
  </w:num>
  <w:num w:numId="22" w16cid:durableId="339699301">
    <w:abstractNumId w:val="20"/>
  </w:num>
  <w:num w:numId="23" w16cid:durableId="1555312264">
    <w:abstractNumId w:val="48"/>
  </w:num>
  <w:num w:numId="24" w16cid:durableId="617758150">
    <w:abstractNumId w:val="21"/>
  </w:num>
  <w:num w:numId="25" w16cid:durableId="1342584854">
    <w:abstractNumId w:val="13"/>
  </w:num>
  <w:num w:numId="26" w16cid:durableId="1910537090">
    <w:abstractNumId w:val="46"/>
  </w:num>
  <w:num w:numId="27" w16cid:durableId="1020854289">
    <w:abstractNumId w:val="32"/>
  </w:num>
  <w:num w:numId="28" w16cid:durableId="1552038516">
    <w:abstractNumId w:val="23"/>
  </w:num>
  <w:num w:numId="29" w16cid:durableId="586161207">
    <w:abstractNumId w:val="19"/>
  </w:num>
  <w:num w:numId="30" w16cid:durableId="1094549452">
    <w:abstractNumId w:val="41"/>
  </w:num>
  <w:num w:numId="31" w16cid:durableId="328797051">
    <w:abstractNumId w:val="45"/>
  </w:num>
  <w:num w:numId="32" w16cid:durableId="1129323028">
    <w:abstractNumId w:val="47"/>
  </w:num>
  <w:num w:numId="33" w16cid:durableId="713237563">
    <w:abstractNumId w:val="0"/>
  </w:num>
  <w:num w:numId="34" w16cid:durableId="836849103">
    <w:abstractNumId w:val="34"/>
  </w:num>
  <w:num w:numId="35" w16cid:durableId="1398481242">
    <w:abstractNumId w:val="6"/>
  </w:num>
  <w:num w:numId="36" w16cid:durableId="1061322202">
    <w:abstractNumId w:val="24"/>
  </w:num>
  <w:num w:numId="37" w16cid:durableId="1980919097">
    <w:abstractNumId w:val="1"/>
  </w:num>
  <w:num w:numId="38" w16cid:durableId="2126000679">
    <w:abstractNumId w:val="35"/>
  </w:num>
  <w:num w:numId="39" w16cid:durableId="283774476">
    <w:abstractNumId w:val="37"/>
  </w:num>
  <w:num w:numId="40" w16cid:durableId="819270280">
    <w:abstractNumId w:val="15"/>
  </w:num>
  <w:num w:numId="41" w16cid:durableId="1591935503">
    <w:abstractNumId w:val="7"/>
  </w:num>
  <w:num w:numId="42" w16cid:durableId="717625405">
    <w:abstractNumId w:val="25"/>
  </w:num>
  <w:num w:numId="43" w16cid:durableId="635063458">
    <w:abstractNumId w:val="39"/>
  </w:num>
  <w:num w:numId="44" w16cid:durableId="1068454186">
    <w:abstractNumId w:val="22"/>
  </w:num>
  <w:num w:numId="45" w16cid:durableId="2096978599">
    <w:abstractNumId w:val="40"/>
  </w:num>
  <w:num w:numId="46" w16cid:durableId="502475241">
    <w:abstractNumId w:val="38"/>
  </w:num>
  <w:num w:numId="47" w16cid:durableId="1272666440">
    <w:abstractNumId w:val="11"/>
  </w:num>
  <w:num w:numId="48" w16cid:durableId="1645697901">
    <w:abstractNumId w:val="14"/>
  </w:num>
  <w:num w:numId="49" w16cid:durableId="5476881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7E85"/>
    <w:rsid w:val="00013465"/>
    <w:rsid w:val="00020608"/>
    <w:rsid w:val="000226B3"/>
    <w:rsid w:val="00024549"/>
    <w:rsid w:val="000276EB"/>
    <w:rsid w:val="00052BBF"/>
    <w:rsid w:val="000544B6"/>
    <w:rsid w:val="000604AF"/>
    <w:rsid w:val="00060822"/>
    <w:rsid w:val="00067C96"/>
    <w:rsid w:val="00075BBA"/>
    <w:rsid w:val="00077888"/>
    <w:rsid w:val="000804D5"/>
    <w:rsid w:val="00086C11"/>
    <w:rsid w:val="00086D4B"/>
    <w:rsid w:val="00093FFE"/>
    <w:rsid w:val="00094DCF"/>
    <w:rsid w:val="000A6CFD"/>
    <w:rsid w:val="000B0982"/>
    <w:rsid w:val="000B796C"/>
    <w:rsid w:val="000C46BB"/>
    <w:rsid w:val="000C4D9D"/>
    <w:rsid w:val="000C6EC0"/>
    <w:rsid w:val="000C7C4B"/>
    <w:rsid w:val="000C7D8B"/>
    <w:rsid w:val="000D1FDB"/>
    <w:rsid w:val="000E1708"/>
    <w:rsid w:val="000E342E"/>
    <w:rsid w:val="000E485D"/>
    <w:rsid w:val="000E72C6"/>
    <w:rsid w:val="000F1893"/>
    <w:rsid w:val="000F2F51"/>
    <w:rsid w:val="00103795"/>
    <w:rsid w:val="00105FC1"/>
    <w:rsid w:val="00113CF8"/>
    <w:rsid w:val="00113D74"/>
    <w:rsid w:val="00117C5C"/>
    <w:rsid w:val="0012026D"/>
    <w:rsid w:val="00126C91"/>
    <w:rsid w:val="001310AE"/>
    <w:rsid w:val="001329B4"/>
    <w:rsid w:val="00134050"/>
    <w:rsid w:val="00134EB6"/>
    <w:rsid w:val="001420B3"/>
    <w:rsid w:val="001460C4"/>
    <w:rsid w:val="0015691C"/>
    <w:rsid w:val="00157946"/>
    <w:rsid w:val="001621F7"/>
    <w:rsid w:val="001622AE"/>
    <w:rsid w:val="001623C3"/>
    <w:rsid w:val="001624D7"/>
    <w:rsid w:val="001625B2"/>
    <w:rsid w:val="001730D9"/>
    <w:rsid w:val="0017330D"/>
    <w:rsid w:val="00177B86"/>
    <w:rsid w:val="00180181"/>
    <w:rsid w:val="00182585"/>
    <w:rsid w:val="00191182"/>
    <w:rsid w:val="00193F93"/>
    <w:rsid w:val="0019664D"/>
    <w:rsid w:val="001A6103"/>
    <w:rsid w:val="001B5623"/>
    <w:rsid w:val="001B5D37"/>
    <w:rsid w:val="001C2940"/>
    <w:rsid w:val="001C4016"/>
    <w:rsid w:val="001C548D"/>
    <w:rsid w:val="001C6A5D"/>
    <w:rsid w:val="001C7D6E"/>
    <w:rsid w:val="001D4AEC"/>
    <w:rsid w:val="001D78B9"/>
    <w:rsid w:val="001E0555"/>
    <w:rsid w:val="001E31A6"/>
    <w:rsid w:val="001E42C7"/>
    <w:rsid w:val="001E4CAB"/>
    <w:rsid w:val="001F0A4E"/>
    <w:rsid w:val="001F1F33"/>
    <w:rsid w:val="001F2F3E"/>
    <w:rsid w:val="001F4906"/>
    <w:rsid w:val="001F64BF"/>
    <w:rsid w:val="001F7C4A"/>
    <w:rsid w:val="0020578A"/>
    <w:rsid w:val="00207631"/>
    <w:rsid w:val="00214013"/>
    <w:rsid w:val="00220FC1"/>
    <w:rsid w:val="00222E9A"/>
    <w:rsid w:val="0023179D"/>
    <w:rsid w:val="00232014"/>
    <w:rsid w:val="00234936"/>
    <w:rsid w:val="00240AF0"/>
    <w:rsid w:val="0025389D"/>
    <w:rsid w:val="00254289"/>
    <w:rsid w:val="00254E02"/>
    <w:rsid w:val="00256768"/>
    <w:rsid w:val="0026265F"/>
    <w:rsid w:val="00264ADD"/>
    <w:rsid w:val="00272336"/>
    <w:rsid w:val="0028014B"/>
    <w:rsid w:val="00286C3A"/>
    <w:rsid w:val="00291313"/>
    <w:rsid w:val="00292CBF"/>
    <w:rsid w:val="002930F5"/>
    <w:rsid w:val="002A06B7"/>
    <w:rsid w:val="002A4550"/>
    <w:rsid w:val="002A6359"/>
    <w:rsid w:val="002B0075"/>
    <w:rsid w:val="002B4C45"/>
    <w:rsid w:val="002B559C"/>
    <w:rsid w:val="002B734E"/>
    <w:rsid w:val="002C6E0C"/>
    <w:rsid w:val="002D020E"/>
    <w:rsid w:val="002D144A"/>
    <w:rsid w:val="002E19A3"/>
    <w:rsid w:val="002E212B"/>
    <w:rsid w:val="002E2D8B"/>
    <w:rsid w:val="002E3337"/>
    <w:rsid w:val="002E6D03"/>
    <w:rsid w:val="002F30A0"/>
    <w:rsid w:val="002F49A8"/>
    <w:rsid w:val="002F5E66"/>
    <w:rsid w:val="002F61CA"/>
    <w:rsid w:val="0030010D"/>
    <w:rsid w:val="00313942"/>
    <w:rsid w:val="00317329"/>
    <w:rsid w:val="00322CFD"/>
    <w:rsid w:val="00326676"/>
    <w:rsid w:val="0033504C"/>
    <w:rsid w:val="00336816"/>
    <w:rsid w:val="003370D0"/>
    <w:rsid w:val="00337355"/>
    <w:rsid w:val="00340118"/>
    <w:rsid w:val="003402E4"/>
    <w:rsid w:val="00340F95"/>
    <w:rsid w:val="0034694D"/>
    <w:rsid w:val="003531ED"/>
    <w:rsid w:val="00360B9A"/>
    <w:rsid w:val="0036338A"/>
    <w:rsid w:val="00367DC7"/>
    <w:rsid w:val="003719CA"/>
    <w:rsid w:val="00373914"/>
    <w:rsid w:val="0038545A"/>
    <w:rsid w:val="00387376"/>
    <w:rsid w:val="0039017F"/>
    <w:rsid w:val="003901C9"/>
    <w:rsid w:val="00391863"/>
    <w:rsid w:val="00394AEE"/>
    <w:rsid w:val="003A36CC"/>
    <w:rsid w:val="003A4E6D"/>
    <w:rsid w:val="003A6E5C"/>
    <w:rsid w:val="003C2D98"/>
    <w:rsid w:val="003C456E"/>
    <w:rsid w:val="003C7E45"/>
    <w:rsid w:val="003D3A96"/>
    <w:rsid w:val="003D3B9C"/>
    <w:rsid w:val="003E5A43"/>
    <w:rsid w:val="003F2B30"/>
    <w:rsid w:val="004049FD"/>
    <w:rsid w:val="00404F03"/>
    <w:rsid w:val="00410F59"/>
    <w:rsid w:val="00412051"/>
    <w:rsid w:val="00412C9F"/>
    <w:rsid w:val="004130E9"/>
    <w:rsid w:val="00417165"/>
    <w:rsid w:val="00423B94"/>
    <w:rsid w:val="00424D49"/>
    <w:rsid w:val="0043660F"/>
    <w:rsid w:val="00460805"/>
    <w:rsid w:val="00463731"/>
    <w:rsid w:val="0046400A"/>
    <w:rsid w:val="0046450D"/>
    <w:rsid w:val="00465987"/>
    <w:rsid w:val="00467B25"/>
    <w:rsid w:val="004749E3"/>
    <w:rsid w:val="00475B8B"/>
    <w:rsid w:val="00477173"/>
    <w:rsid w:val="00481108"/>
    <w:rsid w:val="004900D9"/>
    <w:rsid w:val="0049042B"/>
    <w:rsid w:val="00493ED6"/>
    <w:rsid w:val="00495473"/>
    <w:rsid w:val="004A458E"/>
    <w:rsid w:val="004A4AF6"/>
    <w:rsid w:val="004A4D94"/>
    <w:rsid w:val="004B0997"/>
    <w:rsid w:val="004B23E7"/>
    <w:rsid w:val="004B306F"/>
    <w:rsid w:val="004C3186"/>
    <w:rsid w:val="004C3914"/>
    <w:rsid w:val="004C5042"/>
    <w:rsid w:val="004D282D"/>
    <w:rsid w:val="004D3FB8"/>
    <w:rsid w:val="004D4596"/>
    <w:rsid w:val="004D4E4B"/>
    <w:rsid w:val="004E3C48"/>
    <w:rsid w:val="004E4422"/>
    <w:rsid w:val="004E44BD"/>
    <w:rsid w:val="004F6456"/>
    <w:rsid w:val="00500FD9"/>
    <w:rsid w:val="00502832"/>
    <w:rsid w:val="00503998"/>
    <w:rsid w:val="00505D04"/>
    <w:rsid w:val="00505E04"/>
    <w:rsid w:val="0050623B"/>
    <w:rsid w:val="00507356"/>
    <w:rsid w:val="00523181"/>
    <w:rsid w:val="00524D13"/>
    <w:rsid w:val="00530091"/>
    <w:rsid w:val="005339F6"/>
    <w:rsid w:val="005575EF"/>
    <w:rsid w:val="00557F11"/>
    <w:rsid w:val="00576B18"/>
    <w:rsid w:val="00576D18"/>
    <w:rsid w:val="005827AC"/>
    <w:rsid w:val="00587724"/>
    <w:rsid w:val="00591512"/>
    <w:rsid w:val="0059245D"/>
    <w:rsid w:val="005A2DB3"/>
    <w:rsid w:val="005A5D9F"/>
    <w:rsid w:val="005B2D91"/>
    <w:rsid w:val="005B48B4"/>
    <w:rsid w:val="005C6661"/>
    <w:rsid w:val="005C6E3B"/>
    <w:rsid w:val="005C7E04"/>
    <w:rsid w:val="005D0A3A"/>
    <w:rsid w:val="005D2B52"/>
    <w:rsid w:val="005D474B"/>
    <w:rsid w:val="005E085C"/>
    <w:rsid w:val="005E147D"/>
    <w:rsid w:val="005E22C2"/>
    <w:rsid w:val="005E45E7"/>
    <w:rsid w:val="005E57BB"/>
    <w:rsid w:val="005F0017"/>
    <w:rsid w:val="006014F1"/>
    <w:rsid w:val="00605CB6"/>
    <w:rsid w:val="0061357B"/>
    <w:rsid w:val="00614A7D"/>
    <w:rsid w:val="00615B9E"/>
    <w:rsid w:val="00630C97"/>
    <w:rsid w:val="006315C2"/>
    <w:rsid w:val="00635561"/>
    <w:rsid w:val="0063631C"/>
    <w:rsid w:val="0063757B"/>
    <w:rsid w:val="006377CE"/>
    <w:rsid w:val="006537D9"/>
    <w:rsid w:val="00664A48"/>
    <w:rsid w:val="00665DEF"/>
    <w:rsid w:val="006714CF"/>
    <w:rsid w:val="00675BB1"/>
    <w:rsid w:val="006775F1"/>
    <w:rsid w:val="006804E0"/>
    <w:rsid w:val="006815A8"/>
    <w:rsid w:val="00692AA7"/>
    <w:rsid w:val="006930FF"/>
    <w:rsid w:val="00697FEC"/>
    <w:rsid w:val="006A175F"/>
    <w:rsid w:val="006A44F5"/>
    <w:rsid w:val="006A4796"/>
    <w:rsid w:val="006B32BE"/>
    <w:rsid w:val="006B4537"/>
    <w:rsid w:val="006B554F"/>
    <w:rsid w:val="006B5F85"/>
    <w:rsid w:val="006B6929"/>
    <w:rsid w:val="006B709B"/>
    <w:rsid w:val="006C54AF"/>
    <w:rsid w:val="006E0181"/>
    <w:rsid w:val="006F5182"/>
    <w:rsid w:val="006F541C"/>
    <w:rsid w:val="006F6D03"/>
    <w:rsid w:val="00700C0E"/>
    <w:rsid w:val="00705DAD"/>
    <w:rsid w:val="007074E8"/>
    <w:rsid w:val="00710803"/>
    <w:rsid w:val="00712021"/>
    <w:rsid w:val="00717A66"/>
    <w:rsid w:val="007201F1"/>
    <w:rsid w:val="007244B0"/>
    <w:rsid w:val="007247B9"/>
    <w:rsid w:val="00725BFF"/>
    <w:rsid w:val="00727D85"/>
    <w:rsid w:val="007346C7"/>
    <w:rsid w:val="00736041"/>
    <w:rsid w:val="007408C7"/>
    <w:rsid w:val="007465DA"/>
    <w:rsid w:val="00752C7F"/>
    <w:rsid w:val="007627B5"/>
    <w:rsid w:val="00766EE4"/>
    <w:rsid w:val="00770096"/>
    <w:rsid w:val="00776598"/>
    <w:rsid w:val="00783EAA"/>
    <w:rsid w:val="00790973"/>
    <w:rsid w:val="00792948"/>
    <w:rsid w:val="00796E84"/>
    <w:rsid w:val="007A0DAF"/>
    <w:rsid w:val="007A24E9"/>
    <w:rsid w:val="007A3ADE"/>
    <w:rsid w:val="007A5733"/>
    <w:rsid w:val="007A5774"/>
    <w:rsid w:val="007B5D20"/>
    <w:rsid w:val="007C7130"/>
    <w:rsid w:val="007D04BE"/>
    <w:rsid w:val="007D45E0"/>
    <w:rsid w:val="007D686F"/>
    <w:rsid w:val="007E6987"/>
    <w:rsid w:val="007F3855"/>
    <w:rsid w:val="007F4345"/>
    <w:rsid w:val="007F59D5"/>
    <w:rsid w:val="007F6A90"/>
    <w:rsid w:val="00801E74"/>
    <w:rsid w:val="0080411B"/>
    <w:rsid w:val="0080485E"/>
    <w:rsid w:val="00804D63"/>
    <w:rsid w:val="00805870"/>
    <w:rsid w:val="00813311"/>
    <w:rsid w:val="008142B4"/>
    <w:rsid w:val="00814E84"/>
    <w:rsid w:val="00821C1A"/>
    <w:rsid w:val="008274BB"/>
    <w:rsid w:val="00832324"/>
    <w:rsid w:val="00835337"/>
    <w:rsid w:val="00840636"/>
    <w:rsid w:val="00841AE1"/>
    <w:rsid w:val="00846DCD"/>
    <w:rsid w:val="00851D85"/>
    <w:rsid w:val="00854E86"/>
    <w:rsid w:val="00856656"/>
    <w:rsid w:val="00860CCB"/>
    <w:rsid w:val="0086317E"/>
    <w:rsid w:val="00871685"/>
    <w:rsid w:val="008740A3"/>
    <w:rsid w:val="0088547D"/>
    <w:rsid w:val="00887D85"/>
    <w:rsid w:val="0089297B"/>
    <w:rsid w:val="008A0627"/>
    <w:rsid w:val="008A5EEA"/>
    <w:rsid w:val="008B2F2E"/>
    <w:rsid w:val="008B39B8"/>
    <w:rsid w:val="008B666E"/>
    <w:rsid w:val="008C36CA"/>
    <w:rsid w:val="008C7563"/>
    <w:rsid w:val="008D1C3C"/>
    <w:rsid w:val="008D45B1"/>
    <w:rsid w:val="008D5B34"/>
    <w:rsid w:val="008E128C"/>
    <w:rsid w:val="008E2143"/>
    <w:rsid w:val="008E3F8C"/>
    <w:rsid w:val="008F3A28"/>
    <w:rsid w:val="008F4D5A"/>
    <w:rsid w:val="008F74DC"/>
    <w:rsid w:val="00902FD0"/>
    <w:rsid w:val="009053D3"/>
    <w:rsid w:val="00906326"/>
    <w:rsid w:val="0090691F"/>
    <w:rsid w:val="00917DB7"/>
    <w:rsid w:val="00917E1E"/>
    <w:rsid w:val="00922CF4"/>
    <w:rsid w:val="0093111F"/>
    <w:rsid w:val="00935689"/>
    <w:rsid w:val="00946F6A"/>
    <w:rsid w:val="0095303B"/>
    <w:rsid w:val="00960FA6"/>
    <w:rsid w:val="009663B6"/>
    <w:rsid w:val="009671BC"/>
    <w:rsid w:val="00974A47"/>
    <w:rsid w:val="0097548E"/>
    <w:rsid w:val="00980286"/>
    <w:rsid w:val="0098055C"/>
    <w:rsid w:val="0098209C"/>
    <w:rsid w:val="00986DCD"/>
    <w:rsid w:val="00990DCF"/>
    <w:rsid w:val="009A4CD6"/>
    <w:rsid w:val="009A537C"/>
    <w:rsid w:val="009A56A7"/>
    <w:rsid w:val="009B30BC"/>
    <w:rsid w:val="009B66A3"/>
    <w:rsid w:val="009B6BBD"/>
    <w:rsid w:val="009C0886"/>
    <w:rsid w:val="009C19EE"/>
    <w:rsid w:val="009C28D0"/>
    <w:rsid w:val="009C2B5A"/>
    <w:rsid w:val="009C35F2"/>
    <w:rsid w:val="009C5562"/>
    <w:rsid w:val="009C6EFA"/>
    <w:rsid w:val="009C7782"/>
    <w:rsid w:val="009D1ED5"/>
    <w:rsid w:val="009D4C13"/>
    <w:rsid w:val="009E21A7"/>
    <w:rsid w:val="009E5A30"/>
    <w:rsid w:val="009F50C4"/>
    <w:rsid w:val="009F6253"/>
    <w:rsid w:val="009F7DCD"/>
    <w:rsid w:val="00A028BD"/>
    <w:rsid w:val="00A02D8E"/>
    <w:rsid w:val="00A070A9"/>
    <w:rsid w:val="00A103ED"/>
    <w:rsid w:val="00A13B0D"/>
    <w:rsid w:val="00A13C60"/>
    <w:rsid w:val="00A14E6F"/>
    <w:rsid w:val="00A15134"/>
    <w:rsid w:val="00A16599"/>
    <w:rsid w:val="00A2282D"/>
    <w:rsid w:val="00A341A3"/>
    <w:rsid w:val="00A35800"/>
    <w:rsid w:val="00A40AC4"/>
    <w:rsid w:val="00A4518C"/>
    <w:rsid w:val="00A52918"/>
    <w:rsid w:val="00A547B3"/>
    <w:rsid w:val="00A574B5"/>
    <w:rsid w:val="00A60BC4"/>
    <w:rsid w:val="00A70E82"/>
    <w:rsid w:val="00A74125"/>
    <w:rsid w:val="00A807DE"/>
    <w:rsid w:val="00A8270A"/>
    <w:rsid w:val="00A84CAD"/>
    <w:rsid w:val="00A90E50"/>
    <w:rsid w:val="00A9568C"/>
    <w:rsid w:val="00A95FA5"/>
    <w:rsid w:val="00A96D92"/>
    <w:rsid w:val="00AA5D0D"/>
    <w:rsid w:val="00AB199C"/>
    <w:rsid w:val="00AB1D2E"/>
    <w:rsid w:val="00AB3733"/>
    <w:rsid w:val="00AB5294"/>
    <w:rsid w:val="00AB588C"/>
    <w:rsid w:val="00AB7897"/>
    <w:rsid w:val="00AC0971"/>
    <w:rsid w:val="00AC5054"/>
    <w:rsid w:val="00AC6D95"/>
    <w:rsid w:val="00AD3DE4"/>
    <w:rsid w:val="00AD615B"/>
    <w:rsid w:val="00AD768D"/>
    <w:rsid w:val="00AE4BAC"/>
    <w:rsid w:val="00AE66D5"/>
    <w:rsid w:val="00AF0A53"/>
    <w:rsid w:val="00AF3F5D"/>
    <w:rsid w:val="00AF4102"/>
    <w:rsid w:val="00B034FC"/>
    <w:rsid w:val="00B05310"/>
    <w:rsid w:val="00B05CF6"/>
    <w:rsid w:val="00B0701E"/>
    <w:rsid w:val="00B10A0B"/>
    <w:rsid w:val="00B140E3"/>
    <w:rsid w:val="00B2346A"/>
    <w:rsid w:val="00B27443"/>
    <w:rsid w:val="00B300FF"/>
    <w:rsid w:val="00B30D85"/>
    <w:rsid w:val="00B328CF"/>
    <w:rsid w:val="00B33251"/>
    <w:rsid w:val="00B33A66"/>
    <w:rsid w:val="00B34CD4"/>
    <w:rsid w:val="00B35A4A"/>
    <w:rsid w:val="00B367B0"/>
    <w:rsid w:val="00B453CF"/>
    <w:rsid w:val="00B5399C"/>
    <w:rsid w:val="00B63DBD"/>
    <w:rsid w:val="00B63FD7"/>
    <w:rsid w:val="00B65CCF"/>
    <w:rsid w:val="00B67DCF"/>
    <w:rsid w:val="00B71807"/>
    <w:rsid w:val="00B72082"/>
    <w:rsid w:val="00B72524"/>
    <w:rsid w:val="00B8018C"/>
    <w:rsid w:val="00B816D9"/>
    <w:rsid w:val="00B83DD1"/>
    <w:rsid w:val="00B86497"/>
    <w:rsid w:val="00B8696F"/>
    <w:rsid w:val="00B9120F"/>
    <w:rsid w:val="00B9216C"/>
    <w:rsid w:val="00B924A4"/>
    <w:rsid w:val="00BA5300"/>
    <w:rsid w:val="00BB0D1A"/>
    <w:rsid w:val="00BB1D3B"/>
    <w:rsid w:val="00BB3281"/>
    <w:rsid w:val="00BC07C1"/>
    <w:rsid w:val="00BC35ED"/>
    <w:rsid w:val="00BC417A"/>
    <w:rsid w:val="00BD1A91"/>
    <w:rsid w:val="00BD4502"/>
    <w:rsid w:val="00BD6D59"/>
    <w:rsid w:val="00BD75F3"/>
    <w:rsid w:val="00BE205A"/>
    <w:rsid w:val="00BE3802"/>
    <w:rsid w:val="00BE7A51"/>
    <w:rsid w:val="00BF238E"/>
    <w:rsid w:val="00BF2F4A"/>
    <w:rsid w:val="00BF544D"/>
    <w:rsid w:val="00BF6635"/>
    <w:rsid w:val="00C0076F"/>
    <w:rsid w:val="00C0301C"/>
    <w:rsid w:val="00C050B6"/>
    <w:rsid w:val="00C10A38"/>
    <w:rsid w:val="00C10F12"/>
    <w:rsid w:val="00C11AAF"/>
    <w:rsid w:val="00C1356C"/>
    <w:rsid w:val="00C245EA"/>
    <w:rsid w:val="00C256F6"/>
    <w:rsid w:val="00C3097E"/>
    <w:rsid w:val="00C35ECC"/>
    <w:rsid w:val="00C361A8"/>
    <w:rsid w:val="00C41246"/>
    <w:rsid w:val="00C45E5F"/>
    <w:rsid w:val="00C46291"/>
    <w:rsid w:val="00C54A1E"/>
    <w:rsid w:val="00C576DE"/>
    <w:rsid w:val="00C63412"/>
    <w:rsid w:val="00C655C1"/>
    <w:rsid w:val="00C714D0"/>
    <w:rsid w:val="00C71D18"/>
    <w:rsid w:val="00C750DE"/>
    <w:rsid w:val="00C7714D"/>
    <w:rsid w:val="00C90EF4"/>
    <w:rsid w:val="00C97B15"/>
    <w:rsid w:val="00CA015A"/>
    <w:rsid w:val="00CA5B45"/>
    <w:rsid w:val="00CA734F"/>
    <w:rsid w:val="00CC1AA3"/>
    <w:rsid w:val="00CD3903"/>
    <w:rsid w:val="00CD4486"/>
    <w:rsid w:val="00CE6A96"/>
    <w:rsid w:val="00CE70FC"/>
    <w:rsid w:val="00CE7D3A"/>
    <w:rsid w:val="00CF04F0"/>
    <w:rsid w:val="00CF1FA3"/>
    <w:rsid w:val="00CF5E22"/>
    <w:rsid w:val="00D047B1"/>
    <w:rsid w:val="00D04BEE"/>
    <w:rsid w:val="00D06A44"/>
    <w:rsid w:val="00D151EB"/>
    <w:rsid w:val="00D300E0"/>
    <w:rsid w:val="00D374CD"/>
    <w:rsid w:val="00D45A8E"/>
    <w:rsid w:val="00D46C85"/>
    <w:rsid w:val="00D650CE"/>
    <w:rsid w:val="00D65C06"/>
    <w:rsid w:val="00D71719"/>
    <w:rsid w:val="00D72BE6"/>
    <w:rsid w:val="00D7574A"/>
    <w:rsid w:val="00D776DA"/>
    <w:rsid w:val="00D8758B"/>
    <w:rsid w:val="00D942B3"/>
    <w:rsid w:val="00D94863"/>
    <w:rsid w:val="00D96821"/>
    <w:rsid w:val="00DA7D09"/>
    <w:rsid w:val="00DB093B"/>
    <w:rsid w:val="00DB64AD"/>
    <w:rsid w:val="00DB74FA"/>
    <w:rsid w:val="00DB76B2"/>
    <w:rsid w:val="00DC133B"/>
    <w:rsid w:val="00DC2630"/>
    <w:rsid w:val="00DC49E9"/>
    <w:rsid w:val="00DC4DC0"/>
    <w:rsid w:val="00DC55E4"/>
    <w:rsid w:val="00DC71D1"/>
    <w:rsid w:val="00DC7D71"/>
    <w:rsid w:val="00DD15BA"/>
    <w:rsid w:val="00DD188C"/>
    <w:rsid w:val="00DD29A3"/>
    <w:rsid w:val="00DD48EE"/>
    <w:rsid w:val="00DD6AC4"/>
    <w:rsid w:val="00DE0B96"/>
    <w:rsid w:val="00DE10B9"/>
    <w:rsid w:val="00DE1C23"/>
    <w:rsid w:val="00DF0B13"/>
    <w:rsid w:val="00DF2EB8"/>
    <w:rsid w:val="00DF4A94"/>
    <w:rsid w:val="00DF6003"/>
    <w:rsid w:val="00E00095"/>
    <w:rsid w:val="00E066C3"/>
    <w:rsid w:val="00E10D8C"/>
    <w:rsid w:val="00E1353A"/>
    <w:rsid w:val="00E1564B"/>
    <w:rsid w:val="00E178A3"/>
    <w:rsid w:val="00E208A0"/>
    <w:rsid w:val="00E25B49"/>
    <w:rsid w:val="00E26031"/>
    <w:rsid w:val="00E319F2"/>
    <w:rsid w:val="00E31B0A"/>
    <w:rsid w:val="00E3241D"/>
    <w:rsid w:val="00E371EA"/>
    <w:rsid w:val="00E53A00"/>
    <w:rsid w:val="00E60728"/>
    <w:rsid w:val="00E64429"/>
    <w:rsid w:val="00E677DD"/>
    <w:rsid w:val="00E7594B"/>
    <w:rsid w:val="00E80137"/>
    <w:rsid w:val="00E91ADF"/>
    <w:rsid w:val="00E933B8"/>
    <w:rsid w:val="00EA0DAD"/>
    <w:rsid w:val="00EA3179"/>
    <w:rsid w:val="00EA62B6"/>
    <w:rsid w:val="00EB0203"/>
    <w:rsid w:val="00EB4688"/>
    <w:rsid w:val="00EB6C07"/>
    <w:rsid w:val="00EC028D"/>
    <w:rsid w:val="00ED4E88"/>
    <w:rsid w:val="00ED633B"/>
    <w:rsid w:val="00EE2BBB"/>
    <w:rsid w:val="00EE478C"/>
    <w:rsid w:val="00EE6C70"/>
    <w:rsid w:val="00EF6FCD"/>
    <w:rsid w:val="00EF7BF4"/>
    <w:rsid w:val="00F076E1"/>
    <w:rsid w:val="00F10F6E"/>
    <w:rsid w:val="00F1132C"/>
    <w:rsid w:val="00F15DD5"/>
    <w:rsid w:val="00F17D4B"/>
    <w:rsid w:val="00F217B8"/>
    <w:rsid w:val="00F23139"/>
    <w:rsid w:val="00F24331"/>
    <w:rsid w:val="00F26745"/>
    <w:rsid w:val="00F37E28"/>
    <w:rsid w:val="00F42792"/>
    <w:rsid w:val="00F52C14"/>
    <w:rsid w:val="00F55654"/>
    <w:rsid w:val="00F66CD5"/>
    <w:rsid w:val="00F67A9A"/>
    <w:rsid w:val="00F70F4E"/>
    <w:rsid w:val="00F73113"/>
    <w:rsid w:val="00F75FC4"/>
    <w:rsid w:val="00F8416E"/>
    <w:rsid w:val="00F84C74"/>
    <w:rsid w:val="00F85981"/>
    <w:rsid w:val="00F870DE"/>
    <w:rsid w:val="00F87263"/>
    <w:rsid w:val="00F93725"/>
    <w:rsid w:val="00F97941"/>
    <w:rsid w:val="00F97C3C"/>
    <w:rsid w:val="00FA4890"/>
    <w:rsid w:val="00FB1B37"/>
    <w:rsid w:val="00FB6EC5"/>
    <w:rsid w:val="00FB77FA"/>
    <w:rsid w:val="00FC066A"/>
    <w:rsid w:val="00FC3C70"/>
    <w:rsid w:val="00FC4690"/>
    <w:rsid w:val="00FC4A73"/>
    <w:rsid w:val="00FC559C"/>
    <w:rsid w:val="00FC79D4"/>
    <w:rsid w:val="00FC7F0D"/>
    <w:rsid w:val="00FD0028"/>
    <w:rsid w:val="00FD2BBA"/>
    <w:rsid w:val="00FD7FC6"/>
    <w:rsid w:val="00FE48B0"/>
    <w:rsid w:val="00FE630C"/>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15:docId w15:val="{DF5D9351-A49D-4E6D-B39C-3EC20133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Numbered para,#List Paragraph,Recommendation,List Paragraph1,List Paragraph11,L,Bullet Level 1,Bullet Point,Bullet point,Bulletr List Paragraph,Content descriptions,FooterText,List Bullet 1,List Paragraph2,List Paragraph21,Listeafsnit1,列"/>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FC79D4"/>
    <w:pPr>
      <w:spacing w:before="100" w:beforeAutospacing="1" w:after="100" w:afterAutospacing="1"/>
    </w:pPr>
    <w:rPr>
      <w:rFonts w:ascii="Times New Roman" w:eastAsia="Times New Roman" w:hAnsi="Times New Roman" w:cs="Times New Roman"/>
    </w:rPr>
  </w:style>
  <w:style w:type="character" w:customStyle="1" w:styleId="label-">
    <w:name w:val="label-"/>
    <w:basedOn w:val="DefaultParagraphFont"/>
    <w:rsid w:val="00DC133B"/>
  </w:style>
  <w:style w:type="paragraph" w:styleId="HTMLPreformatted">
    <w:name w:val="HTML Preformatted"/>
    <w:basedOn w:val="Normal"/>
    <w:link w:val="HTMLPreformattedChar"/>
    <w:uiPriority w:val="99"/>
    <w:semiHidden/>
    <w:unhideWhenUsed/>
    <w:rsid w:val="00790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0973"/>
    <w:rPr>
      <w:rFonts w:ascii="Courier New" w:eastAsia="Times New Roman" w:hAnsi="Courier New" w:cs="Courier New"/>
      <w:sz w:val="20"/>
      <w:szCs w:val="20"/>
    </w:rPr>
  </w:style>
  <w:style w:type="character" w:customStyle="1" w:styleId="difference">
    <w:name w:val="difference"/>
    <w:basedOn w:val="DefaultParagraphFont"/>
    <w:rsid w:val="00790973"/>
  </w:style>
  <w:style w:type="character" w:styleId="UnresolvedMention">
    <w:name w:val="Unresolved Mention"/>
    <w:basedOn w:val="DefaultParagraphFont"/>
    <w:uiPriority w:val="99"/>
    <w:semiHidden/>
    <w:unhideWhenUsed/>
    <w:rsid w:val="00093FFE"/>
    <w:rPr>
      <w:color w:val="605E5C"/>
      <w:shd w:val="clear" w:color="auto" w:fill="E1DFDD"/>
    </w:rPr>
  </w:style>
  <w:style w:type="character" w:styleId="FollowedHyperlink">
    <w:name w:val="FollowedHyperlink"/>
    <w:basedOn w:val="DefaultParagraphFont"/>
    <w:uiPriority w:val="99"/>
    <w:semiHidden/>
    <w:unhideWhenUsed/>
    <w:rsid w:val="00DD15BA"/>
    <w:rPr>
      <w:color w:val="800080" w:themeColor="followedHyperlink"/>
      <w:u w:val="single"/>
    </w:rPr>
  </w:style>
  <w:style w:type="paragraph" w:customStyle="1" w:styleId="TableText">
    <w:name w:val="Table Text"/>
    <w:link w:val="TableTextChar"/>
    <w:qFormat/>
    <w:rsid w:val="00D04BEE"/>
    <w:pPr>
      <w:keepNext/>
      <w:spacing w:after="0" w:line="240" w:lineRule="auto"/>
    </w:pPr>
    <w:rPr>
      <w:rFonts w:ascii="Arial Narrow" w:eastAsiaTheme="majorEastAsia" w:hAnsi="Arial Narrow" w:cstheme="majorBidi"/>
      <w:bCs/>
      <w:sz w:val="20"/>
      <w:szCs w:val="24"/>
    </w:rPr>
  </w:style>
  <w:style w:type="paragraph" w:customStyle="1" w:styleId="In-tableHeading">
    <w:name w:val="In-table Heading"/>
    <w:qFormat/>
    <w:rsid w:val="00D04BEE"/>
    <w:pPr>
      <w:keepNext/>
      <w:spacing w:after="0" w:line="240" w:lineRule="auto"/>
    </w:pPr>
    <w:rPr>
      <w:rFonts w:ascii="Arial Narrow" w:eastAsiaTheme="majorEastAsia" w:hAnsi="Arial Narrow" w:cs="Times New Roman"/>
      <w:b/>
      <w:sz w:val="20"/>
      <w:szCs w:val="24"/>
      <w:lang w:val="en-US"/>
    </w:rPr>
  </w:style>
  <w:style w:type="character" w:customStyle="1" w:styleId="TableTextChar">
    <w:name w:val="Table Text Char"/>
    <w:basedOn w:val="DefaultParagraphFont"/>
    <w:link w:val="TableText"/>
    <w:rsid w:val="00D04BEE"/>
    <w:rPr>
      <w:rFonts w:ascii="Arial Narrow" w:eastAsiaTheme="majorEastAsia" w:hAnsi="Arial Narrow" w:cstheme="majorBidi"/>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9048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23785671">
      <w:bodyDiv w:val="1"/>
      <w:marLeft w:val="0"/>
      <w:marRight w:val="0"/>
      <w:marTop w:val="0"/>
      <w:marBottom w:val="0"/>
      <w:divBdr>
        <w:top w:val="none" w:sz="0" w:space="0" w:color="auto"/>
        <w:left w:val="none" w:sz="0" w:space="0" w:color="auto"/>
        <w:bottom w:val="none" w:sz="0" w:space="0" w:color="auto"/>
        <w:right w:val="none" w:sz="0" w:space="0" w:color="auto"/>
      </w:divBdr>
    </w:div>
    <w:div w:id="577447297">
      <w:bodyDiv w:val="1"/>
      <w:marLeft w:val="0"/>
      <w:marRight w:val="0"/>
      <w:marTop w:val="0"/>
      <w:marBottom w:val="0"/>
      <w:divBdr>
        <w:top w:val="none" w:sz="0" w:space="0" w:color="auto"/>
        <w:left w:val="none" w:sz="0" w:space="0" w:color="auto"/>
        <w:bottom w:val="none" w:sz="0" w:space="0" w:color="auto"/>
        <w:right w:val="none" w:sz="0" w:space="0" w:color="auto"/>
      </w:divBdr>
    </w:div>
    <w:div w:id="645399281">
      <w:bodyDiv w:val="1"/>
      <w:marLeft w:val="0"/>
      <w:marRight w:val="0"/>
      <w:marTop w:val="0"/>
      <w:marBottom w:val="0"/>
      <w:divBdr>
        <w:top w:val="none" w:sz="0" w:space="0" w:color="auto"/>
        <w:left w:val="none" w:sz="0" w:space="0" w:color="auto"/>
        <w:bottom w:val="none" w:sz="0" w:space="0" w:color="auto"/>
        <w:right w:val="none" w:sz="0" w:space="0" w:color="auto"/>
      </w:divBdr>
    </w:div>
    <w:div w:id="652099192">
      <w:bodyDiv w:val="1"/>
      <w:marLeft w:val="0"/>
      <w:marRight w:val="0"/>
      <w:marTop w:val="0"/>
      <w:marBottom w:val="0"/>
      <w:divBdr>
        <w:top w:val="none" w:sz="0" w:space="0" w:color="auto"/>
        <w:left w:val="none" w:sz="0" w:space="0" w:color="auto"/>
        <w:bottom w:val="none" w:sz="0" w:space="0" w:color="auto"/>
        <w:right w:val="none" w:sz="0" w:space="0" w:color="auto"/>
      </w:divBdr>
    </w:div>
    <w:div w:id="653529436">
      <w:bodyDiv w:val="1"/>
      <w:marLeft w:val="0"/>
      <w:marRight w:val="0"/>
      <w:marTop w:val="0"/>
      <w:marBottom w:val="0"/>
      <w:divBdr>
        <w:top w:val="none" w:sz="0" w:space="0" w:color="auto"/>
        <w:left w:val="none" w:sz="0" w:space="0" w:color="auto"/>
        <w:bottom w:val="none" w:sz="0" w:space="0" w:color="auto"/>
        <w:right w:val="none" w:sz="0" w:space="0" w:color="auto"/>
      </w:divBdr>
    </w:div>
    <w:div w:id="691418339">
      <w:bodyDiv w:val="1"/>
      <w:marLeft w:val="0"/>
      <w:marRight w:val="0"/>
      <w:marTop w:val="0"/>
      <w:marBottom w:val="0"/>
      <w:divBdr>
        <w:top w:val="none" w:sz="0" w:space="0" w:color="auto"/>
        <w:left w:val="none" w:sz="0" w:space="0" w:color="auto"/>
        <w:bottom w:val="none" w:sz="0" w:space="0" w:color="auto"/>
        <w:right w:val="none" w:sz="0" w:space="0" w:color="auto"/>
      </w:divBdr>
    </w:div>
    <w:div w:id="93312731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65189753">
      <w:bodyDiv w:val="1"/>
      <w:marLeft w:val="0"/>
      <w:marRight w:val="0"/>
      <w:marTop w:val="0"/>
      <w:marBottom w:val="0"/>
      <w:divBdr>
        <w:top w:val="none" w:sz="0" w:space="0" w:color="auto"/>
        <w:left w:val="none" w:sz="0" w:space="0" w:color="auto"/>
        <w:bottom w:val="none" w:sz="0" w:space="0" w:color="auto"/>
        <w:right w:val="none" w:sz="0" w:space="0" w:color="auto"/>
      </w:divBdr>
    </w:div>
    <w:div w:id="1788742175">
      <w:bodyDiv w:val="1"/>
      <w:marLeft w:val="0"/>
      <w:marRight w:val="0"/>
      <w:marTop w:val="0"/>
      <w:marBottom w:val="0"/>
      <w:divBdr>
        <w:top w:val="none" w:sz="0" w:space="0" w:color="auto"/>
        <w:left w:val="none" w:sz="0" w:space="0" w:color="auto"/>
        <w:bottom w:val="none" w:sz="0" w:space="0" w:color="auto"/>
        <w:right w:val="none" w:sz="0" w:space="0" w:color="auto"/>
      </w:divBdr>
    </w:div>
    <w:div w:id="206059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hyperlink" Target="https://www.pbs.gov.au/info/industry/listing/elements/pbac-meetings/psd/2022-03/niraparib-capsule-100-mg-zejula" TargetMode="External"/><Relationship Id="rId26" Type="http://schemas.openxmlformats.org/officeDocument/2006/relationships/image" Target="media/image1.png"/><Relationship Id="rId39" Type="http://schemas.openxmlformats.org/officeDocument/2006/relationships/hyperlink" Target="https://www.pbs.gov.au/info/industry/listing/elements/pbac-meetings/psd/2019-11/olaparib-tablet-100-mg-tablet-150-mg-lynparza"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chart" Target="charts/chart6.xm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hyperlink" Target="https://www.pbs.gov.au/info/industry/listing/elements/pbac-meetings/psd/2020-07/olaparib-tablet-100-mg-tablet-150-mg-lynparza" TargetMode="External"/><Relationship Id="rId25" Type="http://schemas.openxmlformats.org/officeDocument/2006/relationships/chart" Target="charts/chart5.xml"/><Relationship Id="rId33" Type="http://schemas.openxmlformats.org/officeDocument/2006/relationships/image" Target="media/image8.svg"/><Relationship Id="rId38" Type="http://schemas.openxmlformats.org/officeDocument/2006/relationships/hyperlink" Target="https://www.pbs.gov.au/info/industry/listing/elements/pbac-meetings/psd/2018-03/Olaparib-psd-march-2018"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bs.gov.au/info/industry/listing/elements/pbac-meetings/psd/2018-03/Olaparib-psd-march-2018" TargetMode="External"/><Relationship Id="rId20" Type="http://schemas.openxmlformats.org/officeDocument/2006/relationships/hyperlink" Target="https://www.pbs.gov.au/info/industry/listing/participants/public-release-docs/2018-09/bevacizumab-for-cancer" TargetMode="External"/><Relationship Id="rId29" Type="http://schemas.openxmlformats.org/officeDocument/2006/relationships/image" Target="media/image4.svg"/><Relationship Id="rId41" Type="http://schemas.openxmlformats.org/officeDocument/2006/relationships/hyperlink" Target="https://www.pbs.gov.au/info/industry/listing/elements/pbac-meetings/psd/2020-07/olaparib-tablet-100-mg-tablet-150-mg-lynpar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chart" Target="charts/chart4.xml"/><Relationship Id="rId32" Type="http://schemas.openxmlformats.org/officeDocument/2006/relationships/image" Target="media/image7.png"/><Relationship Id="rId37" Type="http://schemas.openxmlformats.org/officeDocument/2006/relationships/hyperlink" Target="https://www.pbs.gov.au/info/industry/listing/elements/pbac-meetings/psd/2016-11/olaparib-psd-november-2016" TargetMode="External"/><Relationship Id="rId40" Type="http://schemas.openxmlformats.org/officeDocument/2006/relationships/hyperlink" Target="https://www.pbs.gov.au/info/industry/listing/elements/pbac-meetings/psd/2020-03/olaparib-capsule-50-mg-tablet-100-mg-tablet-150-m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bs.gov.au/info/industry/listing/elements/pbac-meetings/psd/2018-03/Olaparib-psd-march-2018" TargetMode="External"/><Relationship Id="rId23" Type="http://schemas.openxmlformats.org/officeDocument/2006/relationships/chart" Target="charts/chart3.xml"/><Relationship Id="rId28" Type="http://schemas.openxmlformats.org/officeDocument/2006/relationships/image" Target="media/image3.png"/><Relationship Id="rId36" Type="http://schemas.openxmlformats.org/officeDocument/2006/relationships/hyperlink" Target="https://www.pbs.gov.au/info/industry/listing/elements/pbac-meetings/psd/2016-07/olaparib-psd-july-2016" TargetMode="External"/><Relationship Id="rId49" Type="http://schemas.openxmlformats.org/officeDocument/2006/relationships/theme" Target="theme/theme1.xml"/><Relationship Id="rId10" Type="http://schemas.openxmlformats.org/officeDocument/2006/relationships/hyperlink" Target="http://www.tga.gov.au/consumers/information-medicines-cmi.htm" TargetMode="External"/><Relationship Id="rId19" Type="http://schemas.openxmlformats.org/officeDocument/2006/relationships/hyperlink" Target="file:///\\central.health\DFSGroupData\Sites\CO1\CO\PBD\PEB\EVAL\DUSC\DUSC%20Documents\Predicted%20vs%20actual%20usage\pbs.gov.au" TargetMode="External"/><Relationship Id="rId31" Type="http://schemas.openxmlformats.org/officeDocument/2006/relationships/image" Target="media/image6.sv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hyperlink" Target="https://www.pbs.gov.au/info/industry/listing/elements/pbac-meetings/psd/2016-11/olaparib-psd-november-2016" TargetMode="External"/><Relationship Id="rId22" Type="http://schemas.openxmlformats.org/officeDocument/2006/relationships/chart" Target="charts/chart2.xml"/><Relationship Id="rId27" Type="http://schemas.openxmlformats.org/officeDocument/2006/relationships/image" Target="media/image2.svg"/><Relationship Id="rId30" Type="http://schemas.openxmlformats.org/officeDocument/2006/relationships/image" Target="media/image5.png"/><Relationship Id="rId35" Type="http://schemas.openxmlformats.org/officeDocument/2006/relationships/hyperlink" Target="https://www.pbs.gov.au/info/industry/listing/elements/pbac-meetings/psd/2016-03/olaparib-lynparza-psd-03-2016"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tga.gov.au/products/australian-register-therapeutic-goods-art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[Book1]Sheet1!PivotTable1</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Sheet1!$U$1</c:f>
              <c:strCache>
                <c:ptCount val="1"/>
                <c:pt idx="0">
                  <c:v>Total</c:v>
                </c:pt>
              </c:strCache>
            </c:strRef>
          </c:tx>
          <c:spPr>
            <a:ln w="28575" cap="rnd">
              <a:solidFill>
                <a:schemeClr val="accent1"/>
              </a:solidFill>
              <a:round/>
            </a:ln>
            <a:effectLst/>
          </c:spPr>
          <c:marker>
            <c:symbol val="none"/>
          </c:marker>
          <c:cat>
            <c:strRef>
              <c:f>Sheet1!$T$2:$T$26</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Sheet1!$U$2:$U$26</c:f>
              <c:numCache>
                <c:formatCode>General</c:formatCode>
                <c:ptCount val="24"/>
                <c:pt idx="0">
                  <c:v>128</c:v>
                </c:pt>
                <c:pt idx="1">
                  <c:v>261</c:v>
                </c:pt>
                <c:pt idx="2">
                  <c:v>334</c:v>
                </c:pt>
                <c:pt idx="3">
                  <c:v>386</c:v>
                </c:pt>
                <c:pt idx="4">
                  <c:v>368</c:v>
                </c:pt>
                <c:pt idx="5">
                  <c:v>380</c:v>
                </c:pt>
                <c:pt idx="6">
                  <c:v>366</c:v>
                </c:pt>
                <c:pt idx="7">
                  <c:v>437</c:v>
                </c:pt>
                <c:pt idx="8">
                  <c:v>493</c:v>
                </c:pt>
                <c:pt idx="9">
                  <c:v>527</c:v>
                </c:pt>
                <c:pt idx="10">
                  <c:v>484</c:v>
                </c:pt>
                <c:pt idx="11">
                  <c:v>479</c:v>
                </c:pt>
                <c:pt idx="12">
                  <c:v>498</c:v>
                </c:pt>
                <c:pt idx="13">
                  <c:v>380</c:v>
                </c:pt>
                <c:pt idx="14">
                  <c:v>502</c:v>
                </c:pt>
                <c:pt idx="15">
                  <c:v>820</c:v>
                </c:pt>
                <c:pt idx="16">
                  <c:v>985</c:v>
                </c:pt>
                <c:pt idx="17">
                  <c:v>1081</c:v>
                </c:pt>
                <c:pt idx="18">
                  <c:v>1138</c:v>
                </c:pt>
                <c:pt idx="19">
                  <c:v>1159</c:v>
                </c:pt>
                <c:pt idx="20">
                  <c:v>1178</c:v>
                </c:pt>
                <c:pt idx="21">
                  <c:v>1183</c:v>
                </c:pt>
                <c:pt idx="22">
                  <c:v>1223</c:v>
                </c:pt>
                <c:pt idx="23">
                  <c:v>1280</c:v>
                </c:pt>
              </c:numCache>
            </c:numRef>
          </c:val>
          <c:smooth val="0"/>
          <c:extLst>
            <c:ext xmlns:c16="http://schemas.microsoft.com/office/drawing/2014/chart" uri="{C3380CC4-5D6E-409C-BE32-E72D297353CC}">
              <c16:uniqueId val="{00000000-1447-414D-9608-79A68B272F63}"/>
            </c:ext>
          </c:extLst>
        </c:ser>
        <c:dLbls>
          <c:showLegendKey val="0"/>
          <c:showVal val="0"/>
          <c:showCatName val="0"/>
          <c:showSerName val="0"/>
          <c:showPercent val="0"/>
          <c:showBubbleSize val="0"/>
        </c:dLbls>
        <c:smooth val="0"/>
        <c:axId val="801545680"/>
        <c:axId val="801544040"/>
      </c:lineChart>
      <c:catAx>
        <c:axId val="801545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1544040"/>
        <c:crosses val="autoZero"/>
        <c:auto val="1"/>
        <c:lblAlgn val="ctr"/>
        <c:lblOffset val="100"/>
        <c:noMultiLvlLbl val="0"/>
      </c:catAx>
      <c:valAx>
        <c:axId val="801544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1545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[Book1]Sheet1!PivotTable1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Sheet1!$X$1</c:f>
              <c:strCache>
                <c:ptCount val="1"/>
                <c:pt idx="0">
                  <c:v>Initiating patients </c:v>
                </c:pt>
              </c:strCache>
            </c:strRef>
          </c:tx>
          <c:spPr>
            <a:ln w="28575" cap="rnd">
              <a:solidFill>
                <a:schemeClr val="accent1"/>
              </a:solidFill>
              <a:round/>
            </a:ln>
            <a:effectLst/>
          </c:spPr>
          <c:marker>
            <c:symbol val="none"/>
          </c:marker>
          <c:cat>
            <c:strRef>
              <c:f>Sheet1!$W$2:$W$26</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Sheet1!$X$2:$X$26</c:f>
              <c:numCache>
                <c:formatCode>General</c:formatCode>
                <c:ptCount val="24"/>
                <c:pt idx="0">
                  <c:v>79</c:v>
                </c:pt>
                <c:pt idx="1">
                  <c:v>49</c:v>
                </c:pt>
                <c:pt idx="2">
                  <c:v>35</c:v>
                </c:pt>
                <c:pt idx="3">
                  <c:v>30</c:v>
                </c:pt>
                <c:pt idx="4">
                  <c:v>19</c:v>
                </c:pt>
                <c:pt idx="5">
                  <c:v>26</c:v>
                </c:pt>
                <c:pt idx="6">
                  <c:v>26</c:v>
                </c:pt>
                <c:pt idx="7">
                  <c:v>32</c:v>
                </c:pt>
                <c:pt idx="8">
                  <c:v>21</c:v>
                </c:pt>
                <c:pt idx="9">
                  <c:v>24</c:v>
                </c:pt>
                <c:pt idx="10">
                  <c:v>19</c:v>
                </c:pt>
                <c:pt idx="11">
                  <c:v>16</c:v>
                </c:pt>
                <c:pt idx="12">
                  <c:v>15</c:v>
                </c:pt>
                <c:pt idx="13">
                  <c:v>16</c:v>
                </c:pt>
                <c:pt idx="14">
                  <c:v>43</c:v>
                </c:pt>
                <c:pt idx="15">
                  <c:v>159</c:v>
                </c:pt>
                <c:pt idx="16">
                  <c:v>68</c:v>
                </c:pt>
                <c:pt idx="17">
                  <c:v>50</c:v>
                </c:pt>
                <c:pt idx="18">
                  <c:v>62</c:v>
                </c:pt>
                <c:pt idx="19">
                  <c:v>42</c:v>
                </c:pt>
                <c:pt idx="20">
                  <c:v>72</c:v>
                </c:pt>
                <c:pt idx="21">
                  <c:v>40</c:v>
                </c:pt>
                <c:pt idx="22">
                  <c:v>51</c:v>
                </c:pt>
                <c:pt idx="23">
                  <c:v>55</c:v>
                </c:pt>
              </c:numCache>
            </c:numRef>
          </c:val>
          <c:smooth val="0"/>
          <c:extLst>
            <c:ext xmlns:c16="http://schemas.microsoft.com/office/drawing/2014/chart" uri="{C3380CC4-5D6E-409C-BE32-E72D297353CC}">
              <c16:uniqueId val="{00000000-EAB8-49B0-8284-36F40F9766C4}"/>
            </c:ext>
          </c:extLst>
        </c:ser>
        <c:ser>
          <c:idx val="1"/>
          <c:order val="1"/>
          <c:tx>
            <c:strRef>
              <c:f>Sheet1!$Y$1</c:f>
              <c:strCache>
                <c:ptCount val="1"/>
                <c:pt idx="0">
                  <c:v>Prevalent patients</c:v>
                </c:pt>
              </c:strCache>
            </c:strRef>
          </c:tx>
          <c:spPr>
            <a:ln w="28575" cap="rnd">
              <a:solidFill>
                <a:schemeClr val="accent2"/>
              </a:solidFill>
              <a:round/>
            </a:ln>
            <a:effectLst/>
          </c:spPr>
          <c:marker>
            <c:symbol val="none"/>
          </c:marker>
          <c:cat>
            <c:strRef>
              <c:f>Sheet1!$W$2:$W$26</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Sheet1!$Y$2:$Y$26</c:f>
              <c:numCache>
                <c:formatCode>General</c:formatCode>
                <c:ptCount val="24"/>
                <c:pt idx="0">
                  <c:v>79</c:v>
                </c:pt>
                <c:pt idx="1">
                  <c:v>120</c:v>
                </c:pt>
                <c:pt idx="2">
                  <c:v>142</c:v>
                </c:pt>
                <c:pt idx="3">
                  <c:v>156</c:v>
                </c:pt>
                <c:pt idx="4">
                  <c:v>157</c:v>
                </c:pt>
                <c:pt idx="5">
                  <c:v>161</c:v>
                </c:pt>
                <c:pt idx="6">
                  <c:v>153</c:v>
                </c:pt>
                <c:pt idx="7">
                  <c:v>180</c:v>
                </c:pt>
                <c:pt idx="8">
                  <c:v>186</c:v>
                </c:pt>
                <c:pt idx="9">
                  <c:v>190</c:v>
                </c:pt>
                <c:pt idx="10">
                  <c:v>190</c:v>
                </c:pt>
                <c:pt idx="11">
                  <c:v>182</c:v>
                </c:pt>
                <c:pt idx="12">
                  <c:v>174</c:v>
                </c:pt>
                <c:pt idx="13">
                  <c:v>156</c:v>
                </c:pt>
                <c:pt idx="14">
                  <c:v>193</c:v>
                </c:pt>
                <c:pt idx="15">
                  <c:v>333</c:v>
                </c:pt>
                <c:pt idx="16">
                  <c:v>377</c:v>
                </c:pt>
                <c:pt idx="17">
                  <c:v>390</c:v>
                </c:pt>
                <c:pt idx="18">
                  <c:v>421</c:v>
                </c:pt>
                <c:pt idx="19">
                  <c:v>411</c:v>
                </c:pt>
                <c:pt idx="20">
                  <c:v>438</c:v>
                </c:pt>
                <c:pt idx="21">
                  <c:v>432</c:v>
                </c:pt>
                <c:pt idx="22">
                  <c:v>447</c:v>
                </c:pt>
                <c:pt idx="23">
                  <c:v>458</c:v>
                </c:pt>
              </c:numCache>
            </c:numRef>
          </c:val>
          <c:smooth val="0"/>
          <c:extLst>
            <c:ext xmlns:c16="http://schemas.microsoft.com/office/drawing/2014/chart" uri="{C3380CC4-5D6E-409C-BE32-E72D297353CC}">
              <c16:uniqueId val="{00000001-EAB8-49B0-8284-36F40F9766C4}"/>
            </c:ext>
          </c:extLst>
        </c:ser>
        <c:dLbls>
          <c:showLegendKey val="0"/>
          <c:showVal val="0"/>
          <c:showCatName val="0"/>
          <c:showSerName val="0"/>
          <c:showPercent val="0"/>
          <c:showBubbleSize val="0"/>
        </c:dLbls>
        <c:smooth val="0"/>
        <c:axId val="718563688"/>
        <c:axId val="718565000"/>
      </c:lineChart>
      <c:catAx>
        <c:axId val="718563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565000"/>
        <c:crosses val="autoZero"/>
        <c:auto val="1"/>
        <c:lblAlgn val="ctr"/>
        <c:lblOffset val="100"/>
        <c:noMultiLvlLbl val="0"/>
      </c:catAx>
      <c:valAx>
        <c:axId val="718565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563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[olaparib review.xlsx]Sheet2!PivotTable1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Sheet2!$V$1:$V$2</c:f>
              <c:strCache>
                <c:ptCount val="1"/>
                <c:pt idx="0">
                  <c:v>First-line</c:v>
                </c:pt>
              </c:strCache>
            </c:strRef>
          </c:tx>
          <c:spPr>
            <a:ln w="28575" cap="rnd">
              <a:solidFill>
                <a:schemeClr val="accent1"/>
              </a:solidFill>
              <a:round/>
            </a:ln>
            <a:effectLst/>
          </c:spPr>
          <c:marker>
            <c:symbol val="none"/>
          </c:marker>
          <c:cat>
            <c:strRef>
              <c:f>Sheet2!$U$3:$U$27</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Sheet2!$V$3:$V$27</c:f>
              <c:numCache>
                <c:formatCode>General</c:formatCode>
                <c:ptCount val="24"/>
                <c:pt idx="15">
                  <c:v>261</c:v>
                </c:pt>
                <c:pt idx="16">
                  <c:v>395</c:v>
                </c:pt>
                <c:pt idx="17">
                  <c:v>414</c:v>
                </c:pt>
                <c:pt idx="18">
                  <c:v>448</c:v>
                </c:pt>
                <c:pt idx="19">
                  <c:v>442</c:v>
                </c:pt>
                <c:pt idx="20">
                  <c:v>464</c:v>
                </c:pt>
                <c:pt idx="21">
                  <c:v>459</c:v>
                </c:pt>
                <c:pt idx="22">
                  <c:v>455</c:v>
                </c:pt>
                <c:pt idx="23">
                  <c:v>520</c:v>
                </c:pt>
              </c:numCache>
            </c:numRef>
          </c:val>
          <c:smooth val="0"/>
          <c:extLst>
            <c:ext xmlns:c16="http://schemas.microsoft.com/office/drawing/2014/chart" uri="{C3380CC4-5D6E-409C-BE32-E72D297353CC}">
              <c16:uniqueId val="{00000000-752F-4F53-95D7-8C8CDA5FDFD7}"/>
            </c:ext>
          </c:extLst>
        </c:ser>
        <c:ser>
          <c:idx val="1"/>
          <c:order val="1"/>
          <c:tx>
            <c:strRef>
              <c:f>Sheet2!$W$1:$W$2</c:f>
              <c:strCache>
                <c:ptCount val="1"/>
                <c:pt idx="0">
                  <c:v>Second-line</c:v>
                </c:pt>
              </c:strCache>
            </c:strRef>
          </c:tx>
          <c:spPr>
            <a:ln w="28575" cap="rnd">
              <a:solidFill>
                <a:schemeClr val="accent2"/>
              </a:solidFill>
              <a:round/>
            </a:ln>
            <a:effectLst/>
          </c:spPr>
          <c:marker>
            <c:symbol val="none"/>
          </c:marker>
          <c:cat>
            <c:strRef>
              <c:f>Sheet2!$U$3:$U$27</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Sheet2!$W$3:$W$27</c:f>
              <c:numCache>
                <c:formatCode>General</c:formatCode>
                <c:ptCount val="24"/>
                <c:pt idx="0">
                  <c:v>128</c:v>
                </c:pt>
                <c:pt idx="1">
                  <c:v>261</c:v>
                </c:pt>
                <c:pt idx="2">
                  <c:v>334</c:v>
                </c:pt>
                <c:pt idx="3">
                  <c:v>386</c:v>
                </c:pt>
                <c:pt idx="4">
                  <c:v>368</c:v>
                </c:pt>
                <c:pt idx="5">
                  <c:v>380</c:v>
                </c:pt>
                <c:pt idx="6">
                  <c:v>366</c:v>
                </c:pt>
                <c:pt idx="7">
                  <c:v>437</c:v>
                </c:pt>
                <c:pt idx="8">
                  <c:v>493</c:v>
                </c:pt>
                <c:pt idx="9">
                  <c:v>527</c:v>
                </c:pt>
                <c:pt idx="10">
                  <c:v>484</c:v>
                </c:pt>
                <c:pt idx="11">
                  <c:v>479</c:v>
                </c:pt>
                <c:pt idx="12">
                  <c:v>498</c:v>
                </c:pt>
                <c:pt idx="13">
                  <c:v>380</c:v>
                </c:pt>
                <c:pt idx="14">
                  <c:v>502</c:v>
                </c:pt>
                <c:pt idx="15">
                  <c:v>559</c:v>
                </c:pt>
                <c:pt idx="16">
                  <c:v>590</c:v>
                </c:pt>
                <c:pt idx="17">
                  <c:v>667</c:v>
                </c:pt>
                <c:pt idx="18">
                  <c:v>690</c:v>
                </c:pt>
                <c:pt idx="19">
                  <c:v>717</c:v>
                </c:pt>
                <c:pt idx="20">
                  <c:v>714</c:v>
                </c:pt>
                <c:pt idx="21">
                  <c:v>724</c:v>
                </c:pt>
                <c:pt idx="22">
                  <c:v>768</c:v>
                </c:pt>
                <c:pt idx="23">
                  <c:v>760</c:v>
                </c:pt>
              </c:numCache>
            </c:numRef>
          </c:val>
          <c:smooth val="0"/>
          <c:extLst>
            <c:ext xmlns:c16="http://schemas.microsoft.com/office/drawing/2014/chart" uri="{C3380CC4-5D6E-409C-BE32-E72D297353CC}">
              <c16:uniqueId val="{00000001-752F-4F53-95D7-8C8CDA5FDFD7}"/>
            </c:ext>
          </c:extLst>
        </c:ser>
        <c:dLbls>
          <c:showLegendKey val="0"/>
          <c:showVal val="0"/>
          <c:showCatName val="0"/>
          <c:showSerName val="0"/>
          <c:showPercent val="0"/>
          <c:showBubbleSize val="0"/>
        </c:dLbls>
        <c:smooth val="0"/>
        <c:axId val="790926368"/>
        <c:axId val="790929976"/>
      </c:lineChart>
      <c:catAx>
        <c:axId val="790926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a:t>
                </a:r>
                <a:r>
                  <a:rPr lang="en-AU" baseline="0"/>
                  <a:t> supply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929976"/>
        <c:crosses val="autoZero"/>
        <c:auto val="1"/>
        <c:lblAlgn val="ctr"/>
        <c:lblOffset val="100"/>
        <c:noMultiLvlLbl val="0"/>
      </c:catAx>
      <c:valAx>
        <c:axId val="790929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92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[olaparib review.xlsx]Sheet2!PivotTable4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Sheet2!$V$37:$V$38</c:f>
              <c:strCache>
                <c:ptCount val="1"/>
                <c:pt idx="0">
                  <c:v>First-line</c:v>
                </c:pt>
              </c:strCache>
            </c:strRef>
          </c:tx>
          <c:spPr>
            <a:ln w="28575" cap="rnd">
              <a:solidFill>
                <a:schemeClr val="accent1"/>
              </a:solidFill>
              <a:round/>
            </a:ln>
            <a:effectLst/>
          </c:spPr>
          <c:marker>
            <c:symbol val="none"/>
          </c:marker>
          <c:cat>
            <c:strRef>
              <c:f>Sheet2!$U$39:$U$63</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Sheet2!$V$39:$V$63</c:f>
              <c:numCache>
                <c:formatCode>General</c:formatCode>
                <c:ptCount val="24"/>
                <c:pt idx="15">
                  <c:v>134</c:v>
                </c:pt>
                <c:pt idx="16">
                  <c:v>178</c:v>
                </c:pt>
                <c:pt idx="17">
                  <c:v>170</c:v>
                </c:pt>
                <c:pt idx="18">
                  <c:v>192</c:v>
                </c:pt>
                <c:pt idx="19">
                  <c:v>173</c:v>
                </c:pt>
                <c:pt idx="20">
                  <c:v>202</c:v>
                </c:pt>
                <c:pt idx="21">
                  <c:v>187</c:v>
                </c:pt>
                <c:pt idx="22">
                  <c:v>188</c:v>
                </c:pt>
                <c:pt idx="23">
                  <c:v>206</c:v>
                </c:pt>
              </c:numCache>
            </c:numRef>
          </c:val>
          <c:smooth val="0"/>
          <c:extLst>
            <c:ext xmlns:c16="http://schemas.microsoft.com/office/drawing/2014/chart" uri="{C3380CC4-5D6E-409C-BE32-E72D297353CC}">
              <c16:uniqueId val="{00000000-1699-4DBA-9976-9DEFC2EC2946}"/>
            </c:ext>
          </c:extLst>
        </c:ser>
        <c:ser>
          <c:idx val="1"/>
          <c:order val="1"/>
          <c:tx>
            <c:strRef>
              <c:f>Sheet2!$W$37:$W$38</c:f>
              <c:strCache>
                <c:ptCount val="1"/>
                <c:pt idx="0">
                  <c:v>Second-line</c:v>
                </c:pt>
              </c:strCache>
            </c:strRef>
          </c:tx>
          <c:spPr>
            <a:ln w="28575" cap="rnd">
              <a:solidFill>
                <a:schemeClr val="accent2"/>
              </a:solidFill>
              <a:round/>
            </a:ln>
            <a:effectLst/>
          </c:spPr>
          <c:marker>
            <c:symbol val="none"/>
          </c:marker>
          <c:cat>
            <c:strRef>
              <c:f>Sheet2!$U$39:$U$63</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Sheet2!$W$39:$W$63</c:f>
              <c:numCache>
                <c:formatCode>General</c:formatCode>
                <c:ptCount val="24"/>
                <c:pt idx="0">
                  <c:v>79</c:v>
                </c:pt>
                <c:pt idx="1">
                  <c:v>120</c:v>
                </c:pt>
                <c:pt idx="2">
                  <c:v>142</c:v>
                </c:pt>
                <c:pt idx="3">
                  <c:v>156</c:v>
                </c:pt>
                <c:pt idx="4">
                  <c:v>157</c:v>
                </c:pt>
                <c:pt idx="5">
                  <c:v>161</c:v>
                </c:pt>
                <c:pt idx="6">
                  <c:v>153</c:v>
                </c:pt>
                <c:pt idx="7">
                  <c:v>180</c:v>
                </c:pt>
                <c:pt idx="8">
                  <c:v>186</c:v>
                </c:pt>
                <c:pt idx="9">
                  <c:v>190</c:v>
                </c:pt>
                <c:pt idx="10">
                  <c:v>190</c:v>
                </c:pt>
                <c:pt idx="11">
                  <c:v>182</c:v>
                </c:pt>
                <c:pt idx="12">
                  <c:v>174</c:v>
                </c:pt>
                <c:pt idx="13">
                  <c:v>156</c:v>
                </c:pt>
                <c:pt idx="14">
                  <c:v>193</c:v>
                </c:pt>
                <c:pt idx="15">
                  <c:v>214</c:v>
                </c:pt>
                <c:pt idx="16">
                  <c:v>252</c:v>
                </c:pt>
                <c:pt idx="17">
                  <c:v>256</c:v>
                </c:pt>
                <c:pt idx="18">
                  <c:v>274</c:v>
                </c:pt>
                <c:pt idx="19">
                  <c:v>268</c:v>
                </c:pt>
                <c:pt idx="20">
                  <c:v>269</c:v>
                </c:pt>
                <c:pt idx="21">
                  <c:v>273</c:v>
                </c:pt>
                <c:pt idx="22">
                  <c:v>284</c:v>
                </c:pt>
                <c:pt idx="23">
                  <c:v>291</c:v>
                </c:pt>
              </c:numCache>
            </c:numRef>
          </c:val>
          <c:smooth val="0"/>
          <c:extLst>
            <c:ext xmlns:c16="http://schemas.microsoft.com/office/drawing/2014/chart" uri="{C3380CC4-5D6E-409C-BE32-E72D297353CC}">
              <c16:uniqueId val="{00000001-1699-4DBA-9976-9DEFC2EC2946}"/>
            </c:ext>
          </c:extLst>
        </c:ser>
        <c:dLbls>
          <c:showLegendKey val="0"/>
          <c:showVal val="0"/>
          <c:showCatName val="0"/>
          <c:showSerName val="0"/>
          <c:showPercent val="0"/>
          <c:showBubbleSize val="0"/>
        </c:dLbls>
        <c:smooth val="0"/>
        <c:axId val="793928416"/>
        <c:axId val="422621840"/>
      </c:lineChart>
      <c:catAx>
        <c:axId val="793928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621840"/>
        <c:crosses val="autoZero"/>
        <c:auto val="1"/>
        <c:lblAlgn val="ctr"/>
        <c:lblOffset val="100"/>
        <c:noMultiLvlLbl val="0"/>
      </c:catAx>
      <c:valAx>
        <c:axId val="422621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92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[olaparib review.xlsx]line of therapy!PivotTable2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'line of therapy'!$V$70:$V$71</c:f>
              <c:strCache>
                <c:ptCount val="1"/>
                <c:pt idx="0">
                  <c:v>First-line</c:v>
                </c:pt>
              </c:strCache>
            </c:strRef>
          </c:tx>
          <c:spPr>
            <a:ln w="28575" cap="rnd">
              <a:solidFill>
                <a:schemeClr val="accent1"/>
              </a:solidFill>
              <a:round/>
            </a:ln>
            <a:effectLst/>
          </c:spPr>
          <c:marker>
            <c:symbol val="none"/>
          </c:marker>
          <c:cat>
            <c:strRef>
              <c:f>'line of therapy'!$U$72:$U$96</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'line of therapy'!$V$72:$V$96</c:f>
              <c:numCache>
                <c:formatCode>General</c:formatCode>
                <c:ptCount val="24"/>
                <c:pt idx="15">
                  <c:v>120</c:v>
                </c:pt>
                <c:pt idx="16">
                  <c:v>49</c:v>
                </c:pt>
                <c:pt idx="17">
                  <c:v>32</c:v>
                </c:pt>
                <c:pt idx="18">
                  <c:v>39</c:v>
                </c:pt>
                <c:pt idx="19">
                  <c:v>28</c:v>
                </c:pt>
                <c:pt idx="20">
                  <c:v>55</c:v>
                </c:pt>
                <c:pt idx="21">
                  <c:v>24</c:v>
                </c:pt>
                <c:pt idx="22">
                  <c:v>31</c:v>
                </c:pt>
                <c:pt idx="23">
                  <c:v>35</c:v>
                </c:pt>
              </c:numCache>
            </c:numRef>
          </c:val>
          <c:smooth val="0"/>
          <c:extLst>
            <c:ext xmlns:c16="http://schemas.microsoft.com/office/drawing/2014/chart" uri="{C3380CC4-5D6E-409C-BE32-E72D297353CC}">
              <c16:uniqueId val="{00000000-39B1-4830-945E-10CF32FF7434}"/>
            </c:ext>
          </c:extLst>
        </c:ser>
        <c:ser>
          <c:idx val="1"/>
          <c:order val="1"/>
          <c:tx>
            <c:strRef>
              <c:f>'line of therapy'!$W$70:$W$71</c:f>
              <c:strCache>
                <c:ptCount val="1"/>
                <c:pt idx="0">
                  <c:v>Second-line</c:v>
                </c:pt>
              </c:strCache>
            </c:strRef>
          </c:tx>
          <c:spPr>
            <a:ln w="28575" cap="rnd">
              <a:solidFill>
                <a:schemeClr val="accent2"/>
              </a:solidFill>
              <a:round/>
            </a:ln>
            <a:effectLst/>
          </c:spPr>
          <c:marker>
            <c:symbol val="none"/>
          </c:marker>
          <c:cat>
            <c:strRef>
              <c:f>'line of therapy'!$U$72:$U$96</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'line of therapy'!$W$72:$W$96</c:f>
              <c:numCache>
                <c:formatCode>General</c:formatCode>
                <c:ptCount val="24"/>
                <c:pt idx="0">
                  <c:v>79</c:v>
                </c:pt>
                <c:pt idx="1">
                  <c:v>49</c:v>
                </c:pt>
                <c:pt idx="2">
                  <c:v>35</c:v>
                </c:pt>
                <c:pt idx="3">
                  <c:v>30</c:v>
                </c:pt>
                <c:pt idx="4">
                  <c:v>19</c:v>
                </c:pt>
                <c:pt idx="5">
                  <c:v>26</c:v>
                </c:pt>
                <c:pt idx="6">
                  <c:v>26</c:v>
                </c:pt>
                <c:pt idx="7">
                  <c:v>32</c:v>
                </c:pt>
                <c:pt idx="8">
                  <c:v>21</c:v>
                </c:pt>
                <c:pt idx="9">
                  <c:v>24</c:v>
                </c:pt>
                <c:pt idx="10">
                  <c:v>19</c:v>
                </c:pt>
                <c:pt idx="11">
                  <c:v>16</c:v>
                </c:pt>
                <c:pt idx="12">
                  <c:v>15</c:v>
                </c:pt>
                <c:pt idx="13">
                  <c:v>16</c:v>
                </c:pt>
                <c:pt idx="14">
                  <c:v>43</c:v>
                </c:pt>
                <c:pt idx="15">
                  <c:v>39</c:v>
                </c:pt>
                <c:pt idx="16">
                  <c:v>19</c:v>
                </c:pt>
                <c:pt idx="17">
                  <c:v>18</c:v>
                </c:pt>
                <c:pt idx="18">
                  <c:v>23</c:v>
                </c:pt>
                <c:pt idx="19">
                  <c:v>14</c:v>
                </c:pt>
                <c:pt idx="20">
                  <c:v>17</c:v>
                </c:pt>
                <c:pt idx="21">
                  <c:v>16</c:v>
                </c:pt>
                <c:pt idx="22">
                  <c:v>20</c:v>
                </c:pt>
                <c:pt idx="23">
                  <c:v>20</c:v>
                </c:pt>
              </c:numCache>
            </c:numRef>
          </c:val>
          <c:smooth val="0"/>
          <c:extLst>
            <c:ext xmlns:c16="http://schemas.microsoft.com/office/drawing/2014/chart" uri="{C3380CC4-5D6E-409C-BE32-E72D297353CC}">
              <c16:uniqueId val="{00000001-39B1-4830-945E-10CF32FF7434}"/>
            </c:ext>
          </c:extLst>
        </c:ser>
        <c:dLbls>
          <c:showLegendKey val="0"/>
          <c:showVal val="0"/>
          <c:showCatName val="0"/>
          <c:showSerName val="0"/>
          <c:showPercent val="0"/>
          <c:showBubbleSize val="0"/>
        </c:dLbls>
        <c:smooth val="0"/>
        <c:axId val="771083280"/>
        <c:axId val="771086232"/>
      </c:lineChart>
      <c:catAx>
        <c:axId val="771083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a:t>
                </a:r>
                <a:r>
                  <a:rPr lang="en-AU" baseline="0"/>
                  <a:t> of supply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086232"/>
        <c:crosses val="autoZero"/>
        <c:auto val="1"/>
        <c:lblAlgn val="ctr"/>
        <c:lblOffset val="100"/>
        <c:noMultiLvlLbl val="0"/>
      </c:catAx>
      <c:valAx>
        <c:axId val="771086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a:t>
                </a:r>
                <a:r>
                  <a:rPr lang="en-AU" baseline="0"/>
                  <a:t> patients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08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[olaparib review.xlsx]market v2!PivotTable1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'market v2'!$U$1:$U$2</c:f>
              <c:strCache>
                <c:ptCount val="1"/>
                <c:pt idx="0">
                  <c:v>BEVACIZUMAB</c:v>
                </c:pt>
              </c:strCache>
            </c:strRef>
          </c:tx>
          <c:spPr>
            <a:ln w="28575" cap="rnd">
              <a:solidFill>
                <a:schemeClr val="accent1"/>
              </a:solidFill>
              <a:round/>
            </a:ln>
            <a:effectLst/>
          </c:spPr>
          <c:marker>
            <c:symbol val="none"/>
          </c:marker>
          <c:cat>
            <c:strRef>
              <c:f>'market v2'!$T$3:$T$27</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'market v2'!$U$3:$U$27</c:f>
              <c:numCache>
                <c:formatCode>General</c:formatCode>
                <c:ptCount val="24"/>
                <c:pt idx="0">
                  <c:v>425</c:v>
                </c:pt>
                <c:pt idx="1">
                  <c:v>414</c:v>
                </c:pt>
                <c:pt idx="2">
                  <c:v>389</c:v>
                </c:pt>
                <c:pt idx="3">
                  <c:v>381</c:v>
                </c:pt>
                <c:pt idx="4">
                  <c:v>378</c:v>
                </c:pt>
                <c:pt idx="5">
                  <c:v>400</c:v>
                </c:pt>
                <c:pt idx="6">
                  <c:v>409</c:v>
                </c:pt>
                <c:pt idx="7">
                  <c:v>399</c:v>
                </c:pt>
                <c:pt idx="8">
                  <c:v>390</c:v>
                </c:pt>
                <c:pt idx="9">
                  <c:v>400</c:v>
                </c:pt>
                <c:pt idx="10">
                  <c:v>376</c:v>
                </c:pt>
                <c:pt idx="11">
                  <c:v>371</c:v>
                </c:pt>
                <c:pt idx="12">
                  <c:v>356</c:v>
                </c:pt>
                <c:pt idx="13">
                  <c:v>376</c:v>
                </c:pt>
                <c:pt idx="14">
                  <c:v>406</c:v>
                </c:pt>
                <c:pt idx="15">
                  <c:v>410</c:v>
                </c:pt>
                <c:pt idx="16">
                  <c:v>381</c:v>
                </c:pt>
                <c:pt idx="17">
                  <c:v>345</c:v>
                </c:pt>
              </c:numCache>
            </c:numRef>
          </c:val>
          <c:smooth val="0"/>
          <c:extLst>
            <c:ext xmlns:c16="http://schemas.microsoft.com/office/drawing/2014/chart" uri="{C3380CC4-5D6E-409C-BE32-E72D297353CC}">
              <c16:uniqueId val="{00000000-7CD8-4AAE-BEA9-450F858A683E}"/>
            </c:ext>
          </c:extLst>
        </c:ser>
        <c:ser>
          <c:idx val="1"/>
          <c:order val="1"/>
          <c:tx>
            <c:strRef>
              <c:f>'market v2'!$V$1:$V$2</c:f>
              <c:strCache>
                <c:ptCount val="1"/>
                <c:pt idx="0">
                  <c:v>NIRAPARIB</c:v>
                </c:pt>
              </c:strCache>
            </c:strRef>
          </c:tx>
          <c:spPr>
            <a:ln w="28575" cap="rnd">
              <a:solidFill>
                <a:schemeClr val="accent2"/>
              </a:solidFill>
              <a:round/>
            </a:ln>
            <a:effectLst/>
          </c:spPr>
          <c:marker>
            <c:symbol val="none"/>
          </c:marker>
          <c:cat>
            <c:strRef>
              <c:f>'market v2'!$T$3:$T$27</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'market v2'!$V$3:$V$27</c:f>
              <c:numCache>
                <c:formatCode>General</c:formatCode>
                <c:ptCount val="24"/>
                <c:pt idx="22">
                  <c:v>5</c:v>
                </c:pt>
                <c:pt idx="23">
                  <c:v>6</c:v>
                </c:pt>
              </c:numCache>
            </c:numRef>
          </c:val>
          <c:smooth val="0"/>
          <c:extLst>
            <c:ext xmlns:c16="http://schemas.microsoft.com/office/drawing/2014/chart" uri="{C3380CC4-5D6E-409C-BE32-E72D297353CC}">
              <c16:uniqueId val="{00000001-7CD8-4AAE-BEA9-450F858A683E}"/>
            </c:ext>
          </c:extLst>
        </c:ser>
        <c:ser>
          <c:idx val="2"/>
          <c:order val="2"/>
          <c:tx>
            <c:strRef>
              <c:f>'market v2'!$W$1:$W$2</c:f>
              <c:strCache>
                <c:ptCount val="1"/>
                <c:pt idx="0">
                  <c:v>OLAPARIB</c:v>
                </c:pt>
              </c:strCache>
            </c:strRef>
          </c:tx>
          <c:spPr>
            <a:ln w="28575" cap="rnd">
              <a:solidFill>
                <a:schemeClr val="accent3"/>
              </a:solidFill>
              <a:round/>
            </a:ln>
            <a:effectLst/>
          </c:spPr>
          <c:marker>
            <c:symbol val="none"/>
          </c:marker>
          <c:cat>
            <c:strRef>
              <c:f>'market v2'!$T$3:$T$27</c:f>
              <c:strCache>
                <c:ptCount val="24"/>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strCache>
            </c:strRef>
          </c:cat>
          <c:val>
            <c:numRef>
              <c:f>'market v2'!$W$3:$W$27</c:f>
              <c:numCache>
                <c:formatCode>General</c:formatCode>
                <c:ptCount val="24"/>
                <c:pt idx="0">
                  <c:v>12</c:v>
                </c:pt>
                <c:pt idx="1">
                  <c:v>53</c:v>
                </c:pt>
                <c:pt idx="2">
                  <c:v>95</c:v>
                </c:pt>
                <c:pt idx="3">
                  <c:v>115</c:v>
                </c:pt>
                <c:pt idx="4">
                  <c:v>130</c:v>
                </c:pt>
                <c:pt idx="5">
                  <c:v>123</c:v>
                </c:pt>
                <c:pt idx="6">
                  <c:v>121</c:v>
                </c:pt>
                <c:pt idx="7">
                  <c:v>154</c:v>
                </c:pt>
                <c:pt idx="8">
                  <c:v>179</c:v>
                </c:pt>
                <c:pt idx="9">
                  <c:v>190</c:v>
                </c:pt>
                <c:pt idx="10">
                  <c:v>190</c:v>
                </c:pt>
                <c:pt idx="11">
                  <c:v>182</c:v>
                </c:pt>
                <c:pt idx="12">
                  <c:v>174</c:v>
                </c:pt>
                <c:pt idx="13">
                  <c:v>156</c:v>
                </c:pt>
                <c:pt idx="14">
                  <c:v>193</c:v>
                </c:pt>
                <c:pt idx="15">
                  <c:v>333</c:v>
                </c:pt>
                <c:pt idx="16">
                  <c:v>377</c:v>
                </c:pt>
                <c:pt idx="17">
                  <c:v>390</c:v>
                </c:pt>
                <c:pt idx="18">
                  <c:v>421</c:v>
                </c:pt>
                <c:pt idx="19">
                  <c:v>411</c:v>
                </c:pt>
                <c:pt idx="20">
                  <c:v>438</c:v>
                </c:pt>
                <c:pt idx="21">
                  <c:v>432</c:v>
                </c:pt>
                <c:pt idx="22">
                  <c:v>447</c:v>
                </c:pt>
                <c:pt idx="23">
                  <c:v>458</c:v>
                </c:pt>
              </c:numCache>
            </c:numRef>
          </c:val>
          <c:smooth val="0"/>
          <c:extLst>
            <c:ext xmlns:c16="http://schemas.microsoft.com/office/drawing/2014/chart" uri="{C3380CC4-5D6E-409C-BE32-E72D297353CC}">
              <c16:uniqueId val="{00000002-7CD8-4AAE-BEA9-450F858A683E}"/>
            </c:ext>
          </c:extLst>
        </c:ser>
        <c:dLbls>
          <c:showLegendKey val="0"/>
          <c:showVal val="0"/>
          <c:showCatName val="0"/>
          <c:showSerName val="0"/>
          <c:showPercent val="0"/>
          <c:showBubbleSize val="0"/>
        </c:dLbls>
        <c:smooth val="0"/>
        <c:axId val="844649264"/>
        <c:axId val="844651232"/>
      </c:lineChart>
      <c:catAx>
        <c:axId val="844649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651232"/>
        <c:crosses val="autoZero"/>
        <c:auto val="1"/>
        <c:lblAlgn val="ctr"/>
        <c:lblOffset val="100"/>
        <c:noMultiLvlLbl val="0"/>
      </c:catAx>
      <c:valAx>
        <c:axId val="844651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64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6574</Words>
  <Characters>37475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2023-09-25T05:17:00Z</cp:lastPrinted>
  <dcterms:created xsi:type="dcterms:W3CDTF">2023-09-25T05:09:00Z</dcterms:created>
  <dcterms:modified xsi:type="dcterms:W3CDTF">2023-09-25T05:17:00Z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