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6467E" w14:textId="77777777" w:rsidR="00832324" w:rsidRPr="001D105D" w:rsidRDefault="000C7395" w:rsidP="00215563">
      <w:pPr>
        <w:pStyle w:val="Title"/>
      </w:pPr>
      <w:r w:rsidRPr="001D105D">
        <w:t>A</w:t>
      </w:r>
      <w:r w:rsidR="00625AC5" w:rsidRPr="001D105D">
        <w:t xml:space="preserve">ttention </w:t>
      </w:r>
      <w:r w:rsidRPr="001D105D">
        <w:t>D</w:t>
      </w:r>
      <w:r w:rsidR="00625AC5" w:rsidRPr="001D105D">
        <w:t xml:space="preserve">eficit </w:t>
      </w:r>
      <w:r w:rsidRPr="001D105D">
        <w:t>H</w:t>
      </w:r>
      <w:r w:rsidR="00625AC5" w:rsidRPr="001D105D">
        <w:t xml:space="preserve">yperactivity </w:t>
      </w:r>
      <w:r w:rsidRPr="001D105D">
        <w:t>D</w:t>
      </w:r>
      <w:r w:rsidR="00625AC5" w:rsidRPr="001D105D">
        <w:t>isorder</w:t>
      </w:r>
      <w:r w:rsidR="00520BCB" w:rsidRPr="001D105D">
        <w:t>:</w:t>
      </w:r>
      <w:r w:rsidRPr="001D105D">
        <w:t xml:space="preserve"> Utilisation Analysis</w:t>
      </w:r>
    </w:p>
    <w:p w14:paraId="0E5E0943" w14:textId="77777777" w:rsidR="00736041" w:rsidRPr="001D105D" w:rsidRDefault="009053D3" w:rsidP="00215563">
      <w:pPr>
        <w:pStyle w:val="Title2"/>
      </w:pPr>
      <w:r w:rsidRPr="001D105D">
        <w:t>D</w:t>
      </w:r>
      <w:r w:rsidR="00832324" w:rsidRPr="001D105D">
        <w:t>rug utilisation sub-committee (DUSC)</w:t>
      </w:r>
    </w:p>
    <w:p w14:paraId="4896133A" w14:textId="46EC187F" w:rsidR="009053D3" w:rsidRPr="001D105D" w:rsidRDefault="003B2DB1" w:rsidP="00215563">
      <w:pPr>
        <w:pStyle w:val="Meetingdate"/>
      </w:pPr>
      <w:r>
        <w:t>September 2023</w:t>
      </w:r>
    </w:p>
    <w:p w14:paraId="18DCA608" w14:textId="4CBF1961" w:rsidR="005C6661" w:rsidRPr="001D105D" w:rsidRDefault="005C6661" w:rsidP="003D7F44">
      <w:pPr>
        <w:pStyle w:val="Heading2"/>
      </w:pPr>
      <w:r w:rsidRPr="001D105D">
        <w:t>Abstract</w:t>
      </w:r>
    </w:p>
    <w:p w14:paraId="23E3A6AA" w14:textId="77777777" w:rsidR="00A7637D" w:rsidRPr="001D105D" w:rsidRDefault="00A7637D" w:rsidP="00A7637D">
      <w:pPr>
        <w:pStyle w:val="Heading3"/>
      </w:pPr>
      <w:r w:rsidRPr="001D105D">
        <w:t>Purpose</w:t>
      </w:r>
    </w:p>
    <w:p w14:paraId="6F7D98D4" w14:textId="77777777" w:rsidR="00A7637D" w:rsidRPr="001D105D" w:rsidRDefault="00A7637D" w:rsidP="00A7637D">
      <w:pPr>
        <w:rPr>
          <w:rFonts w:cs="Arial"/>
          <w:color w:val="222222"/>
          <w:shd w:val="clear" w:color="auto" w:fill="FFFFFF"/>
        </w:rPr>
      </w:pPr>
      <w:r w:rsidRPr="001D105D">
        <w:t xml:space="preserve">To review the utilisation of the Pharmaceutical Benefits Scheme (PBS) and Repatriation PBS (R/PBS) listed medicines used in the management of attention deficit hyperactivity disorder (ADHD). This includes a predicted versus actual analysis </w:t>
      </w:r>
      <w:r>
        <w:t>of the first 24 months of R/PBS listing of l</w:t>
      </w:r>
      <w:r w:rsidRPr="00AD7397">
        <w:t>isdexamfetamine extended</w:t>
      </w:r>
      <w:r>
        <w:t xml:space="preserve"> use, to allow use in adults with ADHD persisting from childhood, even if diagnosed after 18 years of age</w:t>
      </w:r>
      <w:r w:rsidRPr="001D105D">
        <w:t xml:space="preserve">. </w:t>
      </w:r>
      <w:r w:rsidRPr="00804284">
        <w:t xml:space="preserve">Lisdexamfetamine </w:t>
      </w:r>
      <w:r w:rsidRPr="001D105D">
        <w:rPr>
          <w:rFonts w:cs="Arial"/>
          <w:color w:val="222222"/>
          <w:shd w:val="clear" w:color="auto" w:fill="FFFFFF"/>
        </w:rPr>
        <w:t xml:space="preserve">was first R/PBS-listed for this indication on </w:t>
      </w:r>
      <w:r>
        <w:rPr>
          <w:rFonts w:cs="Arial"/>
          <w:color w:val="222222"/>
          <w:shd w:val="clear" w:color="auto" w:fill="FFFFFF"/>
        </w:rPr>
        <w:t>1 February 2021</w:t>
      </w:r>
      <w:r w:rsidRPr="001D105D">
        <w:rPr>
          <w:rFonts w:cs="Arial"/>
          <w:color w:val="222222"/>
          <w:shd w:val="clear" w:color="auto" w:fill="FFFFFF"/>
        </w:rPr>
        <w:t xml:space="preserve">. </w:t>
      </w:r>
    </w:p>
    <w:p w14:paraId="405CEB63" w14:textId="77777777" w:rsidR="00A7637D" w:rsidRPr="001D105D" w:rsidRDefault="00A7637D" w:rsidP="00A7637D">
      <w:pPr>
        <w:pStyle w:val="Heading3"/>
      </w:pPr>
      <w:r w:rsidRPr="00842BCB">
        <w:t>Date of listing on the PBS</w:t>
      </w:r>
    </w:p>
    <w:p w14:paraId="47BEFDDF" w14:textId="77777777" w:rsidR="00A7637D" w:rsidRPr="001D105D" w:rsidRDefault="00A7637D" w:rsidP="00A7637D">
      <w:pPr>
        <w:pStyle w:val="ListParagraph"/>
        <w:numPr>
          <w:ilvl w:val="0"/>
          <w:numId w:val="4"/>
        </w:numPr>
      </w:pPr>
      <w:r w:rsidRPr="001D105D">
        <w:t>Dexamphetamine - 1 December 1973</w:t>
      </w:r>
    </w:p>
    <w:p w14:paraId="051E23BD" w14:textId="77777777" w:rsidR="00A7637D" w:rsidRPr="001D105D" w:rsidRDefault="00A7637D" w:rsidP="00A7637D">
      <w:pPr>
        <w:pStyle w:val="ListParagraph"/>
        <w:numPr>
          <w:ilvl w:val="0"/>
          <w:numId w:val="4"/>
        </w:numPr>
      </w:pPr>
      <w:r w:rsidRPr="001D105D">
        <w:t>Methylphenidate immediate release (IR) - 1</w:t>
      </w:r>
      <w:r w:rsidRPr="001D105D">
        <w:rPr>
          <w:vertAlign w:val="superscript"/>
        </w:rPr>
        <w:t xml:space="preserve"> </w:t>
      </w:r>
      <w:r w:rsidRPr="001D105D">
        <w:t>August 2005</w:t>
      </w:r>
    </w:p>
    <w:p w14:paraId="704DC753" w14:textId="77777777" w:rsidR="00A7637D" w:rsidRPr="001D105D" w:rsidRDefault="00A7637D" w:rsidP="00A7637D">
      <w:pPr>
        <w:pStyle w:val="ListParagraph"/>
        <w:numPr>
          <w:ilvl w:val="0"/>
          <w:numId w:val="4"/>
        </w:numPr>
      </w:pPr>
      <w:r w:rsidRPr="001D105D">
        <w:t>Methylphenidate modified release (MR) (Concerta</w:t>
      </w:r>
      <w:r w:rsidRPr="001D105D">
        <w:rPr>
          <w:rFonts w:ascii="Symbol" w:eastAsia="Symbol" w:hAnsi="Symbol" w:cs="Symbol"/>
          <w:vertAlign w:val="superscript"/>
        </w:rPr>
        <w:t>â</w:t>
      </w:r>
      <w:r w:rsidRPr="001D105D">
        <w:t>) - 1 April 2007</w:t>
      </w:r>
    </w:p>
    <w:p w14:paraId="72E4A7CC" w14:textId="77777777" w:rsidR="00A7637D" w:rsidRPr="001D105D" w:rsidRDefault="00A7637D" w:rsidP="00A7637D">
      <w:pPr>
        <w:pStyle w:val="ListParagraph"/>
        <w:numPr>
          <w:ilvl w:val="0"/>
          <w:numId w:val="4"/>
        </w:numPr>
      </w:pPr>
      <w:r w:rsidRPr="001D105D">
        <w:t>Methylphenidate modified release (MR) (Ritalin LA</w:t>
      </w:r>
      <w:r w:rsidRPr="001D105D">
        <w:rPr>
          <w:rFonts w:ascii="Symbol" w:eastAsia="Symbol" w:hAnsi="Symbol" w:cs="Symbol"/>
          <w:vertAlign w:val="superscript"/>
        </w:rPr>
        <w:t>â</w:t>
      </w:r>
      <w:r w:rsidRPr="001D105D">
        <w:t>) - 1 April 2008</w:t>
      </w:r>
    </w:p>
    <w:p w14:paraId="490625A2" w14:textId="77777777" w:rsidR="00A7637D" w:rsidRPr="001D105D" w:rsidRDefault="00A7637D" w:rsidP="00A7637D">
      <w:pPr>
        <w:pStyle w:val="ListParagraph"/>
        <w:numPr>
          <w:ilvl w:val="0"/>
          <w:numId w:val="4"/>
        </w:numPr>
      </w:pPr>
      <w:r w:rsidRPr="001D105D">
        <w:t>Atomoxetine - 1 July 2007 requiring authority approval. On 1 August 2014, the restriction was simplified and changed to streamlined authority</w:t>
      </w:r>
    </w:p>
    <w:p w14:paraId="0BDEA0AE" w14:textId="77777777" w:rsidR="00A7637D" w:rsidRPr="001D105D" w:rsidRDefault="00A7637D" w:rsidP="00A7637D">
      <w:pPr>
        <w:pStyle w:val="ListParagraph"/>
        <w:numPr>
          <w:ilvl w:val="0"/>
          <w:numId w:val="4"/>
        </w:numPr>
      </w:pPr>
      <w:r w:rsidRPr="001D105D">
        <w:t>Lisdexamfetamine - 1 September 2015</w:t>
      </w:r>
      <w:r>
        <w:t xml:space="preserve"> requiring authority approval</w:t>
      </w:r>
    </w:p>
    <w:p w14:paraId="76C6EB1B" w14:textId="77777777" w:rsidR="00A7637D" w:rsidRDefault="00A7637D" w:rsidP="00A7637D">
      <w:pPr>
        <w:pStyle w:val="ListParagraph"/>
        <w:numPr>
          <w:ilvl w:val="0"/>
          <w:numId w:val="4"/>
        </w:numPr>
      </w:pPr>
      <w:r w:rsidRPr="001D105D">
        <w:t>Guanfacine – 1 September 2018 requiring streamlined authority approval</w:t>
      </w:r>
    </w:p>
    <w:p w14:paraId="483657FB" w14:textId="77777777" w:rsidR="00A7637D" w:rsidRPr="00842BCB" w:rsidRDefault="00A7637D" w:rsidP="00A7637D">
      <w:pPr>
        <w:tabs>
          <w:tab w:val="left" w:pos="0"/>
        </w:tabs>
      </w:pPr>
      <w:r w:rsidRPr="00842BCB">
        <w:t xml:space="preserve">Subsidy of atomoxetine and guanfacine is limited to </w:t>
      </w:r>
      <w:r>
        <w:t>people</w:t>
      </w:r>
      <w:r w:rsidRPr="00842BCB">
        <w:t xml:space="preserve"> diagnosed between the ages of 6 and 18 years of age inclusive. </w:t>
      </w:r>
    </w:p>
    <w:p w14:paraId="67DA04AF" w14:textId="77777777" w:rsidR="00A7637D" w:rsidRPr="00842BCB" w:rsidRDefault="00A7637D" w:rsidP="00A7637D">
      <w:pPr>
        <w:tabs>
          <w:tab w:val="left" w:pos="0"/>
        </w:tabs>
      </w:pPr>
      <w:r w:rsidRPr="00842BCB">
        <w:t xml:space="preserve">Atomoxetine and guanfacine are subsidised for </w:t>
      </w:r>
      <w:r>
        <w:t>people</w:t>
      </w:r>
      <w:r w:rsidRPr="00842BCB">
        <w:t xml:space="preserve"> unable to take dexamphetamine or methylphenidate due</w:t>
      </w:r>
      <w:r>
        <w:t xml:space="preserve"> to</w:t>
      </w:r>
      <w:r w:rsidRPr="00842BCB">
        <w:t xml:space="preserve"> specific circumstances set out in the PBS restriction. </w:t>
      </w:r>
      <w:r>
        <w:t>People</w:t>
      </w:r>
      <w:r w:rsidRPr="00842BCB">
        <w:t xml:space="preserve"> need to have been diagnosed by a paediatrician or psychiatrist according to the</w:t>
      </w:r>
      <w:r>
        <w:t xml:space="preserve"> Diagnostic and Statistical Manual of Mental Disorders</w:t>
      </w:r>
      <w:r w:rsidRPr="00842BCB">
        <w:t xml:space="preserve"> </w:t>
      </w:r>
      <w:r>
        <w:t>(</w:t>
      </w:r>
      <w:r w:rsidRPr="00842BCB">
        <w:t>DSM-5</w:t>
      </w:r>
      <w:r>
        <w:t>)</w:t>
      </w:r>
      <w:r w:rsidRPr="00842BCB">
        <w:t xml:space="preserve"> criteria. </w:t>
      </w:r>
    </w:p>
    <w:p w14:paraId="31F298DF" w14:textId="77777777" w:rsidR="00A7637D" w:rsidRPr="00842BCB" w:rsidRDefault="00A7637D" w:rsidP="00A7637D">
      <w:pPr>
        <w:tabs>
          <w:tab w:val="left" w:pos="0"/>
        </w:tabs>
      </w:pPr>
      <w:r w:rsidRPr="00842BCB">
        <w:t>Lisdexamfetamine and modified-release methylphenidate (Concerta</w:t>
      </w:r>
      <w:r w:rsidRPr="001D105D">
        <w:rPr>
          <w:rFonts w:ascii="Symbol" w:eastAsia="Symbol" w:hAnsi="Symbol" w:cs="Symbol"/>
          <w:vertAlign w:val="superscript"/>
        </w:rPr>
        <w:t>â</w:t>
      </w:r>
      <w:r w:rsidRPr="00842BCB">
        <w:t>) are for p</w:t>
      </w:r>
      <w:r>
        <w:t>eople</w:t>
      </w:r>
      <w:r w:rsidRPr="00842BCB">
        <w:t xml:space="preserve"> requiring coverage over 12 hours. </w:t>
      </w:r>
      <w:r>
        <w:t>A shorter m</w:t>
      </w:r>
      <w:r w:rsidRPr="00842BCB">
        <w:t>odified-release methylphenidate (Ritalin LA</w:t>
      </w:r>
      <w:r w:rsidRPr="001D105D">
        <w:rPr>
          <w:rFonts w:ascii="Symbol" w:eastAsia="Symbol" w:hAnsi="Symbol" w:cs="Symbol"/>
          <w:vertAlign w:val="superscript"/>
        </w:rPr>
        <w:t>â</w:t>
      </w:r>
      <w:r>
        <w:t>)</w:t>
      </w:r>
      <w:r w:rsidRPr="00842BCB">
        <w:t xml:space="preserve"> is</w:t>
      </w:r>
      <w:r>
        <w:t xml:space="preserve"> available</w:t>
      </w:r>
      <w:r w:rsidRPr="00842BCB">
        <w:t xml:space="preserve"> for p</w:t>
      </w:r>
      <w:r>
        <w:t>eople</w:t>
      </w:r>
      <w:r w:rsidRPr="00842BCB">
        <w:t xml:space="preserve"> requiring coverage over 8 hours. </w:t>
      </w:r>
    </w:p>
    <w:p w14:paraId="42DF810C" w14:textId="77777777" w:rsidR="00A7637D" w:rsidRDefault="00A7637D" w:rsidP="00A7637D">
      <w:pPr>
        <w:tabs>
          <w:tab w:val="left" w:pos="0"/>
        </w:tabs>
      </w:pPr>
      <w:r w:rsidRPr="00842BCB">
        <w:t>To use modified-release methylphenidate, p</w:t>
      </w:r>
      <w:r>
        <w:t>eople</w:t>
      </w:r>
      <w:r w:rsidRPr="00842BCB">
        <w:t xml:space="preserve"> need to have demonstrated a response to immediate-release methylphenidate with no emergence of adverse events.</w:t>
      </w:r>
      <w:r w:rsidRPr="001D105D">
        <w:t xml:space="preserve"> </w:t>
      </w:r>
    </w:p>
    <w:p w14:paraId="77297CE3" w14:textId="3B288D99" w:rsidR="005C6661" w:rsidRPr="001D105D" w:rsidRDefault="00761FD6" w:rsidP="00215563">
      <w:pPr>
        <w:pStyle w:val="Heading3"/>
      </w:pPr>
      <w:r w:rsidRPr="00435096">
        <w:t>Data Source / methodology</w:t>
      </w:r>
    </w:p>
    <w:p w14:paraId="0DA903EF" w14:textId="71C7D5E7" w:rsidR="00FF4FBB" w:rsidRPr="001D105D" w:rsidRDefault="00FD1176" w:rsidP="00215563">
      <w:r w:rsidRPr="001D105D">
        <w:lastRenderedPageBreak/>
        <w:t>The analysis used data</w:t>
      </w:r>
      <w:r w:rsidR="00E03D6E">
        <w:t xml:space="preserve"> </w:t>
      </w:r>
      <w:r w:rsidR="003E77A5">
        <w:t xml:space="preserve">from the </w:t>
      </w:r>
      <w:r w:rsidR="003E77A5" w:rsidRPr="001D105D">
        <w:t>supplied prescriptions database</w:t>
      </w:r>
      <w:r w:rsidR="003E77A5">
        <w:t xml:space="preserve"> </w:t>
      </w:r>
      <w:r w:rsidR="00F24182">
        <w:t xml:space="preserve">maintained by the Department of Health and Aged </w:t>
      </w:r>
      <w:r w:rsidR="00E41205">
        <w:t>C</w:t>
      </w:r>
      <w:r w:rsidR="00F24182">
        <w:t xml:space="preserve">are, </w:t>
      </w:r>
      <w:r w:rsidR="0018167A">
        <w:t>processed by</w:t>
      </w:r>
      <w:r w:rsidR="00FF4FBB" w:rsidRPr="001D105D">
        <w:t xml:space="preserve"> </w:t>
      </w:r>
      <w:r w:rsidR="00E02139" w:rsidRPr="001D105D">
        <w:t xml:space="preserve">Services Australia </w:t>
      </w:r>
      <w:r w:rsidR="00842BCB">
        <w:t xml:space="preserve">and </w:t>
      </w:r>
      <w:r w:rsidR="00840B10">
        <w:t>Australian Bureau of Statistics (</w:t>
      </w:r>
      <w:r w:rsidR="00842BCB" w:rsidRPr="00842BCB">
        <w:t>ABS</w:t>
      </w:r>
      <w:r w:rsidR="00840B10">
        <w:t>)</w:t>
      </w:r>
      <w:r w:rsidR="00842BCB" w:rsidRPr="00842BCB">
        <w:t xml:space="preserve"> estimated residential population (ERP)</w:t>
      </w:r>
      <w:r w:rsidR="00E07BB7">
        <w:t xml:space="preserve"> </w:t>
      </w:r>
      <w:r w:rsidR="00842BCB" w:rsidRPr="00842BCB">
        <w:t>at 31 December for the specific financial year</w:t>
      </w:r>
      <w:r w:rsidR="00FF4FBB" w:rsidRPr="001D105D">
        <w:t>.</w:t>
      </w:r>
    </w:p>
    <w:p w14:paraId="6CB67097" w14:textId="77777777" w:rsidR="005C6661" w:rsidRPr="001D105D" w:rsidRDefault="0000180C" w:rsidP="00215563">
      <w:pPr>
        <w:pStyle w:val="Heading3"/>
      </w:pPr>
      <w:r w:rsidRPr="00435096">
        <w:t>Key Findin</w:t>
      </w:r>
      <w:r w:rsidR="00FF4FBB" w:rsidRPr="00435096">
        <w:t>gs</w:t>
      </w:r>
    </w:p>
    <w:p w14:paraId="7336A9AD" w14:textId="77777777" w:rsidR="00A7637D" w:rsidRDefault="00A7637D" w:rsidP="00A7637D">
      <w:r w:rsidRPr="001D105D">
        <w:t xml:space="preserve">Over the </w:t>
      </w:r>
      <w:r>
        <w:t xml:space="preserve">ten financial </w:t>
      </w:r>
      <w:r w:rsidRPr="001D105D">
        <w:t>year</w:t>
      </w:r>
      <w:r>
        <w:t>s</w:t>
      </w:r>
      <w:r w:rsidRPr="001D105D">
        <w:t xml:space="preserve"> period</w:t>
      </w:r>
      <w:r>
        <w:t>,</w:t>
      </w:r>
      <w:r w:rsidRPr="001D105D">
        <w:t xml:space="preserve"> </w:t>
      </w:r>
      <w:r>
        <w:t>2013-14 to 2022-23</w:t>
      </w:r>
      <w:r w:rsidRPr="001D105D">
        <w:t>:</w:t>
      </w:r>
    </w:p>
    <w:p w14:paraId="13184311" w14:textId="77777777" w:rsidR="00A7637D" w:rsidRPr="00435096" w:rsidRDefault="00A7637D" w:rsidP="00A7637D">
      <w:pPr>
        <w:pStyle w:val="ListParagraph"/>
        <w:numPr>
          <w:ilvl w:val="0"/>
          <w:numId w:val="15"/>
        </w:numPr>
      </w:pPr>
      <w:r w:rsidRPr="00435096">
        <w:t>The rate of growth of prescriptions and p</w:t>
      </w:r>
      <w:r>
        <w:t>eople</w:t>
      </w:r>
      <w:r w:rsidRPr="00435096">
        <w:t xml:space="preserve"> across all age groups and </w:t>
      </w:r>
      <w:r>
        <w:t xml:space="preserve">genders </w:t>
      </w:r>
      <w:r w:rsidRPr="00435096">
        <w:t>being treated with R/PBS medicines for ADHD has risen.</w:t>
      </w:r>
    </w:p>
    <w:p w14:paraId="24D1A856" w14:textId="7B974040" w:rsidR="00A7637D" w:rsidRPr="00435096" w:rsidRDefault="00A7637D" w:rsidP="00A7637D">
      <w:pPr>
        <w:pStyle w:val="ListParagraph"/>
        <w:numPr>
          <w:ilvl w:val="0"/>
          <w:numId w:val="15"/>
        </w:numPr>
      </w:pPr>
      <w:r w:rsidRPr="00435096">
        <w:t>The average annual growth rate of prescriptions since 2013-2014 is just under 18%</w:t>
      </w:r>
      <w:r>
        <w:t>.</w:t>
      </w:r>
      <w:r w:rsidRPr="00435096">
        <w:t xml:space="preserve"> </w:t>
      </w:r>
      <w:r>
        <w:t>H</w:t>
      </w:r>
      <w:r w:rsidRPr="00435096">
        <w:t xml:space="preserve">owever, the growth rate has greatly accelerated since the 2019-20 financial year. The growth rate over the four financial years, 2019-20 to 2022-23, is just over 25%. This increase is due to an increased use of all ADHD medications with the highest increases found in the prescribing of guanfacine (which was PBS listed on 1 September 2018), and lisdexamfetamine (which had </w:t>
      </w:r>
      <w:r>
        <w:t xml:space="preserve">a </w:t>
      </w:r>
      <w:r w:rsidRPr="00435096">
        <w:t>restriction change</w:t>
      </w:r>
      <w:r>
        <w:t xml:space="preserve"> allowing use in the &gt;18 year old population without prior diagnosis</w:t>
      </w:r>
      <w:r w:rsidRPr="00435096">
        <w:t xml:space="preserve"> on 1 February 2021). </w:t>
      </w:r>
    </w:p>
    <w:p w14:paraId="1A33B7D2" w14:textId="77777777" w:rsidR="00A7637D" w:rsidRPr="00435096" w:rsidRDefault="00A7637D" w:rsidP="00A7637D">
      <w:pPr>
        <w:pStyle w:val="ListParagraph"/>
        <w:numPr>
          <w:ilvl w:val="0"/>
          <w:numId w:val="15"/>
        </w:numPr>
      </w:pPr>
      <w:r w:rsidRPr="00435096">
        <w:t>The growth in the number of prevalent p</w:t>
      </w:r>
      <w:r>
        <w:t>eople</w:t>
      </w:r>
      <w:r w:rsidRPr="00435096">
        <w:t xml:space="preserve"> treated with R/PBS medicines for </w:t>
      </w:r>
      <w:r w:rsidRPr="001D0E04">
        <w:t>ADHD has risen at a similar rate to prescription growth</w:t>
      </w:r>
      <w:r w:rsidRPr="00435096">
        <w:t>, with an overall growth of 2</w:t>
      </w:r>
      <w:r>
        <w:t>8</w:t>
      </w:r>
      <w:r w:rsidRPr="00435096">
        <w:t xml:space="preserve">% from 2021-22 to 2022-23. When this cohort is broken down into </w:t>
      </w:r>
      <w:r>
        <w:t xml:space="preserve">above </w:t>
      </w:r>
      <w:r w:rsidRPr="00435096">
        <w:t xml:space="preserve">18 year old (&gt;18 year old), and 18 and under year old (≤18 year old), </w:t>
      </w:r>
      <w:r>
        <w:t xml:space="preserve">population </w:t>
      </w:r>
      <w:r w:rsidRPr="00435096">
        <w:t xml:space="preserve">groups the growth rate was </w:t>
      </w:r>
      <w:r>
        <w:t>40</w:t>
      </w:r>
      <w:r w:rsidRPr="00435096">
        <w:t>%, and 2</w:t>
      </w:r>
      <w:r>
        <w:t>0</w:t>
      </w:r>
      <w:r w:rsidRPr="00435096">
        <w:t>% respectively.</w:t>
      </w:r>
    </w:p>
    <w:p w14:paraId="4D1FBF31" w14:textId="77777777" w:rsidR="00A7637D" w:rsidRPr="00435096" w:rsidRDefault="00A7637D" w:rsidP="00A7637D">
      <w:pPr>
        <w:pStyle w:val="ListParagraph"/>
        <w:numPr>
          <w:ilvl w:val="0"/>
          <w:numId w:val="15"/>
        </w:numPr>
      </w:pPr>
      <w:r w:rsidRPr="00435096">
        <w:t>The medicine</w:t>
      </w:r>
      <w:r>
        <w:t xml:space="preserve"> used by the most people,</w:t>
      </w:r>
      <w:r w:rsidRPr="00435096">
        <w:t xml:space="preserve"> in terms of prevalen</w:t>
      </w:r>
      <w:r>
        <w:t>ce,</w:t>
      </w:r>
      <w:r w:rsidRPr="00435096">
        <w:t xml:space="preserve"> is different for the two age groups. Since the February 2021 restriction change, lisdexamfetamine has become the most used medication for &gt;18</w:t>
      </w:r>
      <w:r>
        <w:t xml:space="preserve"> </w:t>
      </w:r>
      <w:r w:rsidRPr="00435096">
        <w:t>year olds</w:t>
      </w:r>
      <w:r>
        <w:t>. P</w:t>
      </w:r>
      <w:r w:rsidRPr="00435096">
        <w:t xml:space="preserve">rior to the restriction change dexamfetamine was the most used medicine in this age group. In the ≤18 year old </w:t>
      </w:r>
      <w:r>
        <w:t>population</w:t>
      </w:r>
      <w:r w:rsidRPr="00435096">
        <w:t xml:space="preserve">, </w:t>
      </w:r>
      <w:r>
        <w:t xml:space="preserve">the </w:t>
      </w:r>
      <w:r w:rsidRPr="00435096">
        <w:t>modified-release formulation of methylphenidate (MPH-MR) has consistently been the highest used medication.</w:t>
      </w:r>
    </w:p>
    <w:p w14:paraId="55F694B7" w14:textId="77777777" w:rsidR="00A7637D" w:rsidRPr="00435096" w:rsidRDefault="00A7637D" w:rsidP="00A7637D">
      <w:pPr>
        <w:pStyle w:val="ListParagraph"/>
        <w:numPr>
          <w:ilvl w:val="0"/>
          <w:numId w:val="15"/>
        </w:numPr>
      </w:pPr>
      <w:r w:rsidRPr="00435096">
        <w:t>For initiating p</w:t>
      </w:r>
      <w:r>
        <w:t>eople</w:t>
      </w:r>
      <w:r w:rsidRPr="00435096">
        <w:t xml:space="preserve">, more males than females were treated across all age groups </w:t>
      </w:r>
      <w:r>
        <w:t xml:space="preserve">apart from the 13-18 year old and over </w:t>
      </w:r>
      <w:r w:rsidRPr="00435096">
        <w:t>18 year old female</w:t>
      </w:r>
      <w:r>
        <w:t xml:space="preserve"> cohort</w:t>
      </w:r>
      <w:r w:rsidRPr="00435096">
        <w:t xml:space="preserve"> (since the 2020-21 financial year)</w:t>
      </w:r>
      <w:r>
        <w:t>, when their initiating rates overtook male initiating rates.</w:t>
      </w:r>
      <w:r w:rsidRPr="00435096">
        <w:t xml:space="preserve"> </w:t>
      </w:r>
    </w:p>
    <w:p w14:paraId="6FB4091E" w14:textId="77777777" w:rsidR="00A7637D" w:rsidRPr="00236F25" w:rsidRDefault="00A7637D" w:rsidP="00A7637D">
      <w:pPr>
        <w:pStyle w:val="ListParagraph"/>
        <w:numPr>
          <w:ilvl w:val="0"/>
          <w:numId w:val="15"/>
        </w:numPr>
      </w:pPr>
      <w:r w:rsidRPr="00236F25">
        <w:t>In the 2022-23 financial year, 41% of initiating p</w:t>
      </w:r>
      <w:r>
        <w:t>eople</w:t>
      </w:r>
      <w:r w:rsidRPr="00236F25">
        <w:t xml:space="preserve"> over 18 years old were male and 5</w:t>
      </w:r>
      <w:r w:rsidRPr="00675EA3">
        <w:t>9</w:t>
      </w:r>
      <w:r w:rsidRPr="00236F25">
        <w:t xml:space="preserve">% were female. </w:t>
      </w:r>
    </w:p>
    <w:p w14:paraId="68CEBF87" w14:textId="77777777" w:rsidR="00A7637D" w:rsidRPr="00435096" w:rsidRDefault="00A7637D" w:rsidP="00A7637D">
      <w:pPr>
        <w:pStyle w:val="ListParagraph"/>
        <w:numPr>
          <w:ilvl w:val="0"/>
          <w:numId w:val="15"/>
        </w:numPr>
      </w:pPr>
      <w:r w:rsidRPr="00236F25">
        <w:t>In the 2022-23 financial year, 48% of prevalent p</w:t>
      </w:r>
      <w:r>
        <w:t>eople</w:t>
      </w:r>
      <w:r w:rsidRPr="00236F25">
        <w:t xml:space="preserve"> over 18 years old were male and 5</w:t>
      </w:r>
      <w:r>
        <w:t>2</w:t>
      </w:r>
      <w:r w:rsidRPr="00236F25">
        <w:t>% were female. This</w:t>
      </w:r>
      <w:r w:rsidRPr="00435096">
        <w:t xml:space="preserve"> was the first time </w:t>
      </w:r>
      <w:r>
        <w:t xml:space="preserve">an analyses undertaken by DUSC of ADHD medicine utilisation </w:t>
      </w:r>
      <w:r w:rsidRPr="00435096">
        <w:t xml:space="preserve">that female prevalent numbers </w:t>
      </w:r>
      <w:r>
        <w:t xml:space="preserve">have been </w:t>
      </w:r>
      <w:r w:rsidRPr="00435096">
        <w:t>higher than males.</w:t>
      </w:r>
    </w:p>
    <w:p w14:paraId="5E969328" w14:textId="77777777" w:rsidR="00A7637D" w:rsidRPr="00675EA3" w:rsidRDefault="00A7637D" w:rsidP="00A7637D">
      <w:pPr>
        <w:pStyle w:val="ListParagraph"/>
        <w:numPr>
          <w:ilvl w:val="0"/>
          <w:numId w:val="15"/>
        </w:numPr>
      </w:pPr>
      <w:r w:rsidRPr="00435096">
        <w:t>In the 2022-23 financial year, of all initiating p</w:t>
      </w:r>
      <w:r>
        <w:t>eople</w:t>
      </w:r>
      <w:r w:rsidRPr="00435096">
        <w:t xml:space="preserve"> treated with R/PBS listed ADHD </w:t>
      </w:r>
      <w:r w:rsidRPr="00675EA3">
        <w:t>medicines:</w:t>
      </w:r>
    </w:p>
    <w:p w14:paraId="51983BB3" w14:textId="77777777" w:rsidR="00A7637D" w:rsidRPr="00675EA3" w:rsidRDefault="00A7637D" w:rsidP="00A7637D">
      <w:pPr>
        <w:pStyle w:val="ListParagraph"/>
        <w:numPr>
          <w:ilvl w:val="1"/>
          <w:numId w:val="15"/>
        </w:numPr>
      </w:pPr>
      <w:r w:rsidRPr="00675EA3">
        <w:t xml:space="preserve">children under 6 years old account for 4.1% of </w:t>
      </w:r>
      <w:r>
        <w:t>the treated population</w:t>
      </w:r>
    </w:p>
    <w:p w14:paraId="58371785" w14:textId="77777777" w:rsidR="00A7637D" w:rsidRPr="00675EA3" w:rsidRDefault="00A7637D" w:rsidP="00A7637D">
      <w:pPr>
        <w:pStyle w:val="ListParagraph"/>
        <w:numPr>
          <w:ilvl w:val="1"/>
          <w:numId w:val="15"/>
        </w:numPr>
      </w:pPr>
      <w:r w:rsidRPr="00675EA3">
        <w:t xml:space="preserve">children aged 6-12 years old account for 30.8% of </w:t>
      </w:r>
      <w:r>
        <w:t>the treated population</w:t>
      </w:r>
    </w:p>
    <w:p w14:paraId="548E2CD2" w14:textId="77777777" w:rsidR="00A7637D" w:rsidRPr="00675EA3" w:rsidRDefault="00A7637D" w:rsidP="00A7637D">
      <w:pPr>
        <w:pStyle w:val="ListParagraph"/>
        <w:numPr>
          <w:ilvl w:val="1"/>
          <w:numId w:val="15"/>
        </w:numPr>
      </w:pPr>
      <w:r w:rsidRPr="00675EA3">
        <w:t xml:space="preserve">adolescents aged 13-18 years old account for 15.2% of </w:t>
      </w:r>
      <w:r>
        <w:t>the treated population</w:t>
      </w:r>
    </w:p>
    <w:p w14:paraId="6D5A5685" w14:textId="77777777" w:rsidR="00A7637D" w:rsidRPr="00675EA3" w:rsidRDefault="00A7637D" w:rsidP="00A7637D">
      <w:pPr>
        <w:pStyle w:val="ListParagraph"/>
        <w:numPr>
          <w:ilvl w:val="1"/>
          <w:numId w:val="15"/>
        </w:numPr>
      </w:pPr>
      <w:r w:rsidRPr="00675EA3">
        <w:t xml:space="preserve">adults aged over 18 years old account for 49.9% of </w:t>
      </w:r>
      <w:r>
        <w:t>the treated population</w:t>
      </w:r>
    </w:p>
    <w:p w14:paraId="3DB60B2D" w14:textId="77777777" w:rsidR="00A7637D" w:rsidRPr="00675EA3" w:rsidRDefault="00A7637D" w:rsidP="00A7637D">
      <w:pPr>
        <w:pStyle w:val="ListParagraph"/>
        <w:numPr>
          <w:ilvl w:val="2"/>
          <w:numId w:val="15"/>
        </w:numPr>
      </w:pPr>
      <w:r w:rsidRPr="00675EA3">
        <w:t>In the 2019-20 financial year, prior to the lisdexamfetamine restriction change, this group accounted for 32.8% of all initiating p</w:t>
      </w:r>
      <w:r>
        <w:t>eople</w:t>
      </w:r>
      <w:r w:rsidRPr="00675EA3">
        <w:t xml:space="preserve"> treated</w:t>
      </w:r>
    </w:p>
    <w:p w14:paraId="0BD795B1" w14:textId="77777777" w:rsidR="00A7637D" w:rsidRPr="00675EA3" w:rsidRDefault="00A7637D" w:rsidP="00A7637D">
      <w:pPr>
        <w:pStyle w:val="ListParagraph"/>
        <w:numPr>
          <w:ilvl w:val="0"/>
          <w:numId w:val="15"/>
        </w:numPr>
      </w:pPr>
      <w:r w:rsidRPr="00675EA3">
        <w:t>In the 2022-23 financial year, of all prevalent p</w:t>
      </w:r>
      <w:r>
        <w:t>eople</w:t>
      </w:r>
      <w:r w:rsidRPr="00675EA3">
        <w:t xml:space="preserve"> treated with R/PBS listed ADHD medicines:</w:t>
      </w:r>
    </w:p>
    <w:p w14:paraId="689660B2" w14:textId="77777777" w:rsidR="00A7637D" w:rsidRPr="00675EA3" w:rsidRDefault="00A7637D" w:rsidP="00A7637D">
      <w:pPr>
        <w:pStyle w:val="ListParagraph"/>
        <w:numPr>
          <w:ilvl w:val="1"/>
          <w:numId w:val="15"/>
        </w:numPr>
      </w:pPr>
      <w:r w:rsidRPr="00675EA3">
        <w:lastRenderedPageBreak/>
        <w:t xml:space="preserve">children under 6 years old account for 1.7% of </w:t>
      </w:r>
      <w:r>
        <w:t>the treated population</w:t>
      </w:r>
    </w:p>
    <w:p w14:paraId="6C086BBF" w14:textId="77777777" w:rsidR="00A7637D" w:rsidRPr="00675EA3" w:rsidRDefault="00A7637D" w:rsidP="00A7637D">
      <w:pPr>
        <w:pStyle w:val="ListParagraph"/>
        <w:numPr>
          <w:ilvl w:val="1"/>
          <w:numId w:val="15"/>
        </w:numPr>
      </w:pPr>
      <w:r w:rsidRPr="00675EA3">
        <w:t xml:space="preserve">children aged 6-12 years old account for 32.7% of </w:t>
      </w:r>
      <w:r>
        <w:t>the treated population</w:t>
      </w:r>
    </w:p>
    <w:p w14:paraId="1A1A6B7C" w14:textId="77777777" w:rsidR="00A7637D" w:rsidRPr="00675EA3" w:rsidRDefault="00A7637D" w:rsidP="00A7637D">
      <w:pPr>
        <w:pStyle w:val="ListParagraph"/>
        <w:numPr>
          <w:ilvl w:val="1"/>
          <w:numId w:val="15"/>
        </w:numPr>
      </w:pPr>
      <w:r w:rsidRPr="00675EA3">
        <w:t>adolescents aged 13-18 account for 21%</w:t>
      </w:r>
      <w:r>
        <w:t xml:space="preserve"> of the treated population</w:t>
      </w:r>
    </w:p>
    <w:p w14:paraId="029A3982" w14:textId="77777777" w:rsidR="00A7637D" w:rsidRPr="00675EA3" w:rsidRDefault="00A7637D" w:rsidP="00A7637D">
      <w:pPr>
        <w:pStyle w:val="ListParagraph"/>
        <w:numPr>
          <w:ilvl w:val="1"/>
          <w:numId w:val="15"/>
        </w:numPr>
      </w:pPr>
      <w:r w:rsidRPr="00675EA3">
        <w:t>adults aged over 18 years account for 44.6%</w:t>
      </w:r>
      <w:r>
        <w:t xml:space="preserve"> of the treated population</w:t>
      </w:r>
    </w:p>
    <w:p w14:paraId="719CF250" w14:textId="77777777" w:rsidR="00A7637D" w:rsidRPr="00675EA3" w:rsidRDefault="00A7637D" w:rsidP="00A7637D">
      <w:pPr>
        <w:pStyle w:val="ListParagraph"/>
        <w:numPr>
          <w:ilvl w:val="2"/>
          <w:numId w:val="15"/>
        </w:numPr>
        <w:ind w:right="-313"/>
      </w:pPr>
      <w:r w:rsidRPr="00675EA3">
        <w:t>In the 2019-20 financial year, prior to the lisdexamfetamine restriction change, this group accounted for 33.4% of all prevalent p</w:t>
      </w:r>
      <w:r>
        <w:t>eople</w:t>
      </w:r>
      <w:r w:rsidRPr="00675EA3">
        <w:t xml:space="preserve"> treated</w:t>
      </w:r>
    </w:p>
    <w:p w14:paraId="2D08C8D9" w14:textId="77777777" w:rsidR="00A7637D" w:rsidRPr="00435096" w:rsidRDefault="00A7637D" w:rsidP="00A7637D">
      <w:pPr>
        <w:spacing w:line="276" w:lineRule="auto"/>
      </w:pPr>
      <w:r w:rsidRPr="00435096">
        <w:t>An analysis of medicine use in 202</w:t>
      </w:r>
      <w:r>
        <w:t>2</w:t>
      </w:r>
      <w:r w:rsidRPr="00435096">
        <w:t>-23 shows that:</w:t>
      </w:r>
    </w:p>
    <w:p w14:paraId="450DF8E2" w14:textId="77777777" w:rsidR="00A7637D" w:rsidRPr="00435096" w:rsidRDefault="00A7637D" w:rsidP="00A7637D">
      <w:pPr>
        <w:pStyle w:val="ListParagraph"/>
        <w:numPr>
          <w:ilvl w:val="0"/>
          <w:numId w:val="15"/>
        </w:numPr>
      </w:pPr>
      <w:r w:rsidRPr="00435096">
        <w:t xml:space="preserve">The majority of prescriptions were written by paediatricians or psychiatrists. </w:t>
      </w:r>
    </w:p>
    <w:p w14:paraId="4411DDF4" w14:textId="77777777" w:rsidR="00A7637D" w:rsidRPr="00435096" w:rsidRDefault="00A7637D" w:rsidP="00A7637D">
      <w:pPr>
        <w:pStyle w:val="ListParagraph"/>
        <w:numPr>
          <w:ilvl w:val="0"/>
          <w:numId w:val="15"/>
        </w:numPr>
      </w:pPr>
      <w:r w:rsidRPr="00435096">
        <w:t xml:space="preserve">The initial prescription of methylphenidate, lisdexamfetamine and dexamfetamine for the treatment of ADHD is generally restricted to specialists in most Australian states and territories. </w:t>
      </w:r>
    </w:p>
    <w:p w14:paraId="7C7CAA09" w14:textId="77777777" w:rsidR="00A7637D" w:rsidRPr="00435096" w:rsidRDefault="00A7637D" w:rsidP="00A7637D">
      <w:pPr>
        <w:pStyle w:val="ListParagraph"/>
        <w:numPr>
          <w:ilvl w:val="0"/>
          <w:numId w:val="15"/>
        </w:numPr>
      </w:pPr>
      <w:r w:rsidRPr="00435096">
        <w:t>Rates of prescribing vary across states and territories</w:t>
      </w:r>
      <w:r>
        <w:t>.</w:t>
      </w:r>
      <w:r w:rsidRPr="00435096">
        <w:t xml:space="preserve"> In the 2022-23 financial year, the rates of treatment in &gt;6 year olds were highest in Tasmania (Tas) and Queensland (QLD) and lowest in the Northern Territory (NT), while rates in school-aged children (6-12 years old) were highest in Tas, and lowest in South Australia (SA). Rates of treatment for 13-18 year olds was highest in ACT and lowest in SA, while rates of treatment in adults were highest in Western Australia (WA) and the Australian Capital Territory (ACT), and lowest in Tas and the NT. The adult rates of prescribing were </w:t>
      </w:r>
      <w:r>
        <w:t>much</w:t>
      </w:r>
      <w:r w:rsidRPr="00435096">
        <w:t xml:space="preserve"> higher in WA and the ACT compared to the other States and the NT.</w:t>
      </w:r>
    </w:p>
    <w:p w14:paraId="559417A6" w14:textId="77777777" w:rsidR="00A7637D" w:rsidRPr="00435096" w:rsidRDefault="00A7637D" w:rsidP="00A7637D">
      <w:pPr>
        <w:pStyle w:val="NoSpacing"/>
        <w:ind w:left="360"/>
      </w:pPr>
      <w:r w:rsidRPr="0098572F">
        <w:t>Lisdexamfetamine:</w:t>
      </w:r>
      <w:r>
        <w:t xml:space="preserve">   </w:t>
      </w:r>
    </w:p>
    <w:p w14:paraId="2D5C293A" w14:textId="231CE963" w:rsidR="00A7637D" w:rsidRPr="00435096" w:rsidRDefault="00A7637D" w:rsidP="00A7637D">
      <w:pPr>
        <w:pStyle w:val="NoSpacing"/>
        <w:numPr>
          <w:ilvl w:val="0"/>
          <w:numId w:val="26"/>
        </w:numPr>
      </w:pPr>
      <w:r w:rsidRPr="00435096">
        <w:t>The restriction change of lisdexamfetamine in February 2021 has contributed towards an</w:t>
      </w:r>
      <w:r>
        <w:t xml:space="preserve"> increase</w:t>
      </w:r>
      <w:r w:rsidRPr="00435096">
        <w:t xml:space="preserve"> in the use of ADHD medicines.</w:t>
      </w:r>
    </w:p>
    <w:p w14:paraId="43A65B74" w14:textId="77777777" w:rsidR="00A7637D" w:rsidRPr="00435096" w:rsidRDefault="00A7637D" w:rsidP="00A7637D">
      <w:pPr>
        <w:pStyle w:val="NoSpacing"/>
        <w:numPr>
          <w:ilvl w:val="0"/>
          <w:numId w:val="26"/>
        </w:numPr>
      </w:pPr>
      <w:r w:rsidRPr="00435096">
        <w:t>Prior to the restriction change, in the 2019-20 financial year 10,195 prevalent p</w:t>
      </w:r>
      <w:r>
        <w:t>eople &gt;</w:t>
      </w:r>
      <w:r w:rsidRPr="00435096">
        <w:t xml:space="preserve">18 years old were treated with lisdexamfetamine. </w:t>
      </w:r>
    </w:p>
    <w:p w14:paraId="600F529F" w14:textId="77777777" w:rsidR="00A7637D" w:rsidRPr="00435096" w:rsidRDefault="00A7637D" w:rsidP="00A7637D">
      <w:pPr>
        <w:pStyle w:val="NoSpacing"/>
        <w:numPr>
          <w:ilvl w:val="0"/>
          <w:numId w:val="26"/>
        </w:numPr>
      </w:pPr>
      <w:r w:rsidRPr="00435096">
        <w:t>In the 2020-21 financial year, which included five months of the restriction change, 27,546 prevalent p</w:t>
      </w:r>
      <w:r>
        <w:t>eople</w:t>
      </w:r>
      <w:r w:rsidRPr="00435096">
        <w:t xml:space="preserve"> </w:t>
      </w:r>
      <w:r>
        <w:t>&gt;</w:t>
      </w:r>
      <w:r w:rsidRPr="00435096">
        <w:t xml:space="preserve">18 years old were treated with lisdexamfetamine. </w:t>
      </w:r>
    </w:p>
    <w:p w14:paraId="46E183AA" w14:textId="77777777" w:rsidR="00A7637D" w:rsidRDefault="00A7637D" w:rsidP="00A7637D">
      <w:pPr>
        <w:pStyle w:val="NoSpacing"/>
        <w:numPr>
          <w:ilvl w:val="0"/>
          <w:numId w:val="26"/>
        </w:numPr>
      </w:pPr>
      <w:r w:rsidRPr="00435096">
        <w:t>The 2021-22 financial year was the first full year to incorporate the restriction change.</w:t>
      </w:r>
    </w:p>
    <w:p w14:paraId="5484EBCB" w14:textId="77777777" w:rsidR="00A7637D" w:rsidRDefault="00A7637D" w:rsidP="00A7637D">
      <w:pPr>
        <w:pStyle w:val="NoSpacing"/>
        <w:numPr>
          <w:ilvl w:val="0"/>
          <w:numId w:val="26"/>
        </w:numPr>
      </w:pPr>
      <w:r w:rsidRPr="00435096">
        <w:t>In this financial year, 59,308 prevalent p</w:t>
      </w:r>
      <w:r>
        <w:t>eople</w:t>
      </w:r>
      <w:r w:rsidRPr="00435096">
        <w:t xml:space="preserve"> </w:t>
      </w:r>
      <w:r>
        <w:t>&gt;</w:t>
      </w:r>
      <w:r w:rsidRPr="00435096">
        <w:t>18 years of age were treated with lisdexamfetamine.</w:t>
      </w:r>
    </w:p>
    <w:p w14:paraId="10D64AF0" w14:textId="77777777" w:rsidR="00A7637D" w:rsidRDefault="00A7637D" w:rsidP="00A7637D">
      <w:pPr>
        <w:pStyle w:val="ListParagraph"/>
        <w:numPr>
          <w:ilvl w:val="0"/>
          <w:numId w:val="26"/>
        </w:numPr>
      </w:pPr>
      <w:r>
        <w:t xml:space="preserve">In the first year of the lisdexamfetamine restriction change, the actual scripts dispensed were </w:t>
      </w:r>
      <w:r w:rsidRPr="00EF3E03">
        <w:rPr>
          <w:highlight w:val="black"/>
        </w:rPr>
        <w:t>XXXXXXXXXXXXXXXXX</w:t>
      </w:r>
      <w:r>
        <w:t xml:space="preserve"> than the amount predicted. In the second year, the actual scripts dispensed were </w:t>
      </w:r>
      <w:r w:rsidRPr="00EF3E03">
        <w:rPr>
          <w:highlight w:val="black"/>
        </w:rPr>
        <w:t>XXXXXXXXXXXXX</w:t>
      </w:r>
      <w:r>
        <w:t xml:space="preserve"> the predicted amount.</w:t>
      </w:r>
    </w:p>
    <w:p w14:paraId="3CF15241" w14:textId="77777777" w:rsidR="00A7637D" w:rsidRPr="0098572F" w:rsidRDefault="00A7637D" w:rsidP="00A7637D">
      <w:pPr>
        <w:pStyle w:val="NoSpacing"/>
        <w:ind w:left="360"/>
        <w:rPr>
          <w:sz w:val="12"/>
          <w:szCs w:val="12"/>
        </w:rPr>
      </w:pPr>
    </w:p>
    <w:p w14:paraId="10ED5BD6" w14:textId="77777777" w:rsidR="00A7637D" w:rsidRPr="00352B8B" w:rsidRDefault="00A7637D" w:rsidP="00A7637D">
      <w:pPr>
        <w:pStyle w:val="NoSpacing"/>
        <w:ind w:left="360"/>
        <w:rPr>
          <w:u w:val="single"/>
        </w:rPr>
      </w:pPr>
      <w:r w:rsidRPr="00352B8B">
        <w:rPr>
          <w:u w:val="single"/>
        </w:rPr>
        <w:t>Clonidine</w:t>
      </w:r>
    </w:p>
    <w:p w14:paraId="7CE8DA82" w14:textId="77777777" w:rsidR="00A7637D" w:rsidRPr="00435096" w:rsidRDefault="00A7637D" w:rsidP="00A7637D">
      <w:pPr>
        <w:pStyle w:val="NoSpacing"/>
        <w:ind w:left="360"/>
      </w:pPr>
    </w:p>
    <w:p w14:paraId="0C13AF28" w14:textId="77777777" w:rsidR="00A7637D" w:rsidRPr="001D105D" w:rsidRDefault="00A7637D" w:rsidP="00A7637D">
      <w:pPr>
        <w:pStyle w:val="NoSpacing"/>
        <w:ind w:left="360"/>
      </w:pPr>
      <w:r w:rsidRPr="00435096">
        <w:t>This ADHD utilisation report examines the use of clonidine as a medication prescribed for ADHD. While definitive results are difficult to establish</w:t>
      </w:r>
      <w:r>
        <w:t xml:space="preserve"> due to clonidine’s unrestricted listing (i.e. the indication for which it is prescribed is not specified)</w:t>
      </w:r>
      <w:r w:rsidRPr="00435096">
        <w:t xml:space="preserve">, it is estimated that clonidine is being used as an ADHD medication across all age groups. There is a high level of confidence that clonidine is being prescribed for </w:t>
      </w:r>
      <w:r>
        <w:rPr>
          <w:rFonts w:cstheme="minorHAnsi"/>
        </w:rPr>
        <w:t>≤</w:t>
      </w:r>
      <w:r w:rsidRPr="00435096">
        <w:t xml:space="preserve">18 years </w:t>
      </w:r>
      <w:r>
        <w:t>old for ADHD</w:t>
      </w:r>
      <w:r w:rsidRPr="00435096">
        <w:t>, as this age group would not usually be prescribed clonidine for other diseases</w:t>
      </w:r>
      <w:r>
        <w:t xml:space="preserve"> </w:t>
      </w:r>
      <w:r w:rsidRPr="00435096">
        <w:t>/</w:t>
      </w:r>
      <w:r>
        <w:t xml:space="preserve"> </w:t>
      </w:r>
      <w:r w:rsidRPr="00435096">
        <w:t xml:space="preserve">disorders. </w:t>
      </w:r>
      <w:r w:rsidRPr="001D105D">
        <w:t xml:space="preserve"> </w:t>
      </w:r>
    </w:p>
    <w:p w14:paraId="6B24057C" w14:textId="77777777" w:rsidR="003D1795" w:rsidRPr="0098572F" w:rsidRDefault="003D1795" w:rsidP="00215563">
      <w:pPr>
        <w:pStyle w:val="NoSpacing"/>
        <w:ind w:left="360"/>
        <w:rPr>
          <w:sz w:val="12"/>
          <w:szCs w:val="12"/>
        </w:rPr>
      </w:pPr>
    </w:p>
    <w:p w14:paraId="3D992C36" w14:textId="77777777" w:rsidR="00E677DD" w:rsidRPr="001D105D" w:rsidRDefault="00E677DD" w:rsidP="00215563">
      <w:pPr>
        <w:pStyle w:val="Heading1"/>
      </w:pPr>
      <w:r w:rsidRPr="001D105D">
        <w:lastRenderedPageBreak/>
        <w:t xml:space="preserve">Purpose of </w:t>
      </w:r>
      <w:r w:rsidR="00D151EB" w:rsidRPr="001D105D">
        <w:t>analysis</w:t>
      </w:r>
    </w:p>
    <w:p w14:paraId="3841EF8E" w14:textId="04EB94D5" w:rsidR="00F73C0F" w:rsidRPr="00435096" w:rsidRDefault="00F73C0F" w:rsidP="00215563">
      <w:r w:rsidRPr="00435096">
        <w:t xml:space="preserve">To review the utilisation of </w:t>
      </w:r>
      <w:r w:rsidR="004100AB" w:rsidRPr="00435096">
        <w:t>R/</w:t>
      </w:r>
      <w:r w:rsidRPr="00435096">
        <w:t xml:space="preserve">PBS-listed medicines used in the management of attention deficit hyperactivity disorder (ADHD). </w:t>
      </w:r>
      <w:r w:rsidR="005D5112" w:rsidRPr="00435096">
        <w:t xml:space="preserve">This includes a predicted versus actual analysis of the first 24 months of R/PBS listing of lisdexamfetamine extended use, to allow use in adults with ADHD persisting from childhood, even if diagnosed after 18 years of age. Lisdexamfetamine </w:t>
      </w:r>
      <w:r w:rsidR="005D5112" w:rsidRPr="00435096">
        <w:rPr>
          <w:rFonts w:cs="Arial"/>
          <w:color w:val="222222"/>
          <w:shd w:val="clear" w:color="auto" w:fill="FFFFFF"/>
        </w:rPr>
        <w:t>was first R/PBS-listed for this indication on 1 February 2021.</w:t>
      </w:r>
    </w:p>
    <w:p w14:paraId="548FEF8E" w14:textId="77777777" w:rsidR="000C7395" w:rsidRPr="00435096" w:rsidRDefault="000C7395" w:rsidP="00215563">
      <w:r w:rsidRPr="00435096">
        <w:t>The ADHD medicines considered in this analysis are:</w:t>
      </w:r>
    </w:p>
    <w:p w14:paraId="30E5F3AD" w14:textId="77777777" w:rsidR="000C7395" w:rsidRPr="00435096" w:rsidRDefault="000C7395" w:rsidP="00215563">
      <w:pPr>
        <w:pStyle w:val="ListParagraph"/>
        <w:numPr>
          <w:ilvl w:val="0"/>
          <w:numId w:val="5"/>
        </w:numPr>
      </w:pPr>
      <w:r w:rsidRPr="00435096">
        <w:t>d</w:t>
      </w:r>
      <w:r w:rsidR="00E56C55" w:rsidRPr="00435096">
        <w:t xml:space="preserve">examfetamine </w:t>
      </w:r>
    </w:p>
    <w:p w14:paraId="00C20C91" w14:textId="77777777" w:rsidR="000C7395" w:rsidRPr="00435096" w:rsidRDefault="000C7395" w:rsidP="00215563">
      <w:pPr>
        <w:pStyle w:val="ListParagraph"/>
        <w:numPr>
          <w:ilvl w:val="0"/>
          <w:numId w:val="5"/>
        </w:numPr>
      </w:pPr>
      <w:r w:rsidRPr="00435096">
        <w:t xml:space="preserve">methylphenidate (immediate release (IR) </w:t>
      </w:r>
      <w:r w:rsidR="00177003" w:rsidRPr="00435096">
        <w:t>and modified release (MR) forms)</w:t>
      </w:r>
    </w:p>
    <w:p w14:paraId="2F68CC8D" w14:textId="77777777" w:rsidR="000C7395" w:rsidRPr="00435096" w:rsidRDefault="000C7395" w:rsidP="00215563">
      <w:pPr>
        <w:pStyle w:val="ListParagraph"/>
        <w:numPr>
          <w:ilvl w:val="0"/>
          <w:numId w:val="5"/>
        </w:numPr>
      </w:pPr>
      <w:r w:rsidRPr="00435096">
        <w:t>atomoxetine</w:t>
      </w:r>
    </w:p>
    <w:p w14:paraId="627C07B3" w14:textId="6166662E" w:rsidR="000C7395" w:rsidRPr="00435096" w:rsidRDefault="000C7395" w:rsidP="00215563">
      <w:pPr>
        <w:pStyle w:val="ListParagraph"/>
        <w:numPr>
          <w:ilvl w:val="0"/>
          <w:numId w:val="5"/>
        </w:numPr>
      </w:pPr>
      <w:r w:rsidRPr="00435096">
        <w:t xml:space="preserve">lisdexamfetamine </w:t>
      </w:r>
    </w:p>
    <w:p w14:paraId="306AD6BE" w14:textId="4902719C" w:rsidR="00E14F9B" w:rsidRPr="00435096" w:rsidRDefault="00E14F9B" w:rsidP="00215563">
      <w:pPr>
        <w:pStyle w:val="ListParagraph"/>
        <w:numPr>
          <w:ilvl w:val="0"/>
          <w:numId w:val="5"/>
        </w:numPr>
      </w:pPr>
      <w:r w:rsidRPr="00435096">
        <w:t>guanfacine</w:t>
      </w:r>
    </w:p>
    <w:p w14:paraId="7DCD5B70" w14:textId="3E596DED" w:rsidR="005B210E" w:rsidRPr="001D105D" w:rsidRDefault="005B210E" w:rsidP="00215563">
      <w:r w:rsidRPr="00435096">
        <w:t xml:space="preserve">This analysis also examines the use of clonidine </w:t>
      </w:r>
      <w:r w:rsidR="00461A2F" w:rsidRPr="00435096">
        <w:t>(</w:t>
      </w:r>
      <w:r w:rsidR="00E71688" w:rsidRPr="00435096">
        <w:t xml:space="preserve">which has a specific registered indication as </w:t>
      </w:r>
      <w:r w:rsidR="00461A2F" w:rsidRPr="00435096">
        <w:t>a cardiovascular drug) as a treatment for ADHD.</w:t>
      </w:r>
      <w:r w:rsidR="00FD5344" w:rsidRPr="00435096">
        <w:rPr>
          <w:rStyle w:val="FootnoteReference"/>
        </w:rPr>
        <w:footnoteReference w:id="2"/>
      </w:r>
      <w:r w:rsidRPr="001D105D">
        <w:t xml:space="preserve"> </w:t>
      </w:r>
    </w:p>
    <w:p w14:paraId="4B40587F" w14:textId="77777777" w:rsidR="006537D9" w:rsidRPr="001D105D" w:rsidRDefault="00736041" w:rsidP="00215563">
      <w:pPr>
        <w:pStyle w:val="Heading1"/>
      </w:pPr>
      <w:r w:rsidRPr="00435096">
        <w:t>Background</w:t>
      </w:r>
    </w:p>
    <w:p w14:paraId="7E8FE908" w14:textId="77777777" w:rsidR="00EE2BBB" w:rsidRPr="001D105D" w:rsidRDefault="00EE2BBB" w:rsidP="00215563">
      <w:pPr>
        <w:pStyle w:val="Heading2"/>
      </w:pPr>
      <w:r w:rsidRPr="001D105D">
        <w:t>Clinical situation</w:t>
      </w:r>
    </w:p>
    <w:p w14:paraId="71EBE37F" w14:textId="695BE5FE" w:rsidR="000C7395" w:rsidRPr="00435096" w:rsidRDefault="000C7395" w:rsidP="00215563">
      <w:r w:rsidRPr="001D105D">
        <w:t xml:space="preserve">ADHD is characterised by a persistent pattern of inattentiveness, hyperactivity and/or </w:t>
      </w:r>
      <w:r w:rsidRPr="00435096">
        <w:t xml:space="preserve">impulsiveness that </w:t>
      </w:r>
      <w:r w:rsidR="00400EF0" w:rsidRPr="00435096">
        <w:t>is</w:t>
      </w:r>
      <w:r w:rsidRPr="00435096">
        <w:t xml:space="preserve"> associated with learning, behavioural and emotional impairment. </w:t>
      </w:r>
    </w:p>
    <w:p w14:paraId="05933378" w14:textId="7DDE2117" w:rsidR="00E24C0C" w:rsidRPr="00435096" w:rsidRDefault="00E24C0C" w:rsidP="00215563">
      <w:r w:rsidRPr="00435096">
        <w:t>ADHD is a disorder that occurs across the lifespan, although it can present in different ways and in combination with different disorders at different ages. Little is known about the presentation of ADHD in older age. The symptoms of ADHD are present before the age of 12 years, but a diagnosis may not occur until later when functional impact may become more obvious as demands for independence increase.</w:t>
      </w:r>
      <w:r w:rsidRPr="00435096">
        <w:rPr>
          <w:vertAlign w:val="superscript"/>
        </w:rPr>
        <w:t>3</w:t>
      </w:r>
    </w:p>
    <w:p w14:paraId="01836844" w14:textId="6BD11166" w:rsidR="00C56F3F" w:rsidRPr="00435096" w:rsidRDefault="000C7395" w:rsidP="00215563">
      <w:pPr>
        <w:rPr>
          <w:vertAlign w:val="superscript"/>
        </w:rPr>
      </w:pPr>
      <w:r w:rsidRPr="00435096">
        <w:t>In 2013-2014, the prevalence of ADHD in Australian children and adolescents aged 4-17 w</w:t>
      </w:r>
      <w:r w:rsidR="00177003" w:rsidRPr="00435096">
        <w:t>as</w:t>
      </w:r>
      <w:r w:rsidRPr="00435096">
        <w:t xml:space="preserve"> estimated to be 7.4%</w:t>
      </w:r>
      <w:r w:rsidR="00B66678" w:rsidRPr="00435096">
        <w:t>.</w:t>
      </w:r>
      <w:r w:rsidR="00400EF0" w:rsidRPr="00435096">
        <w:rPr>
          <w:rStyle w:val="FootnoteReference"/>
        </w:rPr>
        <w:footnoteReference w:id="3"/>
      </w:r>
      <w:r w:rsidRPr="00435096">
        <w:t xml:space="preserve"> The prevalence of ADHD is higher in </w:t>
      </w:r>
      <w:r w:rsidR="00AC093E" w:rsidRPr="00435096">
        <w:t>males than females</w:t>
      </w:r>
      <w:r w:rsidR="001F2413" w:rsidRPr="00435096">
        <w:t xml:space="preserve"> at </w:t>
      </w:r>
      <w:r w:rsidRPr="00435096">
        <w:t>10.4% compared</w:t>
      </w:r>
      <w:r w:rsidR="001F2413" w:rsidRPr="00435096">
        <w:t xml:space="preserve"> to 4.3% of females having ADHD</w:t>
      </w:r>
      <w:r w:rsidR="00B66678" w:rsidRPr="00435096">
        <w:t>.</w:t>
      </w:r>
      <w:r w:rsidR="00E24C0C" w:rsidRPr="00435096">
        <w:rPr>
          <w:vertAlign w:val="superscript"/>
        </w:rPr>
        <w:t>2</w:t>
      </w:r>
      <w:r w:rsidRPr="00435096">
        <w:t xml:space="preserve"> Many children with ADHD continue to have symptoms as adults</w:t>
      </w:r>
      <w:r w:rsidR="00B66678" w:rsidRPr="00435096">
        <w:t>.</w:t>
      </w:r>
      <w:r w:rsidR="00C31A47" w:rsidRPr="00435096">
        <w:rPr>
          <w:vertAlign w:val="superscript"/>
        </w:rPr>
        <w:t>2</w:t>
      </w:r>
    </w:p>
    <w:p w14:paraId="1C5F6CDD" w14:textId="77DCB69D" w:rsidR="00E24C0C" w:rsidRPr="001D105D" w:rsidRDefault="00E24C0C" w:rsidP="00215563">
      <w:r w:rsidRPr="00435096">
        <w:t xml:space="preserve">There are no Australian adult prevalence studies using </w:t>
      </w:r>
      <w:r w:rsidR="00B60C14">
        <w:t xml:space="preserve">the </w:t>
      </w:r>
      <w:r w:rsidRPr="00435096">
        <w:t>DSM-5 diagnostic criteria. The prevalence of adult ADHD in Australia is likely to be similar to that found internationally, which is between 2% and 6% of the population.</w:t>
      </w:r>
      <w:r w:rsidRPr="00435096">
        <w:rPr>
          <w:vertAlign w:val="superscript"/>
        </w:rPr>
        <w:t>3</w:t>
      </w:r>
    </w:p>
    <w:p w14:paraId="2943A630" w14:textId="730AFAD3" w:rsidR="000C7395" w:rsidRPr="00435096" w:rsidRDefault="00F1271C" w:rsidP="00215563">
      <w:r w:rsidRPr="00435096">
        <w:lastRenderedPageBreak/>
        <w:t>A high proportion of people with ADHD have co-occurring neurodevelopmental, mental health and medical conditions. ADHD can be diagnosed in the presence of other conditions. In children the most common co-occurring disorders are oppositional defiant disorder, language disorders, autism spectrum disorders and anxiety disorders, with depressive disorders and substance use disorders emerging in adolescence. Specific learning disorders also commonly occur in people with ADHD and involve difficulties in reading, written expression or mathematics. Among adults with ADHD, the most commonly co-occurring mental health disorders are depressive disorders, bipolar disorders, anxiety disorders, personality disorders and substance use disorders. Medical conditions, such as epilepsy, acquired brain injury, and foetal alcohol spectrum disorder can co-occur with ADHD. For people with ADHD and a co-occurring condition, the onset, duration and pattern of functional impact can help differentiate the effects of ADHD from those of the other condition, to help guide the treatment plan</w:t>
      </w:r>
      <w:r w:rsidR="00B66678" w:rsidRPr="00435096">
        <w:t>.</w:t>
      </w:r>
      <w:r w:rsidR="00213392" w:rsidRPr="00435096">
        <w:rPr>
          <w:rStyle w:val="FootnoteReference"/>
        </w:rPr>
        <w:footnoteReference w:id="4"/>
      </w:r>
    </w:p>
    <w:p w14:paraId="73F0144E" w14:textId="44E5FAB8" w:rsidR="00052592" w:rsidRPr="00435096" w:rsidRDefault="00C56F3F" w:rsidP="00215563">
      <w:r w:rsidRPr="00435096">
        <w:t>The most current ADHD g</w:t>
      </w:r>
      <w:r w:rsidR="000C7395" w:rsidRPr="00435096">
        <w:t>uidelines</w:t>
      </w:r>
      <w:r w:rsidR="00033A1E" w:rsidRPr="00435096">
        <w:t xml:space="preserve"> approved by the</w:t>
      </w:r>
      <w:r w:rsidR="001B2069">
        <w:t xml:space="preserve"> National Health and Medical Research Council</w:t>
      </w:r>
      <w:r w:rsidR="00033A1E" w:rsidRPr="00435096">
        <w:t xml:space="preserve"> </w:t>
      </w:r>
      <w:r w:rsidR="001B2069">
        <w:t>(</w:t>
      </w:r>
      <w:r w:rsidR="00033A1E" w:rsidRPr="00435096">
        <w:t>NHMRC</w:t>
      </w:r>
      <w:r w:rsidR="001B2069">
        <w:t>)</w:t>
      </w:r>
      <w:r w:rsidR="00033A1E" w:rsidRPr="00435096">
        <w:t>, the Australian Evidence-Based Clinical Practice Guidelines for ADHD</w:t>
      </w:r>
      <w:r w:rsidR="00033A1E" w:rsidRPr="00435096">
        <w:rPr>
          <w:vertAlign w:val="superscript"/>
        </w:rPr>
        <w:t>3</w:t>
      </w:r>
      <w:r w:rsidR="000C7395" w:rsidRPr="00435096">
        <w:t xml:space="preserve"> </w:t>
      </w:r>
      <w:r w:rsidR="00033A1E" w:rsidRPr="00435096">
        <w:t>(A</w:t>
      </w:r>
      <w:r w:rsidR="00052592" w:rsidRPr="00435096">
        <w:t>ADPA Guidelines) (</w:t>
      </w:r>
      <w:r w:rsidRPr="00435096">
        <w:t>20</w:t>
      </w:r>
      <w:r w:rsidR="00814B98" w:rsidRPr="00435096">
        <w:t>2</w:t>
      </w:r>
      <w:r w:rsidRPr="00435096">
        <w:t>2</w:t>
      </w:r>
      <w:r w:rsidR="00033A1E" w:rsidRPr="00435096">
        <w:t>)</w:t>
      </w:r>
      <w:r w:rsidRPr="00435096">
        <w:t xml:space="preserve"> </w:t>
      </w:r>
      <w:r w:rsidR="000C7395" w:rsidRPr="00435096">
        <w:t>and Therapeutic Guidelines</w:t>
      </w:r>
      <w:r w:rsidR="00213392" w:rsidRPr="00435096">
        <w:rPr>
          <w:rStyle w:val="FootnoteReference"/>
        </w:rPr>
        <w:footnoteReference w:id="5"/>
      </w:r>
      <w:r w:rsidR="000C7395" w:rsidRPr="00435096">
        <w:t xml:space="preserve"> </w:t>
      </w:r>
      <w:r w:rsidR="00033A1E" w:rsidRPr="00435096">
        <w:t xml:space="preserve">from </w:t>
      </w:r>
      <w:r w:rsidRPr="00435096">
        <w:t>20</w:t>
      </w:r>
      <w:r w:rsidR="00D613C8" w:rsidRPr="00435096">
        <w:t>21</w:t>
      </w:r>
      <w:r w:rsidRPr="00435096">
        <w:t xml:space="preserve"> </w:t>
      </w:r>
      <w:r w:rsidR="000C7395" w:rsidRPr="00435096">
        <w:t>recommend</w:t>
      </w:r>
      <w:r w:rsidR="00AC093E" w:rsidRPr="00435096">
        <w:t xml:space="preserve"> an</w:t>
      </w:r>
      <w:r w:rsidR="000C7395" w:rsidRPr="00435096">
        <w:t xml:space="preserve"> individualised multimodal </w:t>
      </w:r>
      <w:r w:rsidR="00E24C0C" w:rsidRPr="00435096">
        <w:t xml:space="preserve">treatment and support </w:t>
      </w:r>
      <w:r w:rsidR="000C7395" w:rsidRPr="00435096">
        <w:t xml:space="preserve">plan </w:t>
      </w:r>
      <w:r w:rsidR="005F4DB0" w:rsidRPr="00435096">
        <w:t>for the management of ADHD</w:t>
      </w:r>
      <w:r w:rsidR="00177003" w:rsidRPr="00435096">
        <w:t>.</w:t>
      </w:r>
      <w:r w:rsidR="00E93D9D" w:rsidRPr="00435096">
        <w:t xml:space="preserve"> </w:t>
      </w:r>
      <w:r w:rsidR="000C7395" w:rsidRPr="00435096">
        <w:t>Behavioural and educational interventions may be used as non-pharmacological management</w:t>
      </w:r>
      <w:r w:rsidR="00AC093E" w:rsidRPr="00435096">
        <w:t xml:space="preserve"> of ADHD symptoms</w:t>
      </w:r>
      <w:r w:rsidR="000C7395" w:rsidRPr="00435096">
        <w:t xml:space="preserve">, either alone or in combination with medicines. </w:t>
      </w:r>
      <w:r w:rsidR="00052592" w:rsidRPr="00435096">
        <w:t xml:space="preserve">The AADPA Guidelines recommend that in </w:t>
      </w:r>
      <w:r w:rsidR="00213392" w:rsidRPr="00435096">
        <w:t>young children</w:t>
      </w:r>
      <w:r w:rsidR="00052592" w:rsidRPr="00435096">
        <w:t xml:space="preserve"> (under 5)</w:t>
      </w:r>
      <w:r w:rsidR="00213392" w:rsidRPr="00435096">
        <w:t xml:space="preserve">, </w:t>
      </w:r>
      <w:r w:rsidR="00033A1E" w:rsidRPr="00435096">
        <w:t>medication should be used cautiously, and monitored closely.</w:t>
      </w:r>
      <w:r w:rsidR="00052592" w:rsidRPr="00435096">
        <w:t xml:space="preserve"> </w:t>
      </w:r>
    </w:p>
    <w:p w14:paraId="1865A73E" w14:textId="0A8A58A0" w:rsidR="00E10785" w:rsidRPr="00435096" w:rsidRDefault="000C7395" w:rsidP="00215563">
      <w:r w:rsidRPr="00435096">
        <w:t>In Australia, psychostimulants are considered the first-line pharmacological treatment for ADHD</w:t>
      </w:r>
      <w:r w:rsidR="00B66678" w:rsidRPr="00435096">
        <w:t>.</w:t>
      </w:r>
      <w:r w:rsidR="00213392" w:rsidRPr="00435096">
        <w:rPr>
          <w:vertAlign w:val="superscript"/>
        </w:rPr>
        <w:t>2,3,</w:t>
      </w:r>
      <w:r w:rsidR="00213392" w:rsidRPr="00435096">
        <w:rPr>
          <w:rStyle w:val="FootnoteReference"/>
        </w:rPr>
        <w:footnoteReference w:id="6"/>
      </w:r>
      <w:r w:rsidR="00213392" w:rsidRPr="00435096">
        <w:t xml:space="preserve"> </w:t>
      </w:r>
      <w:r w:rsidR="00E10785" w:rsidRPr="00435096">
        <w:t xml:space="preserve"> </w:t>
      </w:r>
      <w:r w:rsidR="00213392" w:rsidRPr="00435096">
        <w:t xml:space="preserve">Therapeutic Guidelines recommend that, with rare exceptions, </w:t>
      </w:r>
      <w:r w:rsidR="00C92BAD" w:rsidRPr="00435096">
        <w:t>stimulants (</w:t>
      </w:r>
      <w:r w:rsidR="00213392" w:rsidRPr="00435096">
        <w:t>dexamfetamine</w:t>
      </w:r>
      <w:r w:rsidR="00C92BAD" w:rsidRPr="00435096">
        <w:t>, lisdex</w:t>
      </w:r>
      <w:r w:rsidR="007C03F1" w:rsidRPr="00435096">
        <w:t>a</w:t>
      </w:r>
      <w:r w:rsidR="00C92BAD" w:rsidRPr="00435096">
        <w:t>mfetamine and</w:t>
      </w:r>
      <w:r w:rsidR="00213392" w:rsidRPr="00435096">
        <w:t xml:space="preserve"> </w:t>
      </w:r>
      <w:r w:rsidR="00C92BAD" w:rsidRPr="00435096">
        <w:t xml:space="preserve">methylphenidate) </w:t>
      </w:r>
      <w:r w:rsidR="00213392" w:rsidRPr="00435096">
        <w:t xml:space="preserve">should not be used in children aged younger than </w:t>
      </w:r>
      <w:r w:rsidR="00E02139" w:rsidRPr="00435096">
        <w:t>6</w:t>
      </w:r>
      <w:r w:rsidR="00E93D9D" w:rsidRPr="00435096">
        <w:t> </w:t>
      </w:r>
      <w:r w:rsidR="00213392" w:rsidRPr="00435096">
        <w:t>years</w:t>
      </w:r>
      <w:r w:rsidR="00B66678" w:rsidRPr="00435096">
        <w:t>.</w:t>
      </w:r>
      <w:r w:rsidR="00052592" w:rsidRPr="00435096">
        <w:rPr>
          <w:vertAlign w:val="superscript"/>
        </w:rPr>
        <w:t>4</w:t>
      </w:r>
      <w:r w:rsidR="00213392" w:rsidRPr="00435096">
        <w:t xml:space="preserve"> </w:t>
      </w:r>
      <w:r w:rsidR="00E10785" w:rsidRPr="00435096">
        <w:t>Atomoxetine</w:t>
      </w:r>
      <w:r w:rsidR="00C92BAD" w:rsidRPr="00435096">
        <w:t>, a non-stimulant drug,</w:t>
      </w:r>
      <w:r w:rsidR="00E10785" w:rsidRPr="00435096">
        <w:t xml:space="preserve"> </w:t>
      </w:r>
      <w:r w:rsidR="00C92BAD" w:rsidRPr="00435096">
        <w:t xml:space="preserve">is approved for use in </w:t>
      </w:r>
      <w:r w:rsidR="00E10785" w:rsidRPr="00435096">
        <w:t>children</w:t>
      </w:r>
      <w:r w:rsidR="00C92BAD" w:rsidRPr="00435096">
        <w:t xml:space="preserve"> (over six years old)</w:t>
      </w:r>
      <w:r w:rsidR="00E10785" w:rsidRPr="00435096">
        <w:t>, adolescents and adults</w:t>
      </w:r>
      <w:r w:rsidR="00C92BAD" w:rsidRPr="00435096">
        <w:t xml:space="preserve"> with </w:t>
      </w:r>
      <w:r w:rsidR="00E10785" w:rsidRPr="00435096">
        <w:t xml:space="preserve">ADHD </w:t>
      </w:r>
      <w:r w:rsidR="00C92BAD" w:rsidRPr="00435096">
        <w:t>where treatment with stimulants is not suitable or tolerated.</w:t>
      </w:r>
      <w:r w:rsidR="00E10785" w:rsidRPr="00435096">
        <w:rPr>
          <w:vertAlign w:val="superscript"/>
        </w:rPr>
        <w:t>3,4</w:t>
      </w:r>
      <w:r w:rsidR="00C92BAD" w:rsidRPr="00435096">
        <w:rPr>
          <w:vertAlign w:val="superscript"/>
        </w:rPr>
        <w:t xml:space="preserve"> </w:t>
      </w:r>
      <w:r w:rsidR="00C92BAD" w:rsidRPr="00435096">
        <w:t xml:space="preserve">Guanfacine, a non-stimulant drug, is approved for children (over six years old) </w:t>
      </w:r>
      <w:r w:rsidR="00515756" w:rsidRPr="00435096">
        <w:t>and adolescents (up to the age of 18).</w:t>
      </w:r>
    </w:p>
    <w:p w14:paraId="7876AA05" w14:textId="7A3C6690" w:rsidR="00E3635D" w:rsidRPr="00435096" w:rsidRDefault="00E3635D" w:rsidP="00215563">
      <w:r w:rsidRPr="00435096">
        <w:t>PBS restrictions for subsidisation of ADHD treatments differ according to the age at which the person received the diagnosis. Guanfacine is subsidised only for those with a diagnosis between the ages of 6 and 17 years</w:t>
      </w:r>
      <w:r w:rsidR="00E9785F">
        <w:t xml:space="preserve"> inclusive</w:t>
      </w:r>
      <w:r w:rsidR="005D5112" w:rsidRPr="00435096">
        <w:t xml:space="preserve">. </w:t>
      </w:r>
      <w:r w:rsidR="00E9785F">
        <w:t>A</w:t>
      </w:r>
      <w:r w:rsidR="00E9785F" w:rsidRPr="00435096">
        <w:t>tomoxetine is subsidised only for those with a diagnosis between the ages of 6 and 1</w:t>
      </w:r>
      <w:r w:rsidR="00E9785F">
        <w:t>8</w:t>
      </w:r>
      <w:r w:rsidR="00E9785F" w:rsidRPr="00435096">
        <w:t xml:space="preserve"> years</w:t>
      </w:r>
      <w:r w:rsidR="00E9785F">
        <w:t xml:space="preserve"> inclusive</w:t>
      </w:r>
      <w:r w:rsidR="00E9785F" w:rsidRPr="00435096">
        <w:t>.</w:t>
      </w:r>
    </w:p>
    <w:p w14:paraId="60519AB4" w14:textId="77777777" w:rsidR="001C271F" w:rsidRPr="00435096" w:rsidRDefault="001C271F" w:rsidP="00215563">
      <w:r w:rsidRPr="00435096">
        <w:t xml:space="preserve">Dexamfetamine, lisdexamfetamine and methylphenidate are Schedule 8 medicines under the Standard for the Uniform Scheduling of Medicines and Poisons (SUSMP). Schedule 8 medicines have a high potential for abuse and dependence. The prescribing and supply of Schedule 8 medications are tightly regulated, and regulations vary between each state and territory. </w:t>
      </w:r>
    </w:p>
    <w:p w14:paraId="35A8DF9B" w14:textId="380263B3" w:rsidR="001C271F" w:rsidRPr="00435096" w:rsidRDefault="001C271F" w:rsidP="00215563">
      <w:r w:rsidRPr="00435096">
        <w:t xml:space="preserve">Most Australian states and territories restrict the prescribing of psychostimulants for the treatment of ADHD to specialist medical practitioners, including psychiatrists, neurologists and paediatricians. These specialist prescribers are generally required to obtain prior authorisation from the relevant state or territory regulatory body for each patient. Prescribing of </w:t>
      </w:r>
      <w:r w:rsidRPr="00435096">
        <w:lastRenderedPageBreak/>
        <w:t xml:space="preserve">psychostimulants to patients under the age of 2 years is generally prohibited, and there are additional regulatory requirements to prescribe psychostimulants to patients aged between 2 to 3 years old. </w:t>
      </w:r>
    </w:p>
    <w:p w14:paraId="4EB7A36B" w14:textId="00E971FF" w:rsidR="001C271F" w:rsidRPr="00435096" w:rsidRDefault="00944DA8" w:rsidP="00215563">
      <w:r w:rsidRPr="00435096">
        <w:t xml:space="preserve">Due to all States and Territories having different laws about stimulant prescribing, </w:t>
      </w:r>
      <w:r w:rsidR="001C271F" w:rsidRPr="00435096">
        <w:t xml:space="preserve">State and territory government health </w:t>
      </w:r>
      <w:r w:rsidR="003C7DAB">
        <w:t>web</w:t>
      </w:r>
      <w:r w:rsidR="001C271F" w:rsidRPr="00435096">
        <w:t>pages should be checked for the most up to date regulatory information regarding psychostimulant prescribing.</w:t>
      </w:r>
      <w:r w:rsidR="001C271F" w:rsidRPr="00435096">
        <w:rPr>
          <w:rStyle w:val="FootnoteReference"/>
        </w:rPr>
        <w:footnoteReference w:id="7"/>
      </w:r>
    </w:p>
    <w:p w14:paraId="6300DBEF" w14:textId="77777777" w:rsidR="002251B5" w:rsidRPr="00435096" w:rsidRDefault="008E14FA" w:rsidP="00215563">
      <w:r w:rsidRPr="00435096">
        <w:t xml:space="preserve">Previous </w:t>
      </w:r>
      <w:r w:rsidR="000C291F" w:rsidRPr="00435096">
        <w:t>utilisation</w:t>
      </w:r>
      <w:r w:rsidRPr="00435096">
        <w:t xml:space="preserve"> analysis</w:t>
      </w:r>
      <w:r w:rsidR="000C291F" w:rsidRPr="00435096">
        <w:t xml:space="preserve"> </w:t>
      </w:r>
      <w:r w:rsidR="009F0585" w:rsidRPr="00435096">
        <w:t xml:space="preserve">undertaken by DUSC </w:t>
      </w:r>
      <w:r w:rsidRPr="00435096">
        <w:t xml:space="preserve">did </w:t>
      </w:r>
      <w:r w:rsidR="000C291F" w:rsidRPr="00435096">
        <w:t>not consider</w:t>
      </w:r>
      <w:r w:rsidRPr="00435096">
        <w:t xml:space="preserve"> the</w:t>
      </w:r>
      <w:r w:rsidR="000C291F" w:rsidRPr="00435096">
        <w:t xml:space="preserve"> use of buproprion, modafinil, </w:t>
      </w:r>
      <w:r w:rsidR="002251B5" w:rsidRPr="00435096">
        <w:t xml:space="preserve">or </w:t>
      </w:r>
      <w:r w:rsidR="000C291F" w:rsidRPr="00435096">
        <w:t>tricyclic antidepressants as these medicines are n</w:t>
      </w:r>
      <w:r w:rsidR="00C3608D" w:rsidRPr="00435096">
        <w:t xml:space="preserve">ot </w:t>
      </w:r>
      <w:r w:rsidR="009F0585" w:rsidRPr="00435096">
        <w:t xml:space="preserve">specifically </w:t>
      </w:r>
      <w:r w:rsidR="00C3608D" w:rsidRPr="00435096">
        <w:t xml:space="preserve">TGA-indicated </w:t>
      </w:r>
      <w:r w:rsidR="008A67DB" w:rsidRPr="00435096">
        <w:t xml:space="preserve">or </w:t>
      </w:r>
      <w:r w:rsidR="004100AB" w:rsidRPr="00435096">
        <w:t>R/</w:t>
      </w:r>
      <w:r w:rsidR="00C3608D" w:rsidRPr="00435096">
        <w:t>PBS-</w:t>
      </w:r>
      <w:r w:rsidR="000C291F" w:rsidRPr="00435096">
        <w:t xml:space="preserve">subsidised for the treatment of ADHD. </w:t>
      </w:r>
    </w:p>
    <w:p w14:paraId="080A9379" w14:textId="74157903" w:rsidR="000C7395" w:rsidRPr="001D105D" w:rsidRDefault="008E14FA" w:rsidP="00215563">
      <w:r w:rsidRPr="00435096">
        <w:t xml:space="preserve">The utilisation of clonidine </w:t>
      </w:r>
      <w:r w:rsidR="002251B5" w:rsidRPr="00435096">
        <w:t xml:space="preserve">was included in the 2021 review, and </w:t>
      </w:r>
      <w:r w:rsidRPr="00435096">
        <w:t xml:space="preserve">has been included in this analysis as the mechanism of action is similar to guanfacine and </w:t>
      </w:r>
      <w:r w:rsidR="0002762B" w:rsidRPr="00435096">
        <w:t>it is frequently used for the management of ADHD.</w:t>
      </w:r>
      <w:r w:rsidR="00F8698E" w:rsidRPr="00435096">
        <w:rPr>
          <w:rStyle w:val="FootnoteReference"/>
        </w:rPr>
        <w:footnoteReference w:id="8"/>
      </w:r>
      <w:r w:rsidR="0002762B" w:rsidRPr="001D105D">
        <w:t xml:space="preserve"> </w:t>
      </w:r>
    </w:p>
    <w:p w14:paraId="18C84534" w14:textId="77777777" w:rsidR="007247B9" w:rsidRPr="001D105D" w:rsidRDefault="007247B9" w:rsidP="00215563">
      <w:pPr>
        <w:pStyle w:val="Heading2"/>
      </w:pPr>
      <w:r w:rsidRPr="00673D36">
        <w:t>Pharmacology</w:t>
      </w:r>
    </w:p>
    <w:p w14:paraId="561390DD" w14:textId="4A192CB7" w:rsidR="00511025" w:rsidRPr="001D105D" w:rsidRDefault="00004FE9" w:rsidP="00215563">
      <w:r w:rsidRPr="001D105D">
        <w:t xml:space="preserve">The exact mechanism of action of ADHD medications is not fully established but is thought to be due to modification of dopaminergic and noradrenergic activity in the brain. </w:t>
      </w:r>
      <w:r w:rsidR="00511025" w:rsidRPr="001D105D">
        <w:t>Dexamfetamine, lisdexamfetamine and methylphenidate hydrochloride are central nervous system stimulants</w:t>
      </w:r>
      <w:r w:rsidR="00B66678" w:rsidRPr="001D105D">
        <w:t>.</w:t>
      </w:r>
      <w:r w:rsidR="000C291F" w:rsidRPr="001D105D">
        <w:rPr>
          <w:vertAlign w:val="superscript"/>
        </w:rPr>
        <w:t>5,</w:t>
      </w:r>
      <w:r w:rsidR="00511025" w:rsidRPr="001D105D">
        <w:rPr>
          <w:rStyle w:val="FootnoteReference"/>
        </w:rPr>
        <w:footnoteReference w:id="9"/>
      </w:r>
      <w:r w:rsidR="00511025" w:rsidRPr="001D105D">
        <w:rPr>
          <w:vertAlign w:val="superscript"/>
        </w:rPr>
        <w:t>,</w:t>
      </w:r>
      <w:r w:rsidR="00511025" w:rsidRPr="001D105D">
        <w:rPr>
          <w:rStyle w:val="FootnoteReference"/>
        </w:rPr>
        <w:footnoteReference w:id="10"/>
      </w:r>
      <w:r w:rsidR="00511025" w:rsidRPr="001D105D">
        <w:t xml:space="preserve"> Lisdexamfetamine</w:t>
      </w:r>
      <w:r w:rsidR="002C3CBA" w:rsidRPr="001D105D">
        <w:rPr>
          <w:rStyle w:val="FootnoteReference"/>
        </w:rPr>
        <w:footnoteReference w:id="11"/>
      </w:r>
      <w:r w:rsidR="00511025" w:rsidRPr="001D105D">
        <w:t xml:space="preserve"> is a prodrug of dexamfetamine and is broken down into active dexamfetamine after ingestion</w:t>
      </w:r>
      <w:r w:rsidR="00B66678" w:rsidRPr="001D105D">
        <w:t>.</w:t>
      </w:r>
      <w:r w:rsidR="000C291F" w:rsidRPr="001D105D">
        <w:rPr>
          <w:vertAlign w:val="superscript"/>
        </w:rPr>
        <w:t>5</w:t>
      </w:r>
      <w:r w:rsidR="00511025" w:rsidRPr="001D105D">
        <w:t xml:space="preserve"> Atomoxetine is a selective noradrenaline reuptake inhibitor</w:t>
      </w:r>
      <w:r w:rsidR="00B66678" w:rsidRPr="001D105D">
        <w:t>.</w:t>
      </w:r>
      <w:r w:rsidR="00511025" w:rsidRPr="001D105D">
        <w:rPr>
          <w:rStyle w:val="FootnoteReference"/>
        </w:rPr>
        <w:footnoteReference w:id="12"/>
      </w:r>
      <w:r w:rsidR="00ED1BA1" w:rsidRPr="001D105D">
        <w:t xml:space="preserve"> Guanfacine</w:t>
      </w:r>
      <w:r w:rsidR="008A2075" w:rsidRPr="001D105D">
        <w:rPr>
          <w:vertAlign w:val="superscript"/>
        </w:rPr>
        <w:t>6</w:t>
      </w:r>
      <w:r w:rsidR="008A2075" w:rsidRPr="001D105D">
        <w:t xml:space="preserve"> </w:t>
      </w:r>
      <w:r w:rsidR="00ED1BA1" w:rsidRPr="001D105D">
        <w:t>is a selective alpha</w:t>
      </w:r>
      <w:r w:rsidR="00ED1BA1" w:rsidRPr="001D105D">
        <w:rPr>
          <w:vertAlign w:val="subscript"/>
        </w:rPr>
        <w:t>2A</w:t>
      </w:r>
      <w:r w:rsidR="00ED1BA1" w:rsidRPr="001D105D">
        <w:t>-adrenergic receptor agonist</w:t>
      </w:r>
      <w:r w:rsidR="0002762B" w:rsidRPr="001D105D">
        <w:t xml:space="preserve"> and was </w:t>
      </w:r>
      <w:r w:rsidR="00F836DF">
        <w:t>Anatomical Therapeutic Chemical</w:t>
      </w:r>
      <w:r w:rsidR="00F836DF" w:rsidRPr="001D105D">
        <w:t xml:space="preserve"> </w:t>
      </w:r>
      <w:r w:rsidR="00F836DF">
        <w:t>(</w:t>
      </w:r>
      <w:r w:rsidR="00F836DF" w:rsidRPr="001D105D">
        <w:t>ATC</w:t>
      </w:r>
      <w:r w:rsidR="00F836DF">
        <w:t>)</w:t>
      </w:r>
      <w:r w:rsidR="00F836DF" w:rsidRPr="001D105D">
        <w:t xml:space="preserve"> </w:t>
      </w:r>
      <w:r w:rsidR="0002762B" w:rsidRPr="001D105D">
        <w:t>classified as a cardiovascular drug</w:t>
      </w:r>
      <w:r w:rsidR="008A2075" w:rsidRPr="001D105D">
        <w:t xml:space="preserve"> </w:t>
      </w:r>
      <w:r w:rsidR="0002762B" w:rsidRPr="001D105D">
        <w:t>similar to clonidine</w:t>
      </w:r>
      <w:r w:rsidR="00215563">
        <w:t>.</w:t>
      </w:r>
      <w:r w:rsidR="008A2075" w:rsidRPr="001D105D">
        <w:rPr>
          <w:rStyle w:val="FootnoteReference"/>
        </w:rPr>
        <w:footnoteReference w:id="13"/>
      </w:r>
      <w:r w:rsidR="00ED1BA1" w:rsidRPr="001D105D">
        <w:t xml:space="preserve"> </w:t>
      </w:r>
    </w:p>
    <w:p w14:paraId="770D4A94" w14:textId="77777777" w:rsidR="0025493E" w:rsidRDefault="0025493E">
      <w:pPr>
        <w:spacing w:line="276" w:lineRule="auto"/>
        <w:rPr>
          <w:b/>
          <w:sz w:val="28"/>
        </w:rPr>
      </w:pPr>
      <w:r>
        <w:br w:type="page"/>
      </w:r>
    </w:p>
    <w:p w14:paraId="47A9583C" w14:textId="77258FDF" w:rsidR="001420B3" w:rsidRPr="001D105D" w:rsidRDefault="00A52918" w:rsidP="00215563">
      <w:pPr>
        <w:pStyle w:val="Heading2"/>
      </w:pPr>
      <w:r w:rsidRPr="001D105D">
        <w:lastRenderedPageBreak/>
        <w:t>Therapeutic Goods Administration (</w:t>
      </w:r>
      <w:r w:rsidR="001420B3" w:rsidRPr="001D105D">
        <w:t>TGA</w:t>
      </w:r>
      <w:r w:rsidRPr="001D105D">
        <w:t>)</w:t>
      </w:r>
      <w:r w:rsidR="001420B3" w:rsidRPr="001D105D">
        <w:t xml:space="preserve"> approved indications</w:t>
      </w:r>
      <w:r w:rsidR="00FE7994" w:rsidRPr="001D105D">
        <w:t xml:space="preserve"> and PBS restrictions</w:t>
      </w:r>
    </w:p>
    <w:p w14:paraId="46AAC97E" w14:textId="7B59840D" w:rsidR="00511025" w:rsidRDefault="001C75C3" w:rsidP="001C75C3">
      <w:pPr>
        <w:ind w:right="-29"/>
      </w:pPr>
      <w:r>
        <w:t>T</w:t>
      </w:r>
      <w:r w:rsidR="00511025" w:rsidRPr="00435096">
        <w:t>he TGA indications and PBS restricted uses of medicines used to manage ADHD</w:t>
      </w:r>
      <w:r>
        <w:t xml:space="preserve"> is shown below</w:t>
      </w:r>
      <w:r w:rsidR="00511025" w:rsidRPr="00435096">
        <w:t>.</w:t>
      </w:r>
      <w:r w:rsidRPr="001C75C3">
        <w:rPr>
          <w:rStyle w:val="FootnoteReference"/>
        </w:rPr>
        <w:t xml:space="preserve"> </w:t>
      </w:r>
      <w:r w:rsidRPr="00435096">
        <w:rPr>
          <w:rStyle w:val="FootnoteReference"/>
        </w:rPr>
        <w:footnoteReference w:id="14"/>
      </w:r>
      <w:r w:rsidR="00511025" w:rsidRPr="00435096">
        <w:t xml:space="preserve"> </w:t>
      </w:r>
    </w:p>
    <w:tbl>
      <w:tblPr>
        <w:tblStyle w:val="TableGrid"/>
        <w:tblW w:w="9385" w:type="dxa"/>
        <w:tblInd w:w="-176" w:type="dxa"/>
        <w:tblLayout w:type="fixed"/>
        <w:tblLook w:val="04A0" w:firstRow="1" w:lastRow="0" w:firstColumn="1" w:lastColumn="0" w:noHBand="0" w:noVBand="1"/>
      </w:tblPr>
      <w:tblGrid>
        <w:gridCol w:w="1872"/>
        <w:gridCol w:w="3969"/>
        <w:gridCol w:w="3544"/>
      </w:tblGrid>
      <w:tr w:rsidR="00511025" w:rsidRPr="00435096" w14:paraId="0D027495" w14:textId="77777777" w:rsidTr="0025493E">
        <w:trPr>
          <w:tblHeader/>
        </w:trPr>
        <w:tc>
          <w:tcPr>
            <w:tcW w:w="1872" w:type="dxa"/>
            <w:shd w:val="clear" w:color="auto" w:fill="BFBFBF" w:themeFill="background1" w:themeFillShade="BF"/>
          </w:tcPr>
          <w:p w14:paraId="344BFFD2" w14:textId="77777777" w:rsidR="00511025" w:rsidRPr="00435096" w:rsidRDefault="00511025" w:rsidP="00215563">
            <w:pPr>
              <w:pStyle w:val="Tableheading"/>
              <w:rPr>
                <w:sz w:val="20"/>
                <w:szCs w:val="20"/>
              </w:rPr>
            </w:pPr>
            <w:r w:rsidRPr="00435096">
              <w:rPr>
                <w:sz w:val="20"/>
                <w:szCs w:val="20"/>
              </w:rPr>
              <w:t>Drug</w:t>
            </w:r>
          </w:p>
        </w:tc>
        <w:tc>
          <w:tcPr>
            <w:tcW w:w="3969" w:type="dxa"/>
            <w:shd w:val="clear" w:color="auto" w:fill="BFBFBF" w:themeFill="background1" w:themeFillShade="BF"/>
          </w:tcPr>
          <w:p w14:paraId="62A1F128" w14:textId="77777777" w:rsidR="00511025" w:rsidRPr="00435096" w:rsidRDefault="00511025" w:rsidP="00215563">
            <w:pPr>
              <w:pStyle w:val="Tableheading"/>
              <w:rPr>
                <w:sz w:val="20"/>
                <w:szCs w:val="20"/>
              </w:rPr>
            </w:pPr>
            <w:r w:rsidRPr="00435096">
              <w:rPr>
                <w:sz w:val="20"/>
                <w:szCs w:val="20"/>
              </w:rPr>
              <w:t>TGA indications</w:t>
            </w:r>
          </w:p>
        </w:tc>
        <w:tc>
          <w:tcPr>
            <w:tcW w:w="3544" w:type="dxa"/>
            <w:shd w:val="clear" w:color="auto" w:fill="BFBFBF" w:themeFill="background1" w:themeFillShade="BF"/>
          </w:tcPr>
          <w:p w14:paraId="79AD6B83" w14:textId="77777777" w:rsidR="00511025" w:rsidRPr="00435096" w:rsidRDefault="00511025" w:rsidP="00215563">
            <w:pPr>
              <w:pStyle w:val="Tableheading"/>
              <w:rPr>
                <w:sz w:val="20"/>
                <w:szCs w:val="20"/>
              </w:rPr>
            </w:pPr>
            <w:r w:rsidRPr="00435096">
              <w:rPr>
                <w:sz w:val="20"/>
                <w:szCs w:val="20"/>
              </w:rPr>
              <w:t>PBS restricted uses</w:t>
            </w:r>
          </w:p>
        </w:tc>
      </w:tr>
      <w:tr w:rsidR="00511025" w:rsidRPr="00435096" w14:paraId="48F732E5" w14:textId="77777777" w:rsidTr="0025493E">
        <w:tc>
          <w:tcPr>
            <w:tcW w:w="1872" w:type="dxa"/>
          </w:tcPr>
          <w:p w14:paraId="323F3280" w14:textId="77777777" w:rsidR="00511025" w:rsidRPr="00435096" w:rsidRDefault="006F743A" w:rsidP="00215563">
            <w:pPr>
              <w:pStyle w:val="Tablewriting"/>
            </w:pPr>
            <w:r w:rsidRPr="00435096">
              <w:t>Dexamf</w:t>
            </w:r>
            <w:r w:rsidR="00511025" w:rsidRPr="00435096">
              <w:t>etamine</w:t>
            </w:r>
          </w:p>
        </w:tc>
        <w:tc>
          <w:tcPr>
            <w:tcW w:w="3969" w:type="dxa"/>
          </w:tcPr>
          <w:p w14:paraId="3D811F15" w14:textId="77777777" w:rsidR="00511025" w:rsidRPr="00435096" w:rsidRDefault="00511025" w:rsidP="00215563">
            <w:pPr>
              <w:pStyle w:val="Tablewriting"/>
              <w:numPr>
                <w:ilvl w:val="0"/>
                <w:numId w:val="8"/>
              </w:numPr>
              <w:ind w:left="176" w:hanging="142"/>
            </w:pPr>
            <w:r w:rsidRPr="00435096">
              <w:t>Hyperkinetic behaviour disorders in children</w:t>
            </w:r>
          </w:p>
          <w:p w14:paraId="1D924684" w14:textId="77777777" w:rsidR="00511025" w:rsidRPr="00435096" w:rsidRDefault="00511025" w:rsidP="00215563">
            <w:pPr>
              <w:pStyle w:val="Tablewriting"/>
              <w:numPr>
                <w:ilvl w:val="0"/>
                <w:numId w:val="8"/>
              </w:numPr>
              <w:ind w:left="176" w:hanging="142"/>
            </w:pPr>
            <w:r w:rsidRPr="00435096">
              <w:t>Narcolepsy</w:t>
            </w:r>
          </w:p>
        </w:tc>
        <w:tc>
          <w:tcPr>
            <w:tcW w:w="3544" w:type="dxa"/>
          </w:tcPr>
          <w:p w14:paraId="0FA80049" w14:textId="77777777" w:rsidR="00511025" w:rsidRPr="00435096" w:rsidRDefault="00511025" w:rsidP="00215563">
            <w:pPr>
              <w:pStyle w:val="Tablewriting"/>
              <w:numPr>
                <w:ilvl w:val="0"/>
                <w:numId w:val="8"/>
              </w:numPr>
              <w:ind w:left="175" w:hanging="142"/>
            </w:pPr>
            <w:r w:rsidRPr="00435096">
              <w:t>ADHD</w:t>
            </w:r>
          </w:p>
          <w:p w14:paraId="3B1FAB30" w14:textId="77777777" w:rsidR="00511025" w:rsidRPr="00435096" w:rsidRDefault="00511025" w:rsidP="00215563">
            <w:pPr>
              <w:pStyle w:val="Tablewriting"/>
              <w:numPr>
                <w:ilvl w:val="0"/>
                <w:numId w:val="8"/>
              </w:numPr>
              <w:ind w:left="175" w:hanging="142"/>
            </w:pPr>
            <w:r w:rsidRPr="00435096">
              <w:t>Narcolepsy</w:t>
            </w:r>
          </w:p>
        </w:tc>
      </w:tr>
      <w:tr w:rsidR="00511025" w:rsidRPr="00435096" w14:paraId="366C4AFA" w14:textId="77777777" w:rsidTr="0025493E">
        <w:tc>
          <w:tcPr>
            <w:tcW w:w="1872" w:type="dxa"/>
          </w:tcPr>
          <w:p w14:paraId="5CDDD7F9" w14:textId="00DECE88" w:rsidR="00511025" w:rsidRPr="00435096" w:rsidRDefault="00511025" w:rsidP="00215563">
            <w:pPr>
              <w:pStyle w:val="Tablewriting"/>
            </w:pPr>
            <w:r w:rsidRPr="00435096">
              <w:t>Methylphenidate I</w:t>
            </w:r>
            <w:r w:rsidR="00532AA2" w:rsidRPr="00435096">
              <w:t>mmediate-Release</w:t>
            </w:r>
          </w:p>
          <w:p w14:paraId="4E684897" w14:textId="2EE2DECC" w:rsidR="00532AA2" w:rsidRPr="00435096" w:rsidRDefault="00532AA2" w:rsidP="00215563">
            <w:pPr>
              <w:pStyle w:val="Tablewriting"/>
            </w:pPr>
            <w:r w:rsidRPr="00435096">
              <w:t>(MPH-IR)</w:t>
            </w:r>
          </w:p>
        </w:tc>
        <w:tc>
          <w:tcPr>
            <w:tcW w:w="3969" w:type="dxa"/>
          </w:tcPr>
          <w:p w14:paraId="11B5BB0D" w14:textId="77777777" w:rsidR="00511025" w:rsidRPr="00435096" w:rsidRDefault="00511025" w:rsidP="00215563">
            <w:pPr>
              <w:pStyle w:val="Tablewriting"/>
              <w:numPr>
                <w:ilvl w:val="0"/>
                <w:numId w:val="7"/>
              </w:numPr>
              <w:ind w:left="176" w:hanging="142"/>
            </w:pPr>
            <w:r w:rsidRPr="00435096">
              <w:t>ADHD</w:t>
            </w:r>
          </w:p>
          <w:p w14:paraId="03D58E4F" w14:textId="77777777" w:rsidR="00511025" w:rsidRPr="00435096" w:rsidRDefault="00511025" w:rsidP="00215563">
            <w:pPr>
              <w:pStyle w:val="Tablewriting"/>
              <w:numPr>
                <w:ilvl w:val="0"/>
                <w:numId w:val="7"/>
              </w:numPr>
              <w:ind w:left="176" w:hanging="142"/>
            </w:pPr>
            <w:r w:rsidRPr="00435096">
              <w:t>Narcolepsy</w:t>
            </w:r>
          </w:p>
        </w:tc>
        <w:tc>
          <w:tcPr>
            <w:tcW w:w="3544" w:type="dxa"/>
          </w:tcPr>
          <w:p w14:paraId="32C12319" w14:textId="77777777" w:rsidR="00511025" w:rsidRPr="00435096" w:rsidRDefault="00511025" w:rsidP="00215563">
            <w:pPr>
              <w:pStyle w:val="Tablewriting"/>
              <w:numPr>
                <w:ilvl w:val="0"/>
                <w:numId w:val="7"/>
              </w:numPr>
              <w:ind w:left="175" w:hanging="142"/>
            </w:pPr>
            <w:r w:rsidRPr="00435096">
              <w:t>ADHD</w:t>
            </w:r>
          </w:p>
        </w:tc>
      </w:tr>
      <w:tr w:rsidR="00511025" w:rsidRPr="00435096" w14:paraId="00F4DBE4" w14:textId="77777777" w:rsidTr="0025493E">
        <w:tc>
          <w:tcPr>
            <w:tcW w:w="1872" w:type="dxa"/>
          </w:tcPr>
          <w:p w14:paraId="7C409EBF" w14:textId="77777777" w:rsidR="00511025" w:rsidRPr="00435096" w:rsidRDefault="00511025" w:rsidP="00215563">
            <w:pPr>
              <w:pStyle w:val="Tablewriting"/>
            </w:pPr>
            <w:r w:rsidRPr="00435096">
              <w:t>Methylphenidate M</w:t>
            </w:r>
            <w:r w:rsidR="00532AA2" w:rsidRPr="00435096">
              <w:t>odified-</w:t>
            </w:r>
            <w:r w:rsidRPr="00435096">
              <w:t>R</w:t>
            </w:r>
            <w:r w:rsidR="00532AA2" w:rsidRPr="00435096">
              <w:t>elease</w:t>
            </w:r>
          </w:p>
          <w:p w14:paraId="73852AF0" w14:textId="59A942DD" w:rsidR="00532AA2" w:rsidRPr="00435096" w:rsidRDefault="00532AA2" w:rsidP="00215563">
            <w:pPr>
              <w:pStyle w:val="Tablewriting"/>
            </w:pPr>
            <w:r w:rsidRPr="00435096">
              <w:t>(MPH-MR)</w:t>
            </w:r>
          </w:p>
        </w:tc>
        <w:tc>
          <w:tcPr>
            <w:tcW w:w="3969" w:type="dxa"/>
          </w:tcPr>
          <w:p w14:paraId="56CD3C63" w14:textId="77777777" w:rsidR="00511025" w:rsidRPr="00435096" w:rsidRDefault="00511025" w:rsidP="00215563">
            <w:pPr>
              <w:pStyle w:val="Tablewriting"/>
              <w:numPr>
                <w:ilvl w:val="0"/>
                <w:numId w:val="7"/>
              </w:numPr>
              <w:ind w:left="176" w:hanging="142"/>
            </w:pPr>
            <w:r w:rsidRPr="00435096">
              <w:t>ADHD</w:t>
            </w:r>
          </w:p>
        </w:tc>
        <w:tc>
          <w:tcPr>
            <w:tcW w:w="3544" w:type="dxa"/>
          </w:tcPr>
          <w:p w14:paraId="1A927DE8" w14:textId="5144CCFF" w:rsidR="00511025" w:rsidRPr="00435096" w:rsidRDefault="00511025" w:rsidP="00215563">
            <w:pPr>
              <w:pStyle w:val="Tablewriting"/>
              <w:numPr>
                <w:ilvl w:val="0"/>
                <w:numId w:val="7"/>
              </w:numPr>
              <w:ind w:left="175" w:hanging="142"/>
            </w:pPr>
            <w:r w:rsidRPr="00435096">
              <w:t>ADHD in patient</w:t>
            </w:r>
            <w:r w:rsidR="002321F3" w:rsidRPr="00435096">
              <w:t>s</w:t>
            </w:r>
            <w:r w:rsidRPr="00435096">
              <w:t xml:space="preserve"> who require c</w:t>
            </w:r>
            <w:r w:rsidR="007C421F" w:rsidRPr="00435096">
              <w:t xml:space="preserve">ontinuous coverage </w:t>
            </w:r>
            <w:r w:rsidRPr="00435096">
              <w:t>and has demonstrated a response to IR methylphenidate</w:t>
            </w:r>
            <w:r w:rsidR="002E6C62" w:rsidRPr="00435096">
              <w:t>.</w:t>
            </w:r>
          </w:p>
        </w:tc>
      </w:tr>
      <w:tr w:rsidR="00511025" w:rsidRPr="00435096" w14:paraId="6ACEF84F" w14:textId="77777777" w:rsidTr="0025493E">
        <w:tc>
          <w:tcPr>
            <w:tcW w:w="1872" w:type="dxa"/>
          </w:tcPr>
          <w:p w14:paraId="4CA46C8E" w14:textId="77777777" w:rsidR="00511025" w:rsidRPr="00435096" w:rsidRDefault="00511025" w:rsidP="00215563">
            <w:pPr>
              <w:pStyle w:val="Tablewriting"/>
            </w:pPr>
            <w:r w:rsidRPr="00435096">
              <w:t xml:space="preserve">Atomoxetine </w:t>
            </w:r>
          </w:p>
        </w:tc>
        <w:tc>
          <w:tcPr>
            <w:tcW w:w="3969" w:type="dxa"/>
          </w:tcPr>
          <w:p w14:paraId="5AE55C4D" w14:textId="77777777" w:rsidR="00511025" w:rsidRPr="00435096" w:rsidRDefault="00511025" w:rsidP="00215563">
            <w:pPr>
              <w:pStyle w:val="Tablewriting"/>
              <w:numPr>
                <w:ilvl w:val="0"/>
                <w:numId w:val="6"/>
              </w:numPr>
              <w:ind w:left="176" w:hanging="142"/>
            </w:pPr>
            <w:r w:rsidRPr="00435096">
              <w:t>ADHD as defined by the DSM-IV criteria for people aged ≥6 years</w:t>
            </w:r>
            <w:r w:rsidR="002E6C62" w:rsidRPr="00435096">
              <w:t>.</w:t>
            </w:r>
          </w:p>
        </w:tc>
        <w:tc>
          <w:tcPr>
            <w:tcW w:w="3544" w:type="dxa"/>
          </w:tcPr>
          <w:p w14:paraId="2C12DDAD" w14:textId="6B72D4A7" w:rsidR="00511025" w:rsidRPr="00435096" w:rsidRDefault="00511025" w:rsidP="00215563">
            <w:pPr>
              <w:pStyle w:val="Tablewriting"/>
              <w:numPr>
                <w:ilvl w:val="0"/>
                <w:numId w:val="6"/>
              </w:numPr>
              <w:ind w:left="175" w:hanging="142"/>
            </w:pPr>
            <w:r w:rsidRPr="00435096">
              <w:t>ADHD as defi</w:t>
            </w:r>
            <w:r w:rsidR="006F743A" w:rsidRPr="00435096">
              <w:t>ned by the DSM-</w:t>
            </w:r>
            <w:r w:rsidR="003C7DAB">
              <w:t>5</w:t>
            </w:r>
            <w:r w:rsidR="006F743A" w:rsidRPr="00435096">
              <w:t xml:space="preserve"> criteria, </w:t>
            </w:r>
            <w:r w:rsidR="007C421F" w:rsidRPr="00435096">
              <w:t xml:space="preserve">diagnosed by a paediatrician or psychiatrist, </w:t>
            </w:r>
            <w:r w:rsidR="006F743A" w:rsidRPr="00435096">
              <w:t xml:space="preserve">in </w:t>
            </w:r>
            <w:r w:rsidRPr="00435096">
              <w:t>patient</w:t>
            </w:r>
            <w:r w:rsidR="006F743A" w:rsidRPr="00435096">
              <w:t>s</w:t>
            </w:r>
            <w:r w:rsidRPr="00435096">
              <w:t xml:space="preserve"> diagno</w:t>
            </w:r>
            <w:r w:rsidR="006F743A" w:rsidRPr="00435096">
              <w:t>sed between ages 6 to 18, who are</w:t>
            </w:r>
            <w:r w:rsidRPr="00435096">
              <w:t xml:space="preserve"> contraindicated to or intolerant of stimulant treatment.</w:t>
            </w:r>
          </w:p>
        </w:tc>
      </w:tr>
      <w:tr w:rsidR="00511025" w:rsidRPr="00435096" w14:paraId="05467D20" w14:textId="77777777" w:rsidTr="0025493E">
        <w:trPr>
          <w:trHeight w:val="1587"/>
        </w:trPr>
        <w:tc>
          <w:tcPr>
            <w:tcW w:w="1872" w:type="dxa"/>
          </w:tcPr>
          <w:p w14:paraId="49320EFB" w14:textId="77777777" w:rsidR="00511025" w:rsidRPr="00435096" w:rsidRDefault="00511025" w:rsidP="00215563">
            <w:pPr>
              <w:pStyle w:val="Tablewriting"/>
            </w:pPr>
            <w:r w:rsidRPr="00435096">
              <w:t>Guanfacine</w:t>
            </w:r>
          </w:p>
        </w:tc>
        <w:tc>
          <w:tcPr>
            <w:tcW w:w="3969" w:type="dxa"/>
          </w:tcPr>
          <w:p w14:paraId="20758CBA" w14:textId="77777777" w:rsidR="00511025" w:rsidRPr="00435096" w:rsidRDefault="00511025" w:rsidP="00215563">
            <w:pPr>
              <w:pStyle w:val="Tablewriting"/>
              <w:numPr>
                <w:ilvl w:val="0"/>
                <w:numId w:val="6"/>
              </w:numPr>
              <w:ind w:left="176" w:hanging="142"/>
            </w:pPr>
            <w:r w:rsidRPr="00435096">
              <w:t>ADHD in children and adolescents aged 6-17 years old, as monotherapy (when stimulants or atomoxetine are not suitable, not tolerated or have been shown to be ineffective) or as adjunctive therapy to psychostimulants</w:t>
            </w:r>
            <w:r w:rsidR="002E6C62" w:rsidRPr="00435096">
              <w:t>.</w:t>
            </w:r>
          </w:p>
        </w:tc>
        <w:tc>
          <w:tcPr>
            <w:tcW w:w="3544" w:type="dxa"/>
          </w:tcPr>
          <w:p w14:paraId="45666BE8" w14:textId="29B66F4A" w:rsidR="00772132" w:rsidRPr="00435096" w:rsidRDefault="009F2099" w:rsidP="002F5752">
            <w:pPr>
              <w:pStyle w:val="Tablewriting"/>
              <w:numPr>
                <w:ilvl w:val="0"/>
                <w:numId w:val="6"/>
              </w:numPr>
              <w:ind w:left="181" w:hanging="141"/>
            </w:pPr>
            <w:r w:rsidRPr="00435096">
              <w:t>ADHD as defined by the DSM-V criteria, diagnosed by a paediatrician or psychiatrist, in patients diagnosed between ages 6 to 17, who are contraindicated to or intolerant of stimulant treatment.</w:t>
            </w:r>
          </w:p>
        </w:tc>
      </w:tr>
      <w:tr w:rsidR="002D3120" w:rsidRPr="002321F3" w14:paraId="60684CB4" w14:textId="77777777" w:rsidTr="0025493E">
        <w:tc>
          <w:tcPr>
            <w:tcW w:w="1872" w:type="dxa"/>
          </w:tcPr>
          <w:p w14:paraId="0B7A43E3" w14:textId="77777777" w:rsidR="002D3120" w:rsidRPr="00435096" w:rsidRDefault="002D3120" w:rsidP="0049485A">
            <w:pPr>
              <w:pStyle w:val="Tablewriting"/>
            </w:pPr>
            <w:r w:rsidRPr="00435096">
              <w:t>Lisdexamfetamine</w:t>
            </w:r>
          </w:p>
        </w:tc>
        <w:tc>
          <w:tcPr>
            <w:tcW w:w="3969" w:type="dxa"/>
          </w:tcPr>
          <w:p w14:paraId="6C8B1160" w14:textId="57792FEC" w:rsidR="002D3120" w:rsidRPr="00435096" w:rsidRDefault="002D3120" w:rsidP="0049485A">
            <w:pPr>
              <w:pStyle w:val="Tablewriting"/>
              <w:numPr>
                <w:ilvl w:val="0"/>
                <w:numId w:val="6"/>
              </w:numPr>
              <w:ind w:left="176" w:hanging="142"/>
            </w:pPr>
            <w:r w:rsidRPr="00435096">
              <w:t>ADHD treatment commenced by specialist</w:t>
            </w:r>
            <w:r w:rsidR="00B460FA">
              <w:t>.</w:t>
            </w:r>
            <w:r w:rsidRPr="00435096">
              <w:t xml:space="preserve"> </w:t>
            </w:r>
          </w:p>
          <w:p w14:paraId="2E267105" w14:textId="77777777" w:rsidR="002D3120" w:rsidRPr="00435096" w:rsidRDefault="002D3120" w:rsidP="0049485A">
            <w:pPr>
              <w:pStyle w:val="Tablewriting"/>
              <w:numPr>
                <w:ilvl w:val="0"/>
                <w:numId w:val="6"/>
              </w:numPr>
              <w:ind w:left="176" w:hanging="142"/>
            </w:pPr>
            <w:r w:rsidRPr="00435096">
              <w:t xml:space="preserve">Moderate to severe Binge Eating Disorder in adults when non-pharmacological treatment is unsuccessful or unavailable. Must be commenced and managed by specialist. </w:t>
            </w:r>
          </w:p>
        </w:tc>
        <w:tc>
          <w:tcPr>
            <w:tcW w:w="3544" w:type="dxa"/>
          </w:tcPr>
          <w:p w14:paraId="47CDBCE2" w14:textId="27CC6AA9" w:rsidR="002D3120" w:rsidRPr="00435096" w:rsidRDefault="002D3120" w:rsidP="0049485A">
            <w:pPr>
              <w:pStyle w:val="Tablewriting"/>
              <w:numPr>
                <w:ilvl w:val="0"/>
                <w:numId w:val="6"/>
              </w:numPr>
              <w:ind w:left="175" w:hanging="142"/>
            </w:pPr>
            <w:r w:rsidRPr="00435096">
              <w:t>ADHD in patients who require continuous coverage over 12 hours.</w:t>
            </w:r>
          </w:p>
          <w:p w14:paraId="13CAA6A9" w14:textId="68249C46" w:rsidR="002D3120" w:rsidRPr="00435096" w:rsidRDefault="002D3120" w:rsidP="002D3120">
            <w:pPr>
              <w:pStyle w:val="Tablewriting"/>
            </w:pPr>
          </w:p>
        </w:tc>
      </w:tr>
    </w:tbl>
    <w:p w14:paraId="79ADAD36" w14:textId="2B121E76" w:rsidR="00511025" w:rsidRPr="001D105D" w:rsidRDefault="002C3CBA" w:rsidP="00215563">
      <w:pPr>
        <w:pStyle w:val="Heading4"/>
        <w:rPr>
          <w:sz w:val="24"/>
          <w:szCs w:val="24"/>
        </w:rPr>
      </w:pPr>
      <w:r w:rsidRPr="001D105D">
        <w:rPr>
          <w:sz w:val="24"/>
          <w:szCs w:val="24"/>
        </w:rPr>
        <w:t>TGA product information b</w:t>
      </w:r>
      <w:r w:rsidR="00511025" w:rsidRPr="001D105D">
        <w:rPr>
          <w:sz w:val="24"/>
          <w:szCs w:val="24"/>
        </w:rPr>
        <w:t>ox warnings</w:t>
      </w:r>
    </w:p>
    <w:p w14:paraId="16DAE549" w14:textId="20354801" w:rsidR="00511025" w:rsidRPr="00435096" w:rsidRDefault="00511025" w:rsidP="00215563">
      <w:pPr>
        <w:rPr>
          <w:vertAlign w:val="superscript"/>
        </w:rPr>
      </w:pPr>
      <w:r w:rsidRPr="00435096">
        <w:t>Dexamfetamine, lisdexamfetamine and methylphenidate have box warnings concerning drug dependence. They should be used cautiously in people with a history of drug or alcohol dependence. Chronic abuse may lead to tolerance, psychological dependence and abnormal behaviour</w:t>
      </w:r>
      <w:r w:rsidR="00B66678" w:rsidRPr="00435096">
        <w:t>.</w:t>
      </w:r>
      <w:r w:rsidR="002C3CBA" w:rsidRPr="00435096">
        <w:rPr>
          <w:vertAlign w:val="superscript"/>
        </w:rPr>
        <w:t>9,10,11</w:t>
      </w:r>
      <w:r w:rsidRPr="00435096">
        <w:t xml:space="preserve"> Supervision is required during withdrawal from abusive use since severe depression may occur. Withdrawal following chronic therapeutic use may unmask symptoms of the underlying disorder that may require follow-up.</w:t>
      </w:r>
    </w:p>
    <w:p w14:paraId="44ED9760" w14:textId="77777777" w:rsidR="00A7637D" w:rsidRPr="001D105D" w:rsidRDefault="00A7637D" w:rsidP="00A7637D">
      <w:r w:rsidRPr="00435096">
        <w:lastRenderedPageBreak/>
        <w:t>Atomoxetine has a box warning to monitor p</w:t>
      </w:r>
      <w:r>
        <w:t>eople</w:t>
      </w:r>
      <w:r w:rsidRPr="00435096">
        <w:t>s for suicidal thoughts and behaviours. Short-term placebo-controlled studies showed a positive signal for suicidal thoughts and behaviours in children aged 12 years and under.</w:t>
      </w:r>
      <w:r w:rsidRPr="00435096">
        <w:rPr>
          <w:vertAlign w:val="superscript"/>
        </w:rPr>
        <w:t>11</w:t>
      </w:r>
      <w:r w:rsidRPr="001D105D">
        <w:t xml:space="preserve"> </w:t>
      </w:r>
    </w:p>
    <w:p w14:paraId="69D519CF" w14:textId="77777777" w:rsidR="00A7637D" w:rsidRPr="001D105D" w:rsidRDefault="00A7637D" w:rsidP="00A7637D">
      <w:pPr>
        <w:pStyle w:val="Heading4"/>
      </w:pPr>
      <w:r w:rsidRPr="001D105D">
        <w:rPr>
          <w:sz w:val="24"/>
          <w:szCs w:val="24"/>
        </w:rPr>
        <w:t>Dosage and administration</w:t>
      </w:r>
    </w:p>
    <w:p w14:paraId="2F4C1588" w14:textId="77777777" w:rsidR="00A7637D" w:rsidRPr="001D105D" w:rsidRDefault="00A7637D" w:rsidP="00A7637D">
      <w:r w:rsidRPr="001D105D">
        <w:t>Treatment is usually commenced on dexamfetamine, lisdexamfetamine or the immediate release (IR) formulation of methylphenidate. Doses are started low and then up-titrated weekly to optimal doses.</w:t>
      </w:r>
      <w:r w:rsidRPr="001D105D">
        <w:rPr>
          <w:vertAlign w:val="superscript"/>
        </w:rPr>
        <w:t>3</w:t>
      </w:r>
      <w:r w:rsidRPr="001D105D">
        <w:t xml:space="preserve"> </w:t>
      </w:r>
    </w:p>
    <w:p w14:paraId="14E2DB80" w14:textId="77777777" w:rsidR="00A7637D" w:rsidRPr="001D105D" w:rsidRDefault="00A7637D" w:rsidP="00A7637D">
      <w:r w:rsidRPr="001D105D">
        <w:t>P</w:t>
      </w:r>
      <w:r>
        <w:t>eople</w:t>
      </w:r>
      <w:r w:rsidRPr="001D105D">
        <w:t xml:space="preserve"> taking methylphenidate IR may switch to long-acting methylphenidate once responsive and dose stabilised. Alternative treatments should be considered if the maximum stimulant dose has been reached and significant improvement in symptoms has not occurred after a month or unacceptable side effects have developed.</w:t>
      </w:r>
      <w:r w:rsidRPr="001D105D">
        <w:rPr>
          <w:vertAlign w:val="superscript"/>
        </w:rPr>
        <w:t>4</w:t>
      </w:r>
    </w:p>
    <w:p w14:paraId="5E0B6FDA" w14:textId="77777777" w:rsidR="00A7637D" w:rsidRPr="001D105D" w:rsidRDefault="00A7637D" w:rsidP="00A7637D">
      <w:r w:rsidRPr="001D105D">
        <w:t xml:space="preserve">There are no established guidelines for the length of time </w:t>
      </w:r>
      <w:r>
        <w:t xml:space="preserve">persons </w:t>
      </w:r>
      <w:r w:rsidRPr="001D105D">
        <w:t>should be maintained on stimulants.</w:t>
      </w:r>
    </w:p>
    <w:p w14:paraId="14446590" w14:textId="46F68105" w:rsidR="00724250" w:rsidRPr="001D105D" w:rsidRDefault="00D92479" w:rsidP="00215563">
      <w:r w:rsidRPr="001D105D">
        <w:t xml:space="preserve">Full details on dosing and titration schedules can be found in the Product Information. The current Product Information (PI) and Consumer Medicine Information (CMI) are available from </w:t>
      </w:r>
      <w:hyperlink r:id="rId8" w:history="1">
        <w:r w:rsidRPr="001D105D">
          <w:rPr>
            <w:rStyle w:val="Hyperlink"/>
          </w:rPr>
          <w:t>the TGA (Product Information)</w:t>
        </w:r>
      </w:hyperlink>
      <w:r w:rsidRPr="001D105D">
        <w:t xml:space="preserve"> and </w:t>
      </w:r>
      <w:hyperlink r:id="rId9" w:history="1">
        <w:r w:rsidRPr="001D105D">
          <w:rPr>
            <w:rStyle w:val="Hyperlink"/>
          </w:rPr>
          <w:t>the TGA (Consumer Medicines Information)</w:t>
        </w:r>
      </w:hyperlink>
      <w:r w:rsidR="00625E3E" w:rsidRPr="001D105D">
        <w:t>.</w:t>
      </w:r>
    </w:p>
    <w:p w14:paraId="3D8809D6" w14:textId="7810EB3D" w:rsidR="00D2758C" w:rsidRPr="001D105D" w:rsidRDefault="00D2758C" w:rsidP="00215563">
      <w:pPr>
        <w:pStyle w:val="Heading4"/>
        <w:rPr>
          <w:i w:val="0"/>
          <w:sz w:val="28"/>
          <w:szCs w:val="28"/>
        </w:rPr>
      </w:pPr>
      <w:r w:rsidRPr="001D105D">
        <w:rPr>
          <w:i w:val="0"/>
          <w:sz w:val="28"/>
          <w:szCs w:val="28"/>
        </w:rPr>
        <w:t xml:space="preserve">Date of listing on </w:t>
      </w:r>
      <w:r w:rsidR="004100AB" w:rsidRPr="001D105D">
        <w:rPr>
          <w:i w:val="0"/>
          <w:sz w:val="28"/>
          <w:szCs w:val="28"/>
        </w:rPr>
        <w:t>R/</w:t>
      </w:r>
      <w:r w:rsidRPr="001D105D">
        <w:rPr>
          <w:i w:val="0"/>
          <w:sz w:val="28"/>
          <w:szCs w:val="28"/>
        </w:rPr>
        <w:t>PBS</w:t>
      </w:r>
    </w:p>
    <w:p w14:paraId="6369A55D" w14:textId="6A066434" w:rsidR="00CD2428" w:rsidRPr="001D105D" w:rsidRDefault="00D2758C" w:rsidP="00215563">
      <w:pPr>
        <w:rPr>
          <w:u w:val="single"/>
        </w:rPr>
      </w:pPr>
      <w:r w:rsidRPr="001D105D">
        <w:t xml:space="preserve">The dates of listing and changes to listing for these medicines are available in </w:t>
      </w:r>
      <w:r w:rsidR="00CD2428" w:rsidRPr="001D105D">
        <w:rPr>
          <w:u w:val="single"/>
        </w:rPr>
        <w:t>Appendix A</w:t>
      </w:r>
      <w:r w:rsidR="002432A4" w:rsidRPr="001D105D">
        <w:rPr>
          <w:u w:val="single"/>
        </w:rPr>
        <w:t>.</w:t>
      </w:r>
    </w:p>
    <w:p w14:paraId="19E4A026" w14:textId="1769BDCF" w:rsidR="00D2758C" w:rsidRPr="001D105D" w:rsidRDefault="00D2758C" w:rsidP="00215563">
      <w:pPr>
        <w:rPr>
          <w:rStyle w:val="Hyperlink"/>
          <w:color w:val="auto"/>
          <w:u w:val="none"/>
        </w:rPr>
      </w:pPr>
      <w:r w:rsidRPr="001D105D">
        <w:t xml:space="preserve">Current </w:t>
      </w:r>
      <w:r w:rsidR="004100AB" w:rsidRPr="001D105D">
        <w:t>R/</w:t>
      </w:r>
      <w:r w:rsidRPr="001D105D">
        <w:t xml:space="preserve">PBS listing </w:t>
      </w:r>
      <w:r w:rsidR="002432A4" w:rsidRPr="001D105D">
        <w:t xml:space="preserve">and restriction </w:t>
      </w:r>
      <w:r w:rsidRPr="001D105D">
        <w:t xml:space="preserve">details are available from the </w:t>
      </w:r>
      <w:hyperlink r:id="rId10" w:history="1">
        <w:r w:rsidRPr="001D105D">
          <w:rPr>
            <w:rStyle w:val="Hyperlink"/>
          </w:rPr>
          <w:t>PBS website</w:t>
        </w:r>
      </w:hyperlink>
      <w:r w:rsidRPr="001D105D">
        <w:t>.</w:t>
      </w:r>
    </w:p>
    <w:p w14:paraId="119CF1A3" w14:textId="77777777" w:rsidR="00736041" w:rsidRPr="001D105D" w:rsidRDefault="00394AEE" w:rsidP="00215563">
      <w:pPr>
        <w:pStyle w:val="Heading2"/>
      </w:pPr>
      <w:r w:rsidRPr="001D105D">
        <w:t>Relevant aspects of</w:t>
      </w:r>
      <w:r w:rsidR="00736041" w:rsidRPr="001D105D">
        <w:t xml:space="preserve"> consideration</w:t>
      </w:r>
      <w:r w:rsidRPr="001D105D">
        <w:t xml:space="preserve"> by the Pharmaceutical Benefits Advisory Committee (PBAC)</w:t>
      </w:r>
    </w:p>
    <w:p w14:paraId="4CEEC37F" w14:textId="4F123C64" w:rsidR="0064071F" w:rsidRPr="001D105D" w:rsidRDefault="00F266BA" w:rsidP="00215563">
      <w:r w:rsidRPr="009670F9">
        <w:t xml:space="preserve">The </w:t>
      </w:r>
      <w:r w:rsidR="0064071F" w:rsidRPr="009670F9">
        <w:t>PBAC recommendation</w:t>
      </w:r>
      <w:r w:rsidRPr="009670F9">
        <w:t>s</w:t>
      </w:r>
      <w:r w:rsidR="0064071F" w:rsidRPr="009670F9">
        <w:t xml:space="preserve"> </w:t>
      </w:r>
      <w:r w:rsidRPr="009670F9">
        <w:t>for</w:t>
      </w:r>
      <w:r w:rsidR="0064071F" w:rsidRPr="009670F9">
        <w:t xml:space="preserve"> all ADHD medicines </w:t>
      </w:r>
      <w:r w:rsidRPr="009670F9">
        <w:t xml:space="preserve">listed </w:t>
      </w:r>
      <w:r w:rsidR="0064071F" w:rsidRPr="009670F9">
        <w:t>prior to 20</w:t>
      </w:r>
      <w:r w:rsidR="004F5537" w:rsidRPr="009670F9">
        <w:t>20</w:t>
      </w:r>
      <w:r w:rsidR="0064071F" w:rsidRPr="009670F9">
        <w:t xml:space="preserve"> </w:t>
      </w:r>
      <w:r w:rsidRPr="009670F9">
        <w:t xml:space="preserve">are </w:t>
      </w:r>
      <w:r w:rsidR="0064071F" w:rsidRPr="009670F9">
        <w:t xml:space="preserve">provided in Appendix </w:t>
      </w:r>
      <w:r w:rsidR="00CD2428" w:rsidRPr="009670F9">
        <w:t>B</w:t>
      </w:r>
      <w:r w:rsidR="0064071F" w:rsidRPr="009670F9">
        <w:t>. Most medicines have been recommended on a cost-minimisation basis to existing therapies.</w:t>
      </w:r>
    </w:p>
    <w:p w14:paraId="19DE19C6" w14:textId="77777777" w:rsidR="00A7637D" w:rsidRPr="00FF5816" w:rsidRDefault="00A7637D" w:rsidP="00A7637D">
      <w:pPr>
        <w:pStyle w:val="Heading4"/>
        <w:rPr>
          <w:sz w:val="24"/>
          <w:szCs w:val="24"/>
        </w:rPr>
      </w:pPr>
      <w:r w:rsidRPr="00FF5816">
        <w:rPr>
          <w:sz w:val="24"/>
          <w:szCs w:val="24"/>
        </w:rPr>
        <w:t>Methylphenidate Modified Release</w:t>
      </w:r>
    </w:p>
    <w:p w14:paraId="788F8616" w14:textId="77777777" w:rsidR="00A7637D" w:rsidRPr="00B2760A" w:rsidRDefault="00A7637D" w:rsidP="00A7637D">
      <w:r w:rsidRPr="00B2760A">
        <w:t>At the March 20</w:t>
      </w:r>
      <w:r>
        <w:t>22</w:t>
      </w:r>
      <w:r w:rsidRPr="00B2760A">
        <w:t xml:space="preserve"> meeting, the PBAC recommended </w:t>
      </w:r>
      <w:r>
        <w:t>expanding the General Schedule Authority Required listing of methylphenidate 10mg, 20mg, 30mg, 40mg and 60mg modified release capsules, Ritalin LA®, to include adults with a retrospective diagnosis of ADHD under the same population criteria as lisdexamfetamine.</w:t>
      </w:r>
    </w:p>
    <w:p w14:paraId="3517ECEF" w14:textId="77777777" w:rsidR="00A7637D" w:rsidRPr="002D6281" w:rsidRDefault="00A7637D" w:rsidP="00A7637D">
      <w:pPr>
        <w:pStyle w:val="Heading4"/>
        <w:rPr>
          <w:sz w:val="24"/>
          <w:szCs w:val="24"/>
        </w:rPr>
      </w:pPr>
      <w:r w:rsidRPr="002D6281">
        <w:rPr>
          <w:sz w:val="24"/>
          <w:szCs w:val="24"/>
        </w:rPr>
        <w:t>Lisdexamfetamine</w:t>
      </w:r>
    </w:p>
    <w:p w14:paraId="71E958E0" w14:textId="77777777" w:rsidR="00A7637D" w:rsidRPr="00B2760A" w:rsidRDefault="00A7637D" w:rsidP="00A7637D">
      <w:r w:rsidRPr="00B2760A">
        <w:t>At the March 20</w:t>
      </w:r>
      <w:r>
        <w:t>20</w:t>
      </w:r>
      <w:r w:rsidRPr="00B2760A">
        <w:t xml:space="preserve"> meeting, the PBAC recommended </w:t>
      </w:r>
      <w:r>
        <w:t xml:space="preserve">expanding the listing of lisdexamfetamine to include treatment of people with ADHD who are diagnosed after the age of 18. </w:t>
      </w:r>
    </w:p>
    <w:p w14:paraId="2003713A" w14:textId="77777777" w:rsidR="00A7637D" w:rsidRDefault="00A7637D" w:rsidP="00A7637D">
      <w:pPr>
        <w:spacing w:line="276" w:lineRule="auto"/>
        <w:rPr>
          <w:b/>
          <w:sz w:val="28"/>
        </w:rPr>
      </w:pPr>
      <w:r>
        <w:br w:type="page"/>
      </w:r>
    </w:p>
    <w:p w14:paraId="1FFD7DD2" w14:textId="77777777" w:rsidR="00A7637D" w:rsidRPr="001D105D" w:rsidRDefault="00A7637D" w:rsidP="00A7637D">
      <w:pPr>
        <w:pStyle w:val="Heading2"/>
      </w:pPr>
      <w:r w:rsidRPr="001D105D">
        <w:lastRenderedPageBreak/>
        <w:t xml:space="preserve">Previous reviews by </w:t>
      </w:r>
      <w:r>
        <w:t xml:space="preserve">the </w:t>
      </w:r>
      <w:r w:rsidRPr="001D105D">
        <w:t>DUSC</w:t>
      </w:r>
    </w:p>
    <w:p w14:paraId="5AD097C3" w14:textId="77777777" w:rsidR="00A7637D" w:rsidRPr="009670F9" w:rsidRDefault="00A7637D" w:rsidP="00A7637D">
      <w:pPr>
        <w:pStyle w:val="Heading2"/>
        <w:rPr>
          <w:b w:val="0"/>
          <w:sz w:val="24"/>
        </w:rPr>
      </w:pPr>
      <w:r w:rsidRPr="009670F9">
        <w:rPr>
          <w:b w:val="0"/>
          <w:sz w:val="24"/>
        </w:rPr>
        <w:t>DUSC reviewed this therapeutic area in October 2010, as part of the 24 month Predicted versus Actual (PvA) review of atomoxetine. DUSC noted that there was lower than expected utilisation of atomoxetine, which may have been influenced by the listing of</w:t>
      </w:r>
      <w:r>
        <w:rPr>
          <w:b w:val="0"/>
          <w:sz w:val="24"/>
        </w:rPr>
        <w:t xml:space="preserve"> the 12-hour</w:t>
      </w:r>
      <w:r w:rsidRPr="009670F9">
        <w:rPr>
          <w:b w:val="0"/>
          <w:sz w:val="24"/>
        </w:rPr>
        <w:t xml:space="preserve"> </w:t>
      </w:r>
      <w:r>
        <w:rPr>
          <w:b w:val="0"/>
          <w:sz w:val="24"/>
        </w:rPr>
        <w:t>MPH-MR (</w:t>
      </w:r>
      <w:r w:rsidRPr="009670F9">
        <w:rPr>
          <w:b w:val="0"/>
          <w:sz w:val="24"/>
        </w:rPr>
        <w:t>Concerta®</w:t>
      </w:r>
      <w:r>
        <w:rPr>
          <w:b w:val="0"/>
          <w:sz w:val="24"/>
        </w:rPr>
        <w:t>)</w:t>
      </w:r>
      <w:r w:rsidRPr="009670F9">
        <w:rPr>
          <w:b w:val="0"/>
          <w:sz w:val="24"/>
        </w:rPr>
        <w:t xml:space="preserve"> three months before the listing of atomoxetine and possible over-estimation of the number of </w:t>
      </w:r>
      <w:r>
        <w:rPr>
          <w:b w:val="0"/>
          <w:sz w:val="24"/>
        </w:rPr>
        <w:t>people</w:t>
      </w:r>
      <w:r w:rsidRPr="009670F9">
        <w:rPr>
          <w:b w:val="0"/>
          <w:sz w:val="24"/>
        </w:rPr>
        <w:t xml:space="preserve"> with the required contraindications to stimulants to meet the restriction.</w:t>
      </w:r>
      <w:r w:rsidRPr="009670F9">
        <w:rPr>
          <w:rStyle w:val="FootnoteReference"/>
          <w:b w:val="0"/>
          <w:sz w:val="24"/>
        </w:rPr>
        <w:footnoteReference w:id="15"/>
      </w:r>
      <w:r w:rsidRPr="009670F9">
        <w:rPr>
          <w:b w:val="0"/>
          <w:sz w:val="24"/>
        </w:rPr>
        <w:t xml:space="preserve"> </w:t>
      </w:r>
    </w:p>
    <w:p w14:paraId="0F5AEFB5" w14:textId="77777777" w:rsidR="00A7637D" w:rsidRPr="009670F9" w:rsidRDefault="00A7637D" w:rsidP="00A7637D">
      <w:pPr>
        <w:spacing w:after="0"/>
      </w:pPr>
      <w:r w:rsidRPr="009670F9">
        <w:t>DUSC reviewed ADHD medicines in June 2012, with further analyses requested by DUSC considered in October 2012.</w:t>
      </w:r>
      <w:r w:rsidRPr="009670F9">
        <w:rPr>
          <w:rStyle w:val="FootnoteReference"/>
        </w:rPr>
        <w:footnoteReference w:id="16"/>
      </w:r>
      <w:r w:rsidRPr="009670F9">
        <w:rPr>
          <w:lang w:val="en-US" w:eastAsia="en-US"/>
        </w:rPr>
        <w:t xml:space="preserve"> </w:t>
      </w:r>
      <w:r w:rsidRPr="009670F9">
        <w:t>When considering all people treated with ADHD medicines, highest use was in children aged 10 years. DUSC noted that there was steady growth in the utilisation of ADHD medicines between January 2005 and October 2011. PBS benefits paid for ADHD medicines in November 2010–October 2011 totalled around $24.6 million, up 4.2% from the previous year. The highest cost medicine to the PBS was</w:t>
      </w:r>
      <w:r>
        <w:rPr>
          <w:b/>
        </w:rPr>
        <w:t xml:space="preserve"> </w:t>
      </w:r>
      <w:r w:rsidRPr="002F5752">
        <w:rPr>
          <w:bCs/>
        </w:rPr>
        <w:t>the 12-hour</w:t>
      </w:r>
      <w:r w:rsidRPr="000A4910">
        <w:rPr>
          <w:bCs/>
        </w:rPr>
        <w:t xml:space="preserve"> </w:t>
      </w:r>
      <w:r w:rsidRPr="002F5752">
        <w:rPr>
          <w:bCs/>
        </w:rPr>
        <w:t>MPH-MR</w:t>
      </w:r>
      <w:r>
        <w:rPr>
          <w:b/>
        </w:rPr>
        <w:t xml:space="preserve"> (</w:t>
      </w:r>
      <w:r w:rsidRPr="009670F9">
        <w:t>Concerta®</w:t>
      </w:r>
      <w:r>
        <w:rPr>
          <w:b/>
        </w:rPr>
        <w:t>)</w:t>
      </w:r>
      <w:r w:rsidRPr="009670F9">
        <w:t xml:space="preserve"> at $11.2 million, followed by atomoxetine at $6.2 million, despite its low utilisation.</w:t>
      </w:r>
      <w:r w:rsidRPr="009670F9">
        <w:rPr>
          <w:vertAlign w:val="superscript"/>
        </w:rPr>
        <w:t>18</w:t>
      </w:r>
    </w:p>
    <w:p w14:paraId="2EAA9A64" w14:textId="77777777" w:rsidR="00A7637D" w:rsidRPr="009670F9" w:rsidRDefault="00A7637D" w:rsidP="00A7637D">
      <w:pPr>
        <w:spacing w:after="0"/>
      </w:pPr>
    </w:p>
    <w:p w14:paraId="61F1CB8A" w14:textId="77777777" w:rsidR="00A7637D" w:rsidRPr="009670F9" w:rsidRDefault="00A7637D" w:rsidP="00A7637D">
      <w:pPr>
        <w:spacing w:after="0"/>
      </w:pPr>
      <w:r w:rsidRPr="009670F9">
        <w:t>The DUSC reviewed ADHD medicines in June 2015,</w:t>
      </w:r>
      <w:r w:rsidRPr="009670F9">
        <w:rPr>
          <w:rStyle w:val="FootnoteReference"/>
        </w:rPr>
        <w:footnoteReference w:id="17"/>
      </w:r>
      <w:r w:rsidRPr="009670F9">
        <w:t xml:space="preserve"> finding that there was steady growth in the utilisation of ADHD medicines between 2010 and 2014. Over 875,000 prescriptions were dispensed at a cost to the PBS of approximately $30 million in 2014, with methylphenidate being the most used medication. Rates of prescribing varied across states and territories, with rates of treatment in school-aged children being highest in the ACT, NSW and Q</w:t>
      </w:r>
      <w:r>
        <w:t>LD</w:t>
      </w:r>
      <w:r w:rsidRPr="009670F9">
        <w:t>. Rates of treatment in adults were highest in WA. The majority of prescriptions were written by a specialist, usually a paediatrician or psychiatrist as most Australian states and territories restrict the prescribing of methylphenidate and dexamfetamine for the treatment of ADHD to specialist medical prescribers.</w:t>
      </w:r>
    </w:p>
    <w:p w14:paraId="141A457A" w14:textId="77777777" w:rsidR="00A7637D" w:rsidRPr="009670F9" w:rsidRDefault="00A7637D" w:rsidP="00A7637D">
      <w:pPr>
        <w:spacing w:after="0"/>
      </w:pPr>
    </w:p>
    <w:p w14:paraId="4EE812B7" w14:textId="77777777" w:rsidR="00A7637D" w:rsidRPr="009670F9" w:rsidRDefault="00A7637D" w:rsidP="00A7637D">
      <w:pPr>
        <w:spacing w:after="0"/>
      </w:pPr>
      <w:r w:rsidRPr="009670F9">
        <w:t>The DUSC reviewed ADHD medicines in May 2018,</w:t>
      </w:r>
      <w:r w:rsidRPr="009670F9">
        <w:rPr>
          <w:rStyle w:val="FootnoteReference"/>
        </w:rPr>
        <w:footnoteReference w:id="18"/>
      </w:r>
      <w:r w:rsidRPr="009670F9">
        <w:t xml:space="preserve"> finding that over the five year period of 2013-2017 the number of p</w:t>
      </w:r>
      <w:r>
        <w:t>eople</w:t>
      </w:r>
      <w:r w:rsidRPr="009670F9">
        <w:t xml:space="preserve"> treated with R/PBS medicines for ADHD increased at a yearly average growth rate of 9.9%, with the number of prescriptions increasing at similar rates. Similar to the previous review, the most used medicine in terms of prevalent p</w:t>
      </w:r>
      <w:r>
        <w:t>eople</w:t>
      </w:r>
      <w:r w:rsidRPr="009670F9">
        <w:t>s was the modified-release formulation of methylphenidate. More males than females were treated, although the ratio is decreasing over time, and children aged 6-12 years old account for over 40% of R/PBS ADHD medicines supplied.</w:t>
      </w:r>
    </w:p>
    <w:p w14:paraId="3822D591" w14:textId="77777777" w:rsidR="00A7637D" w:rsidRPr="009670F9" w:rsidRDefault="00A7637D" w:rsidP="00A7637D">
      <w:pPr>
        <w:spacing w:after="0"/>
      </w:pPr>
    </w:p>
    <w:p w14:paraId="2B67E269" w14:textId="77777777" w:rsidR="00A7637D" w:rsidRPr="009670F9" w:rsidRDefault="00A7637D" w:rsidP="00A7637D">
      <w:pPr>
        <w:spacing w:after="0"/>
      </w:pPr>
      <w:r w:rsidRPr="009670F9">
        <w:t>DUSC reviewed ADHD medicines, including guanfacine, in June 2021.</w:t>
      </w:r>
      <w:r w:rsidRPr="009670F9">
        <w:rPr>
          <w:rStyle w:val="FootnoteReference"/>
        </w:rPr>
        <w:footnoteReference w:id="19"/>
      </w:r>
      <w:r w:rsidRPr="009670F9">
        <w:t xml:space="preserve"> Key findings over the seven year period of 2014-202</w:t>
      </w:r>
      <w:r>
        <w:t>0</w:t>
      </w:r>
      <w:r w:rsidRPr="009670F9">
        <w:t xml:space="preserve"> were:</w:t>
      </w:r>
    </w:p>
    <w:p w14:paraId="63B84A8A" w14:textId="77777777" w:rsidR="00A7637D" w:rsidRDefault="00A7637D" w:rsidP="00A7637D">
      <w:pPr>
        <w:pStyle w:val="ListParagraph"/>
        <w:numPr>
          <w:ilvl w:val="0"/>
          <w:numId w:val="15"/>
        </w:numPr>
      </w:pPr>
      <w:bookmarkStart w:id="0" w:name="_Toc517874482"/>
      <w:r w:rsidRPr="009670F9">
        <w:lastRenderedPageBreak/>
        <w:t>The number of prevalent patients treated with R/PBS medicines for ADHD has risen at a yearly average growth rate of 12.4%, however this rate d</w:t>
      </w:r>
      <w:r>
        <w:t>id</w:t>
      </w:r>
      <w:r w:rsidRPr="009670F9">
        <w:t xml:space="preserve"> not give the full picture. </w:t>
      </w:r>
    </w:p>
    <w:p w14:paraId="30106C98" w14:textId="77777777" w:rsidR="00A7637D" w:rsidRPr="009670F9" w:rsidRDefault="00A7637D" w:rsidP="00A7637D">
      <w:pPr>
        <w:pStyle w:val="ListParagraph"/>
        <w:numPr>
          <w:ilvl w:val="0"/>
          <w:numId w:val="15"/>
        </w:numPr>
      </w:pPr>
      <w:r w:rsidRPr="009670F9">
        <w:t>From 2014-2017 the yearly average growth rate was 9.</w:t>
      </w:r>
      <w:r>
        <w:t>8</w:t>
      </w:r>
      <w:r w:rsidRPr="009670F9">
        <w:t xml:space="preserve">%, whereas from 2018-2020 the yearly growth rate was 16%. The substantial increase since 2018 </w:t>
      </w:r>
      <w:r>
        <w:t>wa</w:t>
      </w:r>
      <w:r w:rsidRPr="009670F9">
        <w:t>s likely to be due to the listing of guanfacine in September 2018.</w:t>
      </w:r>
    </w:p>
    <w:p w14:paraId="0122E29B" w14:textId="77777777" w:rsidR="00A7637D" w:rsidRPr="009670F9" w:rsidRDefault="00A7637D" w:rsidP="00A7637D">
      <w:pPr>
        <w:pStyle w:val="ListParagraph"/>
        <w:numPr>
          <w:ilvl w:val="0"/>
          <w:numId w:val="15"/>
        </w:numPr>
      </w:pPr>
      <w:r w:rsidRPr="009670F9">
        <w:t>The number of prescriptions also increased at similar growth rates, from 2014-2017 the yearly average growth rate was 10.25%, whereas from 2018-2020 the yearly growth rate was 17.67%.</w:t>
      </w:r>
    </w:p>
    <w:p w14:paraId="325C108D" w14:textId="77777777" w:rsidR="00A7637D" w:rsidRPr="009670F9" w:rsidRDefault="00A7637D" w:rsidP="00A7637D">
      <w:pPr>
        <w:pStyle w:val="ListParagraph"/>
        <w:numPr>
          <w:ilvl w:val="0"/>
          <w:numId w:val="15"/>
        </w:numPr>
      </w:pPr>
      <w:r w:rsidRPr="009670F9">
        <w:t>The modified-release formulation of methylphenidate remains the most commonly used medicine.</w:t>
      </w:r>
    </w:p>
    <w:p w14:paraId="10F3CC91" w14:textId="77777777" w:rsidR="00A7637D" w:rsidRPr="009670F9" w:rsidRDefault="00A7637D" w:rsidP="00A7637D">
      <w:pPr>
        <w:pStyle w:val="ListParagraph"/>
        <w:numPr>
          <w:ilvl w:val="0"/>
          <w:numId w:val="15"/>
        </w:numPr>
      </w:pPr>
      <w:r w:rsidRPr="009670F9">
        <w:t xml:space="preserve">For all age groups more males than females were treated. </w:t>
      </w:r>
    </w:p>
    <w:p w14:paraId="73FB7F65" w14:textId="77777777" w:rsidR="00A7637D" w:rsidRPr="009670F9" w:rsidRDefault="00A7637D" w:rsidP="00A7637D">
      <w:pPr>
        <w:pStyle w:val="ListParagraph"/>
        <w:numPr>
          <w:ilvl w:val="0"/>
          <w:numId w:val="15"/>
        </w:numPr>
      </w:pPr>
      <w:r w:rsidRPr="009670F9">
        <w:t>Of all prevalent patients treated with R/PBS listed ADHD medicines, under 18 year olds accounted for 67% of patients.</w:t>
      </w:r>
    </w:p>
    <w:p w14:paraId="12534E67" w14:textId="77777777" w:rsidR="00A7637D" w:rsidRPr="009670F9" w:rsidRDefault="00A7637D" w:rsidP="00A7637D">
      <w:pPr>
        <w:spacing w:after="0"/>
      </w:pPr>
      <w:r w:rsidRPr="009670F9">
        <w:t>Guanfacine:</w:t>
      </w:r>
    </w:p>
    <w:p w14:paraId="20F3754D" w14:textId="77777777" w:rsidR="00A7637D" w:rsidRPr="009670F9" w:rsidRDefault="00A7637D" w:rsidP="00A7637D">
      <w:pPr>
        <w:pStyle w:val="ListParagraph"/>
        <w:numPr>
          <w:ilvl w:val="0"/>
          <w:numId w:val="15"/>
        </w:numPr>
      </w:pPr>
      <w:r w:rsidRPr="009670F9">
        <w:t xml:space="preserve">The listing of guanfacine in September 2018 contributed towards an increase in the use of ADHD medicines. </w:t>
      </w:r>
    </w:p>
    <w:p w14:paraId="36E7C112" w14:textId="5BCDE4FE" w:rsidR="00A7637D" w:rsidRPr="009670F9" w:rsidRDefault="00A7637D" w:rsidP="00A7637D">
      <w:pPr>
        <w:pStyle w:val="ListParagraph"/>
        <w:numPr>
          <w:ilvl w:val="0"/>
          <w:numId w:val="15"/>
        </w:numPr>
      </w:pPr>
      <w:r w:rsidRPr="009670F9">
        <w:t xml:space="preserve">The total number of guanfacine prescriptions supplied in Year 1 (74,725) was more than </w:t>
      </w:r>
      <w:r w:rsidRPr="00A7637D">
        <w:rPr>
          <w:highlight w:val="black"/>
        </w:rPr>
        <w:t>XXXXXX</w:t>
      </w:r>
      <w:r w:rsidRPr="00A7637D">
        <w:t xml:space="preserve"> the predicted number </w:t>
      </w:r>
      <w:r w:rsidRPr="00A7637D">
        <w:rPr>
          <w:highlight w:val="black"/>
        </w:rPr>
        <w:t>XXXXX</w:t>
      </w:r>
      <w:r w:rsidRPr="009670F9">
        <w:t xml:space="preserve"> with an even </w:t>
      </w:r>
      <w:r w:rsidRPr="00A7637D">
        <w:rPr>
          <w:highlight w:val="black"/>
        </w:rPr>
        <w:t>XXXXXXXXXXXXXXX</w:t>
      </w:r>
      <w:r w:rsidRPr="009670F9">
        <w:t xml:space="preserve"> in Year 2 </w:t>
      </w:r>
      <w:r w:rsidRPr="00A7637D">
        <w:rPr>
          <w:highlight w:val="black"/>
        </w:rPr>
        <w:t>XXXXXXXX</w:t>
      </w:r>
      <w:r w:rsidRPr="009670F9">
        <w:t xml:space="preserve"> which was an increase of </w:t>
      </w:r>
      <w:r w:rsidRPr="00A7637D">
        <w:rPr>
          <w:highlight w:val="black"/>
        </w:rPr>
        <w:t>XXXX</w:t>
      </w:r>
      <w:r w:rsidRPr="009670F9">
        <w:t xml:space="preserve"> over the predicted amount.</w:t>
      </w:r>
    </w:p>
    <w:p w14:paraId="73E6AEEC" w14:textId="77905C8A" w:rsidR="00A7637D" w:rsidRPr="009670F9" w:rsidRDefault="00A7637D" w:rsidP="00A7637D">
      <w:pPr>
        <w:pStyle w:val="ListParagraph"/>
        <w:numPr>
          <w:ilvl w:val="0"/>
          <w:numId w:val="15"/>
        </w:numPr>
      </w:pPr>
      <w:r w:rsidRPr="009670F9">
        <w:t>The expected cost offset from substitution of other ADHD medicines to guanfacine ha</w:t>
      </w:r>
      <w:r>
        <w:t>s</w:t>
      </w:r>
      <w:r w:rsidRPr="009670F9">
        <w:t xml:space="preserve"> </w:t>
      </w:r>
      <w:r w:rsidRPr="00A7637D">
        <w:rPr>
          <w:highlight w:val="black"/>
        </w:rPr>
        <w:t>XXXXXXXX</w:t>
      </w:r>
      <w:r w:rsidRPr="009670F9">
        <w:t xml:space="preserve"> realised.</w:t>
      </w:r>
    </w:p>
    <w:p w14:paraId="7635BE17" w14:textId="126E5394" w:rsidR="006B1C6A" w:rsidRPr="009670F9" w:rsidRDefault="006B1C6A" w:rsidP="00215563">
      <w:pPr>
        <w:pStyle w:val="Heading1"/>
        <w:spacing w:after="200"/>
      </w:pPr>
      <w:r w:rsidRPr="009670F9">
        <w:t>Methods</w:t>
      </w:r>
      <w:bookmarkEnd w:id="0"/>
    </w:p>
    <w:p w14:paraId="109D1E14" w14:textId="77777777" w:rsidR="00A7637D" w:rsidRPr="009670F9" w:rsidRDefault="00A7637D" w:rsidP="00A7637D">
      <w:bookmarkStart w:id="1" w:name="_Hlk142384658"/>
      <w:r w:rsidRPr="009670F9">
        <w:t xml:space="preserve">PBS and RPBS (R/PBS) prescription data for PBS-listed ADHD medicines (dexamfetamine, methylphenidate, atomoxetine, lisdexamfetamine and guanfacine) and clonidine (Unrestricted PBS listing) were extracted from the </w:t>
      </w:r>
      <w:r w:rsidRPr="001D105D">
        <w:t>supplied prescriptions database</w:t>
      </w:r>
      <w:r>
        <w:t xml:space="preserve"> maintained by the Department of Health and Aged Care, processed by</w:t>
      </w:r>
      <w:r w:rsidRPr="001D105D">
        <w:t xml:space="preserve"> </w:t>
      </w:r>
      <w:r w:rsidRPr="009670F9">
        <w:t xml:space="preserve">Services Australia for the period July 2013 to June 2023 inclusive, based on the date that the prescription was supplied. </w:t>
      </w:r>
      <w:r>
        <w:t>Unless indicated in specific tables, all data were extracted on 18</w:t>
      </w:r>
      <w:r w:rsidRPr="00510B8D">
        <w:rPr>
          <w:vertAlign w:val="superscript"/>
        </w:rPr>
        <w:t>th</w:t>
      </w:r>
      <w:r>
        <w:t xml:space="preserve"> July 2023. </w:t>
      </w:r>
      <w:r w:rsidRPr="009670F9">
        <w:t>Data for this period includes all R/PBS supplies regardless of whether a subsidy was paid; i.e. both over co-payment and under co-payment. As dexamfetamine is PBS-listed for both ADHD and narcolepsy, the prescription data for dexamfetamine was merged with the authority approvals database and limited by the ADHD authority restriction number to obtain only the supplies related to ADHD.</w:t>
      </w:r>
    </w:p>
    <w:p w14:paraId="7697AD0B" w14:textId="5B7B91A2" w:rsidR="00A7637D" w:rsidRDefault="00A7637D" w:rsidP="00A7637D">
      <w:r w:rsidRPr="009670F9">
        <w:t xml:space="preserve">The R/PBS prescription data were used to determine the number of prescriptions supplied, R/PBS expenditure, age, </w:t>
      </w:r>
      <w:r>
        <w:t>gender</w:t>
      </w:r>
      <w:r w:rsidRPr="009670F9">
        <w:t xml:space="preserve">, state/territory of residence and prescriber type. These prescription data were also used to count the number of patients, both incident (new to pharmacological treatment) and prevalent (number treated) in each time period. </w:t>
      </w:r>
      <w:r>
        <w:t>There were two types of initiations calculated, initiation to a particular medicine (see Figures 6a</w:t>
      </w:r>
      <w:r w:rsidR="0023340A">
        <w:t xml:space="preserve"> and </w:t>
      </w:r>
      <w:r>
        <w:t>b and 8a</w:t>
      </w:r>
      <w:r w:rsidR="0023340A">
        <w:t xml:space="preserve"> and </w:t>
      </w:r>
      <w:r>
        <w:t xml:space="preserve">b) and initiation to overall ADHD therapy (i.e. when the patient started their first ADHD medicine, see Figures </w:t>
      </w:r>
      <w:r w:rsidRPr="00727CC5">
        <w:t>2, 3a,</w:t>
      </w:r>
      <w:r w:rsidR="00B460FA">
        <w:t xml:space="preserve"> </w:t>
      </w:r>
      <w:r w:rsidRPr="00727CC5">
        <w:t>b</w:t>
      </w:r>
      <w:r w:rsidR="0023340A">
        <w:t xml:space="preserve"> and </w:t>
      </w:r>
      <w:r w:rsidRPr="00727CC5">
        <w:t>c, Table 3 and Fig</w:t>
      </w:r>
      <w:r>
        <w:t xml:space="preserve">ure </w:t>
      </w:r>
      <w:r w:rsidRPr="00727CC5">
        <w:t>9</w:t>
      </w:r>
      <w:r>
        <w:t xml:space="preserve">). For initiation to overall ADHD therapy, Figure 2 and Table 9 simply report on the number of people that initiated ADHD therapy, whereas Figures </w:t>
      </w:r>
      <w:r w:rsidRPr="00727CC5">
        <w:t>3a,</w:t>
      </w:r>
      <w:r w:rsidR="00B460FA">
        <w:t xml:space="preserve"> </w:t>
      </w:r>
      <w:r w:rsidRPr="00727CC5">
        <w:t>b</w:t>
      </w:r>
      <w:r w:rsidR="0023340A">
        <w:t xml:space="preserve"> and </w:t>
      </w:r>
      <w:r w:rsidRPr="00727CC5">
        <w:t>c</w:t>
      </w:r>
      <w:r>
        <w:t xml:space="preserve"> </w:t>
      </w:r>
      <w:r w:rsidRPr="00727CC5">
        <w:t>and 9</w:t>
      </w:r>
      <w:r>
        <w:t xml:space="preserve"> also report on the medicine on which a person initiated ADHD therapy.  For both types of initiation (i.e. overall therapy or individual </w:t>
      </w:r>
      <w:r>
        <w:lastRenderedPageBreak/>
        <w:t xml:space="preserve">medicine), the </w:t>
      </w:r>
      <w:r w:rsidRPr="009670F9">
        <w:t>initiation date was defined as the date of supply of the first PBS or RPBS prescription of the ADHD medicine (since July 2013).</w:t>
      </w:r>
    </w:p>
    <w:p w14:paraId="33D67FA6" w14:textId="77777777" w:rsidR="00A7637D" w:rsidRPr="009670F9" w:rsidRDefault="00A7637D" w:rsidP="00A7637D">
      <w:r w:rsidRPr="009670F9">
        <w:t>The number of prevalent p</w:t>
      </w:r>
      <w:r>
        <w:t>eople</w:t>
      </w:r>
      <w:r w:rsidRPr="009670F9">
        <w:t xml:space="preserve"> was determined by counting the number of people supplied at least one PBS prescription using person</w:t>
      </w:r>
      <w:r w:rsidRPr="009670F9">
        <w:noBreakHyphen/>
        <w:t xml:space="preserve">specific numbers (non-identifying) in the data for the specified time periods. </w:t>
      </w:r>
    </w:p>
    <w:p w14:paraId="46EBD880" w14:textId="77777777" w:rsidR="00A7637D" w:rsidRPr="009670F9" w:rsidRDefault="00A7637D" w:rsidP="00A7637D">
      <w:r w:rsidRPr="009670F9">
        <w:t>Clonidine was included in the data extract to examine if it was being used to treat ADHD.</w:t>
      </w:r>
      <w:r>
        <w:t xml:space="preserve"> </w:t>
      </w:r>
      <w:r w:rsidRPr="00435096">
        <w:t>While definitive results are difficult to establish</w:t>
      </w:r>
      <w:r>
        <w:t xml:space="preserve"> due to clonidine’s unrestricted listing (i.e. the indication for which it is prescribed is not specified)</w:t>
      </w:r>
      <w:r w:rsidRPr="00435096">
        <w:t xml:space="preserve">, it is estimated that clonidine is being used as an ADHD medication across all age groups. There is a high level of confidence that clonidine is being prescribed for </w:t>
      </w:r>
      <w:r>
        <w:t xml:space="preserve">people </w:t>
      </w:r>
      <w:r>
        <w:rPr>
          <w:rFonts w:cstheme="minorHAnsi"/>
        </w:rPr>
        <w:t>≤</w:t>
      </w:r>
      <w:r w:rsidRPr="00435096">
        <w:t xml:space="preserve">18 years </w:t>
      </w:r>
      <w:r>
        <w:t>old for ADHD</w:t>
      </w:r>
      <w:r w:rsidRPr="00435096">
        <w:t>, as this age group would not usually be prescribed clonidine for other diseases</w:t>
      </w:r>
      <w:r>
        <w:t xml:space="preserve"> </w:t>
      </w:r>
      <w:r w:rsidRPr="00435096">
        <w:t>/</w:t>
      </w:r>
      <w:r>
        <w:t xml:space="preserve"> </w:t>
      </w:r>
      <w:r w:rsidRPr="00435096">
        <w:t>disorders.</w:t>
      </w:r>
    </w:p>
    <w:p w14:paraId="60DD6E21" w14:textId="77777777" w:rsidR="00A7637D" w:rsidRPr="009670F9" w:rsidRDefault="00A7637D" w:rsidP="00A7637D">
      <w:pPr>
        <w:rPr>
          <w:sz w:val="22"/>
          <w:szCs w:val="22"/>
        </w:rPr>
      </w:pPr>
      <w:r w:rsidRPr="009670F9">
        <w:t xml:space="preserve">The patients per 1000 population rates for financial years were based on the ABS estimated residential population (ERP) at 31 December for the specific financial year. For example, the rate for 2022/23 was the number of patients in that year divided by the ERP as at 31 December 2022 (i.e. the mid-point of the financial year). ABS ERP data were sourced from </w:t>
      </w:r>
      <w:hyperlink r:id="rId11" w:history="1">
        <w:r w:rsidRPr="009670F9">
          <w:rPr>
            <w:rStyle w:val="Hyperlink"/>
          </w:rPr>
          <w:t>.Stat Data Explorer (BETA) • Quarterly Population Estimates (ERP), by State/Territory, Sex and Age (abs.gov.au)</w:t>
        </w:r>
      </w:hyperlink>
      <w:r w:rsidRPr="009670F9">
        <w:t xml:space="preserve">. </w:t>
      </w:r>
    </w:p>
    <w:p w14:paraId="29D6DAB5" w14:textId="77777777" w:rsidR="00A7637D" w:rsidRPr="001D105D" w:rsidRDefault="00A7637D" w:rsidP="00A7637D">
      <w:pPr>
        <w:rPr>
          <w:rFonts w:ascii="Times New Roman" w:hAnsi="Times New Roman" w:cs="Times New Roman"/>
        </w:rPr>
      </w:pPr>
      <w:r w:rsidRPr="009670F9">
        <w:t>As these analyses use date of supply prescription data, there may be small differences compared with publicly available Services Australia Medicare date of processing data. These data only include subsidised R/PBS prescriptions with prescriptions under the patient co-payment not included.</w:t>
      </w:r>
      <w:r w:rsidRPr="001D105D">
        <w:t xml:space="preserve">  </w:t>
      </w:r>
      <w:r w:rsidRPr="001D105D">
        <w:rPr>
          <w:rFonts w:ascii="Times New Roman" w:hAnsi="Times New Roman" w:cs="Times New Roman"/>
        </w:rPr>
        <w:t> </w:t>
      </w:r>
    </w:p>
    <w:bookmarkEnd w:id="1"/>
    <w:p w14:paraId="329108C1" w14:textId="77777777" w:rsidR="00A7637D" w:rsidRDefault="00A7637D" w:rsidP="00A7637D">
      <w:pPr>
        <w:pStyle w:val="Heading1"/>
      </w:pPr>
      <w:r w:rsidRPr="001D105D">
        <w:t>Results</w:t>
      </w:r>
    </w:p>
    <w:p w14:paraId="01099408" w14:textId="77777777" w:rsidR="00A7637D" w:rsidRPr="0028414E" w:rsidRDefault="00A7637D" w:rsidP="00A7637D">
      <w:r>
        <w:t xml:space="preserve">Note, for all of the graphs, </w:t>
      </w:r>
      <w:r w:rsidRPr="00242991">
        <w:t xml:space="preserve">MPH-MR </w:t>
      </w:r>
      <w:r>
        <w:t>c</w:t>
      </w:r>
      <w:r w:rsidRPr="00242991">
        <w:t>onsists of both Concerta® and Ritalin LA®</w:t>
      </w:r>
      <w:r>
        <w:t>.</w:t>
      </w:r>
    </w:p>
    <w:p w14:paraId="6780A80F" w14:textId="77777777" w:rsidR="00A7637D" w:rsidRPr="001D105D" w:rsidRDefault="00A7637D" w:rsidP="00A7637D">
      <w:pPr>
        <w:pStyle w:val="Heading2"/>
      </w:pPr>
      <w:r w:rsidRPr="001D105D">
        <w:t>Analysis of drug utilisation</w:t>
      </w:r>
    </w:p>
    <w:p w14:paraId="4DBC2748" w14:textId="77777777" w:rsidR="00A7637D" w:rsidRPr="001D105D" w:rsidRDefault="00A7637D" w:rsidP="00A7637D">
      <w:pPr>
        <w:pStyle w:val="Heading3"/>
      </w:pPr>
      <w:r w:rsidRPr="001D105D">
        <w:t>Overall utilisation</w:t>
      </w:r>
    </w:p>
    <w:p w14:paraId="463BE6AC" w14:textId="77777777" w:rsidR="00A7637D" w:rsidRDefault="00A7637D" w:rsidP="00A7637D">
      <w:pPr>
        <w:ind w:right="-222"/>
      </w:pPr>
      <w:r w:rsidRPr="00242991">
        <w:t xml:space="preserve">The number of R/PBS prescriptions for ADHD medications supplied per financial year since 2013-14 is shown in Figure 1a. Figure 1b and 1c show the total number of prescriptions </w:t>
      </w:r>
      <w:r>
        <w:t>s</w:t>
      </w:r>
      <w:r w:rsidRPr="00242991">
        <w:t xml:space="preserve">upplied per financial year, to </w:t>
      </w:r>
      <w:r>
        <w:t>&gt;</w:t>
      </w:r>
      <w:r w:rsidRPr="00242991">
        <w:t xml:space="preserve">18 year olds (Figure 1b) and </w:t>
      </w:r>
      <w:r>
        <w:rPr>
          <w:rFonts w:cstheme="minorHAnsi"/>
        </w:rPr>
        <w:t>≤</w:t>
      </w:r>
      <w:r w:rsidRPr="00242991">
        <w:t>18 year olds (Figure 1c).</w:t>
      </w:r>
      <w:r>
        <w:t xml:space="preserve"> </w:t>
      </w:r>
    </w:p>
    <w:p w14:paraId="5D43B6DA" w14:textId="27F7F798" w:rsidR="00D676FF" w:rsidRDefault="00D676FF" w:rsidP="00801BC4">
      <w:pPr>
        <w:pStyle w:val="Notes"/>
        <w:rPr>
          <w:rStyle w:val="FiguretitleChar"/>
        </w:rPr>
      </w:pPr>
      <w:r>
        <w:rPr>
          <w:noProof/>
        </w:rPr>
        <w:lastRenderedPageBreak/>
        <w:drawing>
          <wp:inline distT="0" distB="0" distL="0" distR="0" wp14:anchorId="6EE24D98" wp14:editId="4ADF1297">
            <wp:extent cx="5731510" cy="3260785"/>
            <wp:effectExtent l="0" t="0" r="2540" b="15875"/>
            <wp:docPr id="10" name="Chart 10">
              <a:extLst xmlns:a="http://schemas.openxmlformats.org/drawingml/2006/main">
                <a:ext uri="{FF2B5EF4-FFF2-40B4-BE49-F238E27FC236}">
                  <a16:creationId xmlns:a16="http://schemas.microsoft.com/office/drawing/2014/main" id="{792B7645-8F52-4157-872D-A5F7FD76E6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F6EFA74" w14:textId="141DFB70" w:rsidR="009F74A4" w:rsidRPr="00242991" w:rsidRDefault="008C30DC" w:rsidP="00801BC4">
      <w:pPr>
        <w:pStyle w:val="Notes"/>
      </w:pPr>
      <w:r w:rsidRPr="001D105D">
        <w:rPr>
          <w:rStyle w:val="FiguretitleChar"/>
        </w:rPr>
        <w:t>Figure 1</w:t>
      </w:r>
      <w:r w:rsidR="003D29B6">
        <w:rPr>
          <w:rStyle w:val="FiguretitleChar"/>
        </w:rPr>
        <w:t>a</w:t>
      </w:r>
      <w:r w:rsidRPr="001D105D">
        <w:rPr>
          <w:rStyle w:val="FiguretitleChar"/>
        </w:rPr>
        <w:t xml:space="preserve">: </w:t>
      </w:r>
      <w:bookmarkStart w:id="2" w:name="_Hlk143075251"/>
      <w:r w:rsidRPr="001D105D">
        <w:rPr>
          <w:rStyle w:val="FiguretitleChar"/>
        </w:rPr>
        <w:t xml:space="preserve">Number of PBS/RPBS ADHD prescriptions </w:t>
      </w:r>
      <w:r w:rsidRPr="00CC32DF">
        <w:rPr>
          <w:rStyle w:val="FiguretitleChar"/>
        </w:rPr>
        <w:t>supplied</w:t>
      </w:r>
      <w:r w:rsidR="00066BED" w:rsidRPr="00CC32DF">
        <w:rPr>
          <w:rStyle w:val="FiguretitleChar"/>
        </w:rPr>
        <w:t xml:space="preserve"> per </w:t>
      </w:r>
      <w:r w:rsidR="00B52A1A" w:rsidRPr="00CC32DF">
        <w:rPr>
          <w:rStyle w:val="FiguretitleChar"/>
        </w:rPr>
        <w:t xml:space="preserve">financial </w:t>
      </w:r>
      <w:r w:rsidR="00910EDB" w:rsidRPr="00CC32DF">
        <w:rPr>
          <w:rStyle w:val="FiguretitleChar"/>
        </w:rPr>
        <w:t>year</w:t>
      </w:r>
      <w:bookmarkEnd w:id="2"/>
      <w:r w:rsidR="00A32A0C" w:rsidRPr="001D105D">
        <w:br/>
      </w:r>
    </w:p>
    <w:p w14:paraId="141DFE88" w14:textId="111FAFDB" w:rsidR="00664CE3" w:rsidRPr="00242991" w:rsidRDefault="00F03D48" w:rsidP="0098572F">
      <w:pPr>
        <w:ind w:right="-454"/>
      </w:pPr>
      <w:r w:rsidRPr="00242991">
        <w:t>Figure 1</w:t>
      </w:r>
      <w:r w:rsidR="003F1D0E">
        <w:t>a</w:t>
      </w:r>
      <w:r w:rsidRPr="00242991">
        <w:t xml:space="preserve"> shows</w:t>
      </w:r>
      <w:r w:rsidR="004215F9" w:rsidRPr="00242991">
        <w:t xml:space="preserve"> an overall increase in the </w:t>
      </w:r>
      <w:r w:rsidR="007838A0" w:rsidRPr="00242991">
        <w:t xml:space="preserve">rate of growth </w:t>
      </w:r>
      <w:r w:rsidR="00F93E95" w:rsidRPr="00242991">
        <w:t>in</w:t>
      </w:r>
      <w:r w:rsidR="007838A0" w:rsidRPr="00242991">
        <w:t xml:space="preserve"> </w:t>
      </w:r>
      <w:r w:rsidR="004100AB" w:rsidRPr="00242991">
        <w:t>R/</w:t>
      </w:r>
      <w:r w:rsidR="007838A0" w:rsidRPr="00242991">
        <w:t>PBS ADHD prescriptions supplied</w:t>
      </w:r>
      <w:r w:rsidR="004215F9" w:rsidRPr="00242991">
        <w:t xml:space="preserve"> during 2013</w:t>
      </w:r>
      <w:r w:rsidR="00B52A1A" w:rsidRPr="00242991">
        <w:t>-14</w:t>
      </w:r>
      <w:r w:rsidR="004215F9" w:rsidRPr="00242991">
        <w:t xml:space="preserve"> to 20</w:t>
      </w:r>
      <w:r w:rsidR="00E1502D" w:rsidRPr="00242991">
        <w:t>2</w:t>
      </w:r>
      <w:r w:rsidR="00B52A1A" w:rsidRPr="00242991">
        <w:t>2-23</w:t>
      </w:r>
      <w:r w:rsidR="00A06C9B" w:rsidRPr="00242991">
        <w:t>.</w:t>
      </w:r>
      <w:r w:rsidR="004215F9" w:rsidRPr="00242991">
        <w:t xml:space="preserve"> </w:t>
      </w:r>
      <w:r w:rsidR="00460FBA" w:rsidRPr="00242991">
        <w:t xml:space="preserve">The average annual growth rate </w:t>
      </w:r>
      <w:r w:rsidR="00664CE3" w:rsidRPr="00242991">
        <w:t>since 2013-2014</w:t>
      </w:r>
      <w:r w:rsidR="000C26C1" w:rsidRPr="00242991">
        <w:t xml:space="preserve"> </w:t>
      </w:r>
      <w:r w:rsidR="00664CE3" w:rsidRPr="00242991">
        <w:t xml:space="preserve">is </w:t>
      </w:r>
      <w:r w:rsidR="005C36B7" w:rsidRPr="00242991">
        <w:t>just under 18</w:t>
      </w:r>
      <w:r w:rsidR="00F93E95" w:rsidRPr="00242991">
        <w:t>%</w:t>
      </w:r>
      <w:r w:rsidR="00FE0F65" w:rsidRPr="00242991">
        <w:t xml:space="preserve">, however </w:t>
      </w:r>
      <w:r w:rsidR="005C36B7" w:rsidRPr="00242991">
        <w:t xml:space="preserve">as can be seen in </w:t>
      </w:r>
      <w:r w:rsidR="009D7010" w:rsidRPr="00242991">
        <w:t>Figure 1</w:t>
      </w:r>
      <w:r w:rsidR="004A0624" w:rsidRPr="00242991">
        <w:t>a</w:t>
      </w:r>
      <w:r w:rsidR="009D7010" w:rsidRPr="00242991">
        <w:t xml:space="preserve"> and </w:t>
      </w:r>
      <w:r w:rsidR="005C36B7" w:rsidRPr="00242991">
        <w:t xml:space="preserve">Table 1, the </w:t>
      </w:r>
      <w:r w:rsidR="00FE0F65" w:rsidRPr="00242991">
        <w:t>growth rate</w:t>
      </w:r>
      <w:r w:rsidR="004A0624" w:rsidRPr="00242991">
        <w:t>, particularly in lisdexamfetamine prescriptions,</w:t>
      </w:r>
      <w:r w:rsidR="00FE0F65" w:rsidRPr="00242991">
        <w:t xml:space="preserve"> </w:t>
      </w:r>
      <w:r w:rsidR="005C36B7" w:rsidRPr="00242991">
        <w:t xml:space="preserve">has greatly accelerated since the 2019-20 financial year. The growth rate </w:t>
      </w:r>
      <w:r w:rsidR="00664CE3" w:rsidRPr="00242991">
        <w:t xml:space="preserve">over the four financial years, </w:t>
      </w:r>
      <w:r w:rsidR="005C36B7" w:rsidRPr="00242991">
        <w:t>2019-20 to 2022-23</w:t>
      </w:r>
      <w:r w:rsidR="00664CE3" w:rsidRPr="00242991">
        <w:t>,</w:t>
      </w:r>
      <w:r w:rsidR="005C36B7" w:rsidRPr="00242991">
        <w:t xml:space="preserve"> is </w:t>
      </w:r>
      <w:r w:rsidR="00664CE3" w:rsidRPr="00242991">
        <w:t>just over 25%</w:t>
      </w:r>
      <w:r w:rsidR="001B711B">
        <w:t xml:space="preserve"> per annum</w:t>
      </w:r>
      <w:r w:rsidR="00664CE3" w:rsidRPr="00242991">
        <w:t xml:space="preserve">. </w:t>
      </w:r>
      <w:r w:rsidR="00F62794" w:rsidRPr="00242991">
        <w:t>T</w:t>
      </w:r>
      <w:r w:rsidR="00FE0F65" w:rsidRPr="00242991">
        <w:t xml:space="preserve">his </w:t>
      </w:r>
      <w:r w:rsidR="005C0032" w:rsidRPr="00242991">
        <w:t xml:space="preserve">growth </w:t>
      </w:r>
      <w:r w:rsidR="00B52A1A" w:rsidRPr="00242991">
        <w:t xml:space="preserve">is due to an increased use of </w:t>
      </w:r>
      <w:r w:rsidR="00664CE3" w:rsidRPr="00242991">
        <w:t>all ADHD medications</w:t>
      </w:r>
      <w:r w:rsidR="004A0624" w:rsidRPr="00242991">
        <w:t>,</w:t>
      </w:r>
      <w:r w:rsidR="00664CE3" w:rsidRPr="00242991">
        <w:t xml:space="preserve"> </w:t>
      </w:r>
      <w:r w:rsidR="009D7010" w:rsidRPr="00242991">
        <w:t xml:space="preserve">with the </w:t>
      </w:r>
      <w:r w:rsidR="00664CE3" w:rsidRPr="00242991">
        <w:t xml:space="preserve">highest increases found in the prescribing of guanfacine (which was PBS listed on 1 September 2018), and </w:t>
      </w:r>
      <w:r w:rsidR="00B52A1A" w:rsidRPr="00242991">
        <w:t>lisdexamfetamine</w:t>
      </w:r>
      <w:r w:rsidR="00664CE3" w:rsidRPr="00242991">
        <w:t xml:space="preserve"> (which had restriction changes on 1 February 2021)</w:t>
      </w:r>
      <w:r w:rsidR="00B52A1A" w:rsidRPr="00242991">
        <w:t>.</w:t>
      </w:r>
      <w:r w:rsidR="00FE0F65" w:rsidRPr="00242991">
        <w:t xml:space="preserve"> </w:t>
      </w:r>
      <w:r w:rsidR="00D526C2" w:rsidRPr="00242991">
        <w:t xml:space="preserve">Out of the ADHD medications, atomoxetine had the </w:t>
      </w:r>
      <w:r w:rsidR="004A72FD" w:rsidRPr="00242991">
        <w:t xml:space="preserve">fewest </w:t>
      </w:r>
      <w:r w:rsidR="005C0032" w:rsidRPr="00242991">
        <w:t>prescriptions,</w:t>
      </w:r>
      <w:r w:rsidR="00D526C2" w:rsidRPr="00242991">
        <w:t xml:space="preserve"> and its rate of growth has been the slowest.</w:t>
      </w:r>
    </w:p>
    <w:p w14:paraId="763D7A97" w14:textId="061E21A6" w:rsidR="00215BA6" w:rsidRDefault="00E067D0" w:rsidP="00215563">
      <w:r w:rsidRPr="00242991">
        <w:t>Figure 1</w:t>
      </w:r>
      <w:r w:rsidR="003F1D0E">
        <w:t>a</w:t>
      </w:r>
      <w:r w:rsidRPr="00242991">
        <w:t xml:space="preserve"> </w:t>
      </w:r>
      <w:r w:rsidR="005452A3" w:rsidRPr="00242991">
        <w:t xml:space="preserve">includes </w:t>
      </w:r>
      <w:r w:rsidRPr="00242991">
        <w:t>the prescription</w:t>
      </w:r>
      <w:r w:rsidR="005452A3" w:rsidRPr="00242991">
        <w:t xml:space="preserve"> count</w:t>
      </w:r>
      <w:r w:rsidRPr="00242991">
        <w:t xml:space="preserve"> of clonidine</w:t>
      </w:r>
      <w:r w:rsidR="00664CE3" w:rsidRPr="00242991">
        <w:t>, which is prescribed for p</w:t>
      </w:r>
      <w:r w:rsidR="002B6EF9">
        <w:t>eople</w:t>
      </w:r>
      <w:r w:rsidR="00664CE3" w:rsidRPr="00242991">
        <w:t xml:space="preserve"> with ADHD.</w:t>
      </w:r>
      <w:r w:rsidR="005452A3" w:rsidRPr="00242991">
        <w:t xml:space="preserve"> </w:t>
      </w:r>
      <w:r w:rsidR="00664CE3" w:rsidRPr="00242991">
        <w:t>H</w:t>
      </w:r>
      <w:r w:rsidRPr="00242991">
        <w:t>owever</w:t>
      </w:r>
      <w:r w:rsidR="009D7010" w:rsidRPr="00242991">
        <w:t>,</w:t>
      </w:r>
      <w:r w:rsidRPr="00242991">
        <w:t xml:space="preserve"> the</w:t>
      </w:r>
      <w:r w:rsidR="005452A3" w:rsidRPr="00242991">
        <w:t xml:space="preserve"> prescription count</w:t>
      </w:r>
      <w:r w:rsidR="00AA02AF" w:rsidRPr="00242991">
        <w:t xml:space="preserve"> of clonidine</w:t>
      </w:r>
      <w:r w:rsidR="005452A3" w:rsidRPr="00242991">
        <w:t xml:space="preserve"> includes </w:t>
      </w:r>
      <w:r w:rsidRPr="00242991">
        <w:t xml:space="preserve">prescriptions for non-ADHD related </w:t>
      </w:r>
      <w:r w:rsidR="005452A3" w:rsidRPr="00242991">
        <w:t>indications.</w:t>
      </w:r>
      <w:r w:rsidR="005452A3" w:rsidRPr="001D105D">
        <w:t xml:space="preserve"> </w:t>
      </w:r>
    </w:p>
    <w:p w14:paraId="151335F1" w14:textId="2B1F4279" w:rsidR="00D676FF" w:rsidRDefault="00D676FF" w:rsidP="003D29B6">
      <w:pPr>
        <w:pStyle w:val="Notes"/>
        <w:rPr>
          <w:rStyle w:val="FiguretitleChar"/>
        </w:rPr>
      </w:pPr>
      <w:r>
        <w:rPr>
          <w:noProof/>
        </w:rPr>
        <w:lastRenderedPageBreak/>
        <w:drawing>
          <wp:inline distT="0" distB="0" distL="0" distR="0" wp14:anchorId="6945EBE7" wp14:editId="634703D2">
            <wp:extent cx="5731510" cy="3157268"/>
            <wp:effectExtent l="0" t="0" r="2540" b="5080"/>
            <wp:docPr id="4" name="Chart 4">
              <a:extLst xmlns:a="http://schemas.openxmlformats.org/drawingml/2006/main">
                <a:ext uri="{FF2B5EF4-FFF2-40B4-BE49-F238E27FC236}">
                  <a16:creationId xmlns:a16="http://schemas.microsoft.com/office/drawing/2014/main" id="{B23DA91C-CD1C-466C-81FE-9E6AE39706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015AF4" w14:textId="77777777" w:rsidR="002B6EF9" w:rsidRPr="00242991" w:rsidRDefault="002B6EF9" w:rsidP="002B6EF9">
      <w:pPr>
        <w:pStyle w:val="Notes"/>
      </w:pPr>
      <w:r w:rsidRPr="00242991">
        <w:rPr>
          <w:rStyle w:val="FiguretitleChar"/>
        </w:rPr>
        <w:t>Figure 1b Number of PBS/RPBS ADHD prescriptions supplied to p</w:t>
      </w:r>
      <w:r>
        <w:rPr>
          <w:rStyle w:val="FiguretitleChar"/>
        </w:rPr>
        <w:t>eople</w:t>
      </w:r>
      <w:r w:rsidRPr="00242991">
        <w:rPr>
          <w:rStyle w:val="FiguretitleChar"/>
        </w:rPr>
        <w:t xml:space="preserve"> </w:t>
      </w:r>
      <w:r>
        <w:rPr>
          <w:rStyle w:val="FiguretitleChar"/>
        </w:rPr>
        <w:t>&gt;</w:t>
      </w:r>
      <w:r w:rsidRPr="00242991">
        <w:rPr>
          <w:rStyle w:val="FiguretitleChar"/>
        </w:rPr>
        <w:t>18 years old per financial year</w:t>
      </w:r>
      <w:r w:rsidRPr="00242991">
        <w:br/>
      </w:r>
    </w:p>
    <w:p w14:paraId="2A0B045B" w14:textId="77777777" w:rsidR="002B6EF9" w:rsidRPr="00242991" w:rsidRDefault="002B6EF9" w:rsidP="002B6EF9">
      <w:r w:rsidRPr="00242991">
        <w:t>The impact of the restriction change to lisdexamfetamine on 1 February 2021 can be clearly seen in Figure 1b, which shows the number of prescriptions supplied to the affected population (</w:t>
      </w:r>
      <w:r>
        <w:t>&gt;</w:t>
      </w:r>
      <w:r w:rsidRPr="00242991">
        <w:t>18 year olds).</w:t>
      </w:r>
    </w:p>
    <w:p w14:paraId="03B2D601" w14:textId="77777777" w:rsidR="002B6EF9" w:rsidRPr="00242991" w:rsidRDefault="002B6EF9" w:rsidP="002B6EF9">
      <w:r w:rsidRPr="00242991">
        <w:t>The 2020-21 financial year incorporates five months of the restriction change. A noticeable increase in the rate of prescribing is evident, however due to this data only including five months of the restriction change data, this rise is not nearly as great as that shown after the 2020-21 financial year</w:t>
      </w:r>
      <w:r>
        <w:t xml:space="preserve"> which includes all months of restriction change</w:t>
      </w:r>
      <w:r w:rsidRPr="00242991">
        <w:t xml:space="preserve">. </w:t>
      </w:r>
    </w:p>
    <w:p w14:paraId="7EC887A7" w14:textId="77777777" w:rsidR="002B6EF9" w:rsidRDefault="002B6EF9" w:rsidP="002B6EF9">
      <w:r w:rsidRPr="00242991">
        <w:t>Prior to the restriction change, in 2019-20, the rate of growth of lisdexamfetamine prescriptions was 18%</w:t>
      </w:r>
      <w:r>
        <w:t>. I</w:t>
      </w:r>
      <w:r w:rsidRPr="00242991">
        <w:t xml:space="preserve">n 2020-21, the rate of growth was 64% and in 2021-22 the growth was 175%. This rate of growth reduced in 2022-23 to 75%, with 672,700 prescriptions of lisdexamfetamine supplied to </w:t>
      </w:r>
      <w:r>
        <w:t>people</w:t>
      </w:r>
      <w:r w:rsidRPr="00242991">
        <w:t xml:space="preserve"> who were over the age of 18.</w:t>
      </w:r>
    </w:p>
    <w:p w14:paraId="5078E867" w14:textId="71E7E4A4" w:rsidR="0075190A" w:rsidRDefault="0075190A" w:rsidP="00F335A2">
      <w:pPr>
        <w:pStyle w:val="Notes"/>
        <w:rPr>
          <w:rStyle w:val="FiguretitleChar"/>
        </w:rPr>
      </w:pPr>
    </w:p>
    <w:p w14:paraId="48B8E49C" w14:textId="3E9FEB1E" w:rsidR="00E764E6" w:rsidRDefault="00E764E6" w:rsidP="00F335A2">
      <w:pPr>
        <w:pStyle w:val="Notes"/>
        <w:rPr>
          <w:rStyle w:val="FiguretitleChar"/>
        </w:rPr>
      </w:pPr>
      <w:r>
        <w:rPr>
          <w:noProof/>
        </w:rPr>
        <w:lastRenderedPageBreak/>
        <w:drawing>
          <wp:inline distT="0" distB="0" distL="0" distR="0" wp14:anchorId="180BAEF9" wp14:editId="45FFD246">
            <wp:extent cx="5922645" cy="3448050"/>
            <wp:effectExtent l="0" t="0" r="1905" b="0"/>
            <wp:docPr id="7" name="Chart 7">
              <a:extLst xmlns:a="http://schemas.openxmlformats.org/drawingml/2006/main">
                <a:ext uri="{FF2B5EF4-FFF2-40B4-BE49-F238E27FC236}">
                  <a16:creationId xmlns:a16="http://schemas.microsoft.com/office/drawing/2014/main" id="{D0AF55C0-5D09-46C8-97AD-7FDA7E8C81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20AB4E8" w14:textId="77777777" w:rsidR="002B6EF9" w:rsidRDefault="002B6EF9" w:rsidP="002B6EF9">
      <w:pPr>
        <w:pStyle w:val="Notes"/>
      </w:pPr>
      <w:r w:rsidRPr="00242991">
        <w:rPr>
          <w:rStyle w:val="FiguretitleChar"/>
        </w:rPr>
        <w:t>Figure 1c Number of PBS/RPBS ADHD prescriptions supplied to p</w:t>
      </w:r>
      <w:r>
        <w:rPr>
          <w:rStyle w:val="FiguretitleChar"/>
        </w:rPr>
        <w:t>eople</w:t>
      </w:r>
      <w:r w:rsidRPr="00242991">
        <w:rPr>
          <w:rStyle w:val="FiguretitleChar"/>
        </w:rPr>
        <w:t xml:space="preserve"> ≤18 years old per financial year</w:t>
      </w:r>
      <w:r w:rsidRPr="00242991">
        <w:br/>
      </w:r>
    </w:p>
    <w:p w14:paraId="7FCB1419" w14:textId="7EF2DD02" w:rsidR="002B6EF9" w:rsidRPr="00242991" w:rsidRDefault="002B6EF9" w:rsidP="002B6EF9">
      <w:r w:rsidRPr="00242991">
        <w:t xml:space="preserve">Figure 1c shows the number of prescriptions supplied to </w:t>
      </w:r>
      <w:r>
        <w:rPr>
          <w:rFonts w:cstheme="minorHAnsi"/>
        </w:rPr>
        <w:t>≤</w:t>
      </w:r>
      <w:r w:rsidRPr="00242991">
        <w:t>18 year old</w:t>
      </w:r>
      <w:r>
        <w:t>s</w:t>
      </w:r>
      <w:r w:rsidRPr="00242991">
        <w:t xml:space="preserve">. It is clear from the graph that all ADHD medications apart from </w:t>
      </w:r>
      <w:r>
        <w:t>a</w:t>
      </w:r>
      <w:r w:rsidRPr="00242991">
        <w:t>tomoxetine have been prescribed at higher rates</w:t>
      </w:r>
      <w:r>
        <w:t xml:space="preserve"> over time</w:t>
      </w:r>
      <w:r w:rsidRPr="00242991">
        <w:t>.</w:t>
      </w:r>
    </w:p>
    <w:p w14:paraId="2CCF11E6" w14:textId="77777777" w:rsidR="002B6EF9" w:rsidRPr="00242991" w:rsidRDefault="002B6EF9" w:rsidP="002B6EF9">
      <w:r w:rsidRPr="00242991">
        <w:t>The listing of guanfacine in September 2018 does not appear to have reduced use of other ADHD medications in the 18 year old and under population.</w:t>
      </w:r>
    </w:p>
    <w:p w14:paraId="1EEE6020" w14:textId="77777777" w:rsidR="002B6EF9" w:rsidRPr="00242991" w:rsidRDefault="002B6EF9" w:rsidP="002B6EF9">
      <w:pPr>
        <w:pStyle w:val="Figuretitle"/>
        <w:rPr>
          <w:b w:val="0"/>
          <w:lang w:val="en-AU"/>
        </w:rPr>
      </w:pPr>
    </w:p>
    <w:p w14:paraId="39EA6E9D" w14:textId="77777777" w:rsidR="002B6EF9" w:rsidRPr="00242991" w:rsidRDefault="002B6EF9" w:rsidP="002B6EF9">
      <w:pPr>
        <w:pStyle w:val="Figuretitle"/>
        <w:rPr>
          <w:b w:val="0"/>
          <w:lang w:val="en-AU"/>
        </w:rPr>
      </w:pPr>
      <w:r w:rsidRPr="00242991">
        <w:rPr>
          <w:b w:val="0"/>
          <w:lang w:val="en-AU"/>
        </w:rPr>
        <w:t>Table 1 shows the ADHD drug prescription count by financial year.</w:t>
      </w:r>
    </w:p>
    <w:p w14:paraId="6F80DAEB" w14:textId="77777777" w:rsidR="00190E4E" w:rsidRPr="00242991" w:rsidRDefault="00190E4E" w:rsidP="00190E4E">
      <w:pPr>
        <w:pStyle w:val="Figuretitle"/>
        <w:ind w:left="-426"/>
        <w:rPr>
          <w:b w:val="0"/>
          <w:sz w:val="16"/>
          <w:szCs w:val="16"/>
          <w:lang w:val="en-AU"/>
        </w:rPr>
      </w:pPr>
    </w:p>
    <w:p w14:paraId="0C7F7671" w14:textId="0AE8D85E" w:rsidR="00FE0F65" w:rsidRPr="00242991" w:rsidRDefault="00FE0F65" w:rsidP="00F2633B">
      <w:pPr>
        <w:pStyle w:val="Figuretitle"/>
      </w:pPr>
      <w:r w:rsidRPr="00242991">
        <w:t xml:space="preserve">Table 1: </w:t>
      </w:r>
      <w:bookmarkStart w:id="3" w:name="_Hlk143075306"/>
      <w:r w:rsidRPr="00242991">
        <w:t xml:space="preserve">ADHD drug prescription count by </w:t>
      </w:r>
      <w:r w:rsidR="00E27DE3" w:rsidRPr="00242991">
        <w:t xml:space="preserve">financial </w:t>
      </w:r>
      <w:r w:rsidRPr="00242991">
        <w:t>year.</w:t>
      </w:r>
      <w:bookmarkEnd w:id="3"/>
    </w:p>
    <w:tbl>
      <w:tblPr>
        <w:tblW w:w="51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711"/>
        <w:gridCol w:w="708"/>
        <w:gridCol w:w="842"/>
        <w:gridCol w:w="830"/>
        <w:gridCol w:w="805"/>
        <w:gridCol w:w="842"/>
        <w:gridCol w:w="921"/>
        <w:gridCol w:w="842"/>
        <w:gridCol w:w="921"/>
        <w:gridCol w:w="840"/>
      </w:tblGrid>
      <w:tr w:rsidR="00F2633B" w:rsidRPr="00242991" w14:paraId="2CC93524" w14:textId="77777777" w:rsidTr="00F2633B">
        <w:trPr>
          <w:trHeight w:val="288"/>
        </w:trPr>
        <w:tc>
          <w:tcPr>
            <w:tcW w:w="731" w:type="pct"/>
            <w:shd w:val="clear" w:color="DDEBF7" w:fill="BFBFBF" w:themeFill="background1" w:themeFillShade="BF"/>
            <w:noWrap/>
            <w:vAlign w:val="bottom"/>
            <w:hideMark/>
          </w:tcPr>
          <w:p w14:paraId="133FDDC9" w14:textId="598DE83F" w:rsidR="00F2633B" w:rsidRPr="00242991" w:rsidRDefault="00F2633B" w:rsidP="005C36B7">
            <w:pPr>
              <w:spacing w:after="0"/>
              <w:jc w:val="center"/>
              <w:rPr>
                <w:rFonts w:ascii="Calibri" w:eastAsia="Times New Roman" w:hAnsi="Calibri" w:cs="Calibri"/>
                <w:b/>
                <w:bCs/>
                <w:color w:val="000000"/>
                <w:sz w:val="16"/>
                <w:szCs w:val="16"/>
              </w:rPr>
            </w:pPr>
            <w:r w:rsidRPr="00242991">
              <w:rPr>
                <w:rFonts w:ascii="Calibri" w:eastAsia="Times New Roman" w:hAnsi="Calibri" w:cs="Calibri"/>
                <w:b/>
                <w:bCs/>
                <w:color w:val="000000"/>
                <w:sz w:val="16"/>
                <w:szCs w:val="16"/>
              </w:rPr>
              <w:t xml:space="preserve">Drug Name  / </w:t>
            </w:r>
            <w:r w:rsidRPr="00242991">
              <w:rPr>
                <w:rFonts w:ascii="Calibri" w:eastAsia="Times New Roman" w:hAnsi="Calibri" w:cs="Calibri"/>
                <w:b/>
                <w:bCs/>
                <w:color w:val="000000"/>
                <w:sz w:val="16"/>
                <w:szCs w:val="16"/>
              </w:rPr>
              <w:br/>
              <w:t>Prescription Count</w:t>
            </w:r>
          </w:p>
        </w:tc>
        <w:tc>
          <w:tcPr>
            <w:tcW w:w="367" w:type="pct"/>
            <w:shd w:val="clear" w:color="DDEBF7" w:fill="BFBFBF" w:themeFill="background1" w:themeFillShade="BF"/>
            <w:noWrap/>
            <w:vAlign w:val="bottom"/>
            <w:hideMark/>
          </w:tcPr>
          <w:p w14:paraId="142C21DE" w14:textId="136A2743" w:rsidR="00F2633B" w:rsidRPr="00242991" w:rsidRDefault="00F2633B" w:rsidP="005C36B7">
            <w:pPr>
              <w:spacing w:after="0"/>
              <w:jc w:val="center"/>
              <w:rPr>
                <w:rFonts w:ascii="Calibri" w:eastAsia="Times New Roman" w:hAnsi="Calibri" w:cs="Calibri"/>
                <w:b/>
                <w:bCs/>
                <w:color w:val="000000"/>
                <w:sz w:val="16"/>
                <w:szCs w:val="16"/>
              </w:rPr>
            </w:pPr>
            <w:r w:rsidRPr="00242991">
              <w:rPr>
                <w:rFonts w:ascii="Calibri" w:eastAsia="Times New Roman" w:hAnsi="Calibri" w:cs="Calibri"/>
                <w:b/>
                <w:bCs/>
                <w:color w:val="000000"/>
                <w:sz w:val="16"/>
                <w:szCs w:val="16"/>
              </w:rPr>
              <w:t>2013 -14</w:t>
            </w:r>
          </w:p>
        </w:tc>
        <w:tc>
          <w:tcPr>
            <w:tcW w:w="366" w:type="pct"/>
            <w:shd w:val="clear" w:color="DDEBF7" w:fill="BFBFBF" w:themeFill="background1" w:themeFillShade="BF"/>
            <w:noWrap/>
            <w:vAlign w:val="bottom"/>
            <w:hideMark/>
          </w:tcPr>
          <w:p w14:paraId="7C1BFDD0" w14:textId="6A70F361" w:rsidR="00F2633B" w:rsidRPr="00242991" w:rsidRDefault="00F2633B" w:rsidP="005C36B7">
            <w:pPr>
              <w:spacing w:after="0"/>
              <w:jc w:val="center"/>
              <w:rPr>
                <w:rFonts w:ascii="Calibri" w:eastAsia="Times New Roman" w:hAnsi="Calibri" w:cs="Calibri"/>
                <w:b/>
                <w:bCs/>
                <w:color w:val="000000"/>
                <w:sz w:val="16"/>
                <w:szCs w:val="16"/>
              </w:rPr>
            </w:pPr>
            <w:r w:rsidRPr="00242991">
              <w:rPr>
                <w:rFonts w:ascii="Calibri" w:eastAsia="Times New Roman" w:hAnsi="Calibri" w:cs="Calibri"/>
                <w:b/>
                <w:bCs/>
                <w:color w:val="000000"/>
                <w:sz w:val="16"/>
                <w:szCs w:val="16"/>
              </w:rPr>
              <w:t>2014 -15</w:t>
            </w:r>
          </w:p>
        </w:tc>
        <w:tc>
          <w:tcPr>
            <w:tcW w:w="435" w:type="pct"/>
            <w:shd w:val="clear" w:color="DDEBF7" w:fill="BFBFBF" w:themeFill="background1" w:themeFillShade="BF"/>
            <w:noWrap/>
            <w:vAlign w:val="bottom"/>
            <w:hideMark/>
          </w:tcPr>
          <w:p w14:paraId="1FBD4D34" w14:textId="0A35B95E" w:rsidR="00F2633B" w:rsidRPr="00242991" w:rsidRDefault="00F2633B" w:rsidP="005C36B7">
            <w:pPr>
              <w:spacing w:after="0"/>
              <w:jc w:val="center"/>
              <w:rPr>
                <w:rFonts w:ascii="Calibri" w:eastAsia="Times New Roman" w:hAnsi="Calibri" w:cs="Calibri"/>
                <w:b/>
                <w:bCs/>
                <w:color w:val="000000"/>
                <w:sz w:val="16"/>
                <w:szCs w:val="16"/>
              </w:rPr>
            </w:pPr>
            <w:r w:rsidRPr="00242991">
              <w:rPr>
                <w:rFonts w:ascii="Calibri" w:eastAsia="Times New Roman" w:hAnsi="Calibri" w:cs="Calibri"/>
                <w:b/>
                <w:bCs/>
                <w:color w:val="000000"/>
                <w:sz w:val="16"/>
                <w:szCs w:val="16"/>
              </w:rPr>
              <w:t>2015 -</w:t>
            </w:r>
          </w:p>
          <w:p w14:paraId="58E50F4B" w14:textId="166AF172" w:rsidR="00F2633B" w:rsidRPr="00242991" w:rsidRDefault="00F2633B" w:rsidP="005C36B7">
            <w:pPr>
              <w:spacing w:after="0"/>
              <w:jc w:val="center"/>
              <w:rPr>
                <w:rFonts w:ascii="Calibri" w:eastAsia="Times New Roman" w:hAnsi="Calibri" w:cs="Calibri"/>
                <w:b/>
                <w:bCs/>
                <w:color w:val="000000"/>
                <w:sz w:val="16"/>
                <w:szCs w:val="16"/>
              </w:rPr>
            </w:pPr>
            <w:r w:rsidRPr="00242991">
              <w:rPr>
                <w:rFonts w:ascii="Calibri" w:eastAsia="Times New Roman" w:hAnsi="Calibri" w:cs="Calibri"/>
                <w:b/>
                <w:bCs/>
                <w:color w:val="000000"/>
                <w:sz w:val="16"/>
                <w:szCs w:val="16"/>
              </w:rPr>
              <w:t>16</w:t>
            </w:r>
          </w:p>
        </w:tc>
        <w:tc>
          <w:tcPr>
            <w:tcW w:w="429" w:type="pct"/>
            <w:shd w:val="clear" w:color="DDEBF7" w:fill="BFBFBF" w:themeFill="background1" w:themeFillShade="BF"/>
            <w:noWrap/>
            <w:vAlign w:val="bottom"/>
            <w:hideMark/>
          </w:tcPr>
          <w:p w14:paraId="1CD391B9" w14:textId="4A14F88E" w:rsidR="00F2633B" w:rsidRPr="00242991" w:rsidRDefault="00F2633B" w:rsidP="005C36B7">
            <w:pPr>
              <w:spacing w:after="0"/>
              <w:jc w:val="center"/>
              <w:rPr>
                <w:rFonts w:ascii="Calibri" w:eastAsia="Times New Roman" w:hAnsi="Calibri" w:cs="Calibri"/>
                <w:b/>
                <w:bCs/>
                <w:color w:val="000000"/>
                <w:sz w:val="16"/>
                <w:szCs w:val="16"/>
              </w:rPr>
            </w:pPr>
            <w:r w:rsidRPr="00242991">
              <w:rPr>
                <w:rFonts w:ascii="Calibri" w:eastAsia="Times New Roman" w:hAnsi="Calibri" w:cs="Calibri"/>
                <w:b/>
                <w:bCs/>
                <w:color w:val="000000"/>
                <w:sz w:val="16"/>
                <w:szCs w:val="16"/>
              </w:rPr>
              <w:t>2016 -</w:t>
            </w:r>
          </w:p>
          <w:p w14:paraId="66889E77" w14:textId="3C477801" w:rsidR="00F2633B" w:rsidRPr="00242991" w:rsidRDefault="00F2633B" w:rsidP="005C36B7">
            <w:pPr>
              <w:spacing w:after="0"/>
              <w:jc w:val="center"/>
              <w:rPr>
                <w:rFonts w:ascii="Calibri" w:eastAsia="Times New Roman" w:hAnsi="Calibri" w:cs="Calibri"/>
                <w:b/>
                <w:bCs/>
                <w:color w:val="000000"/>
                <w:sz w:val="16"/>
                <w:szCs w:val="16"/>
              </w:rPr>
            </w:pPr>
            <w:r w:rsidRPr="00242991">
              <w:rPr>
                <w:rFonts w:ascii="Calibri" w:eastAsia="Times New Roman" w:hAnsi="Calibri" w:cs="Calibri"/>
                <w:b/>
                <w:bCs/>
                <w:color w:val="000000"/>
                <w:sz w:val="16"/>
                <w:szCs w:val="16"/>
              </w:rPr>
              <w:t>17</w:t>
            </w:r>
          </w:p>
        </w:tc>
        <w:tc>
          <w:tcPr>
            <w:tcW w:w="416" w:type="pct"/>
            <w:shd w:val="clear" w:color="DDEBF7" w:fill="BFBFBF" w:themeFill="background1" w:themeFillShade="BF"/>
            <w:noWrap/>
            <w:vAlign w:val="bottom"/>
            <w:hideMark/>
          </w:tcPr>
          <w:p w14:paraId="7F581A17" w14:textId="21903C46" w:rsidR="00F2633B" w:rsidRPr="00242991" w:rsidRDefault="00F2633B" w:rsidP="005C36B7">
            <w:pPr>
              <w:spacing w:after="0"/>
              <w:jc w:val="center"/>
              <w:rPr>
                <w:rFonts w:ascii="Calibri" w:eastAsia="Times New Roman" w:hAnsi="Calibri" w:cs="Calibri"/>
                <w:b/>
                <w:bCs/>
                <w:color w:val="000000"/>
                <w:sz w:val="16"/>
                <w:szCs w:val="16"/>
              </w:rPr>
            </w:pPr>
            <w:r w:rsidRPr="00242991">
              <w:rPr>
                <w:rFonts w:ascii="Calibri" w:eastAsia="Times New Roman" w:hAnsi="Calibri" w:cs="Calibri"/>
                <w:b/>
                <w:bCs/>
                <w:color w:val="000000"/>
                <w:sz w:val="16"/>
                <w:szCs w:val="16"/>
              </w:rPr>
              <w:t>2017 -</w:t>
            </w:r>
          </w:p>
          <w:p w14:paraId="22341C7D" w14:textId="7B8A2FC9" w:rsidR="00F2633B" w:rsidRPr="00242991" w:rsidRDefault="00F2633B" w:rsidP="005C36B7">
            <w:pPr>
              <w:spacing w:after="0"/>
              <w:jc w:val="center"/>
              <w:rPr>
                <w:rFonts w:ascii="Calibri" w:eastAsia="Times New Roman" w:hAnsi="Calibri" w:cs="Calibri"/>
                <w:b/>
                <w:bCs/>
                <w:color w:val="000000"/>
                <w:sz w:val="16"/>
                <w:szCs w:val="16"/>
              </w:rPr>
            </w:pPr>
            <w:r w:rsidRPr="00242991">
              <w:rPr>
                <w:rFonts w:ascii="Calibri" w:eastAsia="Times New Roman" w:hAnsi="Calibri" w:cs="Calibri"/>
                <w:b/>
                <w:bCs/>
                <w:color w:val="000000"/>
                <w:sz w:val="16"/>
                <w:szCs w:val="16"/>
              </w:rPr>
              <w:t>18</w:t>
            </w:r>
          </w:p>
        </w:tc>
        <w:tc>
          <w:tcPr>
            <w:tcW w:w="435" w:type="pct"/>
            <w:shd w:val="clear" w:color="DDEBF7" w:fill="BFBFBF" w:themeFill="background1" w:themeFillShade="BF"/>
            <w:noWrap/>
            <w:vAlign w:val="bottom"/>
            <w:hideMark/>
          </w:tcPr>
          <w:p w14:paraId="5020BFC7" w14:textId="3565175B" w:rsidR="00F2633B" w:rsidRPr="00242991" w:rsidRDefault="00F2633B" w:rsidP="005C36B7">
            <w:pPr>
              <w:spacing w:after="0"/>
              <w:jc w:val="center"/>
              <w:rPr>
                <w:rFonts w:ascii="Calibri" w:eastAsia="Times New Roman" w:hAnsi="Calibri" w:cs="Calibri"/>
                <w:b/>
                <w:bCs/>
                <w:color w:val="000000"/>
                <w:sz w:val="16"/>
                <w:szCs w:val="16"/>
              </w:rPr>
            </w:pPr>
            <w:r w:rsidRPr="00242991">
              <w:rPr>
                <w:rFonts w:ascii="Calibri" w:eastAsia="Times New Roman" w:hAnsi="Calibri" w:cs="Calibri"/>
                <w:b/>
                <w:bCs/>
                <w:color w:val="000000"/>
                <w:sz w:val="16"/>
                <w:szCs w:val="16"/>
              </w:rPr>
              <w:t>2018 -</w:t>
            </w:r>
          </w:p>
          <w:p w14:paraId="4435B868" w14:textId="71EDF018" w:rsidR="00F2633B" w:rsidRPr="00242991" w:rsidRDefault="00F2633B" w:rsidP="005C36B7">
            <w:pPr>
              <w:spacing w:after="0"/>
              <w:jc w:val="center"/>
              <w:rPr>
                <w:rFonts w:ascii="Calibri" w:eastAsia="Times New Roman" w:hAnsi="Calibri" w:cs="Calibri"/>
                <w:b/>
                <w:bCs/>
                <w:color w:val="000000"/>
                <w:sz w:val="16"/>
                <w:szCs w:val="16"/>
              </w:rPr>
            </w:pPr>
            <w:r w:rsidRPr="00242991">
              <w:rPr>
                <w:rFonts w:ascii="Calibri" w:eastAsia="Times New Roman" w:hAnsi="Calibri" w:cs="Calibri"/>
                <w:b/>
                <w:bCs/>
                <w:color w:val="000000"/>
                <w:sz w:val="16"/>
                <w:szCs w:val="16"/>
              </w:rPr>
              <w:t>19</w:t>
            </w:r>
          </w:p>
        </w:tc>
        <w:tc>
          <w:tcPr>
            <w:tcW w:w="476" w:type="pct"/>
            <w:shd w:val="clear" w:color="DDEBF7" w:fill="BFBFBF" w:themeFill="background1" w:themeFillShade="BF"/>
            <w:noWrap/>
            <w:vAlign w:val="bottom"/>
            <w:hideMark/>
          </w:tcPr>
          <w:p w14:paraId="299777AD" w14:textId="023DD44E" w:rsidR="00F2633B" w:rsidRPr="00242991" w:rsidRDefault="00F2633B" w:rsidP="005C36B7">
            <w:pPr>
              <w:spacing w:after="0"/>
              <w:jc w:val="center"/>
              <w:rPr>
                <w:rFonts w:ascii="Calibri" w:eastAsia="Times New Roman" w:hAnsi="Calibri" w:cs="Calibri"/>
                <w:b/>
                <w:bCs/>
                <w:color w:val="000000"/>
                <w:sz w:val="16"/>
                <w:szCs w:val="16"/>
              </w:rPr>
            </w:pPr>
            <w:r w:rsidRPr="00242991">
              <w:rPr>
                <w:rFonts w:ascii="Calibri" w:eastAsia="Times New Roman" w:hAnsi="Calibri" w:cs="Calibri"/>
                <w:b/>
                <w:bCs/>
                <w:color w:val="000000"/>
                <w:sz w:val="16"/>
                <w:szCs w:val="16"/>
              </w:rPr>
              <w:t>2019 -</w:t>
            </w:r>
          </w:p>
          <w:p w14:paraId="5BF0552E" w14:textId="456E0A8C" w:rsidR="00F2633B" w:rsidRPr="00242991" w:rsidRDefault="00F2633B" w:rsidP="005C36B7">
            <w:pPr>
              <w:spacing w:after="0"/>
              <w:jc w:val="center"/>
              <w:rPr>
                <w:rFonts w:ascii="Calibri" w:eastAsia="Times New Roman" w:hAnsi="Calibri" w:cs="Calibri"/>
                <w:b/>
                <w:bCs/>
                <w:color w:val="000000"/>
                <w:sz w:val="16"/>
                <w:szCs w:val="16"/>
              </w:rPr>
            </w:pPr>
            <w:r w:rsidRPr="00242991">
              <w:rPr>
                <w:rFonts w:ascii="Calibri" w:eastAsia="Times New Roman" w:hAnsi="Calibri" w:cs="Calibri"/>
                <w:b/>
                <w:bCs/>
                <w:color w:val="000000"/>
                <w:sz w:val="16"/>
                <w:szCs w:val="16"/>
              </w:rPr>
              <w:t>20</w:t>
            </w:r>
          </w:p>
        </w:tc>
        <w:tc>
          <w:tcPr>
            <w:tcW w:w="435" w:type="pct"/>
            <w:shd w:val="clear" w:color="DDEBF7" w:fill="BFBFBF" w:themeFill="background1" w:themeFillShade="BF"/>
            <w:noWrap/>
            <w:vAlign w:val="bottom"/>
            <w:hideMark/>
          </w:tcPr>
          <w:p w14:paraId="788346FE" w14:textId="19066A70" w:rsidR="00F2633B" w:rsidRPr="00242991" w:rsidRDefault="00F2633B" w:rsidP="005C36B7">
            <w:pPr>
              <w:spacing w:after="0"/>
              <w:jc w:val="center"/>
              <w:rPr>
                <w:rFonts w:ascii="Calibri" w:eastAsia="Times New Roman" w:hAnsi="Calibri" w:cs="Calibri"/>
                <w:b/>
                <w:bCs/>
                <w:color w:val="000000"/>
                <w:sz w:val="16"/>
                <w:szCs w:val="16"/>
              </w:rPr>
            </w:pPr>
            <w:r w:rsidRPr="00242991">
              <w:rPr>
                <w:rFonts w:ascii="Calibri" w:eastAsia="Times New Roman" w:hAnsi="Calibri" w:cs="Calibri"/>
                <w:b/>
                <w:bCs/>
                <w:color w:val="000000"/>
                <w:sz w:val="16"/>
                <w:szCs w:val="16"/>
              </w:rPr>
              <w:t>2020 -</w:t>
            </w:r>
          </w:p>
          <w:p w14:paraId="2E00B907" w14:textId="32D6E105" w:rsidR="00F2633B" w:rsidRPr="00242991" w:rsidRDefault="00F2633B" w:rsidP="005C36B7">
            <w:pPr>
              <w:spacing w:after="0"/>
              <w:jc w:val="center"/>
              <w:rPr>
                <w:rFonts w:ascii="Calibri" w:eastAsia="Times New Roman" w:hAnsi="Calibri" w:cs="Calibri"/>
                <w:b/>
                <w:bCs/>
                <w:color w:val="000000"/>
                <w:sz w:val="16"/>
                <w:szCs w:val="16"/>
              </w:rPr>
            </w:pPr>
            <w:r w:rsidRPr="00242991">
              <w:rPr>
                <w:rFonts w:ascii="Calibri" w:eastAsia="Times New Roman" w:hAnsi="Calibri" w:cs="Calibri"/>
                <w:b/>
                <w:bCs/>
                <w:color w:val="000000"/>
                <w:sz w:val="16"/>
                <w:szCs w:val="16"/>
              </w:rPr>
              <w:t>21</w:t>
            </w:r>
          </w:p>
        </w:tc>
        <w:tc>
          <w:tcPr>
            <w:tcW w:w="476" w:type="pct"/>
            <w:shd w:val="clear" w:color="DDEBF7" w:fill="BFBFBF" w:themeFill="background1" w:themeFillShade="BF"/>
            <w:noWrap/>
            <w:vAlign w:val="bottom"/>
            <w:hideMark/>
          </w:tcPr>
          <w:p w14:paraId="53C92BB5" w14:textId="262E03B6" w:rsidR="00F2633B" w:rsidRPr="00242991" w:rsidRDefault="00F2633B" w:rsidP="005C36B7">
            <w:pPr>
              <w:spacing w:after="0"/>
              <w:jc w:val="center"/>
              <w:rPr>
                <w:rFonts w:ascii="Calibri" w:eastAsia="Times New Roman" w:hAnsi="Calibri" w:cs="Calibri"/>
                <w:b/>
                <w:bCs/>
                <w:color w:val="000000"/>
                <w:sz w:val="16"/>
                <w:szCs w:val="16"/>
              </w:rPr>
            </w:pPr>
            <w:r w:rsidRPr="00242991">
              <w:rPr>
                <w:rFonts w:ascii="Calibri" w:eastAsia="Times New Roman" w:hAnsi="Calibri" w:cs="Calibri"/>
                <w:b/>
                <w:bCs/>
                <w:color w:val="000000"/>
                <w:sz w:val="16"/>
                <w:szCs w:val="16"/>
              </w:rPr>
              <w:t>2021 -</w:t>
            </w:r>
          </w:p>
          <w:p w14:paraId="6CC709EC" w14:textId="5F4777BB" w:rsidR="00F2633B" w:rsidRPr="00242991" w:rsidRDefault="00F2633B" w:rsidP="005C36B7">
            <w:pPr>
              <w:spacing w:after="0"/>
              <w:jc w:val="center"/>
              <w:rPr>
                <w:rFonts w:ascii="Calibri" w:eastAsia="Times New Roman" w:hAnsi="Calibri" w:cs="Calibri"/>
                <w:b/>
                <w:bCs/>
                <w:color w:val="000000"/>
                <w:sz w:val="16"/>
                <w:szCs w:val="16"/>
              </w:rPr>
            </w:pPr>
            <w:r w:rsidRPr="00242991">
              <w:rPr>
                <w:rFonts w:ascii="Calibri" w:eastAsia="Times New Roman" w:hAnsi="Calibri" w:cs="Calibri"/>
                <w:b/>
                <w:bCs/>
                <w:color w:val="000000"/>
                <w:sz w:val="16"/>
                <w:szCs w:val="16"/>
              </w:rPr>
              <w:t>22</w:t>
            </w:r>
          </w:p>
        </w:tc>
        <w:tc>
          <w:tcPr>
            <w:tcW w:w="435" w:type="pct"/>
            <w:shd w:val="clear" w:color="DDEBF7" w:fill="BFBFBF" w:themeFill="background1" w:themeFillShade="BF"/>
            <w:noWrap/>
            <w:vAlign w:val="bottom"/>
            <w:hideMark/>
          </w:tcPr>
          <w:p w14:paraId="18B934D0" w14:textId="4E51305D" w:rsidR="00F2633B" w:rsidRPr="00242991" w:rsidRDefault="00F2633B" w:rsidP="005C36B7">
            <w:pPr>
              <w:spacing w:after="0"/>
              <w:jc w:val="center"/>
              <w:rPr>
                <w:rFonts w:ascii="Calibri" w:eastAsia="Times New Roman" w:hAnsi="Calibri" w:cs="Calibri"/>
                <w:b/>
                <w:bCs/>
                <w:color w:val="000000"/>
                <w:sz w:val="16"/>
                <w:szCs w:val="16"/>
              </w:rPr>
            </w:pPr>
            <w:r w:rsidRPr="00242991">
              <w:rPr>
                <w:rFonts w:ascii="Calibri" w:eastAsia="Times New Roman" w:hAnsi="Calibri" w:cs="Calibri"/>
                <w:b/>
                <w:bCs/>
                <w:color w:val="000000"/>
                <w:sz w:val="16"/>
                <w:szCs w:val="16"/>
              </w:rPr>
              <w:t>2022 -</w:t>
            </w:r>
          </w:p>
          <w:p w14:paraId="2AD48E68" w14:textId="1ABB264E" w:rsidR="00F2633B" w:rsidRPr="00242991" w:rsidRDefault="00F2633B" w:rsidP="005C36B7">
            <w:pPr>
              <w:spacing w:after="0"/>
              <w:jc w:val="center"/>
              <w:rPr>
                <w:rFonts w:ascii="Calibri" w:eastAsia="Times New Roman" w:hAnsi="Calibri" w:cs="Calibri"/>
                <w:b/>
                <w:bCs/>
                <w:color w:val="000000"/>
                <w:sz w:val="16"/>
                <w:szCs w:val="16"/>
              </w:rPr>
            </w:pPr>
            <w:r w:rsidRPr="00242991">
              <w:rPr>
                <w:rFonts w:ascii="Calibri" w:eastAsia="Times New Roman" w:hAnsi="Calibri" w:cs="Calibri"/>
                <w:b/>
                <w:bCs/>
                <w:color w:val="000000"/>
                <w:sz w:val="16"/>
                <w:szCs w:val="16"/>
              </w:rPr>
              <w:t>23</w:t>
            </w:r>
          </w:p>
        </w:tc>
      </w:tr>
      <w:tr w:rsidR="00F2633B" w:rsidRPr="00242991" w14:paraId="0C3ADA4C" w14:textId="77777777" w:rsidTr="00F2633B">
        <w:trPr>
          <w:trHeight w:val="288"/>
        </w:trPr>
        <w:tc>
          <w:tcPr>
            <w:tcW w:w="731" w:type="pct"/>
            <w:shd w:val="clear" w:color="auto" w:fill="auto"/>
            <w:noWrap/>
            <w:vAlign w:val="bottom"/>
            <w:hideMark/>
          </w:tcPr>
          <w:p w14:paraId="3E087C9F" w14:textId="77777777" w:rsidR="00F2633B" w:rsidRPr="00242991" w:rsidRDefault="00F2633B" w:rsidP="00436346">
            <w:pPr>
              <w:spacing w:after="0"/>
              <w:rPr>
                <w:rFonts w:eastAsia="Times New Roman" w:cstheme="minorHAnsi"/>
                <w:b/>
                <w:bCs/>
                <w:sz w:val="16"/>
                <w:szCs w:val="16"/>
              </w:rPr>
            </w:pPr>
            <w:r w:rsidRPr="00242991">
              <w:rPr>
                <w:rFonts w:eastAsia="Times New Roman" w:cstheme="minorHAnsi"/>
                <w:b/>
                <w:bCs/>
                <w:sz w:val="16"/>
                <w:szCs w:val="16"/>
              </w:rPr>
              <w:t>MPH-MR</w:t>
            </w:r>
          </w:p>
        </w:tc>
        <w:tc>
          <w:tcPr>
            <w:tcW w:w="367" w:type="pct"/>
            <w:shd w:val="clear" w:color="auto" w:fill="auto"/>
            <w:noWrap/>
            <w:vAlign w:val="bottom"/>
            <w:hideMark/>
          </w:tcPr>
          <w:p w14:paraId="66A1B1BB" w14:textId="4849EF02" w:rsidR="00F2633B" w:rsidRPr="00242991" w:rsidRDefault="00F2633B" w:rsidP="00E45D15">
            <w:pPr>
              <w:spacing w:after="0"/>
              <w:ind w:right="-113"/>
              <w:rPr>
                <w:rFonts w:eastAsia="Times New Roman" w:cstheme="minorHAnsi"/>
                <w:sz w:val="16"/>
                <w:szCs w:val="16"/>
              </w:rPr>
            </w:pPr>
            <w:r w:rsidRPr="00242991">
              <w:rPr>
                <w:rFonts w:eastAsia="Times New Roman" w:cstheme="minorHAnsi"/>
                <w:sz w:val="16"/>
                <w:szCs w:val="16"/>
              </w:rPr>
              <w:t xml:space="preserve">423,772 </w:t>
            </w:r>
          </w:p>
        </w:tc>
        <w:tc>
          <w:tcPr>
            <w:tcW w:w="366" w:type="pct"/>
            <w:shd w:val="clear" w:color="auto" w:fill="auto"/>
            <w:noWrap/>
            <w:vAlign w:val="bottom"/>
            <w:hideMark/>
          </w:tcPr>
          <w:p w14:paraId="642C4832" w14:textId="238534DE" w:rsidR="00F2633B" w:rsidRPr="00242991" w:rsidRDefault="00F2633B" w:rsidP="00E45D15">
            <w:pPr>
              <w:spacing w:after="0"/>
              <w:ind w:right="-102"/>
              <w:rPr>
                <w:rFonts w:eastAsia="Times New Roman" w:cstheme="minorHAnsi"/>
                <w:sz w:val="16"/>
                <w:szCs w:val="16"/>
              </w:rPr>
            </w:pPr>
            <w:r w:rsidRPr="00242991">
              <w:rPr>
                <w:rFonts w:eastAsia="Times New Roman" w:cstheme="minorHAnsi"/>
                <w:sz w:val="16"/>
                <w:szCs w:val="16"/>
              </w:rPr>
              <w:t xml:space="preserve">455,502 </w:t>
            </w:r>
          </w:p>
        </w:tc>
        <w:tc>
          <w:tcPr>
            <w:tcW w:w="435" w:type="pct"/>
            <w:shd w:val="clear" w:color="auto" w:fill="auto"/>
            <w:noWrap/>
            <w:vAlign w:val="bottom"/>
            <w:hideMark/>
          </w:tcPr>
          <w:p w14:paraId="11DA8A45" w14:textId="0A2E0BBE"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484,562 </w:t>
            </w:r>
          </w:p>
        </w:tc>
        <w:tc>
          <w:tcPr>
            <w:tcW w:w="429" w:type="pct"/>
            <w:shd w:val="clear" w:color="auto" w:fill="auto"/>
            <w:noWrap/>
            <w:vAlign w:val="bottom"/>
            <w:hideMark/>
          </w:tcPr>
          <w:p w14:paraId="07F74652" w14:textId="14548990"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503,316 </w:t>
            </w:r>
          </w:p>
        </w:tc>
        <w:tc>
          <w:tcPr>
            <w:tcW w:w="416" w:type="pct"/>
            <w:shd w:val="clear" w:color="auto" w:fill="auto"/>
            <w:noWrap/>
            <w:vAlign w:val="bottom"/>
            <w:hideMark/>
          </w:tcPr>
          <w:p w14:paraId="345175AE" w14:textId="19956BC8"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531,006 </w:t>
            </w:r>
          </w:p>
        </w:tc>
        <w:tc>
          <w:tcPr>
            <w:tcW w:w="435" w:type="pct"/>
            <w:shd w:val="clear" w:color="auto" w:fill="auto"/>
            <w:noWrap/>
            <w:vAlign w:val="bottom"/>
            <w:hideMark/>
          </w:tcPr>
          <w:p w14:paraId="341C6F66" w14:textId="290AACD7"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568,111 </w:t>
            </w:r>
          </w:p>
        </w:tc>
        <w:tc>
          <w:tcPr>
            <w:tcW w:w="476" w:type="pct"/>
            <w:shd w:val="clear" w:color="auto" w:fill="auto"/>
            <w:noWrap/>
            <w:vAlign w:val="bottom"/>
            <w:hideMark/>
          </w:tcPr>
          <w:p w14:paraId="41EA7811" w14:textId="4C385B12"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627,354 </w:t>
            </w:r>
          </w:p>
        </w:tc>
        <w:tc>
          <w:tcPr>
            <w:tcW w:w="435" w:type="pct"/>
            <w:shd w:val="clear" w:color="auto" w:fill="auto"/>
            <w:noWrap/>
            <w:vAlign w:val="bottom"/>
            <w:hideMark/>
          </w:tcPr>
          <w:p w14:paraId="5B0D001D" w14:textId="050A4607"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715,128 </w:t>
            </w:r>
          </w:p>
        </w:tc>
        <w:tc>
          <w:tcPr>
            <w:tcW w:w="476" w:type="pct"/>
            <w:shd w:val="clear" w:color="auto" w:fill="auto"/>
            <w:noWrap/>
            <w:vAlign w:val="bottom"/>
            <w:hideMark/>
          </w:tcPr>
          <w:p w14:paraId="1CCA2D82" w14:textId="48DEF1A7"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801,637 </w:t>
            </w:r>
          </w:p>
        </w:tc>
        <w:tc>
          <w:tcPr>
            <w:tcW w:w="435" w:type="pct"/>
            <w:shd w:val="clear" w:color="auto" w:fill="auto"/>
            <w:noWrap/>
            <w:vAlign w:val="bottom"/>
            <w:hideMark/>
          </w:tcPr>
          <w:p w14:paraId="134086F5" w14:textId="50E51233"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942,260 </w:t>
            </w:r>
          </w:p>
        </w:tc>
      </w:tr>
      <w:tr w:rsidR="00F2633B" w:rsidRPr="00242991" w14:paraId="713F83E2" w14:textId="77777777" w:rsidTr="00F2633B">
        <w:trPr>
          <w:trHeight w:val="288"/>
        </w:trPr>
        <w:tc>
          <w:tcPr>
            <w:tcW w:w="731" w:type="pct"/>
            <w:shd w:val="clear" w:color="auto" w:fill="auto"/>
            <w:noWrap/>
            <w:vAlign w:val="bottom"/>
            <w:hideMark/>
          </w:tcPr>
          <w:p w14:paraId="48D56016" w14:textId="77777777" w:rsidR="00F2633B" w:rsidRPr="00242991" w:rsidRDefault="00F2633B" w:rsidP="0008562C">
            <w:pPr>
              <w:spacing w:after="0"/>
              <w:ind w:right="-104"/>
              <w:rPr>
                <w:rFonts w:eastAsia="Times New Roman" w:cstheme="minorHAnsi"/>
                <w:b/>
                <w:bCs/>
                <w:sz w:val="16"/>
                <w:szCs w:val="16"/>
              </w:rPr>
            </w:pPr>
            <w:r w:rsidRPr="00242991">
              <w:rPr>
                <w:rFonts w:eastAsia="Times New Roman" w:cstheme="minorHAnsi"/>
                <w:b/>
                <w:bCs/>
                <w:sz w:val="16"/>
                <w:szCs w:val="16"/>
              </w:rPr>
              <w:t>Lisdexamfetamine</w:t>
            </w:r>
          </w:p>
        </w:tc>
        <w:tc>
          <w:tcPr>
            <w:tcW w:w="367" w:type="pct"/>
            <w:shd w:val="clear" w:color="auto" w:fill="auto"/>
            <w:noWrap/>
            <w:vAlign w:val="bottom"/>
            <w:hideMark/>
          </w:tcPr>
          <w:p w14:paraId="3CD41AF6" w14:textId="77777777" w:rsidR="00F2633B" w:rsidRPr="00242991" w:rsidRDefault="00F2633B" w:rsidP="00E45D15">
            <w:pPr>
              <w:spacing w:after="0"/>
              <w:rPr>
                <w:rFonts w:eastAsia="Times New Roman" w:cstheme="minorHAnsi"/>
                <w:sz w:val="16"/>
                <w:szCs w:val="16"/>
              </w:rPr>
            </w:pPr>
          </w:p>
        </w:tc>
        <w:tc>
          <w:tcPr>
            <w:tcW w:w="366" w:type="pct"/>
            <w:shd w:val="clear" w:color="auto" w:fill="auto"/>
            <w:noWrap/>
            <w:vAlign w:val="bottom"/>
            <w:hideMark/>
          </w:tcPr>
          <w:p w14:paraId="301B2995" w14:textId="77777777" w:rsidR="00F2633B" w:rsidRPr="00242991" w:rsidRDefault="00F2633B" w:rsidP="00E45D15">
            <w:pPr>
              <w:spacing w:after="0"/>
              <w:ind w:left="-111"/>
              <w:rPr>
                <w:rFonts w:eastAsia="Times New Roman" w:cstheme="minorHAnsi"/>
                <w:sz w:val="16"/>
                <w:szCs w:val="16"/>
              </w:rPr>
            </w:pPr>
          </w:p>
        </w:tc>
        <w:tc>
          <w:tcPr>
            <w:tcW w:w="435" w:type="pct"/>
            <w:shd w:val="clear" w:color="auto" w:fill="auto"/>
            <w:noWrap/>
            <w:vAlign w:val="bottom"/>
            <w:hideMark/>
          </w:tcPr>
          <w:p w14:paraId="1D170748" w14:textId="6666F1C1"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62,490</w:t>
            </w:r>
          </w:p>
        </w:tc>
        <w:tc>
          <w:tcPr>
            <w:tcW w:w="429" w:type="pct"/>
            <w:shd w:val="clear" w:color="auto" w:fill="auto"/>
            <w:noWrap/>
            <w:vAlign w:val="bottom"/>
            <w:hideMark/>
          </w:tcPr>
          <w:p w14:paraId="177F19F1" w14:textId="3CFC605D"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146,266 </w:t>
            </w:r>
          </w:p>
        </w:tc>
        <w:tc>
          <w:tcPr>
            <w:tcW w:w="416" w:type="pct"/>
            <w:shd w:val="clear" w:color="auto" w:fill="auto"/>
            <w:noWrap/>
            <w:vAlign w:val="bottom"/>
            <w:hideMark/>
          </w:tcPr>
          <w:p w14:paraId="021302A7" w14:textId="3909B2D7"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210,318 </w:t>
            </w:r>
          </w:p>
        </w:tc>
        <w:tc>
          <w:tcPr>
            <w:tcW w:w="435" w:type="pct"/>
            <w:shd w:val="clear" w:color="auto" w:fill="auto"/>
            <w:noWrap/>
            <w:vAlign w:val="bottom"/>
            <w:hideMark/>
          </w:tcPr>
          <w:p w14:paraId="2E597AD0" w14:textId="6ADABC0C"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271,989 </w:t>
            </w:r>
          </w:p>
        </w:tc>
        <w:tc>
          <w:tcPr>
            <w:tcW w:w="476" w:type="pct"/>
            <w:shd w:val="clear" w:color="auto" w:fill="auto"/>
            <w:noWrap/>
            <w:vAlign w:val="bottom"/>
            <w:hideMark/>
          </w:tcPr>
          <w:p w14:paraId="39C9559B" w14:textId="06E7DD5B"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335,809 </w:t>
            </w:r>
          </w:p>
        </w:tc>
        <w:tc>
          <w:tcPr>
            <w:tcW w:w="435" w:type="pct"/>
            <w:shd w:val="clear" w:color="auto" w:fill="auto"/>
            <w:noWrap/>
            <w:vAlign w:val="bottom"/>
            <w:hideMark/>
          </w:tcPr>
          <w:p w14:paraId="7BE5F631" w14:textId="012D9AF8"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466,775 </w:t>
            </w:r>
          </w:p>
        </w:tc>
        <w:tc>
          <w:tcPr>
            <w:tcW w:w="476" w:type="pct"/>
            <w:shd w:val="clear" w:color="auto" w:fill="auto"/>
            <w:noWrap/>
            <w:vAlign w:val="bottom"/>
            <w:hideMark/>
          </w:tcPr>
          <w:p w14:paraId="4022C2AB" w14:textId="204672F9"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783,443 </w:t>
            </w:r>
          </w:p>
        </w:tc>
        <w:tc>
          <w:tcPr>
            <w:tcW w:w="435" w:type="pct"/>
            <w:shd w:val="clear" w:color="auto" w:fill="auto"/>
            <w:noWrap/>
            <w:vAlign w:val="bottom"/>
            <w:hideMark/>
          </w:tcPr>
          <w:p w14:paraId="1092E02F" w14:textId="43EB2635" w:rsidR="00F2633B" w:rsidRPr="00242991" w:rsidRDefault="00F2633B" w:rsidP="001B711B">
            <w:pPr>
              <w:spacing w:after="0"/>
              <w:ind w:right="-108"/>
              <w:rPr>
                <w:rFonts w:eastAsia="Times New Roman" w:cstheme="minorHAnsi"/>
                <w:sz w:val="16"/>
                <w:szCs w:val="16"/>
              </w:rPr>
            </w:pPr>
            <w:r w:rsidRPr="00242991">
              <w:rPr>
                <w:rFonts w:eastAsia="Times New Roman" w:cstheme="minorHAnsi"/>
                <w:sz w:val="16"/>
                <w:szCs w:val="16"/>
              </w:rPr>
              <w:t>1,176,452</w:t>
            </w:r>
          </w:p>
        </w:tc>
      </w:tr>
      <w:tr w:rsidR="00F2633B" w:rsidRPr="00242991" w14:paraId="36AC8AC8" w14:textId="77777777" w:rsidTr="00F2633B">
        <w:trPr>
          <w:trHeight w:val="288"/>
        </w:trPr>
        <w:tc>
          <w:tcPr>
            <w:tcW w:w="731" w:type="pct"/>
            <w:shd w:val="clear" w:color="auto" w:fill="auto"/>
            <w:noWrap/>
            <w:vAlign w:val="bottom"/>
            <w:hideMark/>
          </w:tcPr>
          <w:p w14:paraId="2CB379F3" w14:textId="77777777" w:rsidR="00F2633B" w:rsidRPr="00242991" w:rsidRDefault="00F2633B" w:rsidP="00436346">
            <w:pPr>
              <w:spacing w:after="0"/>
              <w:rPr>
                <w:rFonts w:eastAsia="Times New Roman" w:cstheme="minorHAnsi"/>
                <w:b/>
                <w:bCs/>
                <w:sz w:val="16"/>
                <w:szCs w:val="16"/>
              </w:rPr>
            </w:pPr>
            <w:r w:rsidRPr="00242991">
              <w:rPr>
                <w:rFonts w:eastAsia="Times New Roman" w:cstheme="minorHAnsi"/>
                <w:b/>
                <w:bCs/>
                <w:sz w:val="16"/>
                <w:szCs w:val="16"/>
              </w:rPr>
              <w:t>Dexamfetamine</w:t>
            </w:r>
          </w:p>
        </w:tc>
        <w:tc>
          <w:tcPr>
            <w:tcW w:w="367" w:type="pct"/>
            <w:shd w:val="clear" w:color="auto" w:fill="auto"/>
            <w:noWrap/>
            <w:vAlign w:val="bottom"/>
            <w:hideMark/>
          </w:tcPr>
          <w:p w14:paraId="7C5A3B10" w14:textId="56B1EF20" w:rsidR="00F2633B" w:rsidRPr="00242991" w:rsidRDefault="00F2633B" w:rsidP="00E45D15">
            <w:pPr>
              <w:spacing w:after="0"/>
              <w:ind w:right="-113"/>
              <w:rPr>
                <w:rFonts w:eastAsia="Times New Roman" w:cstheme="minorHAnsi"/>
                <w:sz w:val="16"/>
                <w:szCs w:val="16"/>
              </w:rPr>
            </w:pPr>
            <w:r w:rsidRPr="00242991">
              <w:rPr>
                <w:rFonts w:eastAsia="Times New Roman" w:cstheme="minorHAnsi"/>
                <w:sz w:val="16"/>
                <w:szCs w:val="16"/>
              </w:rPr>
              <w:t xml:space="preserve">220,577 </w:t>
            </w:r>
          </w:p>
        </w:tc>
        <w:tc>
          <w:tcPr>
            <w:tcW w:w="366" w:type="pct"/>
            <w:shd w:val="clear" w:color="auto" w:fill="auto"/>
            <w:noWrap/>
            <w:vAlign w:val="bottom"/>
            <w:hideMark/>
          </w:tcPr>
          <w:p w14:paraId="2C98C236" w14:textId="032F826F" w:rsidR="00F2633B" w:rsidRPr="00242991" w:rsidRDefault="00F2633B" w:rsidP="00E45D15">
            <w:pPr>
              <w:spacing w:after="0"/>
              <w:ind w:right="-102"/>
              <w:rPr>
                <w:rFonts w:eastAsia="Times New Roman" w:cstheme="minorHAnsi"/>
                <w:sz w:val="16"/>
                <w:szCs w:val="16"/>
              </w:rPr>
            </w:pPr>
            <w:r w:rsidRPr="00242991">
              <w:rPr>
                <w:rFonts w:eastAsia="Times New Roman" w:cstheme="minorHAnsi"/>
                <w:sz w:val="16"/>
                <w:szCs w:val="16"/>
              </w:rPr>
              <w:t xml:space="preserve">226,397 </w:t>
            </w:r>
          </w:p>
        </w:tc>
        <w:tc>
          <w:tcPr>
            <w:tcW w:w="435" w:type="pct"/>
            <w:shd w:val="clear" w:color="auto" w:fill="auto"/>
            <w:noWrap/>
            <w:vAlign w:val="bottom"/>
            <w:hideMark/>
          </w:tcPr>
          <w:p w14:paraId="7B5F4C95" w14:textId="50AB8DB4"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238,632 </w:t>
            </w:r>
          </w:p>
        </w:tc>
        <w:tc>
          <w:tcPr>
            <w:tcW w:w="429" w:type="pct"/>
            <w:shd w:val="clear" w:color="auto" w:fill="auto"/>
            <w:noWrap/>
            <w:vAlign w:val="bottom"/>
            <w:hideMark/>
          </w:tcPr>
          <w:p w14:paraId="1209EE76" w14:textId="606800C4"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247,725 </w:t>
            </w:r>
          </w:p>
        </w:tc>
        <w:tc>
          <w:tcPr>
            <w:tcW w:w="416" w:type="pct"/>
            <w:shd w:val="clear" w:color="auto" w:fill="auto"/>
            <w:noWrap/>
            <w:vAlign w:val="bottom"/>
            <w:hideMark/>
          </w:tcPr>
          <w:p w14:paraId="220DE1F0" w14:textId="10F24FE6"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264,419 </w:t>
            </w:r>
          </w:p>
        </w:tc>
        <w:tc>
          <w:tcPr>
            <w:tcW w:w="435" w:type="pct"/>
            <w:shd w:val="clear" w:color="auto" w:fill="auto"/>
            <w:noWrap/>
            <w:vAlign w:val="bottom"/>
            <w:hideMark/>
          </w:tcPr>
          <w:p w14:paraId="09A16917" w14:textId="3AEFE539"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289,854 </w:t>
            </w:r>
          </w:p>
        </w:tc>
        <w:tc>
          <w:tcPr>
            <w:tcW w:w="476" w:type="pct"/>
            <w:shd w:val="clear" w:color="auto" w:fill="auto"/>
            <w:noWrap/>
            <w:vAlign w:val="bottom"/>
            <w:hideMark/>
          </w:tcPr>
          <w:p w14:paraId="104953FA" w14:textId="5CA7F31E"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326,755 </w:t>
            </w:r>
          </w:p>
        </w:tc>
        <w:tc>
          <w:tcPr>
            <w:tcW w:w="435" w:type="pct"/>
            <w:shd w:val="clear" w:color="auto" w:fill="auto"/>
            <w:noWrap/>
            <w:vAlign w:val="bottom"/>
            <w:hideMark/>
          </w:tcPr>
          <w:p w14:paraId="68274F45" w14:textId="20399E2A"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381,688 </w:t>
            </w:r>
          </w:p>
        </w:tc>
        <w:tc>
          <w:tcPr>
            <w:tcW w:w="476" w:type="pct"/>
            <w:shd w:val="clear" w:color="auto" w:fill="auto"/>
            <w:noWrap/>
            <w:vAlign w:val="bottom"/>
            <w:hideMark/>
          </w:tcPr>
          <w:p w14:paraId="471905C6" w14:textId="5206CF36"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460,378 </w:t>
            </w:r>
          </w:p>
        </w:tc>
        <w:tc>
          <w:tcPr>
            <w:tcW w:w="435" w:type="pct"/>
            <w:shd w:val="clear" w:color="auto" w:fill="auto"/>
            <w:noWrap/>
            <w:vAlign w:val="bottom"/>
            <w:hideMark/>
          </w:tcPr>
          <w:p w14:paraId="25FF5280" w14:textId="3126A440"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566,381 </w:t>
            </w:r>
          </w:p>
        </w:tc>
      </w:tr>
      <w:tr w:rsidR="00F2633B" w:rsidRPr="00242991" w14:paraId="20A4910E" w14:textId="77777777" w:rsidTr="00F2633B">
        <w:trPr>
          <w:trHeight w:val="288"/>
        </w:trPr>
        <w:tc>
          <w:tcPr>
            <w:tcW w:w="731" w:type="pct"/>
            <w:shd w:val="clear" w:color="auto" w:fill="auto"/>
            <w:noWrap/>
            <w:vAlign w:val="bottom"/>
            <w:hideMark/>
          </w:tcPr>
          <w:p w14:paraId="1454F9E5" w14:textId="77777777" w:rsidR="00F2633B" w:rsidRPr="00242991" w:rsidRDefault="00F2633B" w:rsidP="00436346">
            <w:pPr>
              <w:spacing w:after="0"/>
              <w:rPr>
                <w:rFonts w:eastAsia="Times New Roman" w:cstheme="minorHAnsi"/>
                <w:b/>
                <w:bCs/>
                <w:sz w:val="16"/>
                <w:szCs w:val="16"/>
              </w:rPr>
            </w:pPr>
            <w:r w:rsidRPr="00242991">
              <w:rPr>
                <w:rFonts w:eastAsia="Times New Roman" w:cstheme="minorHAnsi"/>
                <w:b/>
                <w:bCs/>
                <w:sz w:val="16"/>
                <w:szCs w:val="16"/>
              </w:rPr>
              <w:t>MPH-IR</w:t>
            </w:r>
          </w:p>
        </w:tc>
        <w:tc>
          <w:tcPr>
            <w:tcW w:w="367" w:type="pct"/>
            <w:shd w:val="clear" w:color="auto" w:fill="auto"/>
            <w:noWrap/>
            <w:vAlign w:val="bottom"/>
            <w:hideMark/>
          </w:tcPr>
          <w:p w14:paraId="1B037480" w14:textId="362C25C6" w:rsidR="00F2633B" w:rsidRPr="00242991" w:rsidRDefault="00F2633B" w:rsidP="00E45D15">
            <w:pPr>
              <w:spacing w:after="0"/>
              <w:ind w:right="-113"/>
              <w:rPr>
                <w:rFonts w:eastAsia="Times New Roman" w:cstheme="minorHAnsi"/>
                <w:sz w:val="16"/>
                <w:szCs w:val="16"/>
              </w:rPr>
            </w:pPr>
            <w:r w:rsidRPr="00242991">
              <w:rPr>
                <w:rFonts w:eastAsia="Times New Roman" w:cstheme="minorHAnsi"/>
                <w:sz w:val="16"/>
                <w:szCs w:val="16"/>
              </w:rPr>
              <w:t xml:space="preserve">151,956 </w:t>
            </w:r>
          </w:p>
        </w:tc>
        <w:tc>
          <w:tcPr>
            <w:tcW w:w="366" w:type="pct"/>
            <w:shd w:val="clear" w:color="auto" w:fill="auto"/>
            <w:noWrap/>
            <w:vAlign w:val="bottom"/>
            <w:hideMark/>
          </w:tcPr>
          <w:p w14:paraId="6E990FB7" w14:textId="29B59544" w:rsidR="00F2633B" w:rsidRPr="00242991" w:rsidRDefault="00F2633B" w:rsidP="00E45D15">
            <w:pPr>
              <w:spacing w:after="0"/>
              <w:ind w:right="-102"/>
              <w:rPr>
                <w:rFonts w:eastAsia="Times New Roman" w:cstheme="minorHAnsi"/>
                <w:sz w:val="16"/>
                <w:szCs w:val="16"/>
              </w:rPr>
            </w:pPr>
            <w:r w:rsidRPr="00242991">
              <w:rPr>
                <w:rFonts w:eastAsia="Times New Roman" w:cstheme="minorHAnsi"/>
                <w:sz w:val="16"/>
                <w:szCs w:val="16"/>
              </w:rPr>
              <w:t xml:space="preserve">165,733 </w:t>
            </w:r>
          </w:p>
        </w:tc>
        <w:tc>
          <w:tcPr>
            <w:tcW w:w="435" w:type="pct"/>
            <w:shd w:val="clear" w:color="auto" w:fill="auto"/>
            <w:noWrap/>
            <w:vAlign w:val="bottom"/>
            <w:hideMark/>
          </w:tcPr>
          <w:p w14:paraId="00FCC8AF" w14:textId="28539631"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178,526 </w:t>
            </w:r>
          </w:p>
        </w:tc>
        <w:tc>
          <w:tcPr>
            <w:tcW w:w="429" w:type="pct"/>
            <w:shd w:val="clear" w:color="auto" w:fill="auto"/>
            <w:noWrap/>
            <w:vAlign w:val="bottom"/>
            <w:hideMark/>
          </w:tcPr>
          <w:p w14:paraId="7CAB95F2" w14:textId="1D96414B"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187,614 </w:t>
            </w:r>
          </w:p>
        </w:tc>
        <w:tc>
          <w:tcPr>
            <w:tcW w:w="416" w:type="pct"/>
            <w:shd w:val="clear" w:color="auto" w:fill="auto"/>
            <w:noWrap/>
            <w:vAlign w:val="bottom"/>
            <w:hideMark/>
          </w:tcPr>
          <w:p w14:paraId="5DA463D8" w14:textId="3F40374C"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204,821 </w:t>
            </w:r>
          </w:p>
        </w:tc>
        <w:tc>
          <w:tcPr>
            <w:tcW w:w="435" w:type="pct"/>
            <w:shd w:val="clear" w:color="auto" w:fill="auto"/>
            <w:noWrap/>
            <w:vAlign w:val="bottom"/>
            <w:hideMark/>
          </w:tcPr>
          <w:p w14:paraId="06972F50" w14:textId="6F66365B"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229,910 </w:t>
            </w:r>
          </w:p>
        </w:tc>
        <w:tc>
          <w:tcPr>
            <w:tcW w:w="476" w:type="pct"/>
            <w:shd w:val="clear" w:color="auto" w:fill="auto"/>
            <w:noWrap/>
            <w:vAlign w:val="bottom"/>
            <w:hideMark/>
          </w:tcPr>
          <w:p w14:paraId="70FEBB5E" w14:textId="6FF2C2DA"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264,222 </w:t>
            </w:r>
          </w:p>
        </w:tc>
        <w:tc>
          <w:tcPr>
            <w:tcW w:w="435" w:type="pct"/>
            <w:shd w:val="clear" w:color="auto" w:fill="auto"/>
            <w:noWrap/>
            <w:vAlign w:val="bottom"/>
            <w:hideMark/>
          </w:tcPr>
          <w:p w14:paraId="776704E6" w14:textId="025AC5E3"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312,093 </w:t>
            </w:r>
          </w:p>
        </w:tc>
        <w:tc>
          <w:tcPr>
            <w:tcW w:w="476" w:type="pct"/>
            <w:shd w:val="clear" w:color="auto" w:fill="auto"/>
            <w:noWrap/>
            <w:vAlign w:val="bottom"/>
            <w:hideMark/>
          </w:tcPr>
          <w:p w14:paraId="4633E038" w14:textId="0CFF153A"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 364,582 </w:t>
            </w:r>
          </w:p>
        </w:tc>
        <w:tc>
          <w:tcPr>
            <w:tcW w:w="435" w:type="pct"/>
            <w:shd w:val="clear" w:color="auto" w:fill="auto"/>
            <w:noWrap/>
            <w:vAlign w:val="bottom"/>
            <w:hideMark/>
          </w:tcPr>
          <w:p w14:paraId="4F2D9724" w14:textId="113D93C6"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440,693 </w:t>
            </w:r>
          </w:p>
        </w:tc>
      </w:tr>
      <w:tr w:rsidR="00F2633B" w:rsidRPr="00242991" w14:paraId="2B8E8C64" w14:textId="77777777" w:rsidTr="00F2633B">
        <w:trPr>
          <w:trHeight w:val="288"/>
        </w:trPr>
        <w:tc>
          <w:tcPr>
            <w:tcW w:w="731" w:type="pct"/>
            <w:shd w:val="clear" w:color="auto" w:fill="auto"/>
            <w:noWrap/>
            <w:vAlign w:val="bottom"/>
            <w:hideMark/>
          </w:tcPr>
          <w:p w14:paraId="645D9775" w14:textId="77777777" w:rsidR="00F2633B" w:rsidRPr="00242991" w:rsidRDefault="00F2633B" w:rsidP="00436346">
            <w:pPr>
              <w:spacing w:after="0"/>
              <w:rPr>
                <w:rFonts w:eastAsia="Times New Roman" w:cstheme="minorHAnsi"/>
                <w:b/>
                <w:bCs/>
                <w:sz w:val="16"/>
                <w:szCs w:val="16"/>
              </w:rPr>
            </w:pPr>
            <w:r w:rsidRPr="00242991">
              <w:rPr>
                <w:rFonts w:eastAsia="Times New Roman" w:cstheme="minorHAnsi"/>
                <w:b/>
                <w:bCs/>
                <w:sz w:val="16"/>
                <w:szCs w:val="16"/>
              </w:rPr>
              <w:t>Guanfacine</w:t>
            </w:r>
          </w:p>
        </w:tc>
        <w:tc>
          <w:tcPr>
            <w:tcW w:w="367" w:type="pct"/>
            <w:shd w:val="clear" w:color="auto" w:fill="auto"/>
            <w:noWrap/>
            <w:vAlign w:val="bottom"/>
            <w:hideMark/>
          </w:tcPr>
          <w:p w14:paraId="75884761" w14:textId="77777777" w:rsidR="00F2633B" w:rsidRPr="00242991" w:rsidRDefault="00F2633B" w:rsidP="00E45D15">
            <w:pPr>
              <w:spacing w:after="0"/>
              <w:rPr>
                <w:rFonts w:eastAsia="Times New Roman" w:cstheme="minorHAnsi"/>
                <w:sz w:val="16"/>
                <w:szCs w:val="16"/>
              </w:rPr>
            </w:pPr>
          </w:p>
        </w:tc>
        <w:tc>
          <w:tcPr>
            <w:tcW w:w="366" w:type="pct"/>
            <w:shd w:val="clear" w:color="auto" w:fill="auto"/>
            <w:noWrap/>
            <w:vAlign w:val="bottom"/>
            <w:hideMark/>
          </w:tcPr>
          <w:p w14:paraId="08275951" w14:textId="77777777" w:rsidR="00F2633B" w:rsidRPr="00242991" w:rsidRDefault="00F2633B" w:rsidP="00E45D15">
            <w:pPr>
              <w:spacing w:after="0"/>
              <w:ind w:right="-102"/>
              <w:rPr>
                <w:rFonts w:eastAsia="Times New Roman" w:cstheme="minorHAnsi"/>
                <w:sz w:val="16"/>
                <w:szCs w:val="16"/>
              </w:rPr>
            </w:pPr>
          </w:p>
        </w:tc>
        <w:tc>
          <w:tcPr>
            <w:tcW w:w="435" w:type="pct"/>
            <w:shd w:val="clear" w:color="auto" w:fill="auto"/>
            <w:noWrap/>
            <w:vAlign w:val="bottom"/>
            <w:hideMark/>
          </w:tcPr>
          <w:p w14:paraId="689A1C50" w14:textId="77777777" w:rsidR="00F2633B" w:rsidRPr="00242991" w:rsidRDefault="00F2633B" w:rsidP="00E45D15">
            <w:pPr>
              <w:spacing w:after="0"/>
              <w:rPr>
                <w:rFonts w:eastAsia="Times New Roman" w:cstheme="minorHAnsi"/>
                <w:sz w:val="16"/>
                <w:szCs w:val="16"/>
              </w:rPr>
            </w:pPr>
          </w:p>
        </w:tc>
        <w:tc>
          <w:tcPr>
            <w:tcW w:w="429" w:type="pct"/>
            <w:shd w:val="clear" w:color="auto" w:fill="auto"/>
            <w:noWrap/>
            <w:vAlign w:val="bottom"/>
            <w:hideMark/>
          </w:tcPr>
          <w:p w14:paraId="7B3D297C" w14:textId="77777777" w:rsidR="00F2633B" w:rsidRPr="00242991" w:rsidRDefault="00F2633B" w:rsidP="00E45D15">
            <w:pPr>
              <w:spacing w:after="0"/>
              <w:rPr>
                <w:rFonts w:eastAsia="Times New Roman" w:cstheme="minorHAnsi"/>
                <w:sz w:val="16"/>
                <w:szCs w:val="16"/>
              </w:rPr>
            </w:pPr>
          </w:p>
        </w:tc>
        <w:tc>
          <w:tcPr>
            <w:tcW w:w="416" w:type="pct"/>
            <w:shd w:val="clear" w:color="auto" w:fill="auto"/>
            <w:noWrap/>
            <w:vAlign w:val="bottom"/>
            <w:hideMark/>
          </w:tcPr>
          <w:p w14:paraId="746D86FC" w14:textId="77777777" w:rsidR="00F2633B" w:rsidRPr="00242991" w:rsidRDefault="00F2633B" w:rsidP="00E45D15">
            <w:pPr>
              <w:spacing w:after="0"/>
              <w:rPr>
                <w:rFonts w:eastAsia="Times New Roman" w:cstheme="minorHAnsi"/>
                <w:sz w:val="16"/>
                <w:szCs w:val="16"/>
              </w:rPr>
            </w:pPr>
          </w:p>
        </w:tc>
        <w:tc>
          <w:tcPr>
            <w:tcW w:w="435" w:type="pct"/>
            <w:shd w:val="clear" w:color="auto" w:fill="auto"/>
            <w:noWrap/>
            <w:vAlign w:val="bottom"/>
            <w:hideMark/>
          </w:tcPr>
          <w:p w14:paraId="28E06503" w14:textId="26F0EE25"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51,592 </w:t>
            </w:r>
          </w:p>
        </w:tc>
        <w:tc>
          <w:tcPr>
            <w:tcW w:w="476" w:type="pct"/>
            <w:shd w:val="clear" w:color="auto" w:fill="auto"/>
            <w:noWrap/>
            <w:vAlign w:val="bottom"/>
            <w:hideMark/>
          </w:tcPr>
          <w:p w14:paraId="438FFA7B" w14:textId="6005E82E"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165,238 </w:t>
            </w:r>
          </w:p>
        </w:tc>
        <w:tc>
          <w:tcPr>
            <w:tcW w:w="435" w:type="pct"/>
            <w:shd w:val="clear" w:color="auto" w:fill="auto"/>
            <w:noWrap/>
            <w:vAlign w:val="bottom"/>
            <w:hideMark/>
          </w:tcPr>
          <w:p w14:paraId="05892B16" w14:textId="3E1111AC"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 236,289 </w:t>
            </w:r>
          </w:p>
        </w:tc>
        <w:tc>
          <w:tcPr>
            <w:tcW w:w="476" w:type="pct"/>
            <w:shd w:val="clear" w:color="auto" w:fill="auto"/>
            <w:noWrap/>
            <w:vAlign w:val="bottom"/>
            <w:hideMark/>
          </w:tcPr>
          <w:p w14:paraId="7A469BC4" w14:textId="724F0B30"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316,701 </w:t>
            </w:r>
          </w:p>
        </w:tc>
        <w:tc>
          <w:tcPr>
            <w:tcW w:w="435" w:type="pct"/>
            <w:shd w:val="clear" w:color="auto" w:fill="auto"/>
            <w:noWrap/>
            <w:vAlign w:val="bottom"/>
            <w:hideMark/>
          </w:tcPr>
          <w:p w14:paraId="01D2B7ED" w14:textId="2FDFC682"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409,535 </w:t>
            </w:r>
          </w:p>
        </w:tc>
      </w:tr>
      <w:tr w:rsidR="00F2633B" w:rsidRPr="00242991" w14:paraId="3F1E3EE4" w14:textId="77777777" w:rsidTr="008F0110">
        <w:trPr>
          <w:trHeight w:val="288"/>
        </w:trPr>
        <w:tc>
          <w:tcPr>
            <w:tcW w:w="731" w:type="pct"/>
            <w:tcBorders>
              <w:bottom w:val="single" w:sz="12" w:space="0" w:color="auto"/>
            </w:tcBorders>
            <w:shd w:val="clear" w:color="auto" w:fill="auto"/>
            <w:noWrap/>
            <w:vAlign w:val="bottom"/>
            <w:hideMark/>
          </w:tcPr>
          <w:p w14:paraId="16AC9829" w14:textId="77777777" w:rsidR="00F2633B" w:rsidRPr="00242991" w:rsidRDefault="00F2633B" w:rsidP="00436346">
            <w:pPr>
              <w:spacing w:after="0"/>
              <w:rPr>
                <w:rFonts w:eastAsia="Times New Roman" w:cstheme="minorHAnsi"/>
                <w:b/>
                <w:bCs/>
                <w:sz w:val="16"/>
                <w:szCs w:val="16"/>
              </w:rPr>
            </w:pPr>
            <w:r w:rsidRPr="00242991">
              <w:rPr>
                <w:rFonts w:eastAsia="Times New Roman" w:cstheme="minorHAnsi"/>
                <w:b/>
                <w:bCs/>
                <w:sz w:val="16"/>
                <w:szCs w:val="16"/>
              </w:rPr>
              <w:t>Atomoxetine</w:t>
            </w:r>
          </w:p>
        </w:tc>
        <w:tc>
          <w:tcPr>
            <w:tcW w:w="367" w:type="pct"/>
            <w:tcBorders>
              <w:bottom w:val="single" w:sz="12" w:space="0" w:color="auto"/>
            </w:tcBorders>
            <w:shd w:val="clear" w:color="auto" w:fill="auto"/>
            <w:noWrap/>
            <w:vAlign w:val="bottom"/>
            <w:hideMark/>
          </w:tcPr>
          <w:p w14:paraId="76561E31" w14:textId="244D52A5"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37,981 </w:t>
            </w:r>
          </w:p>
        </w:tc>
        <w:tc>
          <w:tcPr>
            <w:tcW w:w="366" w:type="pct"/>
            <w:tcBorders>
              <w:bottom w:val="single" w:sz="12" w:space="0" w:color="auto"/>
            </w:tcBorders>
            <w:shd w:val="clear" w:color="auto" w:fill="auto"/>
            <w:noWrap/>
            <w:vAlign w:val="bottom"/>
            <w:hideMark/>
          </w:tcPr>
          <w:p w14:paraId="60D13652" w14:textId="45683A90" w:rsidR="00F2633B" w:rsidRPr="00242991" w:rsidRDefault="00F2633B" w:rsidP="00E45D15">
            <w:pPr>
              <w:spacing w:after="0"/>
              <w:ind w:right="-102"/>
              <w:rPr>
                <w:rFonts w:eastAsia="Times New Roman" w:cstheme="minorHAnsi"/>
                <w:sz w:val="16"/>
                <w:szCs w:val="16"/>
              </w:rPr>
            </w:pPr>
            <w:r w:rsidRPr="00242991">
              <w:rPr>
                <w:rFonts w:eastAsia="Times New Roman" w:cstheme="minorHAnsi"/>
                <w:sz w:val="16"/>
                <w:szCs w:val="16"/>
              </w:rPr>
              <w:t xml:space="preserve"> 41,461 </w:t>
            </w:r>
          </w:p>
        </w:tc>
        <w:tc>
          <w:tcPr>
            <w:tcW w:w="435" w:type="pct"/>
            <w:tcBorders>
              <w:bottom w:val="single" w:sz="12" w:space="0" w:color="auto"/>
            </w:tcBorders>
            <w:shd w:val="clear" w:color="auto" w:fill="auto"/>
            <w:noWrap/>
            <w:vAlign w:val="bottom"/>
            <w:hideMark/>
          </w:tcPr>
          <w:p w14:paraId="551DDB67" w14:textId="4A9B901C"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45,005 </w:t>
            </w:r>
          </w:p>
        </w:tc>
        <w:tc>
          <w:tcPr>
            <w:tcW w:w="429" w:type="pct"/>
            <w:tcBorders>
              <w:bottom w:val="single" w:sz="12" w:space="0" w:color="auto"/>
            </w:tcBorders>
            <w:shd w:val="clear" w:color="auto" w:fill="auto"/>
            <w:noWrap/>
            <w:vAlign w:val="bottom"/>
            <w:hideMark/>
          </w:tcPr>
          <w:p w14:paraId="7576E2AB" w14:textId="4CF46E4B"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49,245 </w:t>
            </w:r>
          </w:p>
        </w:tc>
        <w:tc>
          <w:tcPr>
            <w:tcW w:w="416" w:type="pct"/>
            <w:tcBorders>
              <w:bottom w:val="single" w:sz="12" w:space="0" w:color="auto"/>
            </w:tcBorders>
            <w:shd w:val="clear" w:color="auto" w:fill="auto"/>
            <w:noWrap/>
            <w:vAlign w:val="bottom"/>
            <w:hideMark/>
          </w:tcPr>
          <w:p w14:paraId="6CE2BBAB" w14:textId="58381134"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53,950 </w:t>
            </w:r>
          </w:p>
        </w:tc>
        <w:tc>
          <w:tcPr>
            <w:tcW w:w="435" w:type="pct"/>
            <w:tcBorders>
              <w:bottom w:val="single" w:sz="12" w:space="0" w:color="auto"/>
            </w:tcBorders>
            <w:shd w:val="clear" w:color="auto" w:fill="auto"/>
            <w:noWrap/>
            <w:vAlign w:val="bottom"/>
            <w:hideMark/>
          </w:tcPr>
          <w:p w14:paraId="51469192" w14:textId="79F8EF8C"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 54,663 </w:t>
            </w:r>
          </w:p>
        </w:tc>
        <w:tc>
          <w:tcPr>
            <w:tcW w:w="476" w:type="pct"/>
            <w:tcBorders>
              <w:bottom w:val="single" w:sz="12" w:space="0" w:color="auto"/>
            </w:tcBorders>
            <w:shd w:val="clear" w:color="auto" w:fill="auto"/>
            <w:noWrap/>
            <w:vAlign w:val="bottom"/>
            <w:hideMark/>
          </w:tcPr>
          <w:p w14:paraId="1B4B7106" w14:textId="5E0AD122"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56,882 </w:t>
            </w:r>
          </w:p>
        </w:tc>
        <w:tc>
          <w:tcPr>
            <w:tcW w:w="435" w:type="pct"/>
            <w:tcBorders>
              <w:bottom w:val="single" w:sz="12" w:space="0" w:color="auto"/>
            </w:tcBorders>
            <w:shd w:val="clear" w:color="auto" w:fill="auto"/>
            <w:noWrap/>
            <w:vAlign w:val="bottom"/>
            <w:hideMark/>
          </w:tcPr>
          <w:p w14:paraId="383BA4A2" w14:textId="3BC89A3A"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63,282 </w:t>
            </w:r>
          </w:p>
        </w:tc>
        <w:tc>
          <w:tcPr>
            <w:tcW w:w="476" w:type="pct"/>
            <w:tcBorders>
              <w:bottom w:val="single" w:sz="12" w:space="0" w:color="auto"/>
            </w:tcBorders>
            <w:shd w:val="clear" w:color="auto" w:fill="auto"/>
            <w:noWrap/>
            <w:vAlign w:val="bottom"/>
            <w:hideMark/>
          </w:tcPr>
          <w:p w14:paraId="6327B031" w14:textId="6DF4603B"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69,940 </w:t>
            </w:r>
          </w:p>
        </w:tc>
        <w:tc>
          <w:tcPr>
            <w:tcW w:w="435" w:type="pct"/>
            <w:tcBorders>
              <w:bottom w:val="single" w:sz="12" w:space="0" w:color="auto"/>
            </w:tcBorders>
            <w:shd w:val="clear" w:color="auto" w:fill="auto"/>
            <w:noWrap/>
            <w:vAlign w:val="bottom"/>
            <w:hideMark/>
          </w:tcPr>
          <w:p w14:paraId="049F43BC" w14:textId="19D177E4"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76,965 </w:t>
            </w:r>
          </w:p>
        </w:tc>
      </w:tr>
      <w:tr w:rsidR="00F2633B" w:rsidRPr="00242991" w14:paraId="642D434D" w14:textId="77777777" w:rsidTr="008F0110">
        <w:trPr>
          <w:trHeight w:val="355"/>
        </w:trPr>
        <w:tc>
          <w:tcPr>
            <w:tcW w:w="731" w:type="pct"/>
            <w:tcBorders>
              <w:top w:val="single" w:sz="12" w:space="0" w:color="auto"/>
              <w:left w:val="single" w:sz="12" w:space="0" w:color="auto"/>
            </w:tcBorders>
            <w:shd w:val="clear" w:color="auto" w:fill="auto"/>
            <w:vAlign w:val="bottom"/>
          </w:tcPr>
          <w:p w14:paraId="28393979" w14:textId="0EF4DC00" w:rsidR="00F2633B" w:rsidRPr="00242991" w:rsidRDefault="00F2633B" w:rsidP="00436346">
            <w:pPr>
              <w:spacing w:after="0"/>
              <w:rPr>
                <w:rFonts w:eastAsia="Times New Roman" w:cstheme="minorHAnsi"/>
                <w:b/>
                <w:bCs/>
                <w:sz w:val="16"/>
                <w:szCs w:val="16"/>
              </w:rPr>
            </w:pPr>
            <w:r w:rsidRPr="00242991">
              <w:rPr>
                <w:rFonts w:eastAsia="Times New Roman" w:cstheme="minorHAnsi"/>
                <w:b/>
                <w:bCs/>
                <w:sz w:val="16"/>
                <w:szCs w:val="16"/>
              </w:rPr>
              <w:t>TOTAL</w:t>
            </w:r>
          </w:p>
        </w:tc>
        <w:tc>
          <w:tcPr>
            <w:tcW w:w="367" w:type="pct"/>
            <w:tcBorders>
              <w:top w:val="single" w:sz="12" w:space="0" w:color="auto"/>
            </w:tcBorders>
            <w:shd w:val="clear" w:color="auto" w:fill="auto"/>
            <w:noWrap/>
            <w:vAlign w:val="bottom"/>
          </w:tcPr>
          <w:p w14:paraId="365E9406" w14:textId="5762E8B5" w:rsidR="00F2633B" w:rsidRPr="00242991" w:rsidRDefault="00F2633B" w:rsidP="0008562C">
            <w:pPr>
              <w:spacing w:after="0"/>
              <w:ind w:right="-110"/>
              <w:rPr>
                <w:rFonts w:eastAsia="Times New Roman" w:cstheme="minorHAnsi"/>
                <w:sz w:val="16"/>
                <w:szCs w:val="16"/>
              </w:rPr>
            </w:pPr>
            <w:r w:rsidRPr="00242991">
              <w:rPr>
                <w:rFonts w:eastAsia="Times New Roman" w:cstheme="minorHAnsi"/>
                <w:sz w:val="16"/>
                <w:szCs w:val="16"/>
              </w:rPr>
              <w:t xml:space="preserve">834,286 </w:t>
            </w:r>
          </w:p>
        </w:tc>
        <w:tc>
          <w:tcPr>
            <w:tcW w:w="366" w:type="pct"/>
            <w:tcBorders>
              <w:top w:val="single" w:sz="12" w:space="0" w:color="auto"/>
            </w:tcBorders>
            <w:shd w:val="clear" w:color="auto" w:fill="auto"/>
            <w:noWrap/>
            <w:vAlign w:val="bottom"/>
          </w:tcPr>
          <w:p w14:paraId="65618571" w14:textId="7CFF1AEA" w:rsidR="00F2633B" w:rsidRPr="00242991" w:rsidRDefault="00F2633B" w:rsidP="0008562C">
            <w:pPr>
              <w:spacing w:after="0"/>
              <w:ind w:right="-110"/>
              <w:rPr>
                <w:rFonts w:eastAsia="Times New Roman" w:cstheme="minorHAnsi"/>
                <w:sz w:val="16"/>
                <w:szCs w:val="16"/>
              </w:rPr>
            </w:pPr>
            <w:r w:rsidRPr="00242991">
              <w:rPr>
                <w:rFonts w:eastAsia="Times New Roman" w:cstheme="minorHAnsi"/>
                <w:sz w:val="16"/>
                <w:szCs w:val="16"/>
              </w:rPr>
              <w:t xml:space="preserve">889,093 </w:t>
            </w:r>
          </w:p>
        </w:tc>
        <w:tc>
          <w:tcPr>
            <w:tcW w:w="435" w:type="pct"/>
            <w:tcBorders>
              <w:top w:val="single" w:sz="12" w:space="0" w:color="auto"/>
            </w:tcBorders>
            <w:shd w:val="clear" w:color="auto" w:fill="auto"/>
            <w:noWrap/>
            <w:vAlign w:val="bottom"/>
          </w:tcPr>
          <w:p w14:paraId="69492307" w14:textId="37EE8BBF" w:rsidR="00F2633B" w:rsidRPr="00242991" w:rsidRDefault="00F2633B" w:rsidP="0008562C">
            <w:pPr>
              <w:spacing w:after="0"/>
              <w:ind w:right="-110"/>
              <w:rPr>
                <w:rFonts w:eastAsia="Times New Roman" w:cstheme="minorHAnsi"/>
                <w:sz w:val="16"/>
                <w:szCs w:val="16"/>
              </w:rPr>
            </w:pPr>
            <w:r w:rsidRPr="00242991">
              <w:rPr>
                <w:rFonts w:eastAsia="Times New Roman" w:cstheme="minorHAnsi"/>
                <w:sz w:val="16"/>
                <w:szCs w:val="16"/>
              </w:rPr>
              <w:t xml:space="preserve">1,009,215 </w:t>
            </w:r>
          </w:p>
        </w:tc>
        <w:tc>
          <w:tcPr>
            <w:tcW w:w="429" w:type="pct"/>
            <w:tcBorders>
              <w:top w:val="single" w:sz="12" w:space="0" w:color="auto"/>
            </w:tcBorders>
            <w:shd w:val="clear" w:color="auto" w:fill="auto"/>
            <w:noWrap/>
            <w:vAlign w:val="bottom"/>
          </w:tcPr>
          <w:p w14:paraId="35D1C1B9" w14:textId="725232F5" w:rsidR="00F2633B" w:rsidRPr="00242991" w:rsidRDefault="00F2633B" w:rsidP="00E45D15">
            <w:pPr>
              <w:spacing w:after="0"/>
              <w:ind w:right="-108"/>
              <w:rPr>
                <w:rFonts w:eastAsia="Times New Roman" w:cstheme="minorHAnsi"/>
                <w:sz w:val="16"/>
                <w:szCs w:val="16"/>
              </w:rPr>
            </w:pPr>
            <w:r w:rsidRPr="00242991">
              <w:rPr>
                <w:rFonts w:eastAsia="Times New Roman" w:cstheme="minorHAnsi"/>
                <w:sz w:val="16"/>
                <w:szCs w:val="16"/>
              </w:rPr>
              <w:t xml:space="preserve">1,134,166 </w:t>
            </w:r>
          </w:p>
        </w:tc>
        <w:tc>
          <w:tcPr>
            <w:tcW w:w="416" w:type="pct"/>
            <w:tcBorders>
              <w:top w:val="single" w:sz="12" w:space="0" w:color="auto"/>
            </w:tcBorders>
            <w:shd w:val="clear" w:color="auto" w:fill="auto"/>
            <w:noWrap/>
            <w:vAlign w:val="bottom"/>
          </w:tcPr>
          <w:p w14:paraId="4B01AB8D" w14:textId="55C54B86" w:rsidR="00F2633B" w:rsidRPr="00242991" w:rsidRDefault="00F2633B" w:rsidP="00E45D15">
            <w:pPr>
              <w:spacing w:after="0"/>
              <w:ind w:right="-103"/>
              <w:rPr>
                <w:rFonts w:eastAsia="Times New Roman" w:cstheme="minorHAnsi"/>
                <w:sz w:val="16"/>
                <w:szCs w:val="16"/>
              </w:rPr>
            </w:pPr>
            <w:r w:rsidRPr="00242991">
              <w:rPr>
                <w:rFonts w:eastAsia="Times New Roman" w:cstheme="minorHAnsi"/>
                <w:sz w:val="16"/>
                <w:szCs w:val="16"/>
              </w:rPr>
              <w:t xml:space="preserve">1,264,514 </w:t>
            </w:r>
          </w:p>
        </w:tc>
        <w:tc>
          <w:tcPr>
            <w:tcW w:w="435" w:type="pct"/>
            <w:tcBorders>
              <w:top w:val="single" w:sz="12" w:space="0" w:color="auto"/>
            </w:tcBorders>
            <w:shd w:val="clear" w:color="auto" w:fill="auto"/>
            <w:noWrap/>
            <w:vAlign w:val="bottom"/>
          </w:tcPr>
          <w:p w14:paraId="1A1F15CB" w14:textId="02B095A2" w:rsidR="00F2633B" w:rsidRPr="00242991" w:rsidRDefault="00F2633B" w:rsidP="00E45D15">
            <w:pPr>
              <w:spacing w:after="0"/>
              <w:ind w:right="-112"/>
              <w:rPr>
                <w:rFonts w:eastAsia="Times New Roman" w:cstheme="minorHAnsi"/>
                <w:sz w:val="16"/>
                <w:szCs w:val="16"/>
              </w:rPr>
            </w:pPr>
            <w:r w:rsidRPr="00242991">
              <w:rPr>
                <w:rFonts w:eastAsia="Times New Roman" w:cstheme="minorHAnsi"/>
                <w:sz w:val="16"/>
                <w:szCs w:val="16"/>
              </w:rPr>
              <w:t xml:space="preserve">1,466,119 </w:t>
            </w:r>
          </w:p>
        </w:tc>
        <w:tc>
          <w:tcPr>
            <w:tcW w:w="476" w:type="pct"/>
            <w:tcBorders>
              <w:top w:val="single" w:sz="12" w:space="0" w:color="auto"/>
            </w:tcBorders>
            <w:shd w:val="clear" w:color="auto" w:fill="auto"/>
            <w:noWrap/>
            <w:vAlign w:val="bottom"/>
          </w:tcPr>
          <w:p w14:paraId="3593D0DB" w14:textId="4B00AEAC"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1,776,260 </w:t>
            </w:r>
          </w:p>
        </w:tc>
        <w:tc>
          <w:tcPr>
            <w:tcW w:w="435" w:type="pct"/>
            <w:tcBorders>
              <w:top w:val="single" w:sz="12" w:space="0" w:color="auto"/>
            </w:tcBorders>
            <w:shd w:val="clear" w:color="auto" w:fill="auto"/>
            <w:noWrap/>
            <w:vAlign w:val="bottom"/>
          </w:tcPr>
          <w:p w14:paraId="02C03FAC" w14:textId="12263E0E" w:rsidR="00F2633B" w:rsidRPr="00242991" w:rsidRDefault="00F2633B" w:rsidP="00E45D15">
            <w:pPr>
              <w:spacing w:after="0"/>
              <w:ind w:right="-110"/>
              <w:rPr>
                <w:rFonts w:eastAsia="Times New Roman" w:cstheme="minorHAnsi"/>
                <w:sz w:val="16"/>
                <w:szCs w:val="16"/>
              </w:rPr>
            </w:pPr>
            <w:r w:rsidRPr="00242991">
              <w:rPr>
                <w:rFonts w:eastAsia="Times New Roman" w:cstheme="minorHAnsi"/>
                <w:sz w:val="16"/>
                <w:szCs w:val="16"/>
              </w:rPr>
              <w:t xml:space="preserve">2,175,255 </w:t>
            </w:r>
          </w:p>
        </w:tc>
        <w:tc>
          <w:tcPr>
            <w:tcW w:w="476" w:type="pct"/>
            <w:tcBorders>
              <w:top w:val="single" w:sz="12" w:space="0" w:color="auto"/>
            </w:tcBorders>
            <w:shd w:val="clear" w:color="auto" w:fill="auto"/>
            <w:noWrap/>
            <w:vAlign w:val="bottom"/>
          </w:tcPr>
          <w:p w14:paraId="2457625B" w14:textId="7685E5CF"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 xml:space="preserve">2,796,681 </w:t>
            </w:r>
          </w:p>
        </w:tc>
        <w:tc>
          <w:tcPr>
            <w:tcW w:w="435" w:type="pct"/>
            <w:tcBorders>
              <w:top w:val="single" w:sz="12" w:space="0" w:color="auto"/>
              <w:right w:val="single" w:sz="12" w:space="0" w:color="auto"/>
            </w:tcBorders>
            <w:shd w:val="clear" w:color="auto" w:fill="auto"/>
            <w:noWrap/>
            <w:vAlign w:val="bottom"/>
          </w:tcPr>
          <w:p w14:paraId="476511BB" w14:textId="30DE168E" w:rsidR="00F2633B" w:rsidRPr="00242991" w:rsidRDefault="00F2633B" w:rsidP="00E45D15">
            <w:pPr>
              <w:spacing w:after="0"/>
              <w:ind w:right="-108"/>
              <w:rPr>
                <w:rFonts w:eastAsia="Times New Roman" w:cstheme="minorHAnsi"/>
                <w:sz w:val="16"/>
                <w:szCs w:val="16"/>
              </w:rPr>
            </w:pPr>
            <w:r w:rsidRPr="00242991">
              <w:rPr>
                <w:rFonts w:eastAsia="Times New Roman" w:cstheme="minorHAnsi"/>
                <w:sz w:val="16"/>
                <w:szCs w:val="16"/>
              </w:rPr>
              <w:t xml:space="preserve">3,612,286 </w:t>
            </w:r>
          </w:p>
        </w:tc>
      </w:tr>
      <w:tr w:rsidR="00F2633B" w:rsidRPr="00242991" w14:paraId="0C88A381" w14:textId="77777777" w:rsidTr="008F0110">
        <w:trPr>
          <w:trHeight w:val="494"/>
        </w:trPr>
        <w:tc>
          <w:tcPr>
            <w:tcW w:w="731" w:type="pct"/>
            <w:tcBorders>
              <w:left w:val="single" w:sz="12" w:space="0" w:color="auto"/>
              <w:bottom w:val="single" w:sz="12" w:space="0" w:color="auto"/>
            </w:tcBorders>
            <w:shd w:val="clear" w:color="auto" w:fill="auto"/>
            <w:vAlign w:val="bottom"/>
            <w:hideMark/>
          </w:tcPr>
          <w:p w14:paraId="065F9011" w14:textId="09A61F1E" w:rsidR="00F2633B" w:rsidRPr="00242991" w:rsidRDefault="00F2633B" w:rsidP="0008562C">
            <w:pPr>
              <w:spacing w:after="0"/>
              <w:rPr>
                <w:rFonts w:eastAsia="Times New Roman" w:cstheme="minorHAnsi"/>
                <w:b/>
                <w:bCs/>
                <w:sz w:val="16"/>
                <w:szCs w:val="16"/>
              </w:rPr>
            </w:pPr>
            <w:r w:rsidRPr="00242991">
              <w:rPr>
                <w:rFonts w:eastAsia="Times New Roman" w:cstheme="minorHAnsi"/>
                <w:b/>
                <w:bCs/>
                <w:sz w:val="16"/>
                <w:szCs w:val="16"/>
              </w:rPr>
              <w:t>Growth from previous year (%)</w:t>
            </w:r>
          </w:p>
        </w:tc>
        <w:tc>
          <w:tcPr>
            <w:tcW w:w="367" w:type="pct"/>
            <w:tcBorders>
              <w:bottom w:val="single" w:sz="12" w:space="0" w:color="auto"/>
            </w:tcBorders>
            <w:shd w:val="clear" w:color="auto" w:fill="auto"/>
            <w:noWrap/>
            <w:vAlign w:val="bottom"/>
            <w:hideMark/>
          </w:tcPr>
          <w:p w14:paraId="1B268A7C" w14:textId="77777777" w:rsidR="00F2633B" w:rsidRPr="00242991" w:rsidRDefault="00F2633B" w:rsidP="00E45D15">
            <w:pPr>
              <w:spacing w:after="0"/>
              <w:rPr>
                <w:rFonts w:eastAsia="Times New Roman" w:cstheme="minorHAnsi"/>
                <w:sz w:val="16"/>
                <w:szCs w:val="16"/>
              </w:rPr>
            </w:pPr>
          </w:p>
        </w:tc>
        <w:tc>
          <w:tcPr>
            <w:tcW w:w="366" w:type="pct"/>
            <w:tcBorders>
              <w:bottom w:val="single" w:sz="12" w:space="0" w:color="auto"/>
            </w:tcBorders>
            <w:shd w:val="clear" w:color="auto" w:fill="auto"/>
            <w:noWrap/>
            <w:vAlign w:val="center"/>
            <w:hideMark/>
          </w:tcPr>
          <w:p w14:paraId="309B7444" w14:textId="77777777"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6.6%</w:t>
            </w:r>
          </w:p>
        </w:tc>
        <w:tc>
          <w:tcPr>
            <w:tcW w:w="435" w:type="pct"/>
            <w:tcBorders>
              <w:bottom w:val="single" w:sz="12" w:space="0" w:color="auto"/>
            </w:tcBorders>
            <w:shd w:val="clear" w:color="auto" w:fill="auto"/>
            <w:noWrap/>
            <w:vAlign w:val="center"/>
            <w:hideMark/>
          </w:tcPr>
          <w:p w14:paraId="56C8178A" w14:textId="77777777"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13.5%</w:t>
            </w:r>
          </w:p>
        </w:tc>
        <w:tc>
          <w:tcPr>
            <w:tcW w:w="429" w:type="pct"/>
            <w:tcBorders>
              <w:bottom w:val="single" w:sz="12" w:space="0" w:color="auto"/>
            </w:tcBorders>
            <w:shd w:val="clear" w:color="auto" w:fill="auto"/>
            <w:noWrap/>
            <w:vAlign w:val="center"/>
            <w:hideMark/>
          </w:tcPr>
          <w:p w14:paraId="553BE3DF" w14:textId="77777777"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12.4%</w:t>
            </w:r>
          </w:p>
        </w:tc>
        <w:tc>
          <w:tcPr>
            <w:tcW w:w="416" w:type="pct"/>
            <w:tcBorders>
              <w:bottom w:val="single" w:sz="12" w:space="0" w:color="auto"/>
            </w:tcBorders>
            <w:shd w:val="clear" w:color="auto" w:fill="auto"/>
            <w:noWrap/>
            <w:vAlign w:val="center"/>
            <w:hideMark/>
          </w:tcPr>
          <w:p w14:paraId="75A1BA93" w14:textId="77777777"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11.5%</w:t>
            </w:r>
          </w:p>
        </w:tc>
        <w:tc>
          <w:tcPr>
            <w:tcW w:w="435" w:type="pct"/>
            <w:tcBorders>
              <w:bottom w:val="single" w:sz="12" w:space="0" w:color="auto"/>
            </w:tcBorders>
            <w:shd w:val="clear" w:color="auto" w:fill="auto"/>
            <w:noWrap/>
            <w:vAlign w:val="center"/>
            <w:hideMark/>
          </w:tcPr>
          <w:p w14:paraId="587F8E11" w14:textId="77777777"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15.9%</w:t>
            </w:r>
          </w:p>
        </w:tc>
        <w:tc>
          <w:tcPr>
            <w:tcW w:w="476" w:type="pct"/>
            <w:tcBorders>
              <w:bottom w:val="single" w:sz="12" w:space="0" w:color="auto"/>
            </w:tcBorders>
            <w:shd w:val="clear" w:color="auto" w:fill="auto"/>
            <w:noWrap/>
            <w:vAlign w:val="center"/>
            <w:hideMark/>
          </w:tcPr>
          <w:p w14:paraId="3079F4F9" w14:textId="77777777"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21.2%</w:t>
            </w:r>
          </w:p>
        </w:tc>
        <w:tc>
          <w:tcPr>
            <w:tcW w:w="435" w:type="pct"/>
            <w:tcBorders>
              <w:bottom w:val="single" w:sz="12" w:space="0" w:color="auto"/>
            </w:tcBorders>
            <w:shd w:val="clear" w:color="auto" w:fill="auto"/>
            <w:noWrap/>
            <w:vAlign w:val="center"/>
            <w:hideMark/>
          </w:tcPr>
          <w:p w14:paraId="51B7C348" w14:textId="77777777"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22.5%</w:t>
            </w:r>
          </w:p>
        </w:tc>
        <w:tc>
          <w:tcPr>
            <w:tcW w:w="476" w:type="pct"/>
            <w:tcBorders>
              <w:bottom w:val="single" w:sz="12" w:space="0" w:color="auto"/>
            </w:tcBorders>
            <w:shd w:val="clear" w:color="auto" w:fill="auto"/>
            <w:noWrap/>
            <w:vAlign w:val="center"/>
            <w:hideMark/>
          </w:tcPr>
          <w:p w14:paraId="11CB7E4C" w14:textId="77777777"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28.6%</w:t>
            </w:r>
          </w:p>
        </w:tc>
        <w:tc>
          <w:tcPr>
            <w:tcW w:w="435" w:type="pct"/>
            <w:tcBorders>
              <w:bottom w:val="single" w:sz="12" w:space="0" w:color="auto"/>
              <w:right w:val="single" w:sz="12" w:space="0" w:color="auto"/>
            </w:tcBorders>
            <w:shd w:val="clear" w:color="auto" w:fill="auto"/>
            <w:noWrap/>
            <w:vAlign w:val="center"/>
            <w:hideMark/>
          </w:tcPr>
          <w:p w14:paraId="46B8D49E" w14:textId="77777777" w:rsidR="00F2633B" w:rsidRPr="00242991" w:rsidRDefault="00F2633B" w:rsidP="00E45D15">
            <w:pPr>
              <w:spacing w:after="0"/>
              <w:rPr>
                <w:rFonts w:eastAsia="Times New Roman" w:cstheme="minorHAnsi"/>
                <w:sz w:val="16"/>
                <w:szCs w:val="16"/>
              </w:rPr>
            </w:pPr>
            <w:r w:rsidRPr="00242991">
              <w:rPr>
                <w:rFonts w:eastAsia="Times New Roman" w:cstheme="minorHAnsi"/>
                <w:sz w:val="16"/>
                <w:szCs w:val="16"/>
              </w:rPr>
              <w:t>29.2%</w:t>
            </w:r>
          </w:p>
        </w:tc>
      </w:tr>
    </w:tbl>
    <w:p w14:paraId="60E978E2" w14:textId="50977003" w:rsidR="00436346" w:rsidRPr="00242991" w:rsidRDefault="00436346" w:rsidP="0008562C">
      <w:pPr>
        <w:pStyle w:val="TableFooter"/>
        <w:ind w:left="-426"/>
      </w:pPr>
    </w:p>
    <w:p w14:paraId="0A6E0339" w14:textId="77777777" w:rsidR="00D82205" w:rsidRDefault="00D82205" w:rsidP="00215563">
      <w:pPr>
        <w:spacing w:line="276" w:lineRule="auto"/>
        <w:rPr>
          <w:b/>
          <w:i/>
        </w:rPr>
      </w:pPr>
    </w:p>
    <w:p w14:paraId="1AD5CF4C" w14:textId="77777777" w:rsidR="002B6EF9" w:rsidRPr="00242991" w:rsidRDefault="002B6EF9" w:rsidP="002B6EF9">
      <w:pPr>
        <w:spacing w:line="276" w:lineRule="auto"/>
        <w:rPr>
          <w:b/>
          <w:i/>
        </w:rPr>
      </w:pPr>
      <w:r w:rsidRPr="00242991">
        <w:rPr>
          <w:b/>
          <w:i/>
        </w:rPr>
        <w:lastRenderedPageBreak/>
        <w:t>Patients initiating and prevalent to ADHD therapy</w:t>
      </w:r>
    </w:p>
    <w:p w14:paraId="177E4EBC" w14:textId="77777777" w:rsidR="002B6EF9" w:rsidRDefault="002B6EF9" w:rsidP="002B6EF9">
      <w:pPr>
        <w:spacing w:before="240"/>
        <w:ind w:right="-454"/>
      </w:pPr>
      <w:r w:rsidRPr="00242991">
        <w:t>The total number of new patients starting ADHD medicines (initiating) and the number of patients treated with R/PBS-listed ADHD medicines each quarter (prevalent) are shown in Figure 2.</w:t>
      </w:r>
      <w:r w:rsidRPr="001D105D">
        <w:t xml:space="preserve"> </w:t>
      </w:r>
    </w:p>
    <w:p w14:paraId="4C631F3B" w14:textId="2D05324B" w:rsidR="00801BC4" w:rsidRPr="001D105D" w:rsidRDefault="001208F1" w:rsidP="00215563">
      <w:pPr>
        <w:spacing w:before="240"/>
      </w:pPr>
      <w:r>
        <w:rPr>
          <w:noProof/>
        </w:rPr>
        <w:drawing>
          <wp:inline distT="0" distB="0" distL="0" distR="0" wp14:anchorId="3B671F5E" wp14:editId="534515AE">
            <wp:extent cx="5832475" cy="4485736"/>
            <wp:effectExtent l="0" t="0" r="15875" b="10160"/>
            <wp:docPr id="18" name="Chart 18">
              <a:extLst xmlns:a="http://schemas.openxmlformats.org/drawingml/2006/main">
                <a:ext uri="{FF2B5EF4-FFF2-40B4-BE49-F238E27FC236}">
                  <a16:creationId xmlns:a16="http://schemas.microsoft.com/office/drawing/2014/main" id="{00D4B7E3-4566-4ADD-8978-6575D7E48A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DBAC006" w14:textId="77777777" w:rsidR="002B6EF9" w:rsidRPr="0028414E" w:rsidRDefault="002B6EF9" w:rsidP="002B6EF9">
      <w:pPr>
        <w:pStyle w:val="Figuretitle"/>
      </w:pPr>
      <w:r w:rsidRPr="0028414E">
        <w:t xml:space="preserve">Figure 2: </w:t>
      </w:r>
      <w:bookmarkStart w:id="4" w:name="_Hlk143075318"/>
      <w:r w:rsidRPr="0028414E">
        <w:t>Prevalent and initiating p</w:t>
      </w:r>
      <w:r>
        <w:t>eople</w:t>
      </w:r>
      <w:r w:rsidRPr="0028414E">
        <w:t xml:space="preserve"> receiving ADHD therapy per quarter </w:t>
      </w:r>
      <w:bookmarkEnd w:id="4"/>
    </w:p>
    <w:p w14:paraId="0065B0F3" w14:textId="77777777" w:rsidR="002B6EF9" w:rsidRDefault="002B6EF9" w:rsidP="002B6EF9"/>
    <w:p w14:paraId="58421D0A" w14:textId="77777777" w:rsidR="002B6EF9" w:rsidRPr="00242991" w:rsidRDefault="002B6EF9" w:rsidP="002B6EF9">
      <w:r w:rsidRPr="00242991">
        <w:t xml:space="preserve">The total number of </w:t>
      </w:r>
      <w:r>
        <w:t>people</w:t>
      </w:r>
      <w:r w:rsidRPr="00242991">
        <w:t xml:space="preserve"> on ADHD medicines has increased over time. The growth rate of </w:t>
      </w:r>
      <w:r>
        <w:t xml:space="preserve">the </w:t>
      </w:r>
      <w:r w:rsidRPr="00242991">
        <w:t>prevalent p</w:t>
      </w:r>
      <w:r>
        <w:t>opulation</w:t>
      </w:r>
      <w:r w:rsidRPr="00242991">
        <w:t xml:space="preserve"> from 2013Q3 to 2023Q1 was 242% for </w:t>
      </w:r>
      <w:r>
        <w:rPr>
          <w:rFonts w:cstheme="minorHAnsi"/>
        </w:rPr>
        <w:t>≤</w:t>
      </w:r>
      <w:r w:rsidRPr="00242991">
        <w:t xml:space="preserve">18 year olds, and 496% for </w:t>
      </w:r>
      <w:r>
        <w:t>&gt;</w:t>
      </w:r>
      <w:r w:rsidRPr="00242991">
        <w:t>18 year olds. This much larger increase in prevalent adult</w:t>
      </w:r>
      <w:r>
        <w:t>s</w:t>
      </w:r>
      <w:r w:rsidRPr="00242991">
        <w:t xml:space="preserve"> coincides with the restriction change to lisdexamfetamine in February 2021. </w:t>
      </w:r>
    </w:p>
    <w:p w14:paraId="7B60DC67" w14:textId="77777777" w:rsidR="002B6EF9" w:rsidRPr="00242991" w:rsidRDefault="002B6EF9" w:rsidP="002B6EF9">
      <w:r w:rsidRPr="00242991">
        <w:t>There is a</w:t>
      </w:r>
      <w:r>
        <w:t xml:space="preserve"> clear </w:t>
      </w:r>
      <w:r w:rsidRPr="00242991">
        <w:t>increase in adult</w:t>
      </w:r>
      <w:r>
        <w:t>s</w:t>
      </w:r>
      <w:r w:rsidRPr="00242991">
        <w:t xml:space="preserve"> </w:t>
      </w:r>
      <w:r>
        <w:t>(&gt;</w:t>
      </w:r>
      <w:r w:rsidRPr="00242991">
        <w:t>18 year olds</w:t>
      </w:r>
      <w:r>
        <w:t xml:space="preserve">) </w:t>
      </w:r>
      <w:r w:rsidRPr="00242991">
        <w:t>initiating ADHD therapy since the lisdexamfetamine restriction change.</w:t>
      </w:r>
    </w:p>
    <w:p w14:paraId="601A297F" w14:textId="201AE702" w:rsidR="00242991" w:rsidRDefault="00242991" w:rsidP="00215563">
      <w:pPr>
        <w:rPr>
          <w:rFonts w:eastAsia="MS Mincho" w:cs="Times New Roman"/>
        </w:rPr>
      </w:pPr>
    </w:p>
    <w:p w14:paraId="431D0055" w14:textId="4AA29718" w:rsidR="00864ECF" w:rsidRDefault="00864ECF" w:rsidP="00215563">
      <w:pPr>
        <w:rPr>
          <w:rFonts w:eastAsia="MS Mincho" w:cs="Times New Roman"/>
        </w:rPr>
      </w:pPr>
    </w:p>
    <w:p w14:paraId="5A8B41DE" w14:textId="2B6ACCCC" w:rsidR="00864ECF" w:rsidRDefault="00864ECF" w:rsidP="00215563">
      <w:pPr>
        <w:rPr>
          <w:rFonts w:eastAsia="MS Mincho" w:cs="Times New Roman"/>
        </w:rPr>
      </w:pPr>
    </w:p>
    <w:p w14:paraId="3B3F7E35" w14:textId="77777777" w:rsidR="00864ECF" w:rsidRDefault="00864ECF" w:rsidP="00215563">
      <w:pPr>
        <w:rPr>
          <w:rFonts w:eastAsia="MS Mincho" w:cs="Times New Roman"/>
        </w:rPr>
      </w:pPr>
    </w:p>
    <w:p w14:paraId="70169429" w14:textId="5A0A55B2" w:rsidR="008C30DC" w:rsidRPr="001D105D" w:rsidRDefault="009E3176" w:rsidP="00215563">
      <w:pPr>
        <w:rPr>
          <w:rFonts w:eastAsia="MS Mincho" w:cs="Times New Roman"/>
        </w:rPr>
      </w:pPr>
      <w:r w:rsidRPr="00242991">
        <w:rPr>
          <w:rFonts w:eastAsia="MS Mincho" w:cs="Times New Roman"/>
        </w:rPr>
        <w:lastRenderedPageBreak/>
        <w:t xml:space="preserve">Figure </w:t>
      </w:r>
      <w:r w:rsidR="00533BDE" w:rsidRPr="00242991">
        <w:rPr>
          <w:rFonts w:eastAsia="MS Mincho" w:cs="Times New Roman"/>
        </w:rPr>
        <w:t>3</w:t>
      </w:r>
      <w:r w:rsidR="009B1AF8">
        <w:rPr>
          <w:rFonts w:eastAsia="MS Mincho" w:cs="Times New Roman"/>
        </w:rPr>
        <w:t>a</w:t>
      </w:r>
      <w:r w:rsidR="008C30DC" w:rsidRPr="00242991">
        <w:rPr>
          <w:rFonts w:eastAsia="MS Mincho" w:cs="Times New Roman"/>
        </w:rPr>
        <w:t xml:space="preserve"> </w:t>
      </w:r>
      <w:r w:rsidR="00D07B7A" w:rsidRPr="00242991">
        <w:rPr>
          <w:rFonts w:eastAsia="MS Mincho" w:cs="Times New Roman"/>
        </w:rPr>
        <w:t>shows</w:t>
      </w:r>
      <w:r w:rsidR="008C30DC" w:rsidRPr="00242991">
        <w:rPr>
          <w:rFonts w:eastAsia="MS Mincho" w:cs="Times New Roman"/>
        </w:rPr>
        <w:t xml:space="preserve"> </w:t>
      </w:r>
      <w:r w:rsidR="0060654B" w:rsidRPr="00242991">
        <w:rPr>
          <w:rFonts w:eastAsia="MS Mincho" w:cs="Times New Roman"/>
        </w:rPr>
        <w:t xml:space="preserve">the </w:t>
      </w:r>
      <w:r w:rsidR="005A70D4" w:rsidRPr="00242991">
        <w:rPr>
          <w:rFonts w:eastAsia="MS Mincho" w:cs="Times New Roman"/>
        </w:rPr>
        <w:t xml:space="preserve">number </w:t>
      </w:r>
      <w:r w:rsidR="0060654B" w:rsidRPr="00242991">
        <w:rPr>
          <w:rFonts w:eastAsia="MS Mincho" w:cs="Times New Roman"/>
        </w:rPr>
        <w:t xml:space="preserve">of </w:t>
      </w:r>
      <w:r w:rsidR="005A70D4" w:rsidRPr="00242991">
        <w:rPr>
          <w:rFonts w:eastAsia="MS Mincho" w:cs="Times New Roman"/>
        </w:rPr>
        <w:t>init</w:t>
      </w:r>
      <w:r w:rsidR="002D59AD" w:rsidRPr="00242991">
        <w:rPr>
          <w:rFonts w:eastAsia="MS Mincho" w:cs="Times New Roman"/>
        </w:rPr>
        <w:t>i</w:t>
      </w:r>
      <w:r w:rsidR="005A70D4" w:rsidRPr="00242991">
        <w:rPr>
          <w:rFonts w:eastAsia="MS Mincho" w:cs="Times New Roman"/>
        </w:rPr>
        <w:t xml:space="preserve">ating </w:t>
      </w:r>
      <w:r w:rsidR="0060654B" w:rsidRPr="00242991">
        <w:rPr>
          <w:rFonts w:eastAsia="MS Mincho" w:cs="Times New Roman"/>
        </w:rPr>
        <w:t>p</w:t>
      </w:r>
      <w:r w:rsidR="002B6EF9">
        <w:rPr>
          <w:rFonts w:eastAsia="MS Mincho" w:cs="Times New Roman"/>
        </w:rPr>
        <w:t>eople</w:t>
      </w:r>
      <w:r w:rsidR="0060654B" w:rsidRPr="00242991">
        <w:rPr>
          <w:rFonts w:eastAsia="MS Mincho" w:cs="Times New Roman"/>
        </w:rPr>
        <w:t xml:space="preserve"> per quarter by their first ever </w:t>
      </w:r>
      <w:r w:rsidR="004100AB" w:rsidRPr="00242991">
        <w:rPr>
          <w:rFonts w:eastAsia="MS Mincho" w:cs="Times New Roman"/>
        </w:rPr>
        <w:t>R/</w:t>
      </w:r>
      <w:r w:rsidR="0060654B" w:rsidRPr="00242991">
        <w:rPr>
          <w:rFonts w:eastAsia="MS Mincho" w:cs="Times New Roman"/>
        </w:rPr>
        <w:t>PBS-subsidised ADHD medicine supplied</w:t>
      </w:r>
      <w:r w:rsidR="007D350E" w:rsidRPr="00242991">
        <w:rPr>
          <w:rFonts w:eastAsia="MS Mincho" w:cs="Times New Roman"/>
        </w:rPr>
        <w:t xml:space="preserve"> in 201</w:t>
      </w:r>
      <w:r w:rsidR="00562AE7" w:rsidRPr="00242991">
        <w:rPr>
          <w:rFonts w:eastAsia="MS Mincho" w:cs="Times New Roman"/>
        </w:rPr>
        <w:t>4</w:t>
      </w:r>
      <w:r w:rsidR="003F1D0E">
        <w:rPr>
          <w:rFonts w:eastAsia="MS Mincho" w:cs="Times New Roman"/>
        </w:rPr>
        <w:t>Q3</w:t>
      </w:r>
      <w:r w:rsidR="007D350E" w:rsidRPr="00242991">
        <w:rPr>
          <w:rFonts w:eastAsia="MS Mincho" w:cs="Times New Roman"/>
        </w:rPr>
        <w:t xml:space="preserve"> to 20</w:t>
      </w:r>
      <w:r w:rsidR="00562AE7" w:rsidRPr="00242991">
        <w:rPr>
          <w:rFonts w:eastAsia="MS Mincho" w:cs="Times New Roman"/>
        </w:rPr>
        <w:t>2</w:t>
      </w:r>
      <w:r w:rsidR="003F1D0E">
        <w:rPr>
          <w:rFonts w:eastAsia="MS Mincho" w:cs="Times New Roman"/>
        </w:rPr>
        <w:t>3Q2</w:t>
      </w:r>
      <w:r w:rsidRPr="00242991">
        <w:rPr>
          <w:rFonts w:eastAsia="MS Mincho" w:cs="Times New Roman"/>
        </w:rPr>
        <w:t>.</w:t>
      </w:r>
      <w:r w:rsidRPr="001D105D">
        <w:rPr>
          <w:rFonts w:eastAsia="MS Mincho" w:cs="Times New Roman"/>
        </w:rPr>
        <w:t xml:space="preserve"> </w:t>
      </w:r>
    </w:p>
    <w:p w14:paraId="743570C9" w14:textId="45831465" w:rsidR="0082780E" w:rsidRDefault="00166970" w:rsidP="00215563">
      <w:pPr>
        <w:pStyle w:val="Figuretitle"/>
      </w:pPr>
      <w:r>
        <w:rPr>
          <w:noProof/>
        </w:rPr>
        <w:drawing>
          <wp:inline distT="0" distB="0" distL="0" distR="0" wp14:anchorId="50B23EA8" wp14:editId="0162BD86">
            <wp:extent cx="5922645" cy="3856990"/>
            <wp:effectExtent l="0" t="0" r="1905" b="10160"/>
            <wp:docPr id="11" name="Chart 11">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34ED6F6" w14:textId="77777777" w:rsidR="002B6EF9" w:rsidRPr="00242991" w:rsidRDefault="002B6EF9" w:rsidP="002B6EF9">
      <w:pPr>
        <w:pStyle w:val="Figuretitle"/>
      </w:pPr>
      <w:bookmarkStart w:id="5" w:name="_Hlk143075330"/>
      <w:bookmarkStart w:id="6" w:name="_Hlk143075339"/>
      <w:r w:rsidRPr="00242991">
        <w:t>Figure 3a: Total number of p</w:t>
      </w:r>
      <w:r>
        <w:t>eople</w:t>
      </w:r>
      <w:r w:rsidRPr="00242991">
        <w:t xml:space="preserve"> initiating ADHD therapy by initiating medicine (i.e. first ever prescription for an ADHD medicine, not including clonidine)</w:t>
      </w:r>
    </w:p>
    <w:bookmarkEnd w:id="5"/>
    <w:p w14:paraId="22996FF7" w14:textId="77777777" w:rsidR="002B6EF9" w:rsidRPr="00242991" w:rsidRDefault="002B6EF9" w:rsidP="002B6EF9">
      <w:pPr>
        <w:pStyle w:val="Notes"/>
      </w:pPr>
    </w:p>
    <w:p w14:paraId="73690CFA" w14:textId="77777777" w:rsidR="002B6EF9" w:rsidRPr="00242991" w:rsidRDefault="002B6EF9" w:rsidP="002B6EF9">
      <w:pPr>
        <w:rPr>
          <w:rFonts w:eastAsia="MS Mincho" w:cs="Times New Roman"/>
        </w:rPr>
      </w:pPr>
      <w:bookmarkStart w:id="7" w:name="_Hlk144736407"/>
      <w:r>
        <w:rPr>
          <w:rFonts w:eastAsia="MS Mincho" w:cs="Times New Roman"/>
        </w:rPr>
        <w:t>Prior to the lisdexamfetamine restriction change, t</w:t>
      </w:r>
      <w:r w:rsidRPr="00242991">
        <w:rPr>
          <w:rFonts w:eastAsia="MS Mincho" w:cs="Times New Roman"/>
        </w:rPr>
        <w:t xml:space="preserve">he majority of initiating </w:t>
      </w:r>
      <w:r>
        <w:rPr>
          <w:rFonts w:eastAsia="MS Mincho" w:cs="Times New Roman"/>
        </w:rPr>
        <w:t>people</w:t>
      </w:r>
      <w:r w:rsidRPr="00242991">
        <w:rPr>
          <w:rFonts w:eastAsia="MS Mincho" w:cs="Times New Roman"/>
        </w:rPr>
        <w:t xml:space="preserve"> (Figure 3</w:t>
      </w:r>
      <w:r>
        <w:rPr>
          <w:rFonts w:eastAsia="MS Mincho" w:cs="Times New Roman"/>
        </w:rPr>
        <w:t>a</w:t>
      </w:r>
      <w:r w:rsidRPr="00242991">
        <w:rPr>
          <w:rFonts w:eastAsia="MS Mincho" w:cs="Times New Roman"/>
        </w:rPr>
        <w:t xml:space="preserve">) commence R/PBS ADHD therapy with short-acting medicines, particularly short-acting methylphenidate (MPH-IR). </w:t>
      </w:r>
      <w:r>
        <w:rPr>
          <w:rFonts w:eastAsia="MS Mincho" w:cs="Times New Roman"/>
        </w:rPr>
        <w:t>However, t</w:t>
      </w:r>
      <w:r w:rsidRPr="00242991">
        <w:rPr>
          <w:rFonts w:eastAsia="MS Mincho" w:cs="Times New Roman"/>
        </w:rPr>
        <w:t>here has been considerable uptake in lisdexamfetamine since its R/PBS listing in September 2015, and a large spike in uptake of lisdexamfetamine since the restriction change on 1 February 2021</w:t>
      </w:r>
      <w:r>
        <w:rPr>
          <w:rFonts w:eastAsia="MS Mincho" w:cs="Times New Roman"/>
        </w:rPr>
        <w:t>, which has resulted in lisdexamfetamine almost reaching parity with MPH-IR as the highest initiating ADHD medicine</w:t>
      </w:r>
      <w:r w:rsidRPr="00242991">
        <w:rPr>
          <w:rFonts w:eastAsia="MS Mincho" w:cs="Times New Roman"/>
        </w:rPr>
        <w:t xml:space="preserve">. </w:t>
      </w:r>
    </w:p>
    <w:p w14:paraId="2023C025" w14:textId="77777777" w:rsidR="002B6EF9" w:rsidRPr="00242991" w:rsidRDefault="002B6EF9" w:rsidP="002B6EF9">
      <w:pPr>
        <w:rPr>
          <w:rFonts w:eastAsia="MS Mincho" w:cs="Times New Roman"/>
        </w:rPr>
      </w:pPr>
      <w:r w:rsidRPr="00242991">
        <w:rPr>
          <w:rFonts w:eastAsia="MS Mincho" w:cs="Times New Roman"/>
        </w:rPr>
        <w:t xml:space="preserve">Guanfacine has </w:t>
      </w:r>
      <w:r>
        <w:rPr>
          <w:rFonts w:eastAsia="MS Mincho" w:cs="Times New Roman"/>
        </w:rPr>
        <w:t xml:space="preserve">marginally </w:t>
      </w:r>
      <w:r w:rsidRPr="00242991">
        <w:rPr>
          <w:rFonts w:eastAsia="MS Mincho" w:cs="Times New Roman"/>
        </w:rPr>
        <w:t xml:space="preserve">overtaken atomoxetine as the highest first initiated non-stimulant initial ADHD medication. </w:t>
      </w:r>
    </w:p>
    <w:p w14:paraId="168EFF85" w14:textId="77777777" w:rsidR="002B6EF9" w:rsidRDefault="002B6EF9" w:rsidP="002B6EF9">
      <w:pPr>
        <w:rPr>
          <w:rFonts w:eastAsia="MS Mincho" w:cs="Times New Roman"/>
        </w:rPr>
      </w:pPr>
      <w:r w:rsidRPr="00242991">
        <w:rPr>
          <w:rFonts w:eastAsia="MS Mincho" w:cs="Times New Roman"/>
        </w:rPr>
        <w:t xml:space="preserve">Use of atomoxetine is the lowest of all ADHD drug therapy by initiating </w:t>
      </w:r>
      <w:r>
        <w:rPr>
          <w:rFonts w:eastAsia="MS Mincho" w:cs="Times New Roman"/>
        </w:rPr>
        <w:t>population</w:t>
      </w:r>
      <w:r w:rsidRPr="00242991">
        <w:rPr>
          <w:rFonts w:eastAsia="MS Mincho" w:cs="Times New Roman"/>
        </w:rPr>
        <w:t>.</w:t>
      </w:r>
      <w:r>
        <w:rPr>
          <w:rFonts w:eastAsia="MS Mincho" w:cs="Times New Roman"/>
        </w:rPr>
        <w:t xml:space="preserve"> </w:t>
      </w:r>
    </w:p>
    <w:bookmarkEnd w:id="7"/>
    <w:p w14:paraId="24B149C4" w14:textId="77777777" w:rsidR="009E2A24" w:rsidRDefault="009E2A24" w:rsidP="009E2A24">
      <w:pPr>
        <w:pStyle w:val="Figuretitle"/>
      </w:pPr>
    </w:p>
    <w:p w14:paraId="4067BB6C" w14:textId="77777777" w:rsidR="009E2A24" w:rsidRDefault="009E2A24" w:rsidP="009E2A24">
      <w:pPr>
        <w:pStyle w:val="Figuretitle"/>
      </w:pPr>
      <w:r>
        <w:rPr>
          <w:noProof/>
        </w:rPr>
        <w:lastRenderedPageBreak/>
        <w:drawing>
          <wp:inline distT="0" distB="0" distL="0" distR="0" wp14:anchorId="26FFE30B" wp14:editId="312F3DC1">
            <wp:extent cx="5922645" cy="5410200"/>
            <wp:effectExtent l="0" t="0" r="1905" b="0"/>
            <wp:docPr id="1" name="Chart 1">
              <a:extLst xmlns:a="http://schemas.openxmlformats.org/drawingml/2006/main">
                <a:ext uri="{FF2B5EF4-FFF2-40B4-BE49-F238E27FC236}">
                  <a16:creationId xmlns:a16="http://schemas.microsoft.com/office/drawing/2014/main" id="{333DDC45-7D12-D28C-0987-19BBA07718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bookmarkEnd w:id="6"/>
    <w:p w14:paraId="53552763" w14:textId="77777777" w:rsidR="002B6EF9" w:rsidRPr="00242991" w:rsidRDefault="002B6EF9" w:rsidP="002B6EF9">
      <w:pPr>
        <w:pStyle w:val="Figuretitle"/>
      </w:pPr>
      <w:r w:rsidRPr="00242991">
        <w:t>Figure 3b: Number of p</w:t>
      </w:r>
      <w:r>
        <w:t>eople</w:t>
      </w:r>
      <w:r w:rsidRPr="00242991">
        <w:t xml:space="preserve"> </w:t>
      </w:r>
      <w:r w:rsidRPr="00242991">
        <w:rPr>
          <w:rFonts w:cstheme="minorHAnsi"/>
        </w:rPr>
        <w:t>&gt;</w:t>
      </w:r>
      <w:r w:rsidRPr="00242991">
        <w:t>18 years old initiating ADHD therapy by initiating medicine (i.e. first ever prescription for an ADHD medicine, not including clonidine)</w:t>
      </w:r>
    </w:p>
    <w:p w14:paraId="04D4EAFE" w14:textId="77777777" w:rsidR="002B6EF9" w:rsidRDefault="002B6EF9" w:rsidP="002B6EF9">
      <w:pPr>
        <w:rPr>
          <w:rFonts w:cs="Baskerville"/>
          <w:sz w:val="20"/>
          <w:szCs w:val="20"/>
        </w:rPr>
      </w:pPr>
    </w:p>
    <w:p w14:paraId="7747C692" w14:textId="77777777" w:rsidR="002B6EF9" w:rsidRPr="00242991" w:rsidRDefault="002B6EF9" w:rsidP="002B6EF9">
      <w:pPr>
        <w:rPr>
          <w:rFonts w:eastAsia="MS Mincho" w:cs="Times New Roman"/>
        </w:rPr>
      </w:pPr>
      <w:r w:rsidRPr="00242991">
        <w:rPr>
          <w:rFonts w:eastAsia="MS Mincho" w:cs="Times New Roman"/>
        </w:rPr>
        <w:t xml:space="preserve">Since 2014Q3, </w:t>
      </w:r>
      <w:r>
        <w:rPr>
          <w:rFonts w:eastAsia="MS Mincho" w:cs="Times New Roman"/>
        </w:rPr>
        <w:t xml:space="preserve">adults </w:t>
      </w:r>
      <w:r w:rsidRPr="00242991">
        <w:rPr>
          <w:rFonts w:eastAsia="MS Mincho" w:cs="Times New Roman"/>
        </w:rPr>
        <w:t xml:space="preserve">initiating </w:t>
      </w:r>
      <w:r>
        <w:rPr>
          <w:rFonts w:eastAsia="MS Mincho" w:cs="Times New Roman"/>
        </w:rPr>
        <w:t xml:space="preserve">ADHD treatment on dexamfetamine, MPH-IR and lisdexamfetamine </w:t>
      </w:r>
      <w:r w:rsidRPr="00242991">
        <w:rPr>
          <w:rFonts w:eastAsia="MS Mincho" w:cs="Times New Roman"/>
        </w:rPr>
        <w:t xml:space="preserve">in the </w:t>
      </w:r>
      <w:r>
        <w:rPr>
          <w:rFonts w:eastAsia="MS Mincho" w:cs="Times New Roman"/>
        </w:rPr>
        <w:t>&gt;</w:t>
      </w:r>
      <w:r w:rsidRPr="00242991">
        <w:rPr>
          <w:rFonts w:eastAsia="MS Mincho" w:cs="Times New Roman"/>
        </w:rPr>
        <w:t>18 year old population has increased. This increase was at a much slower rate until about 2019, when the growth of initiating p</w:t>
      </w:r>
      <w:r>
        <w:rPr>
          <w:rFonts w:eastAsia="MS Mincho" w:cs="Times New Roman"/>
        </w:rPr>
        <w:t>eople</w:t>
      </w:r>
      <w:r w:rsidRPr="00242991">
        <w:rPr>
          <w:rFonts w:eastAsia="MS Mincho" w:cs="Times New Roman"/>
        </w:rPr>
        <w:t xml:space="preserve"> started to accelerate. </w:t>
      </w:r>
    </w:p>
    <w:p w14:paraId="1799C701" w14:textId="77777777" w:rsidR="002B6EF9" w:rsidRDefault="002B6EF9" w:rsidP="002B6EF9">
      <w:pPr>
        <w:rPr>
          <w:rFonts w:eastAsia="MS Mincho" w:cs="Times New Roman"/>
        </w:rPr>
      </w:pPr>
      <w:r w:rsidRPr="00242991">
        <w:rPr>
          <w:rFonts w:eastAsia="MS Mincho" w:cs="Times New Roman"/>
        </w:rPr>
        <w:t>The change to the R/PBS lisdexamfetamine restriction on 1 February 2021 can clearly be seen to have impacted the use of ADHD therapy in initiating adult</w:t>
      </w:r>
      <w:r>
        <w:rPr>
          <w:rFonts w:eastAsia="MS Mincho" w:cs="Times New Roman"/>
        </w:rPr>
        <w:t>s</w:t>
      </w:r>
      <w:r w:rsidRPr="00242991">
        <w:rPr>
          <w:rFonts w:eastAsia="MS Mincho" w:cs="Times New Roman"/>
        </w:rPr>
        <w:t>, with the amount of p</w:t>
      </w:r>
      <w:r>
        <w:rPr>
          <w:rFonts w:eastAsia="MS Mincho" w:cs="Times New Roman"/>
        </w:rPr>
        <w:t>eople</w:t>
      </w:r>
      <w:r w:rsidRPr="00242991">
        <w:rPr>
          <w:rFonts w:eastAsia="MS Mincho" w:cs="Times New Roman"/>
        </w:rPr>
        <w:t xml:space="preserve"> increasing from </w:t>
      </w:r>
      <w:r>
        <w:rPr>
          <w:rFonts w:eastAsia="MS Mincho" w:cs="Times New Roman"/>
        </w:rPr>
        <w:t xml:space="preserve">530 </w:t>
      </w:r>
      <w:r w:rsidRPr="00242991">
        <w:rPr>
          <w:rFonts w:eastAsia="MS Mincho" w:cs="Times New Roman"/>
        </w:rPr>
        <w:t xml:space="preserve">in 2020Q4 to </w:t>
      </w:r>
      <w:r>
        <w:rPr>
          <w:rFonts w:eastAsia="MS Mincho" w:cs="Times New Roman"/>
        </w:rPr>
        <w:t xml:space="preserve">3,198 </w:t>
      </w:r>
      <w:r w:rsidRPr="00242991">
        <w:rPr>
          <w:rFonts w:eastAsia="MS Mincho" w:cs="Times New Roman"/>
        </w:rPr>
        <w:t xml:space="preserve">in 2021Q1 (which only included restriction change data from February). By the last quarter of data available (2023Q2), </w:t>
      </w:r>
      <w:r>
        <w:rPr>
          <w:rFonts w:eastAsia="MS Mincho" w:cs="Times New Roman"/>
        </w:rPr>
        <w:t>9,962</w:t>
      </w:r>
      <w:r w:rsidRPr="00242991">
        <w:rPr>
          <w:rFonts w:eastAsia="MS Mincho" w:cs="Times New Roman"/>
        </w:rPr>
        <w:t xml:space="preserve"> adults </w:t>
      </w:r>
      <w:r>
        <w:rPr>
          <w:rFonts w:eastAsia="MS Mincho" w:cs="Times New Roman"/>
        </w:rPr>
        <w:t xml:space="preserve">diagnosed with ADHD </w:t>
      </w:r>
      <w:r w:rsidRPr="00242991">
        <w:rPr>
          <w:rFonts w:eastAsia="MS Mincho" w:cs="Times New Roman"/>
        </w:rPr>
        <w:t xml:space="preserve">initiated </w:t>
      </w:r>
      <w:r>
        <w:rPr>
          <w:rFonts w:eastAsia="MS Mincho" w:cs="Times New Roman"/>
        </w:rPr>
        <w:t xml:space="preserve">treatment on </w:t>
      </w:r>
      <w:r w:rsidRPr="00242991">
        <w:rPr>
          <w:rFonts w:eastAsia="MS Mincho" w:cs="Times New Roman"/>
        </w:rPr>
        <w:t>lisdexamfetamine.</w:t>
      </w:r>
      <w:r>
        <w:rPr>
          <w:rFonts w:eastAsia="MS Mincho" w:cs="Times New Roman"/>
        </w:rPr>
        <w:t xml:space="preserve"> </w:t>
      </w:r>
    </w:p>
    <w:p w14:paraId="3D78B355" w14:textId="77777777" w:rsidR="009E2A24" w:rsidRDefault="009E2A24" w:rsidP="009E2A24">
      <w:pPr>
        <w:rPr>
          <w:rFonts w:eastAsia="MS Mincho" w:cs="Times New Roman"/>
        </w:rPr>
      </w:pPr>
    </w:p>
    <w:p w14:paraId="5A84ABCE" w14:textId="77777777" w:rsidR="009E2A24" w:rsidRDefault="009E2A24" w:rsidP="009E2A24">
      <w:pPr>
        <w:rPr>
          <w:rFonts w:eastAsia="MS Mincho" w:cs="Times New Roman"/>
        </w:rPr>
      </w:pPr>
    </w:p>
    <w:p w14:paraId="2EBFD534" w14:textId="77777777" w:rsidR="009E2A24" w:rsidRDefault="009E2A24" w:rsidP="009E2A24">
      <w:pPr>
        <w:pStyle w:val="Figuretitle"/>
      </w:pPr>
      <w:bookmarkStart w:id="8" w:name="_Hlk143075350"/>
      <w:r>
        <w:rPr>
          <w:noProof/>
        </w:rPr>
        <w:lastRenderedPageBreak/>
        <w:drawing>
          <wp:inline distT="0" distB="0" distL="0" distR="0" wp14:anchorId="7CD6C0E5" wp14:editId="673A76B2">
            <wp:extent cx="5922645" cy="4076700"/>
            <wp:effectExtent l="0" t="0" r="1905" b="0"/>
            <wp:docPr id="12" name="Chart 12">
              <a:extLst xmlns:a="http://schemas.openxmlformats.org/drawingml/2006/main">
                <a:ext uri="{FF2B5EF4-FFF2-40B4-BE49-F238E27FC236}">
                  <a16:creationId xmlns:a16="http://schemas.microsoft.com/office/drawing/2014/main" id="{C98A82EA-A0B5-5646-50D6-8DE103192E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bookmarkEnd w:id="8"/>
    <w:p w14:paraId="597F09D3" w14:textId="77777777" w:rsidR="002B6EF9" w:rsidRPr="00242991" w:rsidRDefault="002B6EF9" w:rsidP="002B6EF9">
      <w:pPr>
        <w:pStyle w:val="Figuretitle"/>
      </w:pPr>
      <w:r w:rsidRPr="00242991">
        <w:t>Figure 3c: Number of p</w:t>
      </w:r>
      <w:r>
        <w:t>eople</w:t>
      </w:r>
      <w:r w:rsidRPr="00242991">
        <w:t xml:space="preserve"> </w:t>
      </w:r>
      <w:r w:rsidRPr="00242991">
        <w:rPr>
          <w:rFonts w:cstheme="minorHAnsi"/>
        </w:rPr>
        <w:t>≤</w:t>
      </w:r>
      <w:r w:rsidRPr="00242991">
        <w:t>18 years old initiating ADHD therapy by initiating medicine (i.e. first ever prescription for an ADHD medicine, not including clonidine)</w:t>
      </w:r>
    </w:p>
    <w:p w14:paraId="79A8D910" w14:textId="77777777" w:rsidR="002B6EF9" w:rsidRPr="00242991" w:rsidRDefault="002B6EF9" w:rsidP="002B6EF9">
      <w:pPr>
        <w:pStyle w:val="Notes"/>
      </w:pPr>
    </w:p>
    <w:p w14:paraId="5D9C2CDA" w14:textId="77777777" w:rsidR="002B6EF9" w:rsidRPr="00242991" w:rsidRDefault="002B6EF9" w:rsidP="002B6EF9">
      <w:pPr>
        <w:rPr>
          <w:rFonts w:eastAsia="MS Mincho" w:cs="Times New Roman"/>
        </w:rPr>
      </w:pPr>
      <w:r w:rsidRPr="00242991">
        <w:rPr>
          <w:rFonts w:eastAsia="MS Mincho" w:cs="Times New Roman"/>
        </w:rPr>
        <w:t xml:space="preserve">Since 2014Q3, initiating use of all ADHD medicines (apart from atomoxetine) in the </w:t>
      </w:r>
      <w:r>
        <w:rPr>
          <w:rFonts w:cstheme="minorHAnsi"/>
        </w:rPr>
        <w:t>≤</w:t>
      </w:r>
      <w:r w:rsidRPr="00242991">
        <w:rPr>
          <w:rFonts w:eastAsia="MS Mincho" w:cs="Times New Roman"/>
        </w:rPr>
        <w:t xml:space="preserve">18 years old population has increased. </w:t>
      </w:r>
    </w:p>
    <w:p w14:paraId="4B7192B8" w14:textId="77777777" w:rsidR="002B6EF9" w:rsidRPr="00242991" w:rsidRDefault="002B6EF9" w:rsidP="002B6EF9">
      <w:pPr>
        <w:rPr>
          <w:rFonts w:eastAsia="MS Mincho" w:cs="Times New Roman"/>
        </w:rPr>
      </w:pPr>
      <w:r w:rsidRPr="00242991">
        <w:rPr>
          <w:rFonts w:eastAsia="MS Mincho" w:cs="Times New Roman"/>
        </w:rPr>
        <w:t>The majority of initiating p</w:t>
      </w:r>
      <w:r>
        <w:rPr>
          <w:rFonts w:eastAsia="MS Mincho" w:cs="Times New Roman"/>
        </w:rPr>
        <w:t>eople</w:t>
      </w:r>
      <w:r w:rsidRPr="00242991">
        <w:rPr>
          <w:rFonts w:eastAsia="MS Mincho" w:cs="Times New Roman"/>
        </w:rPr>
        <w:t xml:space="preserve"> </w:t>
      </w:r>
      <w:r>
        <w:rPr>
          <w:rFonts w:cstheme="minorHAnsi"/>
        </w:rPr>
        <w:t>≤</w:t>
      </w:r>
      <w:r w:rsidRPr="00242991">
        <w:rPr>
          <w:rFonts w:eastAsia="MS Mincho" w:cs="Times New Roman"/>
        </w:rPr>
        <w:t>18 years of age commence R/PBS therapy with short-acting methylphenidate (MPH-IR). There has been considerable uptake in lisdexamfetamine since its R/PBS listing in September 2015.</w:t>
      </w:r>
    </w:p>
    <w:p w14:paraId="5F16696B" w14:textId="77777777" w:rsidR="002B6EF9" w:rsidRPr="00242991" w:rsidRDefault="002B6EF9" w:rsidP="002B6EF9">
      <w:pPr>
        <w:rPr>
          <w:rFonts w:eastAsia="MS Mincho" w:cs="Times New Roman"/>
        </w:rPr>
      </w:pPr>
      <w:r w:rsidRPr="00242991">
        <w:rPr>
          <w:rFonts w:eastAsia="MS Mincho" w:cs="Times New Roman"/>
        </w:rPr>
        <w:t>Guanfacine, which was listed on 1 September 2018, has overtaken atomoxetine as the first initiated non-stimulant initial ADHD medication.</w:t>
      </w:r>
    </w:p>
    <w:p w14:paraId="79D72022" w14:textId="77777777" w:rsidR="002B6EF9" w:rsidRDefault="002B6EF9" w:rsidP="002B6EF9">
      <w:pPr>
        <w:rPr>
          <w:rFonts w:eastAsia="MS Mincho" w:cs="Times New Roman"/>
        </w:rPr>
      </w:pPr>
    </w:p>
    <w:p w14:paraId="4CF8B8A1" w14:textId="77777777" w:rsidR="002B6EF9" w:rsidRPr="00242991" w:rsidRDefault="002B6EF9" w:rsidP="002B6EF9">
      <w:pPr>
        <w:rPr>
          <w:rFonts w:eastAsia="MS Mincho" w:cs="Times New Roman"/>
        </w:rPr>
      </w:pPr>
      <w:r w:rsidRPr="00242991">
        <w:rPr>
          <w:rFonts w:eastAsia="MS Mincho" w:cs="Times New Roman"/>
        </w:rPr>
        <w:t xml:space="preserve">Figure 4a depicts the </w:t>
      </w:r>
      <w:r>
        <w:rPr>
          <w:rFonts w:eastAsia="MS Mincho" w:cs="Times New Roman"/>
        </w:rPr>
        <w:t xml:space="preserve">total </w:t>
      </w:r>
      <w:r w:rsidRPr="00242991">
        <w:rPr>
          <w:rFonts w:eastAsia="MS Mincho" w:cs="Times New Roman"/>
        </w:rPr>
        <w:t xml:space="preserve">number of prevalent </w:t>
      </w:r>
      <w:r>
        <w:rPr>
          <w:rFonts w:eastAsia="MS Mincho" w:cs="Times New Roman"/>
        </w:rPr>
        <w:t>people</w:t>
      </w:r>
      <w:r w:rsidRPr="00242991">
        <w:rPr>
          <w:rFonts w:eastAsia="MS Mincho" w:cs="Times New Roman"/>
        </w:rPr>
        <w:t xml:space="preserve"> per quarter for each ADHD medicine supplied from 2013Q3 to 2023Q2. </w:t>
      </w:r>
    </w:p>
    <w:p w14:paraId="7CCFD120" w14:textId="77777777" w:rsidR="002B6EF9" w:rsidRPr="00242991" w:rsidRDefault="002B6EF9" w:rsidP="002B6EF9">
      <w:pPr>
        <w:rPr>
          <w:rFonts w:eastAsia="MS Mincho" w:cs="Times New Roman"/>
        </w:rPr>
      </w:pPr>
      <w:r w:rsidRPr="00242991">
        <w:rPr>
          <w:rFonts w:eastAsia="MS Mincho" w:cs="Times New Roman"/>
        </w:rPr>
        <w:t xml:space="preserve">Figure 4b depicts the number of prevalent </w:t>
      </w:r>
      <w:r>
        <w:rPr>
          <w:rFonts w:eastAsia="MS Mincho" w:cs="Times New Roman"/>
        </w:rPr>
        <w:t>people &gt;</w:t>
      </w:r>
      <w:r w:rsidRPr="00242991">
        <w:rPr>
          <w:rFonts w:eastAsia="MS Mincho" w:cs="Times New Roman"/>
        </w:rPr>
        <w:t xml:space="preserve">18 years old, per quarter for each ADHD medicine supplied from 2013Q3 to 2023Q2. </w:t>
      </w:r>
    </w:p>
    <w:p w14:paraId="4B96B442" w14:textId="77777777" w:rsidR="002B6EF9" w:rsidRPr="001D105D" w:rsidRDefault="002B6EF9" w:rsidP="002B6EF9">
      <w:pPr>
        <w:rPr>
          <w:rFonts w:eastAsia="MS Mincho" w:cs="Times New Roman"/>
        </w:rPr>
      </w:pPr>
      <w:r w:rsidRPr="00242991">
        <w:rPr>
          <w:rFonts w:eastAsia="MS Mincho" w:cs="Times New Roman"/>
        </w:rPr>
        <w:t>Figure 4c depicts the number of prevalent p</w:t>
      </w:r>
      <w:r>
        <w:rPr>
          <w:rFonts w:eastAsia="MS Mincho" w:cs="Times New Roman"/>
        </w:rPr>
        <w:t>eople</w:t>
      </w:r>
      <w:r w:rsidRPr="00242991">
        <w:rPr>
          <w:rFonts w:eastAsia="MS Mincho" w:cs="Times New Roman"/>
        </w:rPr>
        <w:t xml:space="preserve"> </w:t>
      </w:r>
      <w:r>
        <w:rPr>
          <w:rFonts w:cstheme="minorHAnsi"/>
        </w:rPr>
        <w:t>≤</w:t>
      </w:r>
      <w:r w:rsidRPr="00242991">
        <w:rPr>
          <w:rFonts w:eastAsia="MS Mincho" w:cs="Times New Roman"/>
        </w:rPr>
        <w:t xml:space="preserve">18 years </w:t>
      </w:r>
      <w:r>
        <w:rPr>
          <w:rFonts w:eastAsia="MS Mincho" w:cs="Times New Roman"/>
        </w:rPr>
        <w:t>old</w:t>
      </w:r>
      <w:r w:rsidRPr="00242991">
        <w:rPr>
          <w:rFonts w:eastAsia="MS Mincho" w:cs="Times New Roman"/>
        </w:rPr>
        <w:t xml:space="preserve">, per quarter for each ADHD medicine supplied from 2013Q3 to 2023Q2. </w:t>
      </w:r>
    </w:p>
    <w:p w14:paraId="6F8E16B9" w14:textId="77777777" w:rsidR="002B6EF9" w:rsidRPr="001D105D" w:rsidRDefault="002B6EF9" w:rsidP="002B6EF9">
      <w:pPr>
        <w:rPr>
          <w:rFonts w:eastAsia="MS Mincho" w:cs="Times New Roman"/>
        </w:rPr>
      </w:pPr>
      <w:r>
        <w:rPr>
          <w:rFonts w:eastAsia="MS Mincho" w:cs="Times New Roman"/>
        </w:rPr>
        <w:t xml:space="preserve">In figures 4a, 4b and 4c, </w:t>
      </w:r>
      <w:r w:rsidRPr="00242991">
        <w:rPr>
          <w:rFonts w:eastAsia="MS Mincho" w:cs="Times New Roman"/>
        </w:rPr>
        <w:t>a p</w:t>
      </w:r>
      <w:r>
        <w:rPr>
          <w:rFonts w:eastAsia="MS Mincho" w:cs="Times New Roman"/>
        </w:rPr>
        <w:t>erson</w:t>
      </w:r>
      <w:r w:rsidRPr="00242991">
        <w:rPr>
          <w:rFonts w:eastAsia="MS Mincho" w:cs="Times New Roman"/>
        </w:rPr>
        <w:t xml:space="preserve"> may be supplied more than one ADHD medicine in the same quarter.</w:t>
      </w:r>
    </w:p>
    <w:p w14:paraId="366B032A" w14:textId="7A1DE215" w:rsidR="001208F1" w:rsidRDefault="001208F1" w:rsidP="00215563">
      <w:pPr>
        <w:pStyle w:val="Figuretitle"/>
      </w:pPr>
      <w:r>
        <w:rPr>
          <w:noProof/>
        </w:rPr>
        <w:lastRenderedPageBreak/>
        <w:drawing>
          <wp:inline distT="0" distB="0" distL="0" distR="0" wp14:anchorId="67774081" wp14:editId="2B4D4113">
            <wp:extent cx="5832475" cy="2932981"/>
            <wp:effectExtent l="0" t="0" r="15875" b="1270"/>
            <wp:docPr id="22" name="Chart 22">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1E58B65" w14:textId="77777777" w:rsidR="002B6EF9" w:rsidRPr="00242991" w:rsidRDefault="002B6EF9" w:rsidP="002B6EF9">
      <w:pPr>
        <w:pStyle w:val="Figuretitle"/>
      </w:pPr>
      <w:bookmarkStart w:id="9" w:name="_Hlk143075359"/>
      <w:r w:rsidRPr="00242991">
        <w:t>Figure 4a: Prevalent p</w:t>
      </w:r>
      <w:r>
        <w:t>eople</w:t>
      </w:r>
      <w:r w:rsidRPr="00242991">
        <w:t xml:space="preserve"> treated with each ADHD medicine per quarter</w:t>
      </w:r>
    </w:p>
    <w:bookmarkEnd w:id="9"/>
    <w:p w14:paraId="4E216653" w14:textId="77777777" w:rsidR="002B6EF9" w:rsidRPr="00242991" w:rsidRDefault="002B6EF9" w:rsidP="002B6EF9">
      <w:pPr>
        <w:rPr>
          <w:rFonts w:eastAsia="MS Mincho" w:cs="Times New Roman"/>
        </w:rPr>
      </w:pPr>
      <w:r w:rsidRPr="00242991">
        <w:rPr>
          <w:rFonts w:eastAsia="MS Mincho" w:cs="Times New Roman"/>
        </w:rPr>
        <w:t xml:space="preserve">When considering the number of prevalent </w:t>
      </w:r>
      <w:r>
        <w:rPr>
          <w:rFonts w:eastAsia="MS Mincho" w:cs="Times New Roman"/>
        </w:rPr>
        <w:t>people</w:t>
      </w:r>
      <w:r w:rsidRPr="00242991">
        <w:rPr>
          <w:rFonts w:eastAsia="MS Mincho" w:cs="Times New Roman"/>
        </w:rPr>
        <w:t xml:space="preserve"> treated across all years (Figure 4a and Table 2a), long-acting methylphenidate was </w:t>
      </w:r>
      <w:r>
        <w:rPr>
          <w:rFonts w:eastAsia="MS Mincho" w:cs="Times New Roman"/>
        </w:rPr>
        <w:t>used by the most people</w:t>
      </w:r>
      <w:r w:rsidRPr="00242991">
        <w:rPr>
          <w:rFonts w:eastAsia="MS Mincho" w:cs="Times New Roman"/>
        </w:rPr>
        <w:t xml:space="preserve"> until 2021Q4, when lisdexamfetamine became the most used medicine. </w:t>
      </w:r>
    </w:p>
    <w:p w14:paraId="725F66AD" w14:textId="77777777" w:rsidR="002B6EF9" w:rsidRPr="00242991" w:rsidRDefault="002B6EF9" w:rsidP="002B6EF9">
      <w:pPr>
        <w:rPr>
          <w:rFonts w:eastAsia="MS Mincho" w:cs="Times New Roman"/>
        </w:rPr>
      </w:pPr>
      <w:r w:rsidRPr="00242991">
        <w:rPr>
          <w:rFonts w:eastAsia="MS Mincho" w:cs="Times New Roman"/>
        </w:rPr>
        <w:t>Atomoxetine is used in a small proportion of p</w:t>
      </w:r>
      <w:r>
        <w:rPr>
          <w:rFonts w:eastAsia="MS Mincho" w:cs="Times New Roman"/>
        </w:rPr>
        <w:t>eople</w:t>
      </w:r>
      <w:r w:rsidRPr="00242991">
        <w:rPr>
          <w:rFonts w:eastAsia="MS Mincho" w:cs="Times New Roman"/>
        </w:rPr>
        <w:t xml:space="preserve"> and has shown very low growth, which is somewhat surprising considering the substantial uptake of guanfacine since its R/PBS listing in September 2018. </w:t>
      </w:r>
    </w:p>
    <w:p w14:paraId="50F2E399" w14:textId="77777777" w:rsidR="002B6EF9" w:rsidRPr="00242991" w:rsidRDefault="002B6EF9" w:rsidP="002B6EF9">
      <w:pPr>
        <w:rPr>
          <w:rFonts w:eastAsia="MS Mincho" w:cs="Times New Roman"/>
        </w:rPr>
      </w:pPr>
      <w:r w:rsidRPr="00242991">
        <w:rPr>
          <w:rFonts w:eastAsia="MS Mincho" w:cs="Times New Roman"/>
        </w:rPr>
        <w:t xml:space="preserve">Overall, the data shows a steady increase in the number of ADHD patients, with a much higher increase starting from 2018-2019 (growth rate of </w:t>
      </w:r>
      <w:r>
        <w:rPr>
          <w:rFonts w:eastAsia="MS Mincho" w:cs="Times New Roman"/>
        </w:rPr>
        <w:t>15</w:t>
      </w:r>
      <w:r w:rsidRPr="00242991">
        <w:rPr>
          <w:rFonts w:eastAsia="MS Mincho" w:cs="Times New Roman"/>
        </w:rPr>
        <w:t xml:space="preserve">%) and another increase from 2020-21 (growth rate of </w:t>
      </w:r>
      <w:r w:rsidRPr="00D20F80">
        <w:rPr>
          <w:rFonts w:eastAsia="MS Mincho" w:cs="Times New Roman"/>
        </w:rPr>
        <w:t>23%</w:t>
      </w:r>
      <w:r w:rsidRPr="00242991">
        <w:rPr>
          <w:rFonts w:eastAsia="MS Mincho" w:cs="Times New Roman"/>
        </w:rPr>
        <w:t>). The growth rate of 2022-23 jumped further, to 2</w:t>
      </w:r>
      <w:r>
        <w:rPr>
          <w:rFonts w:eastAsia="MS Mincho" w:cs="Times New Roman"/>
        </w:rPr>
        <w:t>8</w:t>
      </w:r>
      <w:r w:rsidRPr="00242991">
        <w:rPr>
          <w:rFonts w:eastAsia="MS Mincho" w:cs="Times New Roman"/>
        </w:rPr>
        <w:t>%.</w:t>
      </w:r>
    </w:p>
    <w:p w14:paraId="2F481C3A" w14:textId="0C6BB759" w:rsidR="003862EA" w:rsidRDefault="003862EA" w:rsidP="00215563">
      <w:pPr>
        <w:spacing w:line="276" w:lineRule="auto"/>
      </w:pPr>
      <w:r>
        <w:rPr>
          <w:noProof/>
        </w:rPr>
        <w:drawing>
          <wp:inline distT="0" distB="0" distL="0" distR="0" wp14:anchorId="31B84A24" wp14:editId="3BE9AFA8">
            <wp:extent cx="5832475" cy="2943225"/>
            <wp:effectExtent l="0" t="0" r="15875" b="9525"/>
            <wp:docPr id="30" name="Chart 30">
              <a:extLst xmlns:a="http://schemas.openxmlformats.org/drawingml/2006/main">
                <a:ext uri="{FF2B5EF4-FFF2-40B4-BE49-F238E27FC236}">
                  <a16:creationId xmlns:a16="http://schemas.microsoft.com/office/drawing/2014/main" id="{770F7701-E791-4339-A0D9-631B4C3EDC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609F832" w14:textId="77777777" w:rsidR="002B6EF9" w:rsidRPr="00242991" w:rsidRDefault="002B6EF9" w:rsidP="002B6EF9">
      <w:pPr>
        <w:pStyle w:val="Figuretitle"/>
        <w:spacing w:before="0"/>
      </w:pPr>
      <w:bookmarkStart w:id="10" w:name="_Hlk143075368"/>
      <w:r w:rsidRPr="00242991">
        <w:t xml:space="preserve">Figure 4b: Prevalent </w:t>
      </w:r>
      <w:r>
        <w:t>people</w:t>
      </w:r>
      <w:r w:rsidRPr="00242991">
        <w:t xml:space="preserve"> &gt;18 years old treated with each ADHD medicine per quarter</w:t>
      </w:r>
    </w:p>
    <w:bookmarkEnd w:id="10"/>
    <w:p w14:paraId="17835209" w14:textId="77777777" w:rsidR="002B6EF9" w:rsidRPr="00242991" w:rsidRDefault="002B6EF9" w:rsidP="002B6EF9">
      <w:pPr>
        <w:rPr>
          <w:rFonts w:eastAsia="MS Mincho" w:cs="Times New Roman"/>
        </w:rPr>
      </w:pPr>
      <w:r w:rsidRPr="00242991">
        <w:rPr>
          <w:rFonts w:eastAsia="MS Mincho" w:cs="Times New Roman"/>
        </w:rPr>
        <w:lastRenderedPageBreak/>
        <w:t>When considering the number of prevalent adult</w:t>
      </w:r>
      <w:r>
        <w:rPr>
          <w:rFonts w:eastAsia="MS Mincho" w:cs="Times New Roman"/>
        </w:rPr>
        <w:t>s</w:t>
      </w:r>
      <w:r w:rsidRPr="00242991">
        <w:rPr>
          <w:rFonts w:eastAsia="MS Mincho" w:cs="Times New Roman"/>
        </w:rPr>
        <w:t xml:space="preserve"> treated across all years (Figure 4b and Table 2b), dexamfetamine was the ADHD medicine</w:t>
      </w:r>
      <w:r w:rsidRPr="005B4A92">
        <w:rPr>
          <w:rFonts w:eastAsia="MS Mincho" w:cs="Times New Roman"/>
        </w:rPr>
        <w:t xml:space="preserve"> </w:t>
      </w:r>
      <w:r>
        <w:rPr>
          <w:rFonts w:eastAsia="MS Mincho" w:cs="Times New Roman"/>
        </w:rPr>
        <w:t>used by the most people</w:t>
      </w:r>
      <w:r w:rsidRPr="00242991">
        <w:rPr>
          <w:rFonts w:eastAsia="MS Mincho" w:cs="Times New Roman"/>
        </w:rPr>
        <w:t xml:space="preserve"> until 2022Q3, when lisdexamfetamine became the most used medicine. The impact of the restriction change for lisdexamfetamine (on 1 February 2021) is clear in this graph, with the </w:t>
      </w:r>
      <w:r>
        <w:rPr>
          <w:rFonts w:eastAsia="MS Mincho" w:cs="Times New Roman"/>
        </w:rPr>
        <w:t xml:space="preserve">number of people using lisdexamfetamine </w:t>
      </w:r>
      <w:r w:rsidRPr="00242991">
        <w:rPr>
          <w:rFonts w:eastAsia="MS Mincho" w:cs="Times New Roman"/>
        </w:rPr>
        <w:t xml:space="preserve">increasing as a rapid rate. </w:t>
      </w:r>
    </w:p>
    <w:p w14:paraId="23EEDBC4" w14:textId="77777777" w:rsidR="002B6EF9" w:rsidRPr="00242991" w:rsidRDefault="002B6EF9" w:rsidP="002B6EF9">
      <w:pPr>
        <w:rPr>
          <w:rFonts w:eastAsia="MS Mincho" w:cs="Times New Roman"/>
        </w:rPr>
      </w:pPr>
      <w:r w:rsidRPr="00242991">
        <w:rPr>
          <w:rFonts w:eastAsia="MS Mincho" w:cs="Times New Roman"/>
        </w:rPr>
        <w:t xml:space="preserve">Overall, the data shows a steady increase in the number of ADHD patients, with much higher increases in the </w:t>
      </w:r>
      <w:r>
        <w:rPr>
          <w:rFonts w:eastAsia="MS Mincho" w:cs="Times New Roman"/>
        </w:rPr>
        <w:t>number of people using l</w:t>
      </w:r>
      <w:r w:rsidRPr="00242991">
        <w:rPr>
          <w:rFonts w:eastAsia="MS Mincho" w:cs="Times New Roman"/>
        </w:rPr>
        <w:t xml:space="preserve">isdexamfetamine since 2021Q1. The growth of lisdexamfetamine in the financial year 2019-20 was 36%, by 2020-21 (which incorporated five months of the restriction change) this had risen to 170%. The number of adults rose by a further 115% in 2021-22 and increased again, albeit at a smaller rate of growth, in 2022-23 by 68%.  </w:t>
      </w:r>
    </w:p>
    <w:p w14:paraId="0C7E609B" w14:textId="77777777" w:rsidR="003862EA" w:rsidRDefault="003862EA" w:rsidP="00215563">
      <w:pPr>
        <w:spacing w:line="276" w:lineRule="auto"/>
      </w:pPr>
      <w:r>
        <w:rPr>
          <w:noProof/>
        </w:rPr>
        <w:drawing>
          <wp:inline distT="0" distB="0" distL="0" distR="0" wp14:anchorId="43EB5BD4" wp14:editId="0F0496A7">
            <wp:extent cx="5832475" cy="3800475"/>
            <wp:effectExtent l="0" t="0" r="15875" b="9525"/>
            <wp:docPr id="31" name="Chart 31">
              <a:extLst xmlns:a="http://schemas.openxmlformats.org/drawingml/2006/main">
                <a:ext uri="{FF2B5EF4-FFF2-40B4-BE49-F238E27FC236}">
                  <a16:creationId xmlns:a16="http://schemas.microsoft.com/office/drawing/2014/main" id="{7CF39ACE-1F2F-4A40-9512-A5AAD835DB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DFB6743" w14:textId="77777777" w:rsidR="002B6EF9" w:rsidRPr="00242991" w:rsidRDefault="002B6EF9" w:rsidP="002B6EF9">
      <w:pPr>
        <w:pStyle w:val="Figuretitle"/>
      </w:pPr>
      <w:bookmarkStart w:id="11" w:name="_Hlk143075378"/>
      <w:bookmarkStart w:id="12" w:name="_Hlk143075398"/>
      <w:r w:rsidRPr="00242991">
        <w:t>Figure 4c: Prevalent p</w:t>
      </w:r>
      <w:r>
        <w:t>eople</w:t>
      </w:r>
      <w:r w:rsidRPr="00242991">
        <w:t xml:space="preserve"> </w:t>
      </w:r>
      <w:r w:rsidRPr="00242991">
        <w:rPr>
          <w:rFonts w:cstheme="minorHAnsi"/>
        </w:rPr>
        <w:t>≤</w:t>
      </w:r>
      <w:r w:rsidRPr="00242991">
        <w:t>18 years old treated with each ADHD medicines per quarter</w:t>
      </w:r>
    </w:p>
    <w:p w14:paraId="30B56E20" w14:textId="77777777" w:rsidR="002B6EF9" w:rsidRPr="00242991" w:rsidRDefault="002B6EF9" w:rsidP="002B6EF9">
      <w:pPr>
        <w:rPr>
          <w:rFonts w:eastAsia="MS Mincho" w:cs="Times New Roman"/>
        </w:rPr>
      </w:pPr>
      <w:r w:rsidRPr="00242991">
        <w:rPr>
          <w:rFonts w:eastAsia="MS Mincho" w:cs="Times New Roman"/>
        </w:rPr>
        <w:t xml:space="preserve">In the </w:t>
      </w:r>
      <w:r>
        <w:rPr>
          <w:rFonts w:eastAsia="MS Mincho" w:cstheme="minorHAnsi"/>
        </w:rPr>
        <w:t>≤</w:t>
      </w:r>
      <w:r w:rsidRPr="00242991">
        <w:rPr>
          <w:rFonts w:eastAsia="MS Mincho" w:cs="Times New Roman"/>
        </w:rPr>
        <w:t>18 year old prevalent p</w:t>
      </w:r>
      <w:r>
        <w:rPr>
          <w:rFonts w:eastAsia="MS Mincho" w:cs="Times New Roman"/>
        </w:rPr>
        <w:t>opulation</w:t>
      </w:r>
      <w:r w:rsidRPr="00242991">
        <w:rPr>
          <w:rFonts w:eastAsia="MS Mincho" w:cs="Times New Roman"/>
        </w:rPr>
        <w:t xml:space="preserve">, (Figure 4c and Table 2c), the medicine </w:t>
      </w:r>
      <w:r>
        <w:rPr>
          <w:rFonts w:eastAsia="MS Mincho" w:cs="Times New Roman"/>
        </w:rPr>
        <w:t>used by the most people</w:t>
      </w:r>
      <w:r w:rsidRPr="00242991">
        <w:rPr>
          <w:rFonts w:eastAsia="MS Mincho" w:cs="Times New Roman"/>
        </w:rPr>
        <w:t xml:space="preserve"> is </w:t>
      </w:r>
      <w:r>
        <w:rPr>
          <w:rFonts w:eastAsia="MS Mincho" w:cs="Times New Roman"/>
        </w:rPr>
        <w:t xml:space="preserve">the </w:t>
      </w:r>
      <w:r w:rsidRPr="00242991">
        <w:rPr>
          <w:rFonts w:eastAsia="MS Mincho" w:cs="Times New Roman"/>
        </w:rPr>
        <w:t>modified</w:t>
      </w:r>
      <w:r>
        <w:rPr>
          <w:rFonts w:eastAsia="MS Mincho" w:cs="Times New Roman"/>
        </w:rPr>
        <w:t xml:space="preserve"> release</w:t>
      </w:r>
      <w:r w:rsidRPr="00242991">
        <w:rPr>
          <w:rFonts w:eastAsia="MS Mincho" w:cs="Times New Roman"/>
        </w:rPr>
        <w:t xml:space="preserve"> form of</w:t>
      </w:r>
      <w:r>
        <w:rPr>
          <w:rFonts w:eastAsia="MS Mincho" w:cs="Times New Roman"/>
        </w:rPr>
        <w:t xml:space="preserve"> methylphenidate</w:t>
      </w:r>
      <w:r w:rsidRPr="00242991">
        <w:rPr>
          <w:rFonts w:eastAsia="MS Mincho" w:cs="Times New Roman"/>
        </w:rPr>
        <w:t xml:space="preserve">.  </w:t>
      </w:r>
    </w:p>
    <w:p w14:paraId="3B4E93F9" w14:textId="77777777" w:rsidR="002B6EF9" w:rsidRPr="00242991" w:rsidRDefault="002B6EF9" w:rsidP="002B6EF9">
      <w:pPr>
        <w:ind w:right="-29"/>
        <w:rPr>
          <w:rFonts w:eastAsia="MS Mincho" w:cs="Times New Roman"/>
        </w:rPr>
      </w:pPr>
      <w:r>
        <w:rPr>
          <w:rFonts w:eastAsia="MS Mincho" w:cs="Times New Roman"/>
        </w:rPr>
        <w:t>T</w:t>
      </w:r>
      <w:r w:rsidRPr="00242991">
        <w:rPr>
          <w:rFonts w:eastAsia="MS Mincho" w:cs="Times New Roman"/>
        </w:rPr>
        <w:t xml:space="preserve">he data shows a steady increase in the number of ADHD patients </w:t>
      </w:r>
      <w:r>
        <w:rPr>
          <w:rFonts w:cstheme="minorHAnsi"/>
        </w:rPr>
        <w:t>≤</w:t>
      </w:r>
      <w:r w:rsidRPr="00242991">
        <w:rPr>
          <w:rFonts w:eastAsia="MS Mincho" w:cs="Times New Roman"/>
        </w:rPr>
        <w:t xml:space="preserve">18 years </w:t>
      </w:r>
      <w:r>
        <w:rPr>
          <w:rFonts w:eastAsia="MS Mincho" w:cs="Times New Roman"/>
        </w:rPr>
        <w:t>old</w:t>
      </w:r>
      <w:r w:rsidRPr="00242991">
        <w:rPr>
          <w:rFonts w:eastAsia="MS Mincho" w:cs="Times New Roman"/>
        </w:rPr>
        <w:t xml:space="preserve">. This increase appears to have risen </w:t>
      </w:r>
      <w:r>
        <w:rPr>
          <w:rFonts w:eastAsia="MS Mincho" w:cs="Times New Roman"/>
        </w:rPr>
        <w:t xml:space="preserve">in </w:t>
      </w:r>
      <w:r w:rsidRPr="00242991">
        <w:rPr>
          <w:rFonts w:eastAsia="MS Mincho" w:cs="Times New Roman"/>
        </w:rPr>
        <w:t xml:space="preserve">2018-19, shortly after guanfacine was listed on the PBS. </w:t>
      </w:r>
    </w:p>
    <w:p w14:paraId="508F82D6" w14:textId="77777777" w:rsidR="002B6EF9" w:rsidRPr="00E905E6" w:rsidRDefault="002B6EF9" w:rsidP="002B6EF9">
      <w:pPr>
        <w:rPr>
          <w:rFonts w:eastAsia="MS Mincho" w:cs="Times New Roman"/>
        </w:rPr>
      </w:pPr>
      <w:r w:rsidRPr="00242991">
        <w:rPr>
          <w:rFonts w:eastAsia="MS Mincho" w:cs="Times New Roman"/>
        </w:rPr>
        <w:t xml:space="preserve">Overall, the data shows a steady increase in </w:t>
      </w:r>
      <w:r>
        <w:rPr>
          <w:rFonts w:eastAsia="MS Mincho" w:cs="Times New Roman"/>
        </w:rPr>
        <w:t xml:space="preserve">the </w:t>
      </w:r>
      <w:r w:rsidRPr="00242991">
        <w:rPr>
          <w:rFonts w:eastAsia="MS Mincho" w:cs="Times New Roman"/>
        </w:rPr>
        <w:t>ADHD p</w:t>
      </w:r>
      <w:r>
        <w:rPr>
          <w:rFonts w:eastAsia="MS Mincho" w:cs="Times New Roman"/>
        </w:rPr>
        <w:t>opulation</w:t>
      </w:r>
      <w:r w:rsidRPr="00242991">
        <w:rPr>
          <w:rFonts w:eastAsia="MS Mincho" w:cs="Times New Roman"/>
        </w:rPr>
        <w:t xml:space="preserve">, with a much higher increase starting from 2018-2019 (growth rate of </w:t>
      </w:r>
      <w:r>
        <w:rPr>
          <w:rFonts w:eastAsia="MS Mincho" w:cs="Times New Roman"/>
        </w:rPr>
        <w:t>15</w:t>
      </w:r>
      <w:r w:rsidRPr="00242991">
        <w:rPr>
          <w:rFonts w:eastAsia="MS Mincho" w:cs="Times New Roman"/>
        </w:rPr>
        <w:t>%) and another increase in 2022-23 (growth rate of 2</w:t>
      </w:r>
      <w:r>
        <w:rPr>
          <w:rFonts w:eastAsia="MS Mincho" w:cs="Times New Roman"/>
        </w:rPr>
        <w:t>0</w:t>
      </w:r>
      <w:r w:rsidRPr="00242991">
        <w:rPr>
          <w:rFonts w:eastAsia="MS Mincho" w:cs="Times New Roman"/>
        </w:rPr>
        <w:t xml:space="preserve">%). </w:t>
      </w:r>
    </w:p>
    <w:p w14:paraId="2C9B1B3E" w14:textId="77777777" w:rsidR="002B6EF9" w:rsidRDefault="002B6EF9" w:rsidP="002B6EF9">
      <w:pPr>
        <w:pStyle w:val="Figuretitle"/>
        <w:rPr>
          <w:b w:val="0"/>
          <w:bCs/>
        </w:rPr>
      </w:pPr>
      <w:r w:rsidRPr="00242991">
        <w:rPr>
          <w:b w:val="0"/>
          <w:bCs/>
        </w:rPr>
        <w:t>Tables 2a, 2b and 2c show the number of prevalent p</w:t>
      </w:r>
      <w:r>
        <w:rPr>
          <w:b w:val="0"/>
          <w:bCs/>
        </w:rPr>
        <w:t>eople</w:t>
      </w:r>
      <w:r w:rsidRPr="00242991">
        <w:rPr>
          <w:b w:val="0"/>
          <w:bCs/>
        </w:rPr>
        <w:t xml:space="preserve"> treated with each ADHD medicine per financial year. Table 2a is the overall number of prevalent </w:t>
      </w:r>
      <w:r>
        <w:rPr>
          <w:b w:val="0"/>
          <w:bCs/>
        </w:rPr>
        <w:t>people</w:t>
      </w:r>
      <w:r w:rsidRPr="00242991">
        <w:rPr>
          <w:b w:val="0"/>
          <w:bCs/>
        </w:rPr>
        <w:t xml:space="preserve">, while Table 2b and 2c are split in to </w:t>
      </w:r>
      <w:r>
        <w:rPr>
          <w:b w:val="0"/>
          <w:bCs/>
        </w:rPr>
        <w:t>&gt;</w:t>
      </w:r>
      <w:r w:rsidRPr="00242991">
        <w:rPr>
          <w:b w:val="0"/>
          <w:bCs/>
        </w:rPr>
        <w:t xml:space="preserve">18 year old and </w:t>
      </w:r>
      <w:r>
        <w:rPr>
          <w:rFonts w:cstheme="minorHAnsi"/>
        </w:rPr>
        <w:t>≤</w:t>
      </w:r>
      <w:r w:rsidRPr="00242991">
        <w:rPr>
          <w:b w:val="0"/>
          <w:bCs/>
        </w:rPr>
        <w:t>18 years old populations.</w:t>
      </w:r>
    </w:p>
    <w:bookmarkEnd w:id="11"/>
    <w:p w14:paraId="2CC22F8A" w14:textId="2040279E" w:rsidR="00DB2F6D" w:rsidRPr="001D105D" w:rsidRDefault="00DB2F6D" w:rsidP="00C060CE">
      <w:pPr>
        <w:pStyle w:val="Figuretitle"/>
        <w:ind w:left="-426"/>
      </w:pPr>
      <w:r w:rsidRPr="00242991">
        <w:lastRenderedPageBreak/>
        <w:t>Table 2</w:t>
      </w:r>
      <w:r w:rsidR="001904F8" w:rsidRPr="00242991">
        <w:t>a</w:t>
      </w:r>
      <w:r w:rsidRPr="00242991">
        <w:t xml:space="preserve">: </w:t>
      </w:r>
      <w:r w:rsidR="000B4E5F" w:rsidRPr="00242991">
        <w:t>Prevalent</w:t>
      </w:r>
      <w:r w:rsidR="00D44F6C" w:rsidRPr="00242991">
        <w:t xml:space="preserve"> patients treated with each ADHD medicines per </w:t>
      </w:r>
      <w:r w:rsidR="00BF0DDB" w:rsidRPr="00242991">
        <w:t xml:space="preserve">financial </w:t>
      </w:r>
      <w:r w:rsidR="00D44F6C" w:rsidRPr="00242991">
        <w:t>year</w:t>
      </w:r>
    </w:p>
    <w:tbl>
      <w:tblPr>
        <w:tblW w:w="100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841"/>
        <w:gridCol w:w="841"/>
        <w:gridCol w:w="841"/>
        <w:gridCol w:w="841"/>
        <w:gridCol w:w="841"/>
        <w:gridCol w:w="841"/>
        <w:gridCol w:w="841"/>
        <w:gridCol w:w="841"/>
        <w:gridCol w:w="841"/>
        <w:gridCol w:w="841"/>
      </w:tblGrid>
      <w:tr w:rsidR="00DD6B69" w:rsidRPr="001904F8" w14:paraId="4138EAE9" w14:textId="77777777" w:rsidTr="00C060CE">
        <w:trPr>
          <w:trHeight w:val="288"/>
        </w:trPr>
        <w:tc>
          <w:tcPr>
            <w:tcW w:w="1590" w:type="dxa"/>
            <w:shd w:val="clear" w:color="auto" w:fill="BFBFBF" w:themeFill="background1" w:themeFillShade="BF"/>
            <w:noWrap/>
            <w:vAlign w:val="bottom"/>
            <w:hideMark/>
          </w:tcPr>
          <w:bookmarkEnd w:id="12"/>
          <w:p w14:paraId="419743D1" w14:textId="49F35554" w:rsidR="001904F8" w:rsidRPr="001904F8" w:rsidRDefault="001904F8" w:rsidP="001904F8">
            <w:pPr>
              <w:spacing w:after="0"/>
              <w:rPr>
                <w:rFonts w:eastAsia="Times New Roman" w:cstheme="minorHAnsi"/>
                <w:b/>
                <w:bCs/>
                <w:color w:val="000000"/>
                <w:sz w:val="18"/>
                <w:szCs w:val="18"/>
              </w:rPr>
            </w:pPr>
            <w:r w:rsidRPr="001D105D">
              <w:rPr>
                <w:rFonts w:ascii="Calibri" w:eastAsia="Times New Roman" w:hAnsi="Calibri" w:cs="Calibri"/>
                <w:b/>
                <w:bCs/>
                <w:color w:val="000000"/>
                <w:sz w:val="20"/>
                <w:szCs w:val="20"/>
              </w:rPr>
              <w:t xml:space="preserve">Drug Name  / </w:t>
            </w:r>
            <w:r w:rsidRPr="001D105D">
              <w:rPr>
                <w:rFonts w:ascii="Calibri" w:eastAsia="Times New Roman" w:hAnsi="Calibri" w:cs="Calibri"/>
                <w:b/>
                <w:bCs/>
                <w:color w:val="000000"/>
                <w:sz w:val="20"/>
                <w:szCs w:val="20"/>
              </w:rPr>
              <w:br/>
              <w:t>Patient Count</w:t>
            </w:r>
          </w:p>
        </w:tc>
        <w:tc>
          <w:tcPr>
            <w:tcW w:w="841" w:type="dxa"/>
            <w:shd w:val="clear" w:color="auto" w:fill="BFBFBF" w:themeFill="background1" w:themeFillShade="BF"/>
            <w:noWrap/>
            <w:vAlign w:val="bottom"/>
            <w:hideMark/>
          </w:tcPr>
          <w:p w14:paraId="63116E15" w14:textId="77777777" w:rsidR="001904F8" w:rsidRPr="001904F8" w:rsidRDefault="001904F8" w:rsidP="001904F8">
            <w:pPr>
              <w:spacing w:after="0"/>
              <w:rPr>
                <w:rFonts w:eastAsia="Times New Roman" w:cstheme="minorHAnsi"/>
                <w:b/>
                <w:bCs/>
                <w:color w:val="000000"/>
                <w:sz w:val="18"/>
                <w:szCs w:val="18"/>
              </w:rPr>
            </w:pPr>
            <w:r w:rsidRPr="001904F8">
              <w:rPr>
                <w:rFonts w:eastAsia="Times New Roman" w:cstheme="minorHAnsi"/>
                <w:b/>
                <w:bCs/>
                <w:color w:val="000000"/>
                <w:sz w:val="18"/>
                <w:szCs w:val="18"/>
              </w:rPr>
              <w:t>2013/14</w:t>
            </w:r>
          </w:p>
        </w:tc>
        <w:tc>
          <w:tcPr>
            <w:tcW w:w="841" w:type="dxa"/>
            <w:shd w:val="clear" w:color="auto" w:fill="BFBFBF" w:themeFill="background1" w:themeFillShade="BF"/>
            <w:noWrap/>
            <w:vAlign w:val="bottom"/>
            <w:hideMark/>
          </w:tcPr>
          <w:p w14:paraId="2EB90E92" w14:textId="77777777" w:rsidR="001904F8" w:rsidRPr="001904F8" w:rsidRDefault="001904F8" w:rsidP="001904F8">
            <w:pPr>
              <w:spacing w:after="0"/>
              <w:rPr>
                <w:rFonts w:eastAsia="Times New Roman" w:cstheme="minorHAnsi"/>
                <w:b/>
                <w:bCs/>
                <w:color w:val="000000"/>
                <w:sz w:val="18"/>
                <w:szCs w:val="18"/>
              </w:rPr>
            </w:pPr>
            <w:r w:rsidRPr="001904F8">
              <w:rPr>
                <w:rFonts w:eastAsia="Times New Roman" w:cstheme="minorHAnsi"/>
                <w:b/>
                <w:bCs/>
                <w:color w:val="000000"/>
                <w:sz w:val="18"/>
                <w:szCs w:val="18"/>
              </w:rPr>
              <w:t>2014/15</w:t>
            </w:r>
          </w:p>
        </w:tc>
        <w:tc>
          <w:tcPr>
            <w:tcW w:w="841" w:type="dxa"/>
            <w:shd w:val="clear" w:color="auto" w:fill="BFBFBF" w:themeFill="background1" w:themeFillShade="BF"/>
            <w:noWrap/>
            <w:vAlign w:val="bottom"/>
            <w:hideMark/>
          </w:tcPr>
          <w:p w14:paraId="0C70C2F2" w14:textId="77777777" w:rsidR="001904F8" w:rsidRPr="001904F8" w:rsidRDefault="001904F8" w:rsidP="001904F8">
            <w:pPr>
              <w:spacing w:after="0"/>
              <w:rPr>
                <w:rFonts w:eastAsia="Times New Roman" w:cstheme="minorHAnsi"/>
                <w:b/>
                <w:bCs/>
                <w:color w:val="000000"/>
                <w:sz w:val="18"/>
                <w:szCs w:val="18"/>
              </w:rPr>
            </w:pPr>
            <w:r w:rsidRPr="001904F8">
              <w:rPr>
                <w:rFonts w:eastAsia="Times New Roman" w:cstheme="minorHAnsi"/>
                <w:b/>
                <w:bCs/>
                <w:color w:val="000000"/>
                <w:sz w:val="18"/>
                <w:szCs w:val="18"/>
              </w:rPr>
              <w:t>2015/16</w:t>
            </w:r>
          </w:p>
        </w:tc>
        <w:tc>
          <w:tcPr>
            <w:tcW w:w="841" w:type="dxa"/>
            <w:shd w:val="clear" w:color="auto" w:fill="BFBFBF" w:themeFill="background1" w:themeFillShade="BF"/>
            <w:noWrap/>
            <w:vAlign w:val="bottom"/>
            <w:hideMark/>
          </w:tcPr>
          <w:p w14:paraId="5CF37177" w14:textId="77777777" w:rsidR="001904F8" w:rsidRPr="001904F8" w:rsidRDefault="001904F8" w:rsidP="001904F8">
            <w:pPr>
              <w:spacing w:after="0"/>
              <w:rPr>
                <w:rFonts w:eastAsia="Times New Roman" w:cstheme="minorHAnsi"/>
                <w:b/>
                <w:bCs/>
                <w:color w:val="000000"/>
                <w:sz w:val="18"/>
                <w:szCs w:val="18"/>
              </w:rPr>
            </w:pPr>
            <w:r w:rsidRPr="001904F8">
              <w:rPr>
                <w:rFonts w:eastAsia="Times New Roman" w:cstheme="minorHAnsi"/>
                <w:b/>
                <w:bCs/>
                <w:color w:val="000000"/>
                <w:sz w:val="18"/>
                <w:szCs w:val="18"/>
              </w:rPr>
              <w:t>2016/17</w:t>
            </w:r>
          </w:p>
        </w:tc>
        <w:tc>
          <w:tcPr>
            <w:tcW w:w="841" w:type="dxa"/>
            <w:shd w:val="clear" w:color="auto" w:fill="BFBFBF" w:themeFill="background1" w:themeFillShade="BF"/>
            <w:noWrap/>
            <w:vAlign w:val="bottom"/>
            <w:hideMark/>
          </w:tcPr>
          <w:p w14:paraId="0254BAE0" w14:textId="77777777" w:rsidR="001904F8" w:rsidRPr="001904F8" w:rsidRDefault="001904F8" w:rsidP="001904F8">
            <w:pPr>
              <w:spacing w:after="0"/>
              <w:rPr>
                <w:rFonts w:eastAsia="Times New Roman" w:cstheme="minorHAnsi"/>
                <w:b/>
                <w:bCs/>
                <w:color w:val="000000"/>
                <w:sz w:val="18"/>
                <w:szCs w:val="18"/>
              </w:rPr>
            </w:pPr>
            <w:r w:rsidRPr="001904F8">
              <w:rPr>
                <w:rFonts w:eastAsia="Times New Roman" w:cstheme="minorHAnsi"/>
                <w:b/>
                <w:bCs/>
                <w:color w:val="000000"/>
                <w:sz w:val="18"/>
                <w:szCs w:val="18"/>
              </w:rPr>
              <w:t>2017/18</w:t>
            </w:r>
          </w:p>
        </w:tc>
        <w:tc>
          <w:tcPr>
            <w:tcW w:w="841" w:type="dxa"/>
            <w:shd w:val="clear" w:color="auto" w:fill="BFBFBF" w:themeFill="background1" w:themeFillShade="BF"/>
            <w:noWrap/>
            <w:vAlign w:val="bottom"/>
            <w:hideMark/>
          </w:tcPr>
          <w:p w14:paraId="0791D249" w14:textId="77777777" w:rsidR="001904F8" w:rsidRPr="001904F8" w:rsidRDefault="001904F8" w:rsidP="001904F8">
            <w:pPr>
              <w:spacing w:after="0"/>
              <w:rPr>
                <w:rFonts w:eastAsia="Times New Roman" w:cstheme="minorHAnsi"/>
                <w:b/>
                <w:bCs/>
                <w:color w:val="000000"/>
                <w:sz w:val="18"/>
                <w:szCs w:val="18"/>
              </w:rPr>
            </w:pPr>
            <w:r w:rsidRPr="001904F8">
              <w:rPr>
                <w:rFonts w:eastAsia="Times New Roman" w:cstheme="minorHAnsi"/>
                <w:b/>
                <w:bCs/>
                <w:color w:val="000000"/>
                <w:sz w:val="18"/>
                <w:szCs w:val="18"/>
              </w:rPr>
              <w:t>2018/19</w:t>
            </w:r>
          </w:p>
        </w:tc>
        <w:tc>
          <w:tcPr>
            <w:tcW w:w="841" w:type="dxa"/>
            <w:shd w:val="clear" w:color="auto" w:fill="BFBFBF" w:themeFill="background1" w:themeFillShade="BF"/>
            <w:noWrap/>
            <w:vAlign w:val="bottom"/>
            <w:hideMark/>
          </w:tcPr>
          <w:p w14:paraId="003CE2C3" w14:textId="77777777" w:rsidR="001904F8" w:rsidRPr="001904F8" w:rsidRDefault="001904F8" w:rsidP="001904F8">
            <w:pPr>
              <w:spacing w:after="0"/>
              <w:rPr>
                <w:rFonts w:eastAsia="Times New Roman" w:cstheme="minorHAnsi"/>
                <w:b/>
                <w:bCs/>
                <w:color w:val="000000"/>
                <w:sz w:val="18"/>
                <w:szCs w:val="18"/>
              </w:rPr>
            </w:pPr>
            <w:r w:rsidRPr="001904F8">
              <w:rPr>
                <w:rFonts w:eastAsia="Times New Roman" w:cstheme="minorHAnsi"/>
                <w:b/>
                <w:bCs/>
                <w:color w:val="000000"/>
                <w:sz w:val="18"/>
                <w:szCs w:val="18"/>
              </w:rPr>
              <w:t>2019/20</w:t>
            </w:r>
          </w:p>
        </w:tc>
        <w:tc>
          <w:tcPr>
            <w:tcW w:w="841" w:type="dxa"/>
            <w:shd w:val="clear" w:color="auto" w:fill="BFBFBF" w:themeFill="background1" w:themeFillShade="BF"/>
            <w:noWrap/>
            <w:vAlign w:val="bottom"/>
            <w:hideMark/>
          </w:tcPr>
          <w:p w14:paraId="3AD40BB4" w14:textId="77777777" w:rsidR="001904F8" w:rsidRPr="001904F8" w:rsidRDefault="001904F8" w:rsidP="001904F8">
            <w:pPr>
              <w:spacing w:after="0"/>
              <w:rPr>
                <w:rFonts w:eastAsia="Times New Roman" w:cstheme="minorHAnsi"/>
                <w:b/>
                <w:bCs/>
                <w:color w:val="000000"/>
                <w:sz w:val="18"/>
                <w:szCs w:val="18"/>
              </w:rPr>
            </w:pPr>
            <w:r w:rsidRPr="001904F8">
              <w:rPr>
                <w:rFonts w:eastAsia="Times New Roman" w:cstheme="minorHAnsi"/>
                <w:b/>
                <w:bCs/>
                <w:color w:val="000000"/>
                <w:sz w:val="18"/>
                <w:szCs w:val="18"/>
              </w:rPr>
              <w:t>2020/21</w:t>
            </w:r>
          </w:p>
        </w:tc>
        <w:tc>
          <w:tcPr>
            <w:tcW w:w="841" w:type="dxa"/>
            <w:shd w:val="clear" w:color="auto" w:fill="BFBFBF" w:themeFill="background1" w:themeFillShade="BF"/>
            <w:noWrap/>
            <w:vAlign w:val="bottom"/>
            <w:hideMark/>
          </w:tcPr>
          <w:p w14:paraId="73D1BDCD" w14:textId="77777777" w:rsidR="001904F8" w:rsidRPr="001904F8" w:rsidRDefault="001904F8" w:rsidP="001904F8">
            <w:pPr>
              <w:spacing w:after="0"/>
              <w:rPr>
                <w:rFonts w:eastAsia="Times New Roman" w:cstheme="minorHAnsi"/>
                <w:b/>
                <w:bCs/>
                <w:color w:val="000000"/>
                <w:sz w:val="18"/>
                <w:szCs w:val="18"/>
              </w:rPr>
            </w:pPr>
            <w:r w:rsidRPr="001904F8">
              <w:rPr>
                <w:rFonts w:eastAsia="Times New Roman" w:cstheme="minorHAnsi"/>
                <w:b/>
                <w:bCs/>
                <w:color w:val="000000"/>
                <w:sz w:val="18"/>
                <w:szCs w:val="18"/>
              </w:rPr>
              <w:t>2021/22</w:t>
            </w:r>
          </w:p>
        </w:tc>
        <w:tc>
          <w:tcPr>
            <w:tcW w:w="841" w:type="dxa"/>
            <w:shd w:val="clear" w:color="auto" w:fill="BFBFBF" w:themeFill="background1" w:themeFillShade="BF"/>
            <w:noWrap/>
            <w:vAlign w:val="bottom"/>
            <w:hideMark/>
          </w:tcPr>
          <w:p w14:paraId="506B58C2" w14:textId="77777777" w:rsidR="001904F8" w:rsidRPr="001904F8" w:rsidRDefault="001904F8" w:rsidP="001904F8">
            <w:pPr>
              <w:spacing w:after="0"/>
              <w:rPr>
                <w:rFonts w:eastAsia="Times New Roman" w:cstheme="minorHAnsi"/>
                <w:b/>
                <w:bCs/>
                <w:color w:val="000000"/>
                <w:sz w:val="18"/>
                <w:szCs w:val="18"/>
              </w:rPr>
            </w:pPr>
            <w:r w:rsidRPr="001904F8">
              <w:rPr>
                <w:rFonts w:eastAsia="Times New Roman" w:cstheme="minorHAnsi"/>
                <w:b/>
                <w:bCs/>
                <w:color w:val="000000"/>
                <w:sz w:val="18"/>
                <w:szCs w:val="18"/>
              </w:rPr>
              <w:t>2022/23</w:t>
            </w:r>
          </w:p>
        </w:tc>
      </w:tr>
      <w:tr w:rsidR="008B5AF2" w:rsidRPr="001904F8" w14:paraId="68F87CD3" w14:textId="77777777" w:rsidTr="00C060CE">
        <w:trPr>
          <w:trHeight w:val="288"/>
        </w:trPr>
        <w:tc>
          <w:tcPr>
            <w:tcW w:w="1590" w:type="dxa"/>
            <w:shd w:val="clear" w:color="auto" w:fill="auto"/>
            <w:noWrap/>
            <w:vAlign w:val="bottom"/>
          </w:tcPr>
          <w:p w14:paraId="00615561" w14:textId="1F4AEB05" w:rsidR="008B5AF2" w:rsidRPr="008B5AF2" w:rsidRDefault="008B5AF2" w:rsidP="008B5AF2">
            <w:pPr>
              <w:spacing w:after="0"/>
              <w:rPr>
                <w:rFonts w:eastAsia="Times New Roman" w:cstheme="minorHAnsi"/>
                <w:b/>
                <w:bCs/>
                <w:sz w:val="18"/>
                <w:szCs w:val="18"/>
              </w:rPr>
            </w:pPr>
            <w:r w:rsidRPr="001904F8">
              <w:rPr>
                <w:rFonts w:eastAsia="Times New Roman" w:cstheme="minorHAnsi"/>
                <w:b/>
                <w:bCs/>
                <w:sz w:val="18"/>
                <w:szCs w:val="18"/>
              </w:rPr>
              <w:t>Lisdexamfetamine</w:t>
            </w:r>
          </w:p>
        </w:tc>
        <w:tc>
          <w:tcPr>
            <w:tcW w:w="841" w:type="dxa"/>
            <w:shd w:val="clear" w:color="auto" w:fill="auto"/>
            <w:noWrap/>
            <w:vAlign w:val="bottom"/>
          </w:tcPr>
          <w:p w14:paraId="31151B3E" w14:textId="77777777" w:rsidR="008B5AF2" w:rsidRPr="001904F8" w:rsidRDefault="008B5AF2" w:rsidP="00E45D15">
            <w:pPr>
              <w:spacing w:after="0"/>
              <w:jc w:val="right"/>
              <w:rPr>
                <w:rFonts w:eastAsia="Times New Roman" w:cstheme="minorHAnsi"/>
                <w:sz w:val="18"/>
                <w:szCs w:val="18"/>
              </w:rPr>
            </w:pPr>
          </w:p>
        </w:tc>
        <w:tc>
          <w:tcPr>
            <w:tcW w:w="841" w:type="dxa"/>
            <w:shd w:val="clear" w:color="auto" w:fill="auto"/>
            <w:noWrap/>
            <w:vAlign w:val="bottom"/>
          </w:tcPr>
          <w:p w14:paraId="11C2EB6D" w14:textId="77777777" w:rsidR="008B5AF2" w:rsidRPr="001904F8" w:rsidRDefault="008B5AF2" w:rsidP="00E45D15">
            <w:pPr>
              <w:spacing w:after="0"/>
              <w:jc w:val="right"/>
              <w:rPr>
                <w:rFonts w:eastAsia="Times New Roman" w:cstheme="minorHAnsi"/>
                <w:sz w:val="18"/>
                <w:szCs w:val="18"/>
              </w:rPr>
            </w:pPr>
          </w:p>
        </w:tc>
        <w:tc>
          <w:tcPr>
            <w:tcW w:w="841" w:type="dxa"/>
            <w:shd w:val="clear" w:color="auto" w:fill="auto"/>
            <w:noWrap/>
            <w:vAlign w:val="bottom"/>
          </w:tcPr>
          <w:p w14:paraId="7DCE648C" w14:textId="571923D5"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   14,652 </w:t>
            </w:r>
          </w:p>
        </w:tc>
        <w:tc>
          <w:tcPr>
            <w:tcW w:w="841" w:type="dxa"/>
            <w:shd w:val="clear" w:color="auto" w:fill="auto"/>
            <w:noWrap/>
            <w:vAlign w:val="bottom"/>
          </w:tcPr>
          <w:p w14:paraId="71F458A6" w14:textId="31BBE269"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  25,342 </w:t>
            </w:r>
          </w:p>
        </w:tc>
        <w:tc>
          <w:tcPr>
            <w:tcW w:w="841" w:type="dxa"/>
            <w:shd w:val="clear" w:color="auto" w:fill="auto"/>
            <w:noWrap/>
            <w:vAlign w:val="bottom"/>
          </w:tcPr>
          <w:p w14:paraId="45F9DA01" w14:textId="7F35DBEC"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  33,877 </w:t>
            </w:r>
          </w:p>
        </w:tc>
        <w:tc>
          <w:tcPr>
            <w:tcW w:w="841" w:type="dxa"/>
            <w:shd w:val="clear" w:color="auto" w:fill="auto"/>
            <w:noWrap/>
            <w:vAlign w:val="bottom"/>
          </w:tcPr>
          <w:p w14:paraId="1D2D4264" w14:textId="33034F24"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  42,042 </w:t>
            </w:r>
          </w:p>
        </w:tc>
        <w:tc>
          <w:tcPr>
            <w:tcW w:w="841" w:type="dxa"/>
            <w:shd w:val="clear" w:color="auto" w:fill="auto"/>
            <w:noWrap/>
            <w:vAlign w:val="bottom"/>
          </w:tcPr>
          <w:p w14:paraId="6C58AAA0" w14:textId="559ECA32"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  50,942 </w:t>
            </w:r>
          </w:p>
        </w:tc>
        <w:tc>
          <w:tcPr>
            <w:tcW w:w="841" w:type="dxa"/>
            <w:shd w:val="clear" w:color="auto" w:fill="auto"/>
            <w:noWrap/>
            <w:vAlign w:val="bottom"/>
          </w:tcPr>
          <w:p w14:paraId="2096B416" w14:textId="071DFFAF"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  78,179 </w:t>
            </w:r>
          </w:p>
        </w:tc>
        <w:tc>
          <w:tcPr>
            <w:tcW w:w="841" w:type="dxa"/>
            <w:shd w:val="clear" w:color="auto" w:fill="auto"/>
            <w:noWrap/>
            <w:vAlign w:val="bottom"/>
          </w:tcPr>
          <w:p w14:paraId="5087827D" w14:textId="02DBB21E"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122,023 </w:t>
            </w:r>
          </w:p>
        </w:tc>
        <w:tc>
          <w:tcPr>
            <w:tcW w:w="841" w:type="dxa"/>
            <w:shd w:val="clear" w:color="auto" w:fill="auto"/>
            <w:noWrap/>
            <w:vAlign w:val="bottom"/>
          </w:tcPr>
          <w:p w14:paraId="79A5CEB9" w14:textId="259FA85C"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179,090 </w:t>
            </w:r>
          </w:p>
        </w:tc>
      </w:tr>
      <w:tr w:rsidR="008B5AF2" w:rsidRPr="001904F8" w14:paraId="774A0572" w14:textId="77777777" w:rsidTr="00C060CE">
        <w:trPr>
          <w:trHeight w:val="288"/>
        </w:trPr>
        <w:tc>
          <w:tcPr>
            <w:tcW w:w="1590" w:type="dxa"/>
            <w:shd w:val="clear" w:color="auto" w:fill="auto"/>
            <w:noWrap/>
            <w:vAlign w:val="bottom"/>
          </w:tcPr>
          <w:p w14:paraId="3F98BDB8" w14:textId="7600672D" w:rsidR="008B5AF2" w:rsidRPr="001904F8" w:rsidRDefault="008B5AF2" w:rsidP="008B5AF2">
            <w:pPr>
              <w:spacing w:after="0"/>
              <w:rPr>
                <w:rFonts w:eastAsia="Times New Roman" w:cstheme="minorHAnsi"/>
                <w:b/>
                <w:bCs/>
                <w:sz w:val="18"/>
                <w:szCs w:val="18"/>
              </w:rPr>
            </w:pPr>
            <w:r w:rsidRPr="001904F8">
              <w:rPr>
                <w:rFonts w:eastAsia="Times New Roman" w:cstheme="minorHAnsi"/>
                <w:b/>
                <w:bCs/>
                <w:sz w:val="18"/>
                <w:szCs w:val="18"/>
              </w:rPr>
              <w:t>MPH-IR</w:t>
            </w:r>
          </w:p>
        </w:tc>
        <w:tc>
          <w:tcPr>
            <w:tcW w:w="841" w:type="dxa"/>
            <w:shd w:val="clear" w:color="auto" w:fill="auto"/>
            <w:noWrap/>
            <w:vAlign w:val="bottom"/>
          </w:tcPr>
          <w:p w14:paraId="61B303D9" w14:textId="356BBB21" w:rsidR="008B5AF2" w:rsidRPr="001904F8" w:rsidRDefault="003F7D21" w:rsidP="00E45D15">
            <w:pPr>
              <w:spacing w:after="0"/>
              <w:jc w:val="right"/>
              <w:rPr>
                <w:rFonts w:eastAsia="Times New Roman" w:cstheme="minorHAnsi"/>
                <w:sz w:val="18"/>
                <w:szCs w:val="18"/>
              </w:rPr>
            </w:pPr>
            <w:r>
              <w:rPr>
                <w:rFonts w:eastAsia="Times New Roman" w:cstheme="minorHAnsi"/>
                <w:sz w:val="18"/>
                <w:szCs w:val="18"/>
              </w:rPr>
              <w:t>44,077</w:t>
            </w:r>
          </w:p>
        </w:tc>
        <w:tc>
          <w:tcPr>
            <w:tcW w:w="841" w:type="dxa"/>
            <w:shd w:val="clear" w:color="auto" w:fill="auto"/>
            <w:noWrap/>
            <w:vAlign w:val="bottom"/>
          </w:tcPr>
          <w:p w14:paraId="2BA78B07" w14:textId="53751673" w:rsidR="008B5AF2" w:rsidRPr="001904F8" w:rsidRDefault="003F7D21" w:rsidP="00E45D15">
            <w:pPr>
              <w:spacing w:after="0"/>
              <w:jc w:val="right"/>
              <w:rPr>
                <w:rFonts w:eastAsia="Times New Roman" w:cstheme="minorHAnsi"/>
                <w:sz w:val="18"/>
                <w:szCs w:val="18"/>
              </w:rPr>
            </w:pPr>
            <w:r>
              <w:rPr>
                <w:rFonts w:eastAsia="Times New Roman" w:cstheme="minorHAnsi"/>
                <w:sz w:val="18"/>
                <w:szCs w:val="18"/>
              </w:rPr>
              <w:t>48,142</w:t>
            </w:r>
            <w:r w:rsidR="008B5AF2" w:rsidRPr="001904F8">
              <w:rPr>
                <w:rFonts w:eastAsia="Times New Roman" w:cstheme="minorHAnsi"/>
                <w:sz w:val="18"/>
                <w:szCs w:val="18"/>
              </w:rPr>
              <w:t xml:space="preserve">                                           </w:t>
            </w:r>
          </w:p>
        </w:tc>
        <w:tc>
          <w:tcPr>
            <w:tcW w:w="841" w:type="dxa"/>
            <w:shd w:val="clear" w:color="auto" w:fill="auto"/>
            <w:noWrap/>
            <w:vAlign w:val="bottom"/>
          </w:tcPr>
          <w:p w14:paraId="558D544C" w14:textId="7AD81299"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  51,831 </w:t>
            </w:r>
          </w:p>
        </w:tc>
        <w:tc>
          <w:tcPr>
            <w:tcW w:w="841" w:type="dxa"/>
            <w:shd w:val="clear" w:color="auto" w:fill="auto"/>
            <w:noWrap/>
            <w:vAlign w:val="bottom"/>
          </w:tcPr>
          <w:p w14:paraId="29E7CFC3" w14:textId="218059E8"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  54,386 </w:t>
            </w:r>
          </w:p>
        </w:tc>
        <w:tc>
          <w:tcPr>
            <w:tcW w:w="841" w:type="dxa"/>
            <w:shd w:val="clear" w:color="auto" w:fill="auto"/>
            <w:noWrap/>
            <w:vAlign w:val="bottom"/>
          </w:tcPr>
          <w:p w14:paraId="3D1A31C0" w14:textId="289CDEE5"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  60,327 </w:t>
            </w:r>
          </w:p>
        </w:tc>
        <w:tc>
          <w:tcPr>
            <w:tcW w:w="841" w:type="dxa"/>
            <w:shd w:val="clear" w:color="auto" w:fill="auto"/>
            <w:noWrap/>
            <w:vAlign w:val="bottom"/>
          </w:tcPr>
          <w:p w14:paraId="30F35849" w14:textId="3D4CFDB2"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  68,728 </w:t>
            </w:r>
          </w:p>
        </w:tc>
        <w:tc>
          <w:tcPr>
            <w:tcW w:w="841" w:type="dxa"/>
            <w:shd w:val="clear" w:color="auto" w:fill="auto"/>
            <w:noWrap/>
            <w:vAlign w:val="bottom"/>
          </w:tcPr>
          <w:p w14:paraId="028EB194" w14:textId="32AE2D82"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  80,042 </w:t>
            </w:r>
          </w:p>
        </w:tc>
        <w:tc>
          <w:tcPr>
            <w:tcW w:w="841" w:type="dxa"/>
            <w:shd w:val="clear" w:color="auto" w:fill="auto"/>
            <w:noWrap/>
            <w:vAlign w:val="bottom"/>
          </w:tcPr>
          <w:p w14:paraId="373F3210" w14:textId="6DA734F7"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  96,649 </w:t>
            </w:r>
          </w:p>
        </w:tc>
        <w:tc>
          <w:tcPr>
            <w:tcW w:w="841" w:type="dxa"/>
            <w:shd w:val="clear" w:color="auto" w:fill="auto"/>
            <w:noWrap/>
            <w:vAlign w:val="bottom"/>
          </w:tcPr>
          <w:p w14:paraId="0E706B9B" w14:textId="7A5DF436"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115,483 </w:t>
            </w:r>
          </w:p>
        </w:tc>
        <w:tc>
          <w:tcPr>
            <w:tcW w:w="841" w:type="dxa"/>
            <w:shd w:val="clear" w:color="auto" w:fill="auto"/>
            <w:noWrap/>
            <w:vAlign w:val="bottom"/>
          </w:tcPr>
          <w:p w14:paraId="09DCD0FC" w14:textId="0B95321B"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142,835 </w:t>
            </w:r>
          </w:p>
        </w:tc>
      </w:tr>
      <w:tr w:rsidR="008B5AF2" w:rsidRPr="001904F8" w14:paraId="6D1CBD4B" w14:textId="77777777" w:rsidTr="00C060CE">
        <w:trPr>
          <w:trHeight w:val="288"/>
        </w:trPr>
        <w:tc>
          <w:tcPr>
            <w:tcW w:w="1590" w:type="dxa"/>
            <w:shd w:val="clear" w:color="auto" w:fill="auto"/>
            <w:noWrap/>
            <w:vAlign w:val="bottom"/>
          </w:tcPr>
          <w:p w14:paraId="1CE31F5E" w14:textId="68D144B6" w:rsidR="008B5AF2" w:rsidRPr="008B5AF2" w:rsidRDefault="008B5AF2" w:rsidP="008B5AF2">
            <w:pPr>
              <w:spacing w:after="0"/>
              <w:rPr>
                <w:rFonts w:eastAsia="Times New Roman" w:cstheme="minorHAnsi"/>
                <w:b/>
                <w:bCs/>
                <w:sz w:val="18"/>
                <w:szCs w:val="18"/>
              </w:rPr>
            </w:pPr>
            <w:r w:rsidRPr="001904F8">
              <w:rPr>
                <w:rFonts w:eastAsia="Times New Roman" w:cstheme="minorHAnsi"/>
                <w:b/>
                <w:bCs/>
                <w:sz w:val="18"/>
                <w:szCs w:val="18"/>
              </w:rPr>
              <w:t>MPH-MR</w:t>
            </w:r>
          </w:p>
        </w:tc>
        <w:tc>
          <w:tcPr>
            <w:tcW w:w="841" w:type="dxa"/>
            <w:shd w:val="clear" w:color="auto" w:fill="auto"/>
            <w:noWrap/>
            <w:vAlign w:val="bottom"/>
          </w:tcPr>
          <w:p w14:paraId="50371624" w14:textId="0B93010C" w:rsidR="008B5AF2" w:rsidRPr="001904F8" w:rsidRDefault="003F7D21" w:rsidP="00E45D15">
            <w:pPr>
              <w:spacing w:after="0"/>
              <w:jc w:val="right"/>
              <w:rPr>
                <w:rFonts w:eastAsia="Times New Roman" w:cstheme="minorHAnsi"/>
                <w:sz w:val="18"/>
                <w:szCs w:val="18"/>
              </w:rPr>
            </w:pPr>
            <w:r>
              <w:rPr>
                <w:rFonts w:eastAsia="Times New Roman" w:cstheme="minorHAnsi"/>
                <w:sz w:val="18"/>
                <w:szCs w:val="18"/>
              </w:rPr>
              <w:t>56,617</w:t>
            </w:r>
            <w:r w:rsidR="008B5AF2" w:rsidRPr="001904F8">
              <w:rPr>
                <w:rFonts w:eastAsia="Times New Roman" w:cstheme="minorHAnsi"/>
                <w:sz w:val="18"/>
                <w:szCs w:val="18"/>
              </w:rPr>
              <w:t xml:space="preserve">                   </w:t>
            </w:r>
          </w:p>
        </w:tc>
        <w:tc>
          <w:tcPr>
            <w:tcW w:w="841" w:type="dxa"/>
            <w:shd w:val="clear" w:color="auto" w:fill="auto"/>
            <w:noWrap/>
            <w:vAlign w:val="bottom"/>
          </w:tcPr>
          <w:p w14:paraId="6C59375F" w14:textId="0F261C17" w:rsidR="008B5AF2" w:rsidRPr="001904F8" w:rsidRDefault="003F7D21" w:rsidP="00E45D15">
            <w:pPr>
              <w:spacing w:after="0"/>
              <w:jc w:val="right"/>
              <w:rPr>
                <w:rFonts w:eastAsia="Times New Roman" w:cstheme="minorHAnsi"/>
                <w:sz w:val="18"/>
                <w:szCs w:val="18"/>
              </w:rPr>
            </w:pPr>
            <w:r>
              <w:rPr>
                <w:rFonts w:eastAsia="Times New Roman" w:cstheme="minorHAnsi"/>
                <w:sz w:val="18"/>
                <w:szCs w:val="18"/>
              </w:rPr>
              <w:t>60,811</w:t>
            </w:r>
            <w:r w:rsidR="008B5AF2" w:rsidRPr="001904F8">
              <w:rPr>
                <w:rFonts w:eastAsia="Times New Roman" w:cstheme="minorHAnsi"/>
                <w:sz w:val="18"/>
                <w:szCs w:val="18"/>
              </w:rPr>
              <w:t xml:space="preserve">                                   </w:t>
            </w:r>
          </w:p>
        </w:tc>
        <w:tc>
          <w:tcPr>
            <w:tcW w:w="841" w:type="dxa"/>
            <w:shd w:val="clear" w:color="auto" w:fill="auto"/>
            <w:noWrap/>
            <w:vAlign w:val="bottom"/>
          </w:tcPr>
          <w:p w14:paraId="35AE1E9D" w14:textId="03EB64F7"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 64,999 </w:t>
            </w:r>
          </w:p>
        </w:tc>
        <w:tc>
          <w:tcPr>
            <w:tcW w:w="841" w:type="dxa"/>
            <w:shd w:val="clear" w:color="auto" w:fill="auto"/>
            <w:noWrap/>
            <w:vAlign w:val="bottom"/>
          </w:tcPr>
          <w:p w14:paraId="73D94479" w14:textId="7F5F01F9"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 66,901 </w:t>
            </w:r>
          </w:p>
        </w:tc>
        <w:tc>
          <w:tcPr>
            <w:tcW w:w="841" w:type="dxa"/>
            <w:shd w:val="clear" w:color="auto" w:fill="auto"/>
            <w:noWrap/>
            <w:vAlign w:val="bottom"/>
          </w:tcPr>
          <w:p w14:paraId="7124D52F" w14:textId="0711A07B"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  70,643 </w:t>
            </w:r>
          </w:p>
        </w:tc>
        <w:tc>
          <w:tcPr>
            <w:tcW w:w="841" w:type="dxa"/>
            <w:shd w:val="clear" w:color="auto" w:fill="auto"/>
            <w:noWrap/>
            <w:vAlign w:val="bottom"/>
          </w:tcPr>
          <w:p w14:paraId="2D135666" w14:textId="6F8EDB5B"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 76,691 </w:t>
            </w:r>
          </w:p>
        </w:tc>
        <w:tc>
          <w:tcPr>
            <w:tcW w:w="841" w:type="dxa"/>
            <w:shd w:val="clear" w:color="auto" w:fill="auto"/>
            <w:noWrap/>
            <w:vAlign w:val="bottom"/>
          </w:tcPr>
          <w:p w14:paraId="59E6574D" w14:textId="57868BEE"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  85,002 </w:t>
            </w:r>
          </w:p>
        </w:tc>
        <w:tc>
          <w:tcPr>
            <w:tcW w:w="841" w:type="dxa"/>
            <w:shd w:val="clear" w:color="auto" w:fill="auto"/>
            <w:noWrap/>
            <w:vAlign w:val="bottom"/>
          </w:tcPr>
          <w:p w14:paraId="74B0136A" w14:textId="2756FF91"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  97,515 </w:t>
            </w:r>
          </w:p>
        </w:tc>
        <w:tc>
          <w:tcPr>
            <w:tcW w:w="841" w:type="dxa"/>
            <w:shd w:val="clear" w:color="auto" w:fill="auto"/>
            <w:noWrap/>
            <w:vAlign w:val="bottom"/>
          </w:tcPr>
          <w:p w14:paraId="21E5BFAC" w14:textId="2EB6CF71"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112,184 </w:t>
            </w:r>
          </w:p>
        </w:tc>
        <w:tc>
          <w:tcPr>
            <w:tcW w:w="841" w:type="dxa"/>
            <w:shd w:val="clear" w:color="auto" w:fill="auto"/>
            <w:noWrap/>
            <w:vAlign w:val="bottom"/>
          </w:tcPr>
          <w:p w14:paraId="05F6EE33" w14:textId="3279636B"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133,991 </w:t>
            </w:r>
          </w:p>
        </w:tc>
      </w:tr>
      <w:tr w:rsidR="008B5AF2" w:rsidRPr="001904F8" w14:paraId="017B5DEF" w14:textId="77777777" w:rsidTr="00C060CE">
        <w:trPr>
          <w:trHeight w:val="288"/>
        </w:trPr>
        <w:tc>
          <w:tcPr>
            <w:tcW w:w="1590" w:type="dxa"/>
            <w:shd w:val="clear" w:color="auto" w:fill="auto"/>
            <w:noWrap/>
            <w:vAlign w:val="bottom"/>
            <w:hideMark/>
          </w:tcPr>
          <w:p w14:paraId="6DBFE591" w14:textId="77777777" w:rsidR="008B5AF2" w:rsidRPr="001904F8" w:rsidRDefault="008B5AF2" w:rsidP="008B5AF2">
            <w:pPr>
              <w:spacing w:after="0"/>
              <w:rPr>
                <w:rFonts w:eastAsia="Times New Roman" w:cstheme="minorHAnsi"/>
                <w:b/>
                <w:bCs/>
                <w:sz w:val="18"/>
                <w:szCs w:val="18"/>
              </w:rPr>
            </w:pPr>
            <w:r w:rsidRPr="001904F8">
              <w:rPr>
                <w:rFonts w:eastAsia="Times New Roman" w:cstheme="minorHAnsi"/>
                <w:b/>
                <w:bCs/>
                <w:sz w:val="18"/>
                <w:szCs w:val="18"/>
              </w:rPr>
              <w:t>Dexamfetamine</w:t>
            </w:r>
          </w:p>
        </w:tc>
        <w:tc>
          <w:tcPr>
            <w:tcW w:w="841" w:type="dxa"/>
            <w:shd w:val="clear" w:color="auto" w:fill="auto"/>
            <w:noWrap/>
            <w:vAlign w:val="bottom"/>
            <w:hideMark/>
          </w:tcPr>
          <w:p w14:paraId="75D6CEF4" w14:textId="7925FB25" w:rsidR="008B5AF2" w:rsidRPr="001904F8" w:rsidRDefault="003F7D21" w:rsidP="00E45D15">
            <w:pPr>
              <w:spacing w:after="0"/>
              <w:jc w:val="right"/>
              <w:rPr>
                <w:rFonts w:eastAsia="Times New Roman" w:cstheme="minorHAnsi"/>
                <w:sz w:val="18"/>
                <w:szCs w:val="18"/>
              </w:rPr>
            </w:pPr>
            <w:r>
              <w:rPr>
                <w:rFonts w:eastAsia="Times New Roman" w:cstheme="minorHAnsi"/>
                <w:sz w:val="18"/>
                <w:szCs w:val="18"/>
              </w:rPr>
              <w:t>33,901</w:t>
            </w:r>
            <w:r w:rsidR="008B5AF2" w:rsidRPr="001904F8">
              <w:rPr>
                <w:rFonts w:eastAsia="Times New Roman" w:cstheme="minorHAnsi"/>
                <w:sz w:val="18"/>
                <w:szCs w:val="18"/>
              </w:rPr>
              <w:t xml:space="preserve">                          </w:t>
            </w:r>
          </w:p>
        </w:tc>
        <w:tc>
          <w:tcPr>
            <w:tcW w:w="841" w:type="dxa"/>
            <w:shd w:val="clear" w:color="auto" w:fill="auto"/>
            <w:noWrap/>
            <w:vAlign w:val="bottom"/>
            <w:hideMark/>
          </w:tcPr>
          <w:p w14:paraId="4CCE5A68" w14:textId="2F379247" w:rsidR="008B5AF2" w:rsidRPr="001904F8" w:rsidRDefault="003F7D21" w:rsidP="00E45D15">
            <w:pPr>
              <w:spacing w:after="0"/>
              <w:jc w:val="right"/>
              <w:rPr>
                <w:rFonts w:eastAsia="Times New Roman" w:cstheme="minorHAnsi"/>
                <w:sz w:val="18"/>
                <w:szCs w:val="18"/>
              </w:rPr>
            </w:pPr>
            <w:r>
              <w:rPr>
                <w:rFonts w:eastAsia="Times New Roman" w:cstheme="minorHAnsi"/>
                <w:sz w:val="18"/>
                <w:szCs w:val="18"/>
              </w:rPr>
              <w:t>34,406</w:t>
            </w:r>
            <w:r w:rsidR="008B5AF2" w:rsidRPr="001904F8">
              <w:rPr>
                <w:rFonts w:eastAsia="Times New Roman" w:cstheme="minorHAnsi"/>
                <w:sz w:val="18"/>
                <w:szCs w:val="18"/>
              </w:rPr>
              <w:t xml:space="preserve">                                             </w:t>
            </w:r>
          </w:p>
        </w:tc>
        <w:tc>
          <w:tcPr>
            <w:tcW w:w="841" w:type="dxa"/>
            <w:shd w:val="clear" w:color="auto" w:fill="auto"/>
            <w:noWrap/>
            <w:vAlign w:val="bottom"/>
            <w:hideMark/>
          </w:tcPr>
          <w:p w14:paraId="236F13B0" w14:textId="2CA65C58"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  37,080 </w:t>
            </w:r>
          </w:p>
        </w:tc>
        <w:tc>
          <w:tcPr>
            <w:tcW w:w="841" w:type="dxa"/>
            <w:shd w:val="clear" w:color="auto" w:fill="auto"/>
            <w:noWrap/>
            <w:vAlign w:val="bottom"/>
            <w:hideMark/>
          </w:tcPr>
          <w:p w14:paraId="7752FA7C" w14:textId="075F7888"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  38,956 </w:t>
            </w:r>
          </w:p>
        </w:tc>
        <w:tc>
          <w:tcPr>
            <w:tcW w:w="841" w:type="dxa"/>
            <w:shd w:val="clear" w:color="auto" w:fill="auto"/>
            <w:noWrap/>
            <w:vAlign w:val="bottom"/>
            <w:hideMark/>
          </w:tcPr>
          <w:p w14:paraId="4560660D" w14:textId="1206037E"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  42,729 </w:t>
            </w:r>
          </w:p>
        </w:tc>
        <w:tc>
          <w:tcPr>
            <w:tcW w:w="841" w:type="dxa"/>
            <w:shd w:val="clear" w:color="auto" w:fill="auto"/>
            <w:noWrap/>
            <w:vAlign w:val="bottom"/>
            <w:hideMark/>
          </w:tcPr>
          <w:p w14:paraId="1E37D612" w14:textId="6725F6FB"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  48,039 </w:t>
            </w:r>
          </w:p>
        </w:tc>
        <w:tc>
          <w:tcPr>
            <w:tcW w:w="841" w:type="dxa"/>
            <w:shd w:val="clear" w:color="auto" w:fill="auto"/>
            <w:noWrap/>
            <w:vAlign w:val="bottom"/>
            <w:hideMark/>
          </w:tcPr>
          <w:p w14:paraId="5F1C1FBE" w14:textId="58BCB2D2"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  55,939 </w:t>
            </w:r>
          </w:p>
        </w:tc>
        <w:tc>
          <w:tcPr>
            <w:tcW w:w="841" w:type="dxa"/>
            <w:shd w:val="clear" w:color="auto" w:fill="auto"/>
            <w:noWrap/>
            <w:vAlign w:val="bottom"/>
            <w:hideMark/>
          </w:tcPr>
          <w:p w14:paraId="54FAA67F" w14:textId="5961E688"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  68,764 </w:t>
            </w:r>
          </w:p>
        </w:tc>
        <w:tc>
          <w:tcPr>
            <w:tcW w:w="841" w:type="dxa"/>
            <w:shd w:val="clear" w:color="auto" w:fill="auto"/>
            <w:noWrap/>
            <w:vAlign w:val="bottom"/>
            <w:hideMark/>
          </w:tcPr>
          <w:p w14:paraId="2ED2343F" w14:textId="72666DE5"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  88,300 </w:t>
            </w:r>
          </w:p>
        </w:tc>
        <w:tc>
          <w:tcPr>
            <w:tcW w:w="841" w:type="dxa"/>
            <w:shd w:val="clear" w:color="auto" w:fill="auto"/>
            <w:noWrap/>
            <w:vAlign w:val="bottom"/>
            <w:hideMark/>
          </w:tcPr>
          <w:p w14:paraId="512B341F" w14:textId="48969E6C"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116,596 </w:t>
            </w:r>
          </w:p>
        </w:tc>
      </w:tr>
      <w:tr w:rsidR="008B5AF2" w:rsidRPr="001904F8" w14:paraId="779FB2EF" w14:textId="77777777" w:rsidTr="00C060CE">
        <w:trPr>
          <w:trHeight w:val="288"/>
        </w:trPr>
        <w:tc>
          <w:tcPr>
            <w:tcW w:w="1590" w:type="dxa"/>
            <w:shd w:val="clear" w:color="auto" w:fill="auto"/>
            <w:noWrap/>
            <w:vAlign w:val="bottom"/>
            <w:hideMark/>
          </w:tcPr>
          <w:p w14:paraId="74CF570A" w14:textId="77777777" w:rsidR="008B5AF2" w:rsidRPr="001904F8" w:rsidRDefault="008B5AF2" w:rsidP="008B5AF2">
            <w:pPr>
              <w:spacing w:after="0"/>
              <w:rPr>
                <w:rFonts w:eastAsia="Times New Roman" w:cstheme="minorHAnsi"/>
                <w:b/>
                <w:bCs/>
                <w:sz w:val="18"/>
                <w:szCs w:val="18"/>
              </w:rPr>
            </w:pPr>
            <w:r w:rsidRPr="001904F8">
              <w:rPr>
                <w:rFonts w:eastAsia="Times New Roman" w:cstheme="minorHAnsi"/>
                <w:b/>
                <w:bCs/>
                <w:sz w:val="18"/>
                <w:szCs w:val="18"/>
              </w:rPr>
              <w:t>Guanfacine</w:t>
            </w:r>
          </w:p>
        </w:tc>
        <w:tc>
          <w:tcPr>
            <w:tcW w:w="841" w:type="dxa"/>
            <w:shd w:val="clear" w:color="auto" w:fill="auto"/>
            <w:noWrap/>
            <w:vAlign w:val="bottom"/>
            <w:hideMark/>
          </w:tcPr>
          <w:p w14:paraId="514B03D5" w14:textId="77777777" w:rsidR="008B5AF2" w:rsidRPr="001904F8" w:rsidRDefault="008B5AF2" w:rsidP="00E45D15">
            <w:pPr>
              <w:spacing w:after="0"/>
              <w:jc w:val="right"/>
              <w:rPr>
                <w:rFonts w:eastAsia="Times New Roman" w:cstheme="minorHAnsi"/>
                <w:sz w:val="18"/>
                <w:szCs w:val="18"/>
              </w:rPr>
            </w:pPr>
          </w:p>
        </w:tc>
        <w:tc>
          <w:tcPr>
            <w:tcW w:w="841" w:type="dxa"/>
            <w:shd w:val="clear" w:color="auto" w:fill="auto"/>
            <w:noWrap/>
            <w:vAlign w:val="bottom"/>
            <w:hideMark/>
          </w:tcPr>
          <w:p w14:paraId="45DEE8A8" w14:textId="77777777" w:rsidR="008B5AF2" w:rsidRPr="001904F8" w:rsidRDefault="008B5AF2" w:rsidP="00E45D15">
            <w:pPr>
              <w:spacing w:after="0"/>
              <w:jc w:val="right"/>
              <w:rPr>
                <w:rFonts w:eastAsia="Times New Roman" w:cstheme="minorHAnsi"/>
                <w:sz w:val="18"/>
                <w:szCs w:val="18"/>
              </w:rPr>
            </w:pPr>
          </w:p>
        </w:tc>
        <w:tc>
          <w:tcPr>
            <w:tcW w:w="841" w:type="dxa"/>
            <w:shd w:val="clear" w:color="auto" w:fill="auto"/>
            <w:noWrap/>
            <w:vAlign w:val="bottom"/>
            <w:hideMark/>
          </w:tcPr>
          <w:p w14:paraId="13904C8D" w14:textId="77777777" w:rsidR="008B5AF2" w:rsidRPr="001904F8" w:rsidRDefault="008B5AF2" w:rsidP="00E45D15">
            <w:pPr>
              <w:spacing w:after="0"/>
              <w:jc w:val="right"/>
              <w:rPr>
                <w:rFonts w:eastAsia="Times New Roman" w:cstheme="minorHAnsi"/>
                <w:sz w:val="18"/>
                <w:szCs w:val="18"/>
              </w:rPr>
            </w:pPr>
          </w:p>
        </w:tc>
        <w:tc>
          <w:tcPr>
            <w:tcW w:w="841" w:type="dxa"/>
            <w:shd w:val="clear" w:color="auto" w:fill="auto"/>
            <w:noWrap/>
            <w:vAlign w:val="bottom"/>
            <w:hideMark/>
          </w:tcPr>
          <w:p w14:paraId="21D576B2" w14:textId="77777777" w:rsidR="008B5AF2" w:rsidRPr="001904F8" w:rsidRDefault="008B5AF2" w:rsidP="00E45D15">
            <w:pPr>
              <w:spacing w:after="0"/>
              <w:jc w:val="right"/>
              <w:rPr>
                <w:rFonts w:eastAsia="Times New Roman" w:cstheme="minorHAnsi"/>
                <w:sz w:val="18"/>
                <w:szCs w:val="18"/>
              </w:rPr>
            </w:pPr>
          </w:p>
        </w:tc>
        <w:tc>
          <w:tcPr>
            <w:tcW w:w="841" w:type="dxa"/>
            <w:shd w:val="clear" w:color="auto" w:fill="auto"/>
            <w:noWrap/>
            <w:vAlign w:val="bottom"/>
            <w:hideMark/>
          </w:tcPr>
          <w:p w14:paraId="15374A5B" w14:textId="77777777" w:rsidR="008B5AF2" w:rsidRPr="001904F8" w:rsidRDefault="008B5AF2" w:rsidP="00E45D15">
            <w:pPr>
              <w:spacing w:after="0"/>
              <w:jc w:val="right"/>
              <w:rPr>
                <w:rFonts w:eastAsia="Times New Roman" w:cstheme="minorHAnsi"/>
                <w:sz w:val="18"/>
                <w:szCs w:val="18"/>
              </w:rPr>
            </w:pPr>
          </w:p>
        </w:tc>
        <w:tc>
          <w:tcPr>
            <w:tcW w:w="841" w:type="dxa"/>
            <w:shd w:val="clear" w:color="auto" w:fill="auto"/>
            <w:noWrap/>
            <w:vAlign w:val="bottom"/>
            <w:hideMark/>
          </w:tcPr>
          <w:p w14:paraId="052C47AC" w14:textId="583FC6A5"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  11,492 </w:t>
            </w:r>
          </w:p>
        </w:tc>
        <w:tc>
          <w:tcPr>
            <w:tcW w:w="841" w:type="dxa"/>
            <w:shd w:val="clear" w:color="auto" w:fill="auto"/>
            <w:noWrap/>
            <w:vAlign w:val="bottom"/>
            <w:hideMark/>
          </w:tcPr>
          <w:p w14:paraId="0EC65752" w14:textId="01E2FA58"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  21,938 </w:t>
            </w:r>
          </w:p>
        </w:tc>
        <w:tc>
          <w:tcPr>
            <w:tcW w:w="841" w:type="dxa"/>
            <w:shd w:val="clear" w:color="auto" w:fill="auto"/>
            <w:noWrap/>
            <w:vAlign w:val="bottom"/>
            <w:hideMark/>
          </w:tcPr>
          <w:p w14:paraId="6A10A35A" w14:textId="638D4C86"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  29,796 </w:t>
            </w:r>
          </w:p>
        </w:tc>
        <w:tc>
          <w:tcPr>
            <w:tcW w:w="841" w:type="dxa"/>
            <w:shd w:val="clear" w:color="auto" w:fill="auto"/>
            <w:noWrap/>
            <w:vAlign w:val="bottom"/>
            <w:hideMark/>
          </w:tcPr>
          <w:p w14:paraId="1B57A73D" w14:textId="40704734"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  38,921 </w:t>
            </w:r>
          </w:p>
        </w:tc>
        <w:tc>
          <w:tcPr>
            <w:tcW w:w="841" w:type="dxa"/>
            <w:shd w:val="clear" w:color="auto" w:fill="auto"/>
            <w:noWrap/>
            <w:vAlign w:val="bottom"/>
            <w:hideMark/>
          </w:tcPr>
          <w:p w14:paraId="0CB78616" w14:textId="582EC31A"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  50,583 </w:t>
            </w:r>
          </w:p>
        </w:tc>
      </w:tr>
      <w:tr w:rsidR="008B5AF2" w:rsidRPr="001904F8" w14:paraId="0D1629B6" w14:textId="77777777" w:rsidTr="00E62C2E">
        <w:trPr>
          <w:trHeight w:val="288"/>
        </w:trPr>
        <w:tc>
          <w:tcPr>
            <w:tcW w:w="1590" w:type="dxa"/>
            <w:tcBorders>
              <w:bottom w:val="single" w:sz="12" w:space="0" w:color="auto"/>
            </w:tcBorders>
            <w:shd w:val="clear" w:color="auto" w:fill="auto"/>
            <w:noWrap/>
            <w:vAlign w:val="bottom"/>
          </w:tcPr>
          <w:p w14:paraId="44A07CD3" w14:textId="12801F1D" w:rsidR="008B5AF2" w:rsidRPr="001904F8" w:rsidRDefault="008B5AF2" w:rsidP="008B5AF2">
            <w:pPr>
              <w:spacing w:after="0"/>
              <w:rPr>
                <w:rFonts w:eastAsia="Times New Roman" w:cstheme="minorHAnsi"/>
                <w:b/>
                <w:bCs/>
                <w:sz w:val="18"/>
                <w:szCs w:val="18"/>
              </w:rPr>
            </w:pPr>
            <w:r w:rsidRPr="001904F8">
              <w:rPr>
                <w:rFonts w:eastAsia="Times New Roman" w:cstheme="minorHAnsi"/>
                <w:b/>
                <w:bCs/>
                <w:sz w:val="18"/>
                <w:szCs w:val="18"/>
              </w:rPr>
              <w:t>Atomoxetine</w:t>
            </w:r>
          </w:p>
        </w:tc>
        <w:tc>
          <w:tcPr>
            <w:tcW w:w="841" w:type="dxa"/>
            <w:tcBorders>
              <w:bottom w:val="single" w:sz="12" w:space="0" w:color="auto"/>
            </w:tcBorders>
            <w:shd w:val="clear" w:color="auto" w:fill="auto"/>
            <w:noWrap/>
            <w:vAlign w:val="bottom"/>
          </w:tcPr>
          <w:p w14:paraId="5BE18A2F" w14:textId="24356C77" w:rsidR="008B5AF2" w:rsidRPr="001904F8" w:rsidRDefault="003F7D21" w:rsidP="00E45D15">
            <w:pPr>
              <w:spacing w:after="0"/>
              <w:jc w:val="right"/>
              <w:rPr>
                <w:rFonts w:eastAsia="Times New Roman" w:cstheme="minorHAnsi"/>
                <w:sz w:val="18"/>
                <w:szCs w:val="18"/>
              </w:rPr>
            </w:pPr>
            <w:r>
              <w:rPr>
                <w:rFonts w:eastAsia="Times New Roman" w:cstheme="minorHAnsi"/>
                <w:sz w:val="18"/>
                <w:szCs w:val="18"/>
              </w:rPr>
              <w:t>7,375</w:t>
            </w:r>
            <w:r w:rsidR="008B5AF2" w:rsidRPr="001904F8">
              <w:rPr>
                <w:rFonts w:eastAsia="Times New Roman" w:cstheme="minorHAnsi"/>
                <w:sz w:val="18"/>
                <w:szCs w:val="18"/>
              </w:rPr>
              <w:t xml:space="preserve">                        </w:t>
            </w:r>
          </w:p>
        </w:tc>
        <w:tc>
          <w:tcPr>
            <w:tcW w:w="841" w:type="dxa"/>
            <w:tcBorders>
              <w:bottom w:val="single" w:sz="12" w:space="0" w:color="auto"/>
            </w:tcBorders>
            <w:shd w:val="clear" w:color="auto" w:fill="auto"/>
            <w:noWrap/>
            <w:vAlign w:val="bottom"/>
          </w:tcPr>
          <w:p w14:paraId="767F1D9D" w14:textId="7B760BF8" w:rsidR="008B5AF2" w:rsidRPr="001904F8" w:rsidRDefault="003F7D21" w:rsidP="00E45D15">
            <w:pPr>
              <w:spacing w:after="0"/>
              <w:jc w:val="right"/>
              <w:rPr>
                <w:rFonts w:eastAsia="Times New Roman" w:cstheme="minorHAnsi"/>
                <w:sz w:val="18"/>
                <w:szCs w:val="18"/>
              </w:rPr>
            </w:pPr>
            <w:r>
              <w:rPr>
                <w:rFonts w:eastAsia="Times New Roman" w:cstheme="minorHAnsi"/>
                <w:sz w:val="18"/>
                <w:szCs w:val="18"/>
              </w:rPr>
              <w:t>7,864</w:t>
            </w:r>
            <w:r w:rsidR="008B5AF2" w:rsidRPr="001904F8">
              <w:rPr>
                <w:rFonts w:eastAsia="Times New Roman" w:cstheme="minorHAnsi"/>
                <w:sz w:val="18"/>
                <w:szCs w:val="18"/>
              </w:rPr>
              <w:t xml:space="preserve">                                                      </w:t>
            </w:r>
          </w:p>
        </w:tc>
        <w:tc>
          <w:tcPr>
            <w:tcW w:w="841" w:type="dxa"/>
            <w:tcBorders>
              <w:bottom w:val="single" w:sz="12" w:space="0" w:color="auto"/>
            </w:tcBorders>
            <w:shd w:val="clear" w:color="auto" w:fill="auto"/>
            <w:noWrap/>
            <w:vAlign w:val="bottom"/>
          </w:tcPr>
          <w:p w14:paraId="05A0097F" w14:textId="2B5F7CEF"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   8,658 </w:t>
            </w:r>
          </w:p>
        </w:tc>
        <w:tc>
          <w:tcPr>
            <w:tcW w:w="841" w:type="dxa"/>
            <w:tcBorders>
              <w:bottom w:val="single" w:sz="12" w:space="0" w:color="auto"/>
            </w:tcBorders>
            <w:shd w:val="clear" w:color="auto" w:fill="auto"/>
            <w:noWrap/>
            <w:vAlign w:val="bottom"/>
          </w:tcPr>
          <w:p w14:paraId="6799118B" w14:textId="6D8A5F95"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    9,498 </w:t>
            </w:r>
          </w:p>
        </w:tc>
        <w:tc>
          <w:tcPr>
            <w:tcW w:w="841" w:type="dxa"/>
            <w:tcBorders>
              <w:bottom w:val="single" w:sz="12" w:space="0" w:color="auto"/>
            </w:tcBorders>
            <w:shd w:val="clear" w:color="auto" w:fill="auto"/>
            <w:noWrap/>
            <w:vAlign w:val="bottom"/>
          </w:tcPr>
          <w:p w14:paraId="7642FB7A" w14:textId="282C9CAE"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  10,301 </w:t>
            </w:r>
          </w:p>
        </w:tc>
        <w:tc>
          <w:tcPr>
            <w:tcW w:w="841" w:type="dxa"/>
            <w:tcBorders>
              <w:bottom w:val="single" w:sz="12" w:space="0" w:color="auto"/>
            </w:tcBorders>
            <w:shd w:val="clear" w:color="auto" w:fill="auto"/>
            <w:noWrap/>
            <w:vAlign w:val="bottom"/>
          </w:tcPr>
          <w:p w14:paraId="02B66C70" w14:textId="6A76857E"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  10,582 </w:t>
            </w:r>
          </w:p>
        </w:tc>
        <w:tc>
          <w:tcPr>
            <w:tcW w:w="841" w:type="dxa"/>
            <w:tcBorders>
              <w:bottom w:val="single" w:sz="12" w:space="0" w:color="auto"/>
            </w:tcBorders>
            <w:shd w:val="clear" w:color="auto" w:fill="auto"/>
            <w:noWrap/>
            <w:vAlign w:val="bottom"/>
          </w:tcPr>
          <w:p w14:paraId="2B6AB491" w14:textId="3F889E38"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  11,044 </w:t>
            </w:r>
          </w:p>
        </w:tc>
        <w:tc>
          <w:tcPr>
            <w:tcW w:w="841" w:type="dxa"/>
            <w:tcBorders>
              <w:bottom w:val="single" w:sz="12" w:space="0" w:color="auto"/>
            </w:tcBorders>
            <w:shd w:val="clear" w:color="auto" w:fill="auto"/>
            <w:noWrap/>
            <w:vAlign w:val="bottom"/>
          </w:tcPr>
          <w:p w14:paraId="379DFB24" w14:textId="2584717E"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  12,748 </w:t>
            </w:r>
          </w:p>
        </w:tc>
        <w:tc>
          <w:tcPr>
            <w:tcW w:w="841" w:type="dxa"/>
            <w:tcBorders>
              <w:bottom w:val="single" w:sz="12" w:space="0" w:color="auto"/>
            </w:tcBorders>
            <w:shd w:val="clear" w:color="auto" w:fill="auto"/>
            <w:noWrap/>
            <w:vAlign w:val="bottom"/>
          </w:tcPr>
          <w:p w14:paraId="42B8641A" w14:textId="2C62A1E1"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  14,657 </w:t>
            </w:r>
          </w:p>
        </w:tc>
        <w:tc>
          <w:tcPr>
            <w:tcW w:w="841" w:type="dxa"/>
            <w:tcBorders>
              <w:bottom w:val="single" w:sz="12" w:space="0" w:color="auto"/>
            </w:tcBorders>
            <w:shd w:val="clear" w:color="auto" w:fill="auto"/>
            <w:noWrap/>
            <w:vAlign w:val="bottom"/>
          </w:tcPr>
          <w:p w14:paraId="36E512FC" w14:textId="11FC71B2" w:rsidR="008B5AF2" w:rsidRPr="001904F8" w:rsidRDefault="008B5AF2" w:rsidP="00E45D15">
            <w:pPr>
              <w:spacing w:after="0"/>
              <w:jc w:val="right"/>
              <w:rPr>
                <w:rFonts w:eastAsia="Times New Roman" w:cstheme="minorHAnsi"/>
                <w:sz w:val="18"/>
                <w:szCs w:val="18"/>
              </w:rPr>
            </w:pPr>
            <w:r w:rsidRPr="001904F8">
              <w:rPr>
                <w:rFonts w:eastAsia="Times New Roman" w:cstheme="minorHAnsi"/>
                <w:sz w:val="18"/>
                <w:szCs w:val="18"/>
              </w:rPr>
              <w:t xml:space="preserve">  16,412 </w:t>
            </w:r>
          </w:p>
        </w:tc>
      </w:tr>
      <w:tr w:rsidR="00F66E7F" w:rsidRPr="001904F8" w14:paraId="20B69827" w14:textId="77777777" w:rsidTr="00E62C2E">
        <w:trPr>
          <w:trHeight w:val="288"/>
        </w:trPr>
        <w:tc>
          <w:tcPr>
            <w:tcW w:w="1590" w:type="dxa"/>
            <w:tcBorders>
              <w:top w:val="single" w:sz="12" w:space="0" w:color="auto"/>
              <w:left w:val="single" w:sz="12" w:space="0" w:color="auto"/>
              <w:right w:val="single" w:sz="12" w:space="0" w:color="auto"/>
            </w:tcBorders>
            <w:shd w:val="clear" w:color="auto" w:fill="auto"/>
            <w:noWrap/>
            <w:vAlign w:val="bottom"/>
          </w:tcPr>
          <w:p w14:paraId="4E5532A5" w14:textId="62BAD518" w:rsidR="00F66E7F" w:rsidRPr="001904F8" w:rsidRDefault="00F66E7F" w:rsidP="00F66E7F">
            <w:pPr>
              <w:spacing w:after="0"/>
              <w:rPr>
                <w:rFonts w:eastAsia="Times New Roman" w:cstheme="minorHAnsi"/>
                <w:b/>
                <w:bCs/>
                <w:sz w:val="18"/>
                <w:szCs w:val="18"/>
              </w:rPr>
            </w:pPr>
            <w:r>
              <w:rPr>
                <w:rFonts w:eastAsia="Times New Roman" w:cstheme="minorHAnsi"/>
                <w:b/>
                <w:bCs/>
                <w:sz w:val="18"/>
                <w:szCs w:val="18"/>
              </w:rPr>
              <w:t>Total</w:t>
            </w:r>
          </w:p>
        </w:tc>
        <w:tc>
          <w:tcPr>
            <w:tcW w:w="841" w:type="dxa"/>
            <w:tcBorders>
              <w:top w:val="single" w:sz="12" w:space="0" w:color="auto"/>
              <w:left w:val="single" w:sz="12" w:space="0" w:color="auto"/>
            </w:tcBorders>
            <w:shd w:val="clear" w:color="auto" w:fill="auto"/>
            <w:noWrap/>
            <w:vAlign w:val="bottom"/>
          </w:tcPr>
          <w:p w14:paraId="3584CFB0" w14:textId="201CD30C" w:rsidR="00F66E7F" w:rsidRPr="001904F8" w:rsidRDefault="00F66E7F" w:rsidP="00F66E7F">
            <w:pPr>
              <w:spacing w:after="0"/>
              <w:jc w:val="right"/>
              <w:rPr>
                <w:rFonts w:eastAsia="Times New Roman" w:cstheme="minorHAnsi"/>
                <w:sz w:val="18"/>
                <w:szCs w:val="18"/>
              </w:rPr>
            </w:pPr>
            <w:r w:rsidRPr="006E5229">
              <w:rPr>
                <w:rFonts w:eastAsia="Times New Roman" w:cstheme="minorHAnsi"/>
                <w:sz w:val="18"/>
                <w:szCs w:val="18"/>
              </w:rPr>
              <w:t xml:space="preserve">                                             117,824 </w:t>
            </w:r>
          </w:p>
        </w:tc>
        <w:tc>
          <w:tcPr>
            <w:tcW w:w="841" w:type="dxa"/>
            <w:tcBorders>
              <w:top w:val="single" w:sz="12" w:space="0" w:color="auto"/>
            </w:tcBorders>
            <w:shd w:val="clear" w:color="auto" w:fill="auto"/>
            <w:noWrap/>
            <w:vAlign w:val="bottom"/>
          </w:tcPr>
          <w:p w14:paraId="4320746B" w14:textId="0CD9469C" w:rsidR="00F66E7F" w:rsidRPr="001904F8" w:rsidRDefault="00F66E7F" w:rsidP="00F66E7F">
            <w:pPr>
              <w:spacing w:after="0"/>
              <w:jc w:val="right"/>
              <w:rPr>
                <w:rFonts w:eastAsia="Times New Roman" w:cstheme="minorHAnsi"/>
                <w:sz w:val="18"/>
                <w:szCs w:val="18"/>
              </w:rPr>
            </w:pPr>
            <w:r w:rsidRPr="006E5229">
              <w:rPr>
                <w:rFonts w:eastAsia="Times New Roman" w:cstheme="minorHAnsi"/>
                <w:sz w:val="18"/>
                <w:szCs w:val="18"/>
              </w:rPr>
              <w:t xml:space="preserve">      124,826 </w:t>
            </w:r>
          </w:p>
        </w:tc>
        <w:tc>
          <w:tcPr>
            <w:tcW w:w="841" w:type="dxa"/>
            <w:tcBorders>
              <w:top w:val="single" w:sz="12" w:space="0" w:color="auto"/>
            </w:tcBorders>
            <w:shd w:val="clear" w:color="auto" w:fill="auto"/>
            <w:noWrap/>
            <w:vAlign w:val="bottom"/>
          </w:tcPr>
          <w:p w14:paraId="4F1F12C6" w14:textId="06767A95" w:rsidR="00F66E7F" w:rsidRPr="001904F8" w:rsidRDefault="00F66E7F" w:rsidP="00F66E7F">
            <w:pPr>
              <w:spacing w:after="0"/>
              <w:jc w:val="right"/>
              <w:rPr>
                <w:rFonts w:eastAsia="Times New Roman" w:cstheme="minorHAnsi"/>
                <w:sz w:val="18"/>
                <w:szCs w:val="18"/>
              </w:rPr>
            </w:pPr>
            <w:r w:rsidRPr="006E5229">
              <w:rPr>
                <w:rFonts w:eastAsia="Times New Roman" w:cstheme="minorHAnsi"/>
                <w:sz w:val="18"/>
                <w:szCs w:val="18"/>
              </w:rPr>
              <w:t xml:space="preserve">   140,131 </w:t>
            </w:r>
          </w:p>
        </w:tc>
        <w:tc>
          <w:tcPr>
            <w:tcW w:w="841" w:type="dxa"/>
            <w:tcBorders>
              <w:top w:val="single" w:sz="12" w:space="0" w:color="auto"/>
            </w:tcBorders>
            <w:shd w:val="clear" w:color="auto" w:fill="auto"/>
            <w:noWrap/>
            <w:vAlign w:val="bottom"/>
          </w:tcPr>
          <w:p w14:paraId="762010F7" w14:textId="0A496A8B" w:rsidR="00F66E7F" w:rsidRPr="001904F8" w:rsidRDefault="00F66E7F" w:rsidP="00F66E7F">
            <w:pPr>
              <w:spacing w:after="0"/>
              <w:jc w:val="right"/>
              <w:rPr>
                <w:rFonts w:eastAsia="Times New Roman" w:cstheme="minorHAnsi"/>
                <w:sz w:val="18"/>
                <w:szCs w:val="18"/>
              </w:rPr>
            </w:pPr>
            <w:r w:rsidRPr="006E5229">
              <w:rPr>
                <w:rFonts w:eastAsia="Times New Roman" w:cstheme="minorHAnsi"/>
                <w:sz w:val="18"/>
                <w:szCs w:val="18"/>
              </w:rPr>
              <w:t xml:space="preserve">   155,521 </w:t>
            </w:r>
          </w:p>
        </w:tc>
        <w:tc>
          <w:tcPr>
            <w:tcW w:w="841" w:type="dxa"/>
            <w:tcBorders>
              <w:top w:val="single" w:sz="12" w:space="0" w:color="auto"/>
            </w:tcBorders>
            <w:shd w:val="clear" w:color="auto" w:fill="auto"/>
            <w:noWrap/>
            <w:vAlign w:val="bottom"/>
          </w:tcPr>
          <w:p w14:paraId="4737C82B" w14:textId="3D8903C1" w:rsidR="00F66E7F" w:rsidRPr="001904F8" w:rsidRDefault="00F66E7F" w:rsidP="00F66E7F">
            <w:pPr>
              <w:spacing w:after="0"/>
              <w:jc w:val="right"/>
              <w:rPr>
                <w:rFonts w:eastAsia="Times New Roman" w:cstheme="minorHAnsi"/>
                <w:sz w:val="18"/>
                <w:szCs w:val="18"/>
              </w:rPr>
            </w:pPr>
            <w:r w:rsidRPr="006E5229">
              <w:rPr>
                <w:rFonts w:eastAsia="Times New Roman" w:cstheme="minorHAnsi"/>
                <w:sz w:val="18"/>
                <w:szCs w:val="18"/>
              </w:rPr>
              <w:t xml:space="preserve">   174,378 </w:t>
            </w:r>
          </w:p>
        </w:tc>
        <w:tc>
          <w:tcPr>
            <w:tcW w:w="841" w:type="dxa"/>
            <w:tcBorders>
              <w:top w:val="single" w:sz="12" w:space="0" w:color="auto"/>
            </w:tcBorders>
            <w:shd w:val="clear" w:color="auto" w:fill="auto"/>
            <w:noWrap/>
            <w:vAlign w:val="bottom"/>
          </w:tcPr>
          <w:p w14:paraId="4206FDF3" w14:textId="4C61D1DD" w:rsidR="00F66E7F" w:rsidRPr="001904F8" w:rsidRDefault="00F66E7F" w:rsidP="00F66E7F">
            <w:pPr>
              <w:spacing w:after="0"/>
              <w:jc w:val="right"/>
              <w:rPr>
                <w:rFonts w:eastAsia="Times New Roman" w:cstheme="minorHAnsi"/>
                <w:sz w:val="18"/>
                <w:szCs w:val="18"/>
              </w:rPr>
            </w:pPr>
            <w:r w:rsidRPr="006E5229">
              <w:rPr>
                <w:rFonts w:eastAsia="Times New Roman" w:cstheme="minorHAnsi"/>
                <w:sz w:val="18"/>
                <w:szCs w:val="18"/>
              </w:rPr>
              <w:t xml:space="preserve">   200,367 </w:t>
            </w:r>
          </w:p>
        </w:tc>
        <w:tc>
          <w:tcPr>
            <w:tcW w:w="841" w:type="dxa"/>
            <w:tcBorders>
              <w:top w:val="single" w:sz="12" w:space="0" w:color="auto"/>
            </w:tcBorders>
            <w:shd w:val="clear" w:color="auto" w:fill="auto"/>
            <w:noWrap/>
            <w:vAlign w:val="bottom"/>
          </w:tcPr>
          <w:p w14:paraId="21493570" w14:textId="5FBCE173" w:rsidR="00F66E7F" w:rsidRPr="001904F8" w:rsidRDefault="00F66E7F" w:rsidP="00F66E7F">
            <w:pPr>
              <w:spacing w:after="0"/>
              <w:jc w:val="right"/>
              <w:rPr>
                <w:rFonts w:eastAsia="Times New Roman" w:cstheme="minorHAnsi"/>
                <w:sz w:val="18"/>
                <w:szCs w:val="18"/>
              </w:rPr>
            </w:pPr>
            <w:r w:rsidRPr="006E5229">
              <w:rPr>
                <w:rFonts w:eastAsia="Times New Roman" w:cstheme="minorHAnsi"/>
                <w:sz w:val="18"/>
                <w:szCs w:val="18"/>
              </w:rPr>
              <w:t xml:space="preserve">   233,615 </w:t>
            </w:r>
          </w:p>
        </w:tc>
        <w:tc>
          <w:tcPr>
            <w:tcW w:w="841" w:type="dxa"/>
            <w:tcBorders>
              <w:top w:val="single" w:sz="12" w:space="0" w:color="auto"/>
            </w:tcBorders>
            <w:shd w:val="clear" w:color="auto" w:fill="auto"/>
            <w:noWrap/>
            <w:vAlign w:val="bottom"/>
          </w:tcPr>
          <w:p w14:paraId="1093BB38" w14:textId="6C21F4A2" w:rsidR="00F66E7F" w:rsidRPr="001904F8" w:rsidRDefault="00F66E7F" w:rsidP="00F66E7F">
            <w:pPr>
              <w:spacing w:after="0"/>
              <w:jc w:val="right"/>
              <w:rPr>
                <w:rFonts w:eastAsia="Times New Roman" w:cstheme="minorHAnsi"/>
                <w:sz w:val="18"/>
                <w:szCs w:val="18"/>
              </w:rPr>
            </w:pPr>
            <w:r w:rsidRPr="006E5229">
              <w:rPr>
                <w:rFonts w:eastAsia="Times New Roman" w:cstheme="minorHAnsi"/>
                <w:sz w:val="18"/>
                <w:szCs w:val="18"/>
              </w:rPr>
              <w:t xml:space="preserve">   287,746 </w:t>
            </w:r>
          </w:p>
        </w:tc>
        <w:tc>
          <w:tcPr>
            <w:tcW w:w="841" w:type="dxa"/>
            <w:tcBorders>
              <w:top w:val="single" w:sz="12" w:space="0" w:color="auto"/>
            </w:tcBorders>
            <w:shd w:val="clear" w:color="auto" w:fill="auto"/>
            <w:noWrap/>
            <w:vAlign w:val="bottom"/>
          </w:tcPr>
          <w:p w14:paraId="0E82094C" w14:textId="6DB2CE5B" w:rsidR="00F66E7F" w:rsidRPr="001904F8" w:rsidRDefault="00F66E7F" w:rsidP="00F66E7F">
            <w:pPr>
              <w:spacing w:after="0"/>
              <w:jc w:val="right"/>
              <w:rPr>
                <w:rFonts w:eastAsia="Times New Roman" w:cstheme="minorHAnsi"/>
                <w:sz w:val="18"/>
                <w:szCs w:val="18"/>
              </w:rPr>
            </w:pPr>
            <w:r w:rsidRPr="006E5229">
              <w:rPr>
                <w:rFonts w:eastAsia="Times New Roman" w:cstheme="minorHAnsi"/>
                <w:sz w:val="18"/>
                <w:szCs w:val="18"/>
              </w:rPr>
              <w:t xml:space="preserve">   367,434 </w:t>
            </w:r>
          </w:p>
        </w:tc>
        <w:tc>
          <w:tcPr>
            <w:tcW w:w="841" w:type="dxa"/>
            <w:tcBorders>
              <w:top w:val="single" w:sz="12" w:space="0" w:color="auto"/>
              <w:right w:val="single" w:sz="12" w:space="0" w:color="auto"/>
            </w:tcBorders>
            <w:shd w:val="clear" w:color="auto" w:fill="auto"/>
            <w:noWrap/>
            <w:vAlign w:val="bottom"/>
          </w:tcPr>
          <w:p w14:paraId="2DAB53B2" w14:textId="7FA35B49" w:rsidR="00F66E7F" w:rsidRPr="001904F8" w:rsidRDefault="00F66E7F" w:rsidP="00F66E7F">
            <w:pPr>
              <w:spacing w:after="0"/>
              <w:jc w:val="right"/>
              <w:rPr>
                <w:rFonts w:eastAsia="Times New Roman" w:cstheme="minorHAnsi"/>
                <w:sz w:val="18"/>
                <w:szCs w:val="18"/>
              </w:rPr>
            </w:pPr>
            <w:r w:rsidRPr="006E5229">
              <w:rPr>
                <w:rFonts w:eastAsia="Times New Roman" w:cstheme="minorHAnsi"/>
                <w:sz w:val="18"/>
                <w:szCs w:val="18"/>
              </w:rPr>
              <w:t xml:space="preserve">   470,274 </w:t>
            </w:r>
          </w:p>
        </w:tc>
      </w:tr>
      <w:tr w:rsidR="00F66E7F" w:rsidRPr="001904F8" w14:paraId="08BCC891" w14:textId="77777777" w:rsidTr="00E62C2E">
        <w:trPr>
          <w:trHeight w:val="288"/>
        </w:trPr>
        <w:tc>
          <w:tcPr>
            <w:tcW w:w="1590" w:type="dxa"/>
            <w:tcBorders>
              <w:left w:val="single" w:sz="12" w:space="0" w:color="auto"/>
              <w:bottom w:val="single" w:sz="12" w:space="0" w:color="auto"/>
              <w:right w:val="single" w:sz="12" w:space="0" w:color="auto"/>
            </w:tcBorders>
            <w:shd w:val="clear" w:color="auto" w:fill="auto"/>
            <w:noWrap/>
            <w:vAlign w:val="bottom"/>
          </w:tcPr>
          <w:p w14:paraId="6115445E" w14:textId="5A454563" w:rsidR="00F66E7F" w:rsidRDefault="00F66E7F" w:rsidP="00F66E7F">
            <w:pPr>
              <w:spacing w:after="0"/>
              <w:rPr>
                <w:rFonts w:eastAsia="Times New Roman" w:cstheme="minorHAnsi"/>
                <w:b/>
                <w:bCs/>
                <w:sz w:val="18"/>
                <w:szCs w:val="18"/>
              </w:rPr>
            </w:pPr>
            <w:r>
              <w:rPr>
                <w:rFonts w:eastAsia="Times New Roman" w:cstheme="minorHAnsi"/>
                <w:b/>
                <w:bCs/>
                <w:sz w:val="18"/>
                <w:szCs w:val="18"/>
              </w:rPr>
              <w:t>Growth</w:t>
            </w:r>
          </w:p>
        </w:tc>
        <w:tc>
          <w:tcPr>
            <w:tcW w:w="841" w:type="dxa"/>
            <w:tcBorders>
              <w:left w:val="single" w:sz="12" w:space="0" w:color="auto"/>
              <w:bottom w:val="single" w:sz="12" w:space="0" w:color="auto"/>
            </w:tcBorders>
            <w:shd w:val="clear" w:color="auto" w:fill="auto"/>
            <w:noWrap/>
            <w:vAlign w:val="bottom"/>
          </w:tcPr>
          <w:p w14:paraId="07ECA258" w14:textId="77777777" w:rsidR="00F66E7F" w:rsidRPr="00DD6B69" w:rsidRDefault="00F66E7F" w:rsidP="00F66E7F">
            <w:pPr>
              <w:spacing w:after="0"/>
              <w:jc w:val="right"/>
              <w:rPr>
                <w:rFonts w:eastAsia="Times New Roman" w:cstheme="minorHAnsi"/>
                <w:sz w:val="18"/>
                <w:szCs w:val="18"/>
              </w:rPr>
            </w:pPr>
          </w:p>
        </w:tc>
        <w:tc>
          <w:tcPr>
            <w:tcW w:w="841" w:type="dxa"/>
            <w:tcBorders>
              <w:bottom w:val="single" w:sz="12" w:space="0" w:color="auto"/>
            </w:tcBorders>
            <w:shd w:val="clear" w:color="auto" w:fill="auto"/>
            <w:noWrap/>
            <w:vAlign w:val="bottom"/>
          </w:tcPr>
          <w:p w14:paraId="1C1CB56E" w14:textId="38F204D1" w:rsidR="00F66E7F" w:rsidRPr="00DD6B69" w:rsidRDefault="00F66E7F" w:rsidP="00F66E7F">
            <w:pPr>
              <w:spacing w:after="0"/>
              <w:jc w:val="right"/>
              <w:rPr>
                <w:rFonts w:eastAsia="Times New Roman" w:cstheme="minorHAnsi"/>
                <w:sz w:val="18"/>
                <w:szCs w:val="18"/>
              </w:rPr>
            </w:pPr>
            <w:r w:rsidRPr="006E5229">
              <w:rPr>
                <w:rFonts w:eastAsia="Times New Roman" w:cstheme="minorHAnsi"/>
                <w:sz w:val="18"/>
                <w:szCs w:val="18"/>
              </w:rPr>
              <w:t>6%</w:t>
            </w:r>
          </w:p>
        </w:tc>
        <w:tc>
          <w:tcPr>
            <w:tcW w:w="841" w:type="dxa"/>
            <w:tcBorders>
              <w:bottom w:val="single" w:sz="12" w:space="0" w:color="auto"/>
            </w:tcBorders>
            <w:shd w:val="clear" w:color="auto" w:fill="auto"/>
            <w:noWrap/>
            <w:vAlign w:val="bottom"/>
          </w:tcPr>
          <w:p w14:paraId="1468FDED" w14:textId="37AFA529" w:rsidR="00F66E7F" w:rsidRPr="00DD6B69" w:rsidRDefault="00F66E7F" w:rsidP="00F66E7F">
            <w:pPr>
              <w:spacing w:after="0"/>
              <w:jc w:val="right"/>
              <w:rPr>
                <w:rFonts w:eastAsia="Times New Roman" w:cstheme="minorHAnsi"/>
                <w:sz w:val="18"/>
                <w:szCs w:val="18"/>
              </w:rPr>
            </w:pPr>
            <w:r w:rsidRPr="006E5229">
              <w:rPr>
                <w:rFonts w:eastAsia="Times New Roman" w:cstheme="minorHAnsi"/>
                <w:sz w:val="18"/>
                <w:szCs w:val="18"/>
              </w:rPr>
              <w:t>12%</w:t>
            </w:r>
          </w:p>
        </w:tc>
        <w:tc>
          <w:tcPr>
            <w:tcW w:w="841" w:type="dxa"/>
            <w:tcBorders>
              <w:bottom w:val="single" w:sz="12" w:space="0" w:color="auto"/>
            </w:tcBorders>
            <w:shd w:val="clear" w:color="auto" w:fill="auto"/>
            <w:noWrap/>
            <w:vAlign w:val="bottom"/>
          </w:tcPr>
          <w:p w14:paraId="1AE23315" w14:textId="685FEA90" w:rsidR="00F66E7F" w:rsidRPr="00DD6B69" w:rsidRDefault="00F66E7F" w:rsidP="00F66E7F">
            <w:pPr>
              <w:spacing w:after="0"/>
              <w:jc w:val="right"/>
              <w:rPr>
                <w:rFonts w:eastAsia="Times New Roman" w:cstheme="minorHAnsi"/>
                <w:sz w:val="18"/>
                <w:szCs w:val="18"/>
              </w:rPr>
            </w:pPr>
            <w:r w:rsidRPr="006E5229">
              <w:rPr>
                <w:rFonts w:eastAsia="Times New Roman" w:cstheme="minorHAnsi"/>
                <w:sz w:val="18"/>
                <w:szCs w:val="18"/>
              </w:rPr>
              <w:t>11%</w:t>
            </w:r>
          </w:p>
        </w:tc>
        <w:tc>
          <w:tcPr>
            <w:tcW w:w="841" w:type="dxa"/>
            <w:tcBorders>
              <w:bottom w:val="single" w:sz="12" w:space="0" w:color="auto"/>
            </w:tcBorders>
            <w:shd w:val="clear" w:color="auto" w:fill="auto"/>
            <w:noWrap/>
            <w:vAlign w:val="bottom"/>
          </w:tcPr>
          <w:p w14:paraId="72CE7921" w14:textId="42B679E4" w:rsidR="00F66E7F" w:rsidRPr="00DD6B69" w:rsidRDefault="00F66E7F" w:rsidP="00F66E7F">
            <w:pPr>
              <w:spacing w:after="0"/>
              <w:jc w:val="right"/>
              <w:rPr>
                <w:rFonts w:eastAsia="Times New Roman" w:cstheme="minorHAnsi"/>
                <w:sz w:val="18"/>
                <w:szCs w:val="18"/>
              </w:rPr>
            </w:pPr>
            <w:r w:rsidRPr="006E5229">
              <w:rPr>
                <w:rFonts w:eastAsia="Times New Roman" w:cstheme="minorHAnsi"/>
                <w:sz w:val="18"/>
                <w:szCs w:val="18"/>
              </w:rPr>
              <w:t>12%</w:t>
            </w:r>
          </w:p>
        </w:tc>
        <w:tc>
          <w:tcPr>
            <w:tcW w:w="841" w:type="dxa"/>
            <w:tcBorders>
              <w:bottom w:val="single" w:sz="12" w:space="0" w:color="auto"/>
            </w:tcBorders>
            <w:shd w:val="clear" w:color="auto" w:fill="auto"/>
            <w:noWrap/>
            <w:vAlign w:val="bottom"/>
          </w:tcPr>
          <w:p w14:paraId="7609D248" w14:textId="6D6F0906" w:rsidR="00F66E7F" w:rsidRPr="00DD6B69" w:rsidRDefault="00F66E7F" w:rsidP="00F66E7F">
            <w:pPr>
              <w:spacing w:after="0"/>
              <w:jc w:val="right"/>
              <w:rPr>
                <w:rFonts w:eastAsia="Times New Roman" w:cstheme="minorHAnsi"/>
                <w:sz w:val="18"/>
                <w:szCs w:val="18"/>
              </w:rPr>
            </w:pPr>
            <w:r w:rsidRPr="006E5229">
              <w:rPr>
                <w:rFonts w:eastAsia="Times New Roman" w:cstheme="minorHAnsi"/>
                <w:sz w:val="18"/>
                <w:szCs w:val="18"/>
              </w:rPr>
              <w:t>15%</w:t>
            </w:r>
          </w:p>
        </w:tc>
        <w:tc>
          <w:tcPr>
            <w:tcW w:w="841" w:type="dxa"/>
            <w:tcBorders>
              <w:bottom w:val="single" w:sz="12" w:space="0" w:color="auto"/>
            </w:tcBorders>
            <w:shd w:val="clear" w:color="auto" w:fill="auto"/>
            <w:noWrap/>
            <w:vAlign w:val="bottom"/>
          </w:tcPr>
          <w:p w14:paraId="71D5188D" w14:textId="57BA2C48" w:rsidR="00F66E7F" w:rsidRPr="00DD6B69" w:rsidRDefault="00F66E7F" w:rsidP="00F66E7F">
            <w:pPr>
              <w:spacing w:after="0"/>
              <w:jc w:val="right"/>
              <w:rPr>
                <w:rFonts w:eastAsia="Times New Roman" w:cstheme="minorHAnsi"/>
                <w:sz w:val="18"/>
                <w:szCs w:val="18"/>
              </w:rPr>
            </w:pPr>
            <w:r w:rsidRPr="006E5229">
              <w:rPr>
                <w:rFonts w:eastAsia="Times New Roman" w:cstheme="minorHAnsi"/>
                <w:sz w:val="18"/>
                <w:szCs w:val="18"/>
              </w:rPr>
              <w:t>17%</w:t>
            </w:r>
          </w:p>
        </w:tc>
        <w:tc>
          <w:tcPr>
            <w:tcW w:w="841" w:type="dxa"/>
            <w:tcBorders>
              <w:bottom w:val="single" w:sz="12" w:space="0" w:color="auto"/>
            </w:tcBorders>
            <w:shd w:val="clear" w:color="auto" w:fill="auto"/>
            <w:noWrap/>
            <w:vAlign w:val="bottom"/>
          </w:tcPr>
          <w:p w14:paraId="171BD7EE" w14:textId="1C419ECD" w:rsidR="00F66E7F" w:rsidRPr="00DD6B69" w:rsidRDefault="00F66E7F" w:rsidP="00F66E7F">
            <w:pPr>
              <w:spacing w:after="0"/>
              <w:jc w:val="right"/>
              <w:rPr>
                <w:rFonts w:eastAsia="Times New Roman" w:cstheme="minorHAnsi"/>
                <w:sz w:val="18"/>
                <w:szCs w:val="18"/>
              </w:rPr>
            </w:pPr>
            <w:r w:rsidRPr="006E5229">
              <w:rPr>
                <w:rFonts w:eastAsia="Times New Roman" w:cstheme="minorHAnsi"/>
                <w:sz w:val="18"/>
                <w:szCs w:val="18"/>
              </w:rPr>
              <w:t>23%</w:t>
            </w:r>
          </w:p>
        </w:tc>
        <w:tc>
          <w:tcPr>
            <w:tcW w:w="841" w:type="dxa"/>
            <w:tcBorders>
              <w:bottom w:val="single" w:sz="12" w:space="0" w:color="auto"/>
            </w:tcBorders>
            <w:shd w:val="clear" w:color="auto" w:fill="auto"/>
            <w:noWrap/>
            <w:vAlign w:val="bottom"/>
          </w:tcPr>
          <w:p w14:paraId="22377EEF" w14:textId="1C75CD61" w:rsidR="00F66E7F" w:rsidRPr="00DD6B69" w:rsidRDefault="00F66E7F" w:rsidP="00F66E7F">
            <w:pPr>
              <w:spacing w:after="0"/>
              <w:jc w:val="right"/>
              <w:rPr>
                <w:rFonts w:eastAsia="Times New Roman" w:cstheme="minorHAnsi"/>
                <w:sz w:val="18"/>
                <w:szCs w:val="18"/>
              </w:rPr>
            </w:pPr>
            <w:r w:rsidRPr="006E5229">
              <w:rPr>
                <w:rFonts w:eastAsia="Times New Roman" w:cstheme="minorHAnsi"/>
                <w:sz w:val="18"/>
                <w:szCs w:val="18"/>
              </w:rPr>
              <w:t>28%</w:t>
            </w:r>
          </w:p>
        </w:tc>
        <w:tc>
          <w:tcPr>
            <w:tcW w:w="841" w:type="dxa"/>
            <w:tcBorders>
              <w:bottom w:val="single" w:sz="12" w:space="0" w:color="auto"/>
              <w:right w:val="single" w:sz="12" w:space="0" w:color="auto"/>
            </w:tcBorders>
            <w:shd w:val="clear" w:color="auto" w:fill="auto"/>
            <w:noWrap/>
            <w:vAlign w:val="bottom"/>
          </w:tcPr>
          <w:p w14:paraId="460D5683" w14:textId="6E54D0D6" w:rsidR="00F66E7F" w:rsidRPr="00DD6B69" w:rsidRDefault="00F66E7F" w:rsidP="00F66E7F">
            <w:pPr>
              <w:spacing w:after="0"/>
              <w:jc w:val="right"/>
              <w:rPr>
                <w:rFonts w:eastAsia="Times New Roman" w:cstheme="minorHAnsi"/>
                <w:sz w:val="18"/>
                <w:szCs w:val="18"/>
              </w:rPr>
            </w:pPr>
            <w:r w:rsidRPr="006E5229">
              <w:rPr>
                <w:rFonts w:eastAsia="Times New Roman" w:cstheme="minorHAnsi"/>
                <w:sz w:val="18"/>
                <w:szCs w:val="18"/>
              </w:rPr>
              <w:t>28%</w:t>
            </w:r>
          </w:p>
        </w:tc>
      </w:tr>
    </w:tbl>
    <w:p w14:paraId="6A5087CB" w14:textId="77777777" w:rsidR="002B6EF9" w:rsidRDefault="002B6EF9" w:rsidP="002B6EF9">
      <w:pPr>
        <w:pStyle w:val="TableFooter"/>
        <w:ind w:left="-426" w:right="-454"/>
        <w:jc w:val="left"/>
      </w:pPr>
      <w:r w:rsidRPr="001D105D">
        <w:t xml:space="preserve">*Therapy total is less than the sum of components as </w:t>
      </w:r>
      <w:r>
        <w:t>people</w:t>
      </w:r>
      <w:r w:rsidRPr="001D105D">
        <w:t xml:space="preserve"> are only counted once even if they are prevalent to more than one ADHD medication.</w:t>
      </w:r>
    </w:p>
    <w:p w14:paraId="45A9318C" w14:textId="06DEB4BC" w:rsidR="001904F8" w:rsidRDefault="001904F8" w:rsidP="001904F8">
      <w:pPr>
        <w:pStyle w:val="TableFooter"/>
        <w:ind w:left="-284"/>
        <w:jc w:val="left"/>
      </w:pPr>
    </w:p>
    <w:p w14:paraId="6FEC4B3E" w14:textId="5FA33798" w:rsidR="001904F8" w:rsidRPr="001D105D" w:rsidRDefault="001904F8" w:rsidP="00C060CE">
      <w:pPr>
        <w:pStyle w:val="Figuretitle"/>
        <w:ind w:left="-426" w:right="-596"/>
      </w:pPr>
      <w:bookmarkStart w:id="13" w:name="_Hlk143075406"/>
      <w:r w:rsidRPr="00242991">
        <w:t xml:space="preserve">Table 2b: Prevalent patients </w:t>
      </w:r>
      <w:r w:rsidR="00182F11" w:rsidRPr="00242991">
        <w:t>&gt;</w:t>
      </w:r>
      <w:r w:rsidRPr="00242991">
        <w:t>18 years old treated with each ADHD medicines per financial year</w:t>
      </w:r>
    </w:p>
    <w:tbl>
      <w:tblPr>
        <w:tblW w:w="100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851"/>
        <w:gridCol w:w="841"/>
        <w:gridCol w:w="870"/>
        <w:gridCol w:w="841"/>
        <w:gridCol w:w="841"/>
        <w:gridCol w:w="841"/>
        <w:gridCol w:w="841"/>
        <w:gridCol w:w="841"/>
        <w:gridCol w:w="841"/>
        <w:gridCol w:w="841"/>
      </w:tblGrid>
      <w:tr w:rsidR="0045686A" w:rsidRPr="001904F8" w14:paraId="27AF387C" w14:textId="77777777" w:rsidTr="002B6EF9">
        <w:trPr>
          <w:trHeight w:val="288"/>
        </w:trPr>
        <w:tc>
          <w:tcPr>
            <w:tcW w:w="1590" w:type="dxa"/>
            <w:shd w:val="clear" w:color="auto" w:fill="BFBFBF" w:themeFill="background1" w:themeFillShade="BF"/>
            <w:noWrap/>
            <w:vAlign w:val="bottom"/>
          </w:tcPr>
          <w:bookmarkEnd w:id="13"/>
          <w:p w14:paraId="11C32340" w14:textId="288A0000" w:rsidR="001904F8" w:rsidRPr="001904F8" w:rsidRDefault="001904F8" w:rsidP="001904F8">
            <w:pPr>
              <w:spacing w:after="0"/>
              <w:rPr>
                <w:rFonts w:eastAsia="Times New Roman" w:cstheme="minorHAnsi"/>
                <w:sz w:val="18"/>
                <w:szCs w:val="18"/>
              </w:rPr>
            </w:pPr>
            <w:r w:rsidRPr="001D105D">
              <w:rPr>
                <w:rFonts w:ascii="Calibri" w:eastAsia="Times New Roman" w:hAnsi="Calibri" w:cs="Calibri"/>
                <w:b/>
                <w:bCs/>
                <w:color w:val="000000"/>
                <w:sz w:val="20"/>
                <w:szCs w:val="20"/>
              </w:rPr>
              <w:t xml:space="preserve">Drug Name  / </w:t>
            </w:r>
            <w:r w:rsidRPr="001D105D">
              <w:rPr>
                <w:rFonts w:ascii="Calibri" w:eastAsia="Times New Roman" w:hAnsi="Calibri" w:cs="Calibri"/>
                <w:b/>
                <w:bCs/>
                <w:color w:val="000000"/>
                <w:sz w:val="20"/>
                <w:szCs w:val="20"/>
              </w:rPr>
              <w:br/>
              <w:t>Patient Count</w:t>
            </w:r>
          </w:p>
        </w:tc>
        <w:tc>
          <w:tcPr>
            <w:tcW w:w="851" w:type="dxa"/>
            <w:shd w:val="clear" w:color="auto" w:fill="BFBFBF" w:themeFill="background1" w:themeFillShade="BF"/>
            <w:noWrap/>
            <w:vAlign w:val="bottom"/>
          </w:tcPr>
          <w:p w14:paraId="062C1164" w14:textId="77C363D0" w:rsidR="001904F8" w:rsidRPr="001904F8" w:rsidRDefault="001904F8" w:rsidP="001904F8">
            <w:pPr>
              <w:spacing w:after="0"/>
              <w:rPr>
                <w:rFonts w:eastAsia="Times New Roman" w:cstheme="minorHAnsi"/>
                <w:sz w:val="18"/>
                <w:szCs w:val="18"/>
              </w:rPr>
            </w:pPr>
            <w:r w:rsidRPr="001904F8">
              <w:rPr>
                <w:rFonts w:eastAsia="Times New Roman" w:cstheme="minorHAnsi"/>
                <w:b/>
                <w:bCs/>
                <w:color w:val="000000"/>
                <w:sz w:val="18"/>
                <w:szCs w:val="18"/>
              </w:rPr>
              <w:t>2013/14</w:t>
            </w:r>
          </w:p>
        </w:tc>
        <w:tc>
          <w:tcPr>
            <w:tcW w:w="841" w:type="dxa"/>
            <w:shd w:val="clear" w:color="auto" w:fill="BFBFBF" w:themeFill="background1" w:themeFillShade="BF"/>
            <w:noWrap/>
            <w:vAlign w:val="bottom"/>
          </w:tcPr>
          <w:p w14:paraId="63A3D336" w14:textId="2CE9E7FE" w:rsidR="001904F8" w:rsidRPr="001904F8" w:rsidRDefault="001904F8" w:rsidP="001904F8">
            <w:pPr>
              <w:spacing w:after="0"/>
              <w:rPr>
                <w:rFonts w:eastAsia="Times New Roman" w:cstheme="minorHAnsi"/>
                <w:sz w:val="18"/>
                <w:szCs w:val="18"/>
              </w:rPr>
            </w:pPr>
            <w:r w:rsidRPr="001904F8">
              <w:rPr>
                <w:rFonts w:eastAsia="Times New Roman" w:cstheme="minorHAnsi"/>
                <w:b/>
                <w:bCs/>
                <w:color w:val="000000"/>
                <w:sz w:val="18"/>
                <w:szCs w:val="18"/>
              </w:rPr>
              <w:t>2014/15</w:t>
            </w:r>
          </w:p>
        </w:tc>
        <w:tc>
          <w:tcPr>
            <w:tcW w:w="870" w:type="dxa"/>
            <w:shd w:val="clear" w:color="auto" w:fill="BFBFBF" w:themeFill="background1" w:themeFillShade="BF"/>
            <w:noWrap/>
            <w:vAlign w:val="bottom"/>
          </w:tcPr>
          <w:p w14:paraId="1EEAAD10" w14:textId="754E43B7" w:rsidR="001904F8" w:rsidRPr="001904F8" w:rsidRDefault="001904F8" w:rsidP="001904F8">
            <w:pPr>
              <w:spacing w:after="0"/>
              <w:rPr>
                <w:rFonts w:eastAsia="Times New Roman" w:cstheme="minorHAnsi"/>
                <w:sz w:val="18"/>
                <w:szCs w:val="18"/>
              </w:rPr>
            </w:pPr>
            <w:r w:rsidRPr="001904F8">
              <w:rPr>
                <w:rFonts w:eastAsia="Times New Roman" w:cstheme="minorHAnsi"/>
                <w:b/>
                <w:bCs/>
                <w:color w:val="000000"/>
                <w:sz w:val="18"/>
                <w:szCs w:val="18"/>
              </w:rPr>
              <w:t>2015/16</w:t>
            </w:r>
          </w:p>
        </w:tc>
        <w:tc>
          <w:tcPr>
            <w:tcW w:w="841" w:type="dxa"/>
            <w:shd w:val="clear" w:color="auto" w:fill="BFBFBF" w:themeFill="background1" w:themeFillShade="BF"/>
            <w:noWrap/>
            <w:vAlign w:val="bottom"/>
          </w:tcPr>
          <w:p w14:paraId="2BFE0E9D" w14:textId="19A46C5E" w:rsidR="001904F8" w:rsidRPr="001904F8" w:rsidRDefault="001904F8" w:rsidP="001904F8">
            <w:pPr>
              <w:spacing w:after="0"/>
              <w:rPr>
                <w:rFonts w:eastAsia="Times New Roman" w:cstheme="minorHAnsi"/>
                <w:sz w:val="18"/>
                <w:szCs w:val="18"/>
              </w:rPr>
            </w:pPr>
            <w:r w:rsidRPr="001904F8">
              <w:rPr>
                <w:rFonts w:eastAsia="Times New Roman" w:cstheme="minorHAnsi"/>
                <w:b/>
                <w:bCs/>
                <w:color w:val="000000"/>
                <w:sz w:val="18"/>
                <w:szCs w:val="18"/>
              </w:rPr>
              <w:t>2016/17</w:t>
            </w:r>
          </w:p>
        </w:tc>
        <w:tc>
          <w:tcPr>
            <w:tcW w:w="841" w:type="dxa"/>
            <w:shd w:val="clear" w:color="auto" w:fill="BFBFBF" w:themeFill="background1" w:themeFillShade="BF"/>
            <w:noWrap/>
            <w:vAlign w:val="bottom"/>
          </w:tcPr>
          <w:p w14:paraId="4C8361AB" w14:textId="10676443" w:rsidR="001904F8" w:rsidRPr="001904F8" w:rsidRDefault="001904F8" w:rsidP="001904F8">
            <w:pPr>
              <w:spacing w:after="0"/>
              <w:rPr>
                <w:rFonts w:eastAsia="Times New Roman" w:cstheme="minorHAnsi"/>
                <w:sz w:val="18"/>
                <w:szCs w:val="18"/>
              </w:rPr>
            </w:pPr>
            <w:r w:rsidRPr="001904F8">
              <w:rPr>
                <w:rFonts w:eastAsia="Times New Roman" w:cstheme="minorHAnsi"/>
                <w:b/>
                <w:bCs/>
                <w:color w:val="000000"/>
                <w:sz w:val="18"/>
                <w:szCs w:val="18"/>
              </w:rPr>
              <w:t>2017/18</w:t>
            </w:r>
          </w:p>
        </w:tc>
        <w:tc>
          <w:tcPr>
            <w:tcW w:w="841" w:type="dxa"/>
            <w:shd w:val="clear" w:color="auto" w:fill="BFBFBF" w:themeFill="background1" w:themeFillShade="BF"/>
            <w:noWrap/>
            <w:vAlign w:val="bottom"/>
          </w:tcPr>
          <w:p w14:paraId="6746C5A5" w14:textId="1E528A44" w:rsidR="001904F8" w:rsidRPr="001904F8" w:rsidRDefault="001904F8" w:rsidP="001904F8">
            <w:pPr>
              <w:spacing w:after="0"/>
              <w:rPr>
                <w:rFonts w:eastAsia="Times New Roman" w:cstheme="minorHAnsi"/>
                <w:sz w:val="18"/>
                <w:szCs w:val="18"/>
              </w:rPr>
            </w:pPr>
            <w:r w:rsidRPr="001904F8">
              <w:rPr>
                <w:rFonts w:eastAsia="Times New Roman" w:cstheme="minorHAnsi"/>
                <w:b/>
                <w:bCs/>
                <w:color w:val="000000"/>
                <w:sz w:val="18"/>
                <w:szCs w:val="18"/>
              </w:rPr>
              <w:t>2018/19</w:t>
            </w:r>
          </w:p>
        </w:tc>
        <w:tc>
          <w:tcPr>
            <w:tcW w:w="841" w:type="dxa"/>
            <w:shd w:val="clear" w:color="auto" w:fill="BFBFBF" w:themeFill="background1" w:themeFillShade="BF"/>
            <w:noWrap/>
            <w:vAlign w:val="bottom"/>
          </w:tcPr>
          <w:p w14:paraId="211933B2" w14:textId="6703D7CD" w:rsidR="001904F8" w:rsidRPr="001904F8" w:rsidRDefault="001904F8" w:rsidP="001904F8">
            <w:pPr>
              <w:spacing w:after="0"/>
              <w:rPr>
                <w:rFonts w:eastAsia="Times New Roman" w:cstheme="minorHAnsi"/>
                <w:sz w:val="18"/>
                <w:szCs w:val="18"/>
              </w:rPr>
            </w:pPr>
            <w:r w:rsidRPr="001904F8">
              <w:rPr>
                <w:rFonts w:eastAsia="Times New Roman" w:cstheme="minorHAnsi"/>
                <w:b/>
                <w:bCs/>
                <w:color w:val="000000"/>
                <w:sz w:val="18"/>
                <w:szCs w:val="18"/>
              </w:rPr>
              <w:t>2019/20</w:t>
            </w:r>
          </w:p>
        </w:tc>
        <w:tc>
          <w:tcPr>
            <w:tcW w:w="841" w:type="dxa"/>
            <w:shd w:val="clear" w:color="auto" w:fill="BFBFBF" w:themeFill="background1" w:themeFillShade="BF"/>
            <w:noWrap/>
            <w:vAlign w:val="bottom"/>
          </w:tcPr>
          <w:p w14:paraId="5EE0E497" w14:textId="5ED28F1F" w:rsidR="001904F8" w:rsidRPr="001904F8" w:rsidRDefault="001904F8" w:rsidP="001904F8">
            <w:pPr>
              <w:spacing w:after="0"/>
              <w:rPr>
                <w:rFonts w:eastAsia="Times New Roman" w:cstheme="minorHAnsi"/>
                <w:sz w:val="18"/>
                <w:szCs w:val="18"/>
              </w:rPr>
            </w:pPr>
            <w:r w:rsidRPr="001904F8">
              <w:rPr>
                <w:rFonts w:eastAsia="Times New Roman" w:cstheme="minorHAnsi"/>
                <w:b/>
                <w:bCs/>
                <w:color w:val="000000"/>
                <w:sz w:val="18"/>
                <w:szCs w:val="18"/>
              </w:rPr>
              <w:t>2020/21</w:t>
            </w:r>
          </w:p>
        </w:tc>
        <w:tc>
          <w:tcPr>
            <w:tcW w:w="841" w:type="dxa"/>
            <w:shd w:val="clear" w:color="auto" w:fill="BFBFBF" w:themeFill="background1" w:themeFillShade="BF"/>
            <w:noWrap/>
            <w:vAlign w:val="bottom"/>
          </w:tcPr>
          <w:p w14:paraId="74AE6625" w14:textId="5DC093DA" w:rsidR="001904F8" w:rsidRPr="001904F8" w:rsidRDefault="001904F8" w:rsidP="001904F8">
            <w:pPr>
              <w:spacing w:after="0"/>
              <w:rPr>
                <w:rFonts w:eastAsia="Times New Roman" w:cstheme="minorHAnsi"/>
                <w:sz w:val="18"/>
                <w:szCs w:val="18"/>
              </w:rPr>
            </w:pPr>
            <w:r w:rsidRPr="001904F8">
              <w:rPr>
                <w:rFonts w:eastAsia="Times New Roman" w:cstheme="minorHAnsi"/>
                <w:b/>
                <w:bCs/>
                <w:color w:val="000000"/>
                <w:sz w:val="18"/>
                <w:szCs w:val="18"/>
              </w:rPr>
              <w:t>2021/22</w:t>
            </w:r>
          </w:p>
        </w:tc>
        <w:tc>
          <w:tcPr>
            <w:tcW w:w="841" w:type="dxa"/>
            <w:shd w:val="clear" w:color="auto" w:fill="BFBFBF" w:themeFill="background1" w:themeFillShade="BF"/>
            <w:noWrap/>
            <w:vAlign w:val="bottom"/>
          </w:tcPr>
          <w:p w14:paraId="61918BDB" w14:textId="1CF047F3" w:rsidR="001904F8" w:rsidRPr="001904F8" w:rsidRDefault="001904F8" w:rsidP="001904F8">
            <w:pPr>
              <w:spacing w:after="0"/>
              <w:rPr>
                <w:rFonts w:eastAsia="Times New Roman" w:cstheme="minorHAnsi"/>
                <w:sz w:val="18"/>
                <w:szCs w:val="18"/>
              </w:rPr>
            </w:pPr>
            <w:r w:rsidRPr="001904F8">
              <w:rPr>
                <w:rFonts w:eastAsia="Times New Roman" w:cstheme="minorHAnsi"/>
                <w:b/>
                <w:bCs/>
                <w:color w:val="000000"/>
                <w:sz w:val="18"/>
                <w:szCs w:val="18"/>
              </w:rPr>
              <w:t>2022/23</w:t>
            </w:r>
          </w:p>
        </w:tc>
      </w:tr>
      <w:tr w:rsidR="008B5AF2" w:rsidRPr="001904F8" w14:paraId="40C613BD" w14:textId="77777777" w:rsidTr="002B6EF9">
        <w:trPr>
          <w:trHeight w:val="288"/>
        </w:trPr>
        <w:tc>
          <w:tcPr>
            <w:tcW w:w="1590" w:type="dxa"/>
            <w:shd w:val="clear" w:color="auto" w:fill="auto"/>
            <w:noWrap/>
            <w:vAlign w:val="bottom"/>
          </w:tcPr>
          <w:p w14:paraId="22F65125" w14:textId="766F7C2E" w:rsidR="008B5AF2" w:rsidRPr="001904F8" w:rsidRDefault="008B5AF2" w:rsidP="008B5AF2">
            <w:pPr>
              <w:spacing w:after="0"/>
              <w:rPr>
                <w:rFonts w:eastAsia="Times New Roman" w:cstheme="minorHAnsi"/>
                <w:b/>
                <w:bCs/>
                <w:sz w:val="18"/>
                <w:szCs w:val="18"/>
              </w:rPr>
            </w:pPr>
            <w:r w:rsidRPr="001904F8">
              <w:rPr>
                <w:rFonts w:eastAsia="Times New Roman" w:cstheme="minorHAnsi"/>
                <w:b/>
                <w:bCs/>
                <w:sz w:val="18"/>
                <w:szCs w:val="18"/>
              </w:rPr>
              <w:t>Lisdexamfetamine</w:t>
            </w:r>
          </w:p>
        </w:tc>
        <w:tc>
          <w:tcPr>
            <w:tcW w:w="851" w:type="dxa"/>
            <w:shd w:val="clear" w:color="auto" w:fill="auto"/>
            <w:noWrap/>
            <w:vAlign w:val="bottom"/>
          </w:tcPr>
          <w:p w14:paraId="5E93B236" w14:textId="77777777" w:rsidR="008B5AF2" w:rsidRPr="001904F8" w:rsidRDefault="008B5AF2" w:rsidP="003F7D21">
            <w:pPr>
              <w:spacing w:after="0"/>
              <w:jc w:val="right"/>
              <w:rPr>
                <w:rFonts w:eastAsia="Times New Roman" w:cstheme="minorHAnsi"/>
                <w:sz w:val="18"/>
                <w:szCs w:val="18"/>
              </w:rPr>
            </w:pPr>
          </w:p>
        </w:tc>
        <w:tc>
          <w:tcPr>
            <w:tcW w:w="841" w:type="dxa"/>
            <w:shd w:val="clear" w:color="auto" w:fill="auto"/>
            <w:noWrap/>
            <w:vAlign w:val="bottom"/>
          </w:tcPr>
          <w:p w14:paraId="63289D2E" w14:textId="77777777" w:rsidR="008B5AF2" w:rsidRPr="001904F8" w:rsidRDefault="008B5AF2" w:rsidP="003F7D21">
            <w:pPr>
              <w:spacing w:after="0"/>
              <w:jc w:val="right"/>
              <w:rPr>
                <w:rFonts w:eastAsia="Times New Roman" w:cstheme="minorHAnsi"/>
                <w:sz w:val="18"/>
                <w:szCs w:val="18"/>
              </w:rPr>
            </w:pPr>
          </w:p>
        </w:tc>
        <w:tc>
          <w:tcPr>
            <w:tcW w:w="870" w:type="dxa"/>
            <w:shd w:val="clear" w:color="auto" w:fill="auto"/>
            <w:noWrap/>
            <w:vAlign w:val="bottom"/>
          </w:tcPr>
          <w:p w14:paraId="2822C634" w14:textId="6CD1AE77"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     2,283 </w:t>
            </w:r>
          </w:p>
        </w:tc>
        <w:tc>
          <w:tcPr>
            <w:tcW w:w="841" w:type="dxa"/>
            <w:shd w:val="clear" w:color="auto" w:fill="auto"/>
            <w:noWrap/>
            <w:vAlign w:val="bottom"/>
          </w:tcPr>
          <w:p w14:paraId="591A8039" w14:textId="6FB74294"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     3,885 </w:t>
            </w:r>
          </w:p>
        </w:tc>
        <w:tc>
          <w:tcPr>
            <w:tcW w:w="841" w:type="dxa"/>
            <w:shd w:val="clear" w:color="auto" w:fill="auto"/>
            <w:noWrap/>
            <w:vAlign w:val="bottom"/>
          </w:tcPr>
          <w:p w14:paraId="68B5E18C" w14:textId="67F0C058"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    5,445 </w:t>
            </w:r>
          </w:p>
        </w:tc>
        <w:tc>
          <w:tcPr>
            <w:tcW w:w="841" w:type="dxa"/>
            <w:shd w:val="clear" w:color="auto" w:fill="auto"/>
            <w:noWrap/>
            <w:vAlign w:val="bottom"/>
          </w:tcPr>
          <w:p w14:paraId="249AA5B5" w14:textId="4D63D230"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    7,502 </w:t>
            </w:r>
          </w:p>
        </w:tc>
        <w:tc>
          <w:tcPr>
            <w:tcW w:w="841" w:type="dxa"/>
            <w:shd w:val="clear" w:color="auto" w:fill="auto"/>
            <w:noWrap/>
            <w:vAlign w:val="bottom"/>
          </w:tcPr>
          <w:p w14:paraId="5BD3CF2B" w14:textId="157818B7"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  10,195 </w:t>
            </w:r>
          </w:p>
        </w:tc>
        <w:tc>
          <w:tcPr>
            <w:tcW w:w="841" w:type="dxa"/>
            <w:shd w:val="clear" w:color="auto" w:fill="auto"/>
            <w:noWrap/>
            <w:vAlign w:val="bottom"/>
          </w:tcPr>
          <w:p w14:paraId="67BF8A39" w14:textId="56EAA612"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  27,546 </w:t>
            </w:r>
          </w:p>
        </w:tc>
        <w:tc>
          <w:tcPr>
            <w:tcW w:w="841" w:type="dxa"/>
            <w:shd w:val="clear" w:color="auto" w:fill="auto"/>
            <w:noWrap/>
            <w:vAlign w:val="bottom"/>
          </w:tcPr>
          <w:p w14:paraId="3A26923C" w14:textId="07CA837D"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 59,308 </w:t>
            </w:r>
          </w:p>
        </w:tc>
        <w:tc>
          <w:tcPr>
            <w:tcW w:w="841" w:type="dxa"/>
            <w:shd w:val="clear" w:color="auto" w:fill="auto"/>
            <w:noWrap/>
            <w:vAlign w:val="bottom"/>
          </w:tcPr>
          <w:p w14:paraId="74C4E65A" w14:textId="018A5CB7"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  99,380 </w:t>
            </w:r>
          </w:p>
        </w:tc>
      </w:tr>
      <w:tr w:rsidR="008B5AF2" w:rsidRPr="001904F8" w14:paraId="3AF74545" w14:textId="77777777" w:rsidTr="002B6EF9">
        <w:trPr>
          <w:trHeight w:val="288"/>
        </w:trPr>
        <w:tc>
          <w:tcPr>
            <w:tcW w:w="1590" w:type="dxa"/>
            <w:shd w:val="clear" w:color="auto" w:fill="auto"/>
            <w:noWrap/>
            <w:vAlign w:val="bottom"/>
          </w:tcPr>
          <w:p w14:paraId="30430D45" w14:textId="58B5D107" w:rsidR="008B5AF2" w:rsidRPr="001904F8" w:rsidRDefault="008B5AF2" w:rsidP="008B5AF2">
            <w:pPr>
              <w:spacing w:after="0"/>
              <w:rPr>
                <w:rFonts w:eastAsia="Times New Roman" w:cstheme="minorHAnsi"/>
                <w:b/>
                <w:bCs/>
                <w:sz w:val="18"/>
                <w:szCs w:val="18"/>
              </w:rPr>
            </w:pPr>
            <w:r w:rsidRPr="001904F8">
              <w:rPr>
                <w:rFonts w:eastAsia="Times New Roman" w:cstheme="minorHAnsi"/>
                <w:b/>
                <w:bCs/>
                <w:sz w:val="18"/>
                <w:szCs w:val="18"/>
              </w:rPr>
              <w:t>Dexamfetamine</w:t>
            </w:r>
          </w:p>
        </w:tc>
        <w:tc>
          <w:tcPr>
            <w:tcW w:w="851" w:type="dxa"/>
            <w:shd w:val="clear" w:color="auto" w:fill="auto"/>
            <w:noWrap/>
            <w:vAlign w:val="bottom"/>
          </w:tcPr>
          <w:p w14:paraId="1760E1F7" w14:textId="0010E860" w:rsidR="008B5AF2" w:rsidRPr="001904F8" w:rsidRDefault="00DD6B69" w:rsidP="003F7D21">
            <w:pPr>
              <w:spacing w:after="0"/>
              <w:jc w:val="right"/>
              <w:rPr>
                <w:rFonts w:eastAsia="Times New Roman" w:cstheme="minorHAnsi"/>
                <w:sz w:val="18"/>
                <w:szCs w:val="18"/>
              </w:rPr>
            </w:pPr>
            <w:r>
              <w:rPr>
                <w:rFonts w:eastAsia="Times New Roman" w:cstheme="minorHAnsi"/>
                <w:sz w:val="18"/>
                <w:szCs w:val="18"/>
              </w:rPr>
              <w:t>24,565</w:t>
            </w:r>
            <w:r w:rsidR="008B5AF2" w:rsidRPr="001904F8">
              <w:rPr>
                <w:rFonts w:eastAsia="Times New Roman" w:cstheme="minorHAnsi"/>
                <w:sz w:val="18"/>
                <w:szCs w:val="18"/>
              </w:rPr>
              <w:t xml:space="preserve">                               </w:t>
            </w:r>
          </w:p>
        </w:tc>
        <w:tc>
          <w:tcPr>
            <w:tcW w:w="841" w:type="dxa"/>
            <w:shd w:val="clear" w:color="auto" w:fill="auto"/>
            <w:noWrap/>
            <w:vAlign w:val="bottom"/>
          </w:tcPr>
          <w:p w14:paraId="7AC988A9" w14:textId="7C352E59"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  24,816 </w:t>
            </w:r>
          </w:p>
        </w:tc>
        <w:tc>
          <w:tcPr>
            <w:tcW w:w="870" w:type="dxa"/>
            <w:shd w:val="clear" w:color="auto" w:fill="auto"/>
            <w:noWrap/>
            <w:vAlign w:val="bottom"/>
          </w:tcPr>
          <w:p w14:paraId="208CA39F" w14:textId="78286B98"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  27,322 </w:t>
            </w:r>
          </w:p>
        </w:tc>
        <w:tc>
          <w:tcPr>
            <w:tcW w:w="841" w:type="dxa"/>
            <w:shd w:val="clear" w:color="auto" w:fill="auto"/>
            <w:noWrap/>
            <w:vAlign w:val="bottom"/>
          </w:tcPr>
          <w:p w14:paraId="4E6DD7B6" w14:textId="7A5439EB"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  29,739 </w:t>
            </w:r>
          </w:p>
        </w:tc>
        <w:tc>
          <w:tcPr>
            <w:tcW w:w="841" w:type="dxa"/>
            <w:shd w:val="clear" w:color="auto" w:fill="auto"/>
            <w:noWrap/>
            <w:vAlign w:val="bottom"/>
          </w:tcPr>
          <w:p w14:paraId="66F94FDC" w14:textId="4F040DFF"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  32,740 </w:t>
            </w:r>
          </w:p>
        </w:tc>
        <w:tc>
          <w:tcPr>
            <w:tcW w:w="841" w:type="dxa"/>
            <w:shd w:val="clear" w:color="auto" w:fill="auto"/>
            <w:noWrap/>
            <w:vAlign w:val="bottom"/>
          </w:tcPr>
          <w:p w14:paraId="05799699" w14:textId="4E3E10D9"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  37,018 </w:t>
            </w:r>
          </w:p>
        </w:tc>
        <w:tc>
          <w:tcPr>
            <w:tcW w:w="841" w:type="dxa"/>
            <w:shd w:val="clear" w:color="auto" w:fill="auto"/>
            <w:noWrap/>
            <w:vAlign w:val="bottom"/>
          </w:tcPr>
          <w:p w14:paraId="24931FBC" w14:textId="3A0F1ECF"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  43,068 </w:t>
            </w:r>
          </w:p>
        </w:tc>
        <w:tc>
          <w:tcPr>
            <w:tcW w:w="841" w:type="dxa"/>
            <w:shd w:val="clear" w:color="auto" w:fill="auto"/>
            <w:noWrap/>
            <w:vAlign w:val="bottom"/>
          </w:tcPr>
          <w:p w14:paraId="3B3532F5" w14:textId="6CB00321"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  52,881 </w:t>
            </w:r>
          </w:p>
        </w:tc>
        <w:tc>
          <w:tcPr>
            <w:tcW w:w="841" w:type="dxa"/>
            <w:shd w:val="clear" w:color="auto" w:fill="auto"/>
            <w:noWrap/>
            <w:vAlign w:val="bottom"/>
          </w:tcPr>
          <w:p w14:paraId="02F0BBAC" w14:textId="4A377113"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  68,584 </w:t>
            </w:r>
          </w:p>
        </w:tc>
        <w:tc>
          <w:tcPr>
            <w:tcW w:w="841" w:type="dxa"/>
            <w:shd w:val="clear" w:color="auto" w:fill="auto"/>
            <w:noWrap/>
            <w:vAlign w:val="bottom"/>
          </w:tcPr>
          <w:p w14:paraId="685C60B7" w14:textId="72FD81F5"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  91,003 </w:t>
            </w:r>
          </w:p>
        </w:tc>
      </w:tr>
      <w:tr w:rsidR="008B5AF2" w:rsidRPr="001904F8" w14:paraId="73375F4A" w14:textId="77777777" w:rsidTr="002B6EF9">
        <w:trPr>
          <w:trHeight w:val="288"/>
        </w:trPr>
        <w:tc>
          <w:tcPr>
            <w:tcW w:w="1590" w:type="dxa"/>
            <w:shd w:val="clear" w:color="auto" w:fill="auto"/>
            <w:noWrap/>
            <w:vAlign w:val="bottom"/>
          </w:tcPr>
          <w:p w14:paraId="35657A66" w14:textId="1B69FDB5" w:rsidR="008B5AF2" w:rsidRPr="001904F8" w:rsidRDefault="008B5AF2" w:rsidP="008B5AF2">
            <w:pPr>
              <w:spacing w:after="0"/>
              <w:rPr>
                <w:rFonts w:eastAsia="Times New Roman" w:cstheme="minorHAnsi"/>
                <w:b/>
                <w:bCs/>
                <w:sz w:val="18"/>
                <w:szCs w:val="18"/>
              </w:rPr>
            </w:pPr>
            <w:r w:rsidRPr="001904F8">
              <w:rPr>
                <w:rFonts w:eastAsia="Times New Roman" w:cstheme="minorHAnsi"/>
                <w:b/>
                <w:bCs/>
                <w:sz w:val="18"/>
                <w:szCs w:val="18"/>
              </w:rPr>
              <w:t>MPH-IR</w:t>
            </w:r>
          </w:p>
        </w:tc>
        <w:tc>
          <w:tcPr>
            <w:tcW w:w="851" w:type="dxa"/>
            <w:shd w:val="clear" w:color="auto" w:fill="auto"/>
            <w:noWrap/>
            <w:vAlign w:val="bottom"/>
          </w:tcPr>
          <w:p w14:paraId="11156B62" w14:textId="3274C773" w:rsidR="008B5AF2" w:rsidRPr="001904F8" w:rsidRDefault="00DD6B69" w:rsidP="003F7D21">
            <w:pPr>
              <w:spacing w:after="0"/>
              <w:jc w:val="right"/>
              <w:rPr>
                <w:rFonts w:eastAsia="Times New Roman" w:cstheme="minorHAnsi"/>
                <w:sz w:val="18"/>
                <w:szCs w:val="18"/>
              </w:rPr>
            </w:pPr>
            <w:r>
              <w:rPr>
                <w:rFonts w:eastAsia="Times New Roman" w:cstheme="minorHAnsi"/>
                <w:sz w:val="18"/>
                <w:szCs w:val="18"/>
              </w:rPr>
              <w:t>9,060</w:t>
            </w:r>
            <w:r w:rsidR="008B5AF2" w:rsidRPr="001904F8">
              <w:rPr>
                <w:rFonts w:eastAsia="Times New Roman" w:cstheme="minorHAnsi"/>
                <w:sz w:val="18"/>
                <w:szCs w:val="18"/>
              </w:rPr>
              <w:t xml:space="preserve">                                       </w:t>
            </w:r>
          </w:p>
        </w:tc>
        <w:tc>
          <w:tcPr>
            <w:tcW w:w="841" w:type="dxa"/>
            <w:shd w:val="clear" w:color="auto" w:fill="auto"/>
            <w:noWrap/>
            <w:vAlign w:val="bottom"/>
          </w:tcPr>
          <w:p w14:paraId="7DC53749" w14:textId="64065D83"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   9,976 </w:t>
            </w:r>
          </w:p>
        </w:tc>
        <w:tc>
          <w:tcPr>
            <w:tcW w:w="870" w:type="dxa"/>
            <w:shd w:val="clear" w:color="auto" w:fill="auto"/>
            <w:noWrap/>
            <w:vAlign w:val="bottom"/>
          </w:tcPr>
          <w:p w14:paraId="11E6DD90" w14:textId="5916836F"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11,196 </w:t>
            </w:r>
          </w:p>
        </w:tc>
        <w:tc>
          <w:tcPr>
            <w:tcW w:w="841" w:type="dxa"/>
            <w:shd w:val="clear" w:color="auto" w:fill="auto"/>
            <w:noWrap/>
            <w:vAlign w:val="bottom"/>
          </w:tcPr>
          <w:p w14:paraId="60CEA278" w14:textId="23F6F6DF"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 12,393 </w:t>
            </w:r>
          </w:p>
        </w:tc>
        <w:tc>
          <w:tcPr>
            <w:tcW w:w="841" w:type="dxa"/>
            <w:shd w:val="clear" w:color="auto" w:fill="auto"/>
            <w:noWrap/>
            <w:vAlign w:val="bottom"/>
          </w:tcPr>
          <w:p w14:paraId="723BC888" w14:textId="618D7299"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14,135 </w:t>
            </w:r>
          </w:p>
        </w:tc>
        <w:tc>
          <w:tcPr>
            <w:tcW w:w="841" w:type="dxa"/>
            <w:shd w:val="clear" w:color="auto" w:fill="auto"/>
            <w:noWrap/>
            <w:vAlign w:val="bottom"/>
          </w:tcPr>
          <w:p w14:paraId="7A88FBAB" w14:textId="3FF89778"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  16,156 </w:t>
            </w:r>
          </w:p>
        </w:tc>
        <w:tc>
          <w:tcPr>
            <w:tcW w:w="841" w:type="dxa"/>
            <w:shd w:val="clear" w:color="auto" w:fill="auto"/>
            <w:noWrap/>
            <w:vAlign w:val="bottom"/>
          </w:tcPr>
          <w:p w14:paraId="742BCF78" w14:textId="5418A2FD"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  19,797 </w:t>
            </w:r>
          </w:p>
        </w:tc>
        <w:tc>
          <w:tcPr>
            <w:tcW w:w="841" w:type="dxa"/>
            <w:shd w:val="clear" w:color="auto" w:fill="auto"/>
            <w:noWrap/>
            <w:vAlign w:val="bottom"/>
          </w:tcPr>
          <w:p w14:paraId="4FC334A4" w14:textId="2F021151"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  25,381 </w:t>
            </w:r>
          </w:p>
        </w:tc>
        <w:tc>
          <w:tcPr>
            <w:tcW w:w="841" w:type="dxa"/>
            <w:shd w:val="clear" w:color="auto" w:fill="auto"/>
            <w:noWrap/>
            <w:vAlign w:val="bottom"/>
          </w:tcPr>
          <w:p w14:paraId="0EC74FC6" w14:textId="4744201B"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   32,222 </w:t>
            </w:r>
          </w:p>
        </w:tc>
        <w:tc>
          <w:tcPr>
            <w:tcW w:w="841" w:type="dxa"/>
            <w:shd w:val="clear" w:color="auto" w:fill="auto"/>
            <w:noWrap/>
            <w:vAlign w:val="bottom"/>
          </w:tcPr>
          <w:p w14:paraId="0F4C0A64" w14:textId="58895948"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  42,081 </w:t>
            </w:r>
          </w:p>
        </w:tc>
      </w:tr>
      <w:tr w:rsidR="008B5AF2" w:rsidRPr="001904F8" w14:paraId="040442C9" w14:textId="77777777" w:rsidTr="002B6EF9">
        <w:trPr>
          <w:trHeight w:val="288"/>
        </w:trPr>
        <w:tc>
          <w:tcPr>
            <w:tcW w:w="1590" w:type="dxa"/>
            <w:shd w:val="clear" w:color="auto" w:fill="auto"/>
            <w:noWrap/>
            <w:vAlign w:val="bottom"/>
          </w:tcPr>
          <w:p w14:paraId="3BDD5216" w14:textId="02F625C6" w:rsidR="008B5AF2" w:rsidRPr="001904F8" w:rsidRDefault="008B5AF2" w:rsidP="008B5AF2">
            <w:pPr>
              <w:spacing w:after="0"/>
              <w:rPr>
                <w:rFonts w:eastAsia="Times New Roman" w:cstheme="minorHAnsi"/>
                <w:b/>
                <w:bCs/>
                <w:sz w:val="18"/>
                <w:szCs w:val="18"/>
              </w:rPr>
            </w:pPr>
            <w:r w:rsidRPr="001904F8">
              <w:rPr>
                <w:rFonts w:eastAsia="Times New Roman" w:cstheme="minorHAnsi"/>
                <w:b/>
                <w:bCs/>
                <w:sz w:val="18"/>
                <w:szCs w:val="18"/>
              </w:rPr>
              <w:t>MPH-MR</w:t>
            </w:r>
          </w:p>
        </w:tc>
        <w:tc>
          <w:tcPr>
            <w:tcW w:w="851" w:type="dxa"/>
            <w:shd w:val="clear" w:color="auto" w:fill="auto"/>
            <w:noWrap/>
            <w:vAlign w:val="bottom"/>
          </w:tcPr>
          <w:p w14:paraId="34A2E8DD" w14:textId="3BE1DD0C" w:rsidR="008B5AF2" w:rsidRPr="001904F8" w:rsidRDefault="00DD6B69" w:rsidP="003F7D21">
            <w:pPr>
              <w:spacing w:after="0"/>
              <w:jc w:val="right"/>
              <w:rPr>
                <w:rFonts w:eastAsia="Times New Roman" w:cstheme="minorHAnsi"/>
                <w:sz w:val="18"/>
                <w:szCs w:val="18"/>
              </w:rPr>
            </w:pPr>
            <w:r>
              <w:rPr>
                <w:rFonts w:eastAsia="Times New Roman" w:cstheme="minorHAnsi"/>
                <w:sz w:val="18"/>
                <w:szCs w:val="18"/>
              </w:rPr>
              <w:t>5,787</w:t>
            </w:r>
            <w:r w:rsidR="008B5AF2" w:rsidRPr="001904F8">
              <w:rPr>
                <w:rFonts w:eastAsia="Times New Roman" w:cstheme="minorHAnsi"/>
                <w:sz w:val="18"/>
                <w:szCs w:val="18"/>
              </w:rPr>
              <w:t xml:space="preserve">                                </w:t>
            </w:r>
          </w:p>
        </w:tc>
        <w:tc>
          <w:tcPr>
            <w:tcW w:w="841" w:type="dxa"/>
            <w:shd w:val="clear" w:color="auto" w:fill="auto"/>
            <w:noWrap/>
            <w:vAlign w:val="bottom"/>
          </w:tcPr>
          <w:p w14:paraId="68CC3C13" w14:textId="45188D02"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 6,545 </w:t>
            </w:r>
          </w:p>
        </w:tc>
        <w:tc>
          <w:tcPr>
            <w:tcW w:w="870" w:type="dxa"/>
            <w:shd w:val="clear" w:color="auto" w:fill="auto"/>
            <w:noWrap/>
            <w:vAlign w:val="bottom"/>
          </w:tcPr>
          <w:p w14:paraId="7E29A447" w14:textId="7803FA48"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  7,510 </w:t>
            </w:r>
          </w:p>
        </w:tc>
        <w:tc>
          <w:tcPr>
            <w:tcW w:w="841" w:type="dxa"/>
            <w:shd w:val="clear" w:color="auto" w:fill="auto"/>
            <w:noWrap/>
            <w:vAlign w:val="bottom"/>
          </w:tcPr>
          <w:p w14:paraId="1E902FE8" w14:textId="31392DD7"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  8,466 </w:t>
            </w:r>
          </w:p>
        </w:tc>
        <w:tc>
          <w:tcPr>
            <w:tcW w:w="841" w:type="dxa"/>
            <w:shd w:val="clear" w:color="auto" w:fill="auto"/>
            <w:noWrap/>
            <w:vAlign w:val="bottom"/>
          </w:tcPr>
          <w:p w14:paraId="1C8A915A" w14:textId="31923D0E"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   9,425 </w:t>
            </w:r>
          </w:p>
        </w:tc>
        <w:tc>
          <w:tcPr>
            <w:tcW w:w="841" w:type="dxa"/>
            <w:shd w:val="clear" w:color="auto" w:fill="auto"/>
            <w:noWrap/>
            <w:vAlign w:val="bottom"/>
          </w:tcPr>
          <w:p w14:paraId="0AF6FAC5" w14:textId="4B0095DD"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  10,635 </w:t>
            </w:r>
          </w:p>
        </w:tc>
        <w:tc>
          <w:tcPr>
            <w:tcW w:w="841" w:type="dxa"/>
            <w:shd w:val="clear" w:color="auto" w:fill="auto"/>
            <w:noWrap/>
            <w:vAlign w:val="bottom"/>
          </w:tcPr>
          <w:p w14:paraId="3FFF1F93" w14:textId="5C85788D"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  12,010 </w:t>
            </w:r>
          </w:p>
        </w:tc>
        <w:tc>
          <w:tcPr>
            <w:tcW w:w="841" w:type="dxa"/>
            <w:shd w:val="clear" w:color="auto" w:fill="auto"/>
            <w:noWrap/>
            <w:vAlign w:val="bottom"/>
          </w:tcPr>
          <w:p w14:paraId="396B133C" w14:textId="155B96A9"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  14,072 </w:t>
            </w:r>
          </w:p>
        </w:tc>
        <w:tc>
          <w:tcPr>
            <w:tcW w:w="841" w:type="dxa"/>
            <w:shd w:val="clear" w:color="auto" w:fill="auto"/>
            <w:noWrap/>
            <w:vAlign w:val="bottom"/>
          </w:tcPr>
          <w:p w14:paraId="5BCDAD8D" w14:textId="0E2A10EF"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  16,745 </w:t>
            </w:r>
          </w:p>
        </w:tc>
        <w:tc>
          <w:tcPr>
            <w:tcW w:w="841" w:type="dxa"/>
            <w:shd w:val="clear" w:color="auto" w:fill="auto"/>
            <w:noWrap/>
            <w:vAlign w:val="bottom"/>
          </w:tcPr>
          <w:p w14:paraId="7C87E25F" w14:textId="0DCF0737"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  21,265 </w:t>
            </w:r>
          </w:p>
        </w:tc>
      </w:tr>
      <w:tr w:rsidR="008B5AF2" w:rsidRPr="001904F8" w14:paraId="74089F13" w14:textId="77777777" w:rsidTr="002B6EF9">
        <w:trPr>
          <w:trHeight w:val="288"/>
        </w:trPr>
        <w:tc>
          <w:tcPr>
            <w:tcW w:w="1590" w:type="dxa"/>
            <w:shd w:val="clear" w:color="auto" w:fill="auto"/>
            <w:noWrap/>
            <w:vAlign w:val="bottom"/>
          </w:tcPr>
          <w:p w14:paraId="61A39683" w14:textId="48117050" w:rsidR="008B5AF2" w:rsidRPr="001904F8" w:rsidRDefault="008B5AF2" w:rsidP="008B5AF2">
            <w:pPr>
              <w:spacing w:after="0"/>
              <w:rPr>
                <w:rFonts w:eastAsia="Times New Roman" w:cstheme="minorHAnsi"/>
                <w:b/>
                <w:bCs/>
                <w:sz w:val="18"/>
                <w:szCs w:val="18"/>
              </w:rPr>
            </w:pPr>
            <w:r w:rsidRPr="001904F8">
              <w:rPr>
                <w:rFonts w:eastAsia="Times New Roman" w:cstheme="minorHAnsi"/>
                <w:b/>
                <w:bCs/>
                <w:sz w:val="18"/>
                <w:szCs w:val="18"/>
              </w:rPr>
              <w:t>Atomoxetine</w:t>
            </w:r>
          </w:p>
        </w:tc>
        <w:tc>
          <w:tcPr>
            <w:tcW w:w="851" w:type="dxa"/>
            <w:shd w:val="clear" w:color="auto" w:fill="auto"/>
            <w:noWrap/>
            <w:vAlign w:val="bottom"/>
          </w:tcPr>
          <w:p w14:paraId="5BD1F921" w14:textId="2B072565" w:rsidR="008B5AF2" w:rsidRPr="001904F8" w:rsidRDefault="00DD6B69" w:rsidP="003F7D21">
            <w:pPr>
              <w:spacing w:after="0"/>
              <w:jc w:val="right"/>
              <w:rPr>
                <w:rFonts w:eastAsia="Times New Roman" w:cstheme="minorHAnsi"/>
                <w:sz w:val="18"/>
                <w:szCs w:val="18"/>
              </w:rPr>
            </w:pPr>
            <w:r>
              <w:rPr>
                <w:rFonts w:eastAsia="Times New Roman" w:cstheme="minorHAnsi"/>
                <w:sz w:val="18"/>
                <w:szCs w:val="18"/>
              </w:rPr>
              <w:t>1,287</w:t>
            </w:r>
          </w:p>
        </w:tc>
        <w:tc>
          <w:tcPr>
            <w:tcW w:w="841" w:type="dxa"/>
            <w:shd w:val="clear" w:color="auto" w:fill="auto"/>
            <w:noWrap/>
            <w:vAlign w:val="bottom"/>
          </w:tcPr>
          <w:p w14:paraId="214F4327" w14:textId="01E93982"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1,625 </w:t>
            </w:r>
          </w:p>
        </w:tc>
        <w:tc>
          <w:tcPr>
            <w:tcW w:w="870" w:type="dxa"/>
            <w:shd w:val="clear" w:color="auto" w:fill="auto"/>
            <w:noWrap/>
            <w:vAlign w:val="bottom"/>
          </w:tcPr>
          <w:p w14:paraId="78CFF2AD" w14:textId="160FDCB3"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2,293 </w:t>
            </w:r>
          </w:p>
        </w:tc>
        <w:tc>
          <w:tcPr>
            <w:tcW w:w="841" w:type="dxa"/>
            <w:shd w:val="clear" w:color="auto" w:fill="auto"/>
            <w:noWrap/>
            <w:vAlign w:val="bottom"/>
          </w:tcPr>
          <w:p w14:paraId="5C9DC9F0" w14:textId="7A27A1B7"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2,863 </w:t>
            </w:r>
          </w:p>
        </w:tc>
        <w:tc>
          <w:tcPr>
            <w:tcW w:w="841" w:type="dxa"/>
            <w:shd w:val="clear" w:color="auto" w:fill="auto"/>
            <w:noWrap/>
            <w:vAlign w:val="bottom"/>
          </w:tcPr>
          <w:p w14:paraId="2C58D607" w14:textId="4E561F86"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3,246 </w:t>
            </w:r>
          </w:p>
        </w:tc>
        <w:tc>
          <w:tcPr>
            <w:tcW w:w="841" w:type="dxa"/>
            <w:shd w:val="clear" w:color="auto" w:fill="auto"/>
            <w:noWrap/>
            <w:vAlign w:val="bottom"/>
          </w:tcPr>
          <w:p w14:paraId="67179C36" w14:textId="3AA92848"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3,593 </w:t>
            </w:r>
          </w:p>
        </w:tc>
        <w:tc>
          <w:tcPr>
            <w:tcW w:w="841" w:type="dxa"/>
            <w:shd w:val="clear" w:color="auto" w:fill="auto"/>
            <w:noWrap/>
            <w:vAlign w:val="bottom"/>
          </w:tcPr>
          <w:p w14:paraId="0FD0C360" w14:textId="7CB83A84"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 4,140 </w:t>
            </w:r>
          </w:p>
        </w:tc>
        <w:tc>
          <w:tcPr>
            <w:tcW w:w="841" w:type="dxa"/>
            <w:shd w:val="clear" w:color="auto" w:fill="auto"/>
            <w:noWrap/>
            <w:vAlign w:val="bottom"/>
          </w:tcPr>
          <w:p w14:paraId="56E3E1BC" w14:textId="1ABD099D"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5,364 </w:t>
            </w:r>
          </w:p>
        </w:tc>
        <w:tc>
          <w:tcPr>
            <w:tcW w:w="841" w:type="dxa"/>
            <w:shd w:val="clear" w:color="auto" w:fill="auto"/>
            <w:noWrap/>
            <w:vAlign w:val="bottom"/>
          </w:tcPr>
          <w:p w14:paraId="7F57DB69" w14:textId="14F72C4C"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6,947 </w:t>
            </w:r>
          </w:p>
        </w:tc>
        <w:tc>
          <w:tcPr>
            <w:tcW w:w="841" w:type="dxa"/>
            <w:shd w:val="clear" w:color="auto" w:fill="auto"/>
            <w:noWrap/>
            <w:vAlign w:val="bottom"/>
          </w:tcPr>
          <w:p w14:paraId="68893D7C" w14:textId="290E7F5F"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8,333 </w:t>
            </w:r>
          </w:p>
        </w:tc>
      </w:tr>
      <w:tr w:rsidR="008B5AF2" w:rsidRPr="001904F8" w14:paraId="663673C1" w14:textId="77777777" w:rsidTr="002B6EF9">
        <w:trPr>
          <w:trHeight w:val="288"/>
        </w:trPr>
        <w:tc>
          <w:tcPr>
            <w:tcW w:w="1590" w:type="dxa"/>
            <w:tcBorders>
              <w:bottom w:val="single" w:sz="12" w:space="0" w:color="auto"/>
            </w:tcBorders>
            <w:shd w:val="clear" w:color="auto" w:fill="auto"/>
            <w:noWrap/>
            <w:vAlign w:val="bottom"/>
          </w:tcPr>
          <w:p w14:paraId="647B1AC2" w14:textId="20C92C18" w:rsidR="008B5AF2" w:rsidRPr="001904F8" w:rsidRDefault="008B5AF2" w:rsidP="008B5AF2">
            <w:pPr>
              <w:spacing w:after="0"/>
              <w:rPr>
                <w:rFonts w:eastAsia="Times New Roman" w:cstheme="minorHAnsi"/>
                <w:b/>
                <w:bCs/>
                <w:sz w:val="18"/>
                <w:szCs w:val="18"/>
              </w:rPr>
            </w:pPr>
            <w:r w:rsidRPr="001904F8">
              <w:rPr>
                <w:rFonts w:eastAsia="Times New Roman" w:cstheme="minorHAnsi"/>
                <w:b/>
                <w:bCs/>
                <w:sz w:val="18"/>
                <w:szCs w:val="18"/>
              </w:rPr>
              <w:t>Guanfacine</w:t>
            </w:r>
          </w:p>
        </w:tc>
        <w:tc>
          <w:tcPr>
            <w:tcW w:w="851" w:type="dxa"/>
            <w:tcBorders>
              <w:bottom w:val="single" w:sz="12" w:space="0" w:color="auto"/>
            </w:tcBorders>
            <w:shd w:val="clear" w:color="auto" w:fill="auto"/>
            <w:noWrap/>
            <w:vAlign w:val="bottom"/>
          </w:tcPr>
          <w:p w14:paraId="61BE5E3D" w14:textId="353A0A82" w:rsidR="008B5AF2" w:rsidRPr="001904F8" w:rsidRDefault="008B5AF2" w:rsidP="003F7D21">
            <w:pPr>
              <w:spacing w:after="0"/>
              <w:jc w:val="right"/>
              <w:rPr>
                <w:rFonts w:eastAsia="Times New Roman" w:cstheme="minorHAnsi"/>
                <w:sz w:val="18"/>
                <w:szCs w:val="18"/>
              </w:rPr>
            </w:pPr>
          </w:p>
        </w:tc>
        <w:tc>
          <w:tcPr>
            <w:tcW w:w="841" w:type="dxa"/>
            <w:tcBorders>
              <w:bottom w:val="single" w:sz="12" w:space="0" w:color="auto"/>
            </w:tcBorders>
            <w:shd w:val="clear" w:color="auto" w:fill="auto"/>
            <w:noWrap/>
            <w:vAlign w:val="bottom"/>
          </w:tcPr>
          <w:p w14:paraId="5F323B3A" w14:textId="60F5152B" w:rsidR="008B5AF2" w:rsidRPr="001904F8" w:rsidRDefault="008B5AF2" w:rsidP="003F7D21">
            <w:pPr>
              <w:spacing w:after="0"/>
              <w:jc w:val="right"/>
              <w:rPr>
                <w:rFonts w:eastAsia="Times New Roman" w:cstheme="minorHAnsi"/>
                <w:sz w:val="18"/>
                <w:szCs w:val="18"/>
              </w:rPr>
            </w:pPr>
          </w:p>
        </w:tc>
        <w:tc>
          <w:tcPr>
            <w:tcW w:w="870" w:type="dxa"/>
            <w:tcBorders>
              <w:bottom w:val="single" w:sz="12" w:space="0" w:color="auto"/>
            </w:tcBorders>
            <w:shd w:val="clear" w:color="auto" w:fill="auto"/>
            <w:noWrap/>
            <w:vAlign w:val="bottom"/>
          </w:tcPr>
          <w:p w14:paraId="2516FD95" w14:textId="50DA477B" w:rsidR="008B5AF2" w:rsidRPr="001904F8" w:rsidRDefault="008B5AF2" w:rsidP="003F7D21">
            <w:pPr>
              <w:spacing w:after="0"/>
              <w:jc w:val="right"/>
              <w:rPr>
                <w:rFonts w:eastAsia="Times New Roman" w:cstheme="minorHAnsi"/>
                <w:sz w:val="18"/>
                <w:szCs w:val="18"/>
              </w:rPr>
            </w:pPr>
          </w:p>
        </w:tc>
        <w:tc>
          <w:tcPr>
            <w:tcW w:w="841" w:type="dxa"/>
            <w:tcBorders>
              <w:bottom w:val="single" w:sz="12" w:space="0" w:color="auto"/>
            </w:tcBorders>
            <w:shd w:val="clear" w:color="auto" w:fill="auto"/>
            <w:noWrap/>
            <w:vAlign w:val="bottom"/>
          </w:tcPr>
          <w:p w14:paraId="7E0B0AFA" w14:textId="5CDACC3E" w:rsidR="008B5AF2" w:rsidRPr="001904F8" w:rsidRDefault="008B5AF2" w:rsidP="003F7D21">
            <w:pPr>
              <w:spacing w:after="0"/>
              <w:jc w:val="right"/>
              <w:rPr>
                <w:rFonts w:eastAsia="Times New Roman" w:cstheme="minorHAnsi"/>
                <w:sz w:val="18"/>
                <w:szCs w:val="18"/>
              </w:rPr>
            </w:pPr>
          </w:p>
        </w:tc>
        <w:tc>
          <w:tcPr>
            <w:tcW w:w="841" w:type="dxa"/>
            <w:tcBorders>
              <w:bottom w:val="single" w:sz="12" w:space="0" w:color="auto"/>
            </w:tcBorders>
            <w:shd w:val="clear" w:color="auto" w:fill="auto"/>
            <w:noWrap/>
            <w:vAlign w:val="bottom"/>
          </w:tcPr>
          <w:p w14:paraId="08B10E76" w14:textId="3B4EE603" w:rsidR="008B5AF2" w:rsidRPr="001904F8" w:rsidRDefault="008B5AF2" w:rsidP="003F7D21">
            <w:pPr>
              <w:spacing w:after="0"/>
              <w:jc w:val="right"/>
              <w:rPr>
                <w:rFonts w:eastAsia="Times New Roman" w:cstheme="minorHAnsi"/>
                <w:sz w:val="18"/>
                <w:szCs w:val="18"/>
              </w:rPr>
            </w:pPr>
          </w:p>
        </w:tc>
        <w:tc>
          <w:tcPr>
            <w:tcW w:w="841" w:type="dxa"/>
            <w:tcBorders>
              <w:bottom w:val="single" w:sz="12" w:space="0" w:color="auto"/>
            </w:tcBorders>
            <w:shd w:val="clear" w:color="auto" w:fill="auto"/>
            <w:noWrap/>
            <w:vAlign w:val="bottom"/>
          </w:tcPr>
          <w:p w14:paraId="0B847F3D" w14:textId="423C670B"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 629 </w:t>
            </w:r>
          </w:p>
        </w:tc>
        <w:tc>
          <w:tcPr>
            <w:tcW w:w="841" w:type="dxa"/>
            <w:tcBorders>
              <w:bottom w:val="single" w:sz="12" w:space="0" w:color="auto"/>
            </w:tcBorders>
            <w:shd w:val="clear" w:color="auto" w:fill="auto"/>
            <w:noWrap/>
            <w:vAlign w:val="bottom"/>
          </w:tcPr>
          <w:p w14:paraId="75120DBD" w14:textId="516E1DAA"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  1,393 </w:t>
            </w:r>
          </w:p>
        </w:tc>
        <w:tc>
          <w:tcPr>
            <w:tcW w:w="841" w:type="dxa"/>
            <w:tcBorders>
              <w:bottom w:val="single" w:sz="12" w:space="0" w:color="auto"/>
            </w:tcBorders>
            <w:shd w:val="clear" w:color="auto" w:fill="auto"/>
            <w:noWrap/>
            <w:vAlign w:val="bottom"/>
          </w:tcPr>
          <w:p w14:paraId="50A60FE8" w14:textId="38D3A06F"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   2,171 </w:t>
            </w:r>
          </w:p>
        </w:tc>
        <w:tc>
          <w:tcPr>
            <w:tcW w:w="841" w:type="dxa"/>
            <w:tcBorders>
              <w:bottom w:val="single" w:sz="12" w:space="0" w:color="auto"/>
            </w:tcBorders>
            <w:shd w:val="clear" w:color="auto" w:fill="auto"/>
            <w:noWrap/>
            <w:vAlign w:val="bottom"/>
          </w:tcPr>
          <w:p w14:paraId="0DBD280D" w14:textId="1DAED24C"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    3,373 </w:t>
            </w:r>
          </w:p>
        </w:tc>
        <w:tc>
          <w:tcPr>
            <w:tcW w:w="841" w:type="dxa"/>
            <w:tcBorders>
              <w:bottom w:val="single" w:sz="12" w:space="0" w:color="auto"/>
            </w:tcBorders>
            <w:shd w:val="clear" w:color="auto" w:fill="auto"/>
            <w:noWrap/>
            <w:vAlign w:val="bottom"/>
          </w:tcPr>
          <w:p w14:paraId="2CB63C5D" w14:textId="6F4D3269" w:rsidR="008B5AF2" w:rsidRPr="001904F8" w:rsidRDefault="008B5AF2" w:rsidP="003F7D21">
            <w:pPr>
              <w:spacing w:after="0"/>
              <w:jc w:val="right"/>
              <w:rPr>
                <w:rFonts w:eastAsia="Times New Roman" w:cstheme="minorHAnsi"/>
                <w:sz w:val="18"/>
                <w:szCs w:val="18"/>
              </w:rPr>
            </w:pPr>
            <w:r w:rsidRPr="001904F8">
              <w:rPr>
                <w:rFonts w:eastAsia="Times New Roman" w:cstheme="minorHAnsi"/>
                <w:sz w:val="18"/>
                <w:szCs w:val="18"/>
              </w:rPr>
              <w:t xml:space="preserve"> 4,965 </w:t>
            </w:r>
          </w:p>
        </w:tc>
      </w:tr>
      <w:tr w:rsidR="00F66E7F" w:rsidRPr="001904F8" w14:paraId="45D20CEA" w14:textId="77777777" w:rsidTr="002B6EF9">
        <w:trPr>
          <w:trHeight w:val="288"/>
        </w:trPr>
        <w:tc>
          <w:tcPr>
            <w:tcW w:w="1590" w:type="dxa"/>
            <w:tcBorders>
              <w:top w:val="single" w:sz="12" w:space="0" w:color="auto"/>
              <w:left w:val="single" w:sz="12" w:space="0" w:color="auto"/>
            </w:tcBorders>
            <w:shd w:val="clear" w:color="auto" w:fill="auto"/>
            <w:noWrap/>
            <w:vAlign w:val="bottom"/>
          </w:tcPr>
          <w:p w14:paraId="2C4EE588" w14:textId="3CA4AE30" w:rsidR="00F66E7F" w:rsidRPr="001904F8" w:rsidRDefault="00F66E7F" w:rsidP="00F66E7F">
            <w:pPr>
              <w:spacing w:after="0"/>
              <w:rPr>
                <w:rFonts w:eastAsia="Times New Roman" w:cstheme="minorHAnsi"/>
                <w:b/>
                <w:bCs/>
                <w:sz w:val="18"/>
                <w:szCs w:val="18"/>
              </w:rPr>
            </w:pPr>
            <w:r>
              <w:rPr>
                <w:rFonts w:eastAsia="Times New Roman" w:cstheme="minorHAnsi"/>
                <w:b/>
                <w:bCs/>
                <w:sz w:val="18"/>
                <w:szCs w:val="18"/>
              </w:rPr>
              <w:t>Total</w:t>
            </w:r>
          </w:p>
        </w:tc>
        <w:tc>
          <w:tcPr>
            <w:tcW w:w="851" w:type="dxa"/>
            <w:tcBorders>
              <w:top w:val="single" w:sz="12" w:space="0" w:color="auto"/>
            </w:tcBorders>
            <w:shd w:val="clear" w:color="auto" w:fill="auto"/>
            <w:noWrap/>
            <w:vAlign w:val="bottom"/>
          </w:tcPr>
          <w:p w14:paraId="69C86F2A" w14:textId="46DC9056" w:rsidR="00F66E7F" w:rsidRPr="00A35FC0" w:rsidRDefault="00F66E7F" w:rsidP="00F66E7F">
            <w:pPr>
              <w:spacing w:after="0"/>
              <w:jc w:val="right"/>
              <w:rPr>
                <w:rFonts w:eastAsia="Times New Roman" w:cstheme="minorHAnsi"/>
                <w:sz w:val="18"/>
                <w:szCs w:val="18"/>
              </w:rPr>
            </w:pPr>
            <w:r w:rsidRPr="006E5229">
              <w:rPr>
                <w:rFonts w:eastAsia="Times New Roman" w:cstheme="minorHAnsi"/>
                <w:sz w:val="18"/>
                <w:szCs w:val="18"/>
              </w:rPr>
              <w:t xml:space="preserve">                                                      37,645 </w:t>
            </w:r>
          </w:p>
        </w:tc>
        <w:tc>
          <w:tcPr>
            <w:tcW w:w="841" w:type="dxa"/>
            <w:tcBorders>
              <w:top w:val="single" w:sz="12" w:space="0" w:color="auto"/>
            </w:tcBorders>
            <w:shd w:val="clear" w:color="auto" w:fill="auto"/>
            <w:noWrap/>
            <w:vAlign w:val="bottom"/>
          </w:tcPr>
          <w:p w14:paraId="495D9984" w14:textId="169A10FB" w:rsidR="00F66E7F" w:rsidRPr="00A35FC0" w:rsidRDefault="00F66E7F" w:rsidP="00F66E7F">
            <w:pPr>
              <w:spacing w:after="0"/>
              <w:jc w:val="right"/>
              <w:rPr>
                <w:rFonts w:eastAsia="Times New Roman" w:cstheme="minorHAnsi"/>
                <w:sz w:val="18"/>
                <w:szCs w:val="18"/>
              </w:rPr>
            </w:pPr>
            <w:r w:rsidRPr="006E5229">
              <w:rPr>
                <w:rFonts w:eastAsia="Times New Roman" w:cstheme="minorHAnsi"/>
                <w:sz w:val="18"/>
                <w:szCs w:val="18"/>
              </w:rPr>
              <w:t xml:space="preserve">   39,500 </w:t>
            </w:r>
          </w:p>
        </w:tc>
        <w:tc>
          <w:tcPr>
            <w:tcW w:w="870" w:type="dxa"/>
            <w:tcBorders>
              <w:top w:val="single" w:sz="12" w:space="0" w:color="auto"/>
            </w:tcBorders>
            <w:shd w:val="clear" w:color="auto" w:fill="auto"/>
            <w:noWrap/>
            <w:vAlign w:val="bottom"/>
          </w:tcPr>
          <w:p w14:paraId="26D72F14" w14:textId="2F8A2994" w:rsidR="00F66E7F" w:rsidRPr="00A35FC0" w:rsidRDefault="00F66E7F" w:rsidP="00F66E7F">
            <w:pPr>
              <w:spacing w:after="0"/>
              <w:jc w:val="right"/>
              <w:rPr>
                <w:rFonts w:eastAsia="Times New Roman" w:cstheme="minorHAnsi"/>
                <w:sz w:val="18"/>
                <w:szCs w:val="18"/>
              </w:rPr>
            </w:pPr>
            <w:r w:rsidRPr="006E5229">
              <w:rPr>
                <w:rFonts w:eastAsia="Times New Roman" w:cstheme="minorHAnsi"/>
                <w:sz w:val="18"/>
                <w:szCs w:val="18"/>
              </w:rPr>
              <w:t xml:space="preserve">   45,034 </w:t>
            </w:r>
          </w:p>
        </w:tc>
        <w:tc>
          <w:tcPr>
            <w:tcW w:w="841" w:type="dxa"/>
            <w:tcBorders>
              <w:top w:val="single" w:sz="12" w:space="0" w:color="auto"/>
            </w:tcBorders>
            <w:shd w:val="clear" w:color="auto" w:fill="auto"/>
            <w:noWrap/>
            <w:vAlign w:val="bottom"/>
          </w:tcPr>
          <w:p w14:paraId="2835C8BE" w14:textId="6269D5AD" w:rsidR="00F66E7F" w:rsidRPr="00A35FC0" w:rsidRDefault="00F66E7F" w:rsidP="00F66E7F">
            <w:pPr>
              <w:spacing w:after="0"/>
              <w:jc w:val="right"/>
              <w:rPr>
                <w:rFonts w:eastAsia="Times New Roman" w:cstheme="minorHAnsi"/>
                <w:sz w:val="18"/>
                <w:szCs w:val="18"/>
              </w:rPr>
            </w:pPr>
            <w:r w:rsidRPr="006E5229">
              <w:rPr>
                <w:rFonts w:eastAsia="Times New Roman" w:cstheme="minorHAnsi"/>
                <w:sz w:val="18"/>
                <w:szCs w:val="18"/>
              </w:rPr>
              <w:t xml:space="preserve">     50,676 </w:t>
            </w:r>
          </w:p>
        </w:tc>
        <w:tc>
          <w:tcPr>
            <w:tcW w:w="841" w:type="dxa"/>
            <w:tcBorders>
              <w:top w:val="single" w:sz="12" w:space="0" w:color="auto"/>
            </w:tcBorders>
            <w:shd w:val="clear" w:color="auto" w:fill="auto"/>
            <w:noWrap/>
            <w:vAlign w:val="bottom"/>
          </w:tcPr>
          <w:p w14:paraId="3262D686" w14:textId="11372F8F" w:rsidR="00F66E7F" w:rsidRPr="00A35FC0" w:rsidRDefault="00F66E7F" w:rsidP="00F66E7F">
            <w:pPr>
              <w:spacing w:after="0"/>
              <w:jc w:val="right"/>
              <w:rPr>
                <w:rFonts w:eastAsia="Times New Roman" w:cstheme="minorHAnsi"/>
                <w:sz w:val="18"/>
                <w:szCs w:val="18"/>
              </w:rPr>
            </w:pPr>
            <w:r w:rsidRPr="006E5229">
              <w:rPr>
                <w:rFonts w:eastAsia="Times New Roman" w:cstheme="minorHAnsi"/>
                <w:sz w:val="18"/>
                <w:szCs w:val="18"/>
              </w:rPr>
              <w:t xml:space="preserve">     57,072 </w:t>
            </w:r>
          </w:p>
        </w:tc>
        <w:tc>
          <w:tcPr>
            <w:tcW w:w="841" w:type="dxa"/>
            <w:tcBorders>
              <w:top w:val="single" w:sz="12" w:space="0" w:color="auto"/>
            </w:tcBorders>
            <w:shd w:val="clear" w:color="auto" w:fill="auto"/>
            <w:noWrap/>
            <w:vAlign w:val="bottom"/>
          </w:tcPr>
          <w:p w14:paraId="14CCA0AF" w14:textId="5FEDD485" w:rsidR="00F66E7F" w:rsidRPr="00A35FC0" w:rsidRDefault="00F66E7F" w:rsidP="00F66E7F">
            <w:pPr>
              <w:spacing w:after="0"/>
              <w:jc w:val="right"/>
              <w:rPr>
                <w:rFonts w:eastAsia="Times New Roman" w:cstheme="minorHAnsi"/>
                <w:sz w:val="18"/>
                <w:szCs w:val="18"/>
              </w:rPr>
            </w:pPr>
            <w:r w:rsidRPr="006E5229">
              <w:rPr>
                <w:rFonts w:eastAsia="Times New Roman" w:cstheme="minorHAnsi"/>
                <w:sz w:val="18"/>
                <w:szCs w:val="18"/>
              </w:rPr>
              <w:t xml:space="preserve">     65,786 </w:t>
            </w:r>
          </w:p>
        </w:tc>
        <w:tc>
          <w:tcPr>
            <w:tcW w:w="841" w:type="dxa"/>
            <w:tcBorders>
              <w:top w:val="single" w:sz="12" w:space="0" w:color="auto"/>
            </w:tcBorders>
            <w:shd w:val="clear" w:color="auto" w:fill="auto"/>
            <w:noWrap/>
            <w:vAlign w:val="bottom"/>
          </w:tcPr>
          <w:p w14:paraId="093D106D" w14:textId="41FED3CC" w:rsidR="00F66E7F" w:rsidRPr="00A35FC0" w:rsidRDefault="00F66E7F" w:rsidP="00F66E7F">
            <w:pPr>
              <w:spacing w:after="0"/>
              <w:jc w:val="right"/>
              <w:rPr>
                <w:rFonts w:eastAsia="Times New Roman" w:cstheme="minorHAnsi"/>
                <w:sz w:val="18"/>
                <w:szCs w:val="18"/>
              </w:rPr>
            </w:pPr>
            <w:r w:rsidRPr="006E5229">
              <w:rPr>
                <w:rFonts w:eastAsia="Times New Roman" w:cstheme="minorHAnsi"/>
                <w:sz w:val="18"/>
                <w:szCs w:val="18"/>
              </w:rPr>
              <w:t xml:space="preserve">     78,085 </w:t>
            </w:r>
          </w:p>
        </w:tc>
        <w:tc>
          <w:tcPr>
            <w:tcW w:w="841" w:type="dxa"/>
            <w:tcBorders>
              <w:top w:val="single" w:sz="12" w:space="0" w:color="auto"/>
            </w:tcBorders>
            <w:shd w:val="clear" w:color="auto" w:fill="auto"/>
            <w:noWrap/>
            <w:vAlign w:val="bottom"/>
          </w:tcPr>
          <w:p w14:paraId="06ABD794" w14:textId="68101F02" w:rsidR="00F66E7F" w:rsidRPr="00A35FC0" w:rsidRDefault="00F66E7F" w:rsidP="00F66E7F">
            <w:pPr>
              <w:spacing w:after="0"/>
              <w:jc w:val="right"/>
              <w:rPr>
                <w:rFonts w:eastAsia="Times New Roman" w:cstheme="minorHAnsi"/>
                <w:sz w:val="18"/>
                <w:szCs w:val="18"/>
              </w:rPr>
            </w:pPr>
            <w:r w:rsidRPr="006E5229">
              <w:rPr>
                <w:rFonts w:eastAsia="Times New Roman" w:cstheme="minorHAnsi"/>
                <w:sz w:val="18"/>
                <w:szCs w:val="18"/>
              </w:rPr>
              <w:t xml:space="preserve">   104,358 </w:t>
            </w:r>
          </w:p>
        </w:tc>
        <w:tc>
          <w:tcPr>
            <w:tcW w:w="841" w:type="dxa"/>
            <w:tcBorders>
              <w:top w:val="single" w:sz="12" w:space="0" w:color="auto"/>
            </w:tcBorders>
            <w:shd w:val="clear" w:color="auto" w:fill="auto"/>
            <w:noWrap/>
            <w:vAlign w:val="bottom"/>
          </w:tcPr>
          <w:p w14:paraId="097A022A" w14:textId="4D829121" w:rsidR="00F66E7F" w:rsidRPr="00A35FC0" w:rsidRDefault="00F66E7F" w:rsidP="00F66E7F">
            <w:pPr>
              <w:spacing w:after="0"/>
              <w:jc w:val="right"/>
              <w:rPr>
                <w:rFonts w:eastAsia="Times New Roman" w:cstheme="minorHAnsi"/>
                <w:sz w:val="18"/>
                <w:szCs w:val="18"/>
              </w:rPr>
            </w:pPr>
            <w:r w:rsidRPr="006E5229">
              <w:rPr>
                <w:rFonts w:eastAsia="Times New Roman" w:cstheme="minorHAnsi"/>
                <w:sz w:val="18"/>
                <w:szCs w:val="18"/>
              </w:rPr>
              <w:t xml:space="preserve">   149,770 </w:t>
            </w:r>
          </w:p>
        </w:tc>
        <w:tc>
          <w:tcPr>
            <w:tcW w:w="841" w:type="dxa"/>
            <w:tcBorders>
              <w:top w:val="single" w:sz="12" w:space="0" w:color="auto"/>
              <w:right w:val="single" w:sz="12" w:space="0" w:color="auto"/>
            </w:tcBorders>
            <w:shd w:val="clear" w:color="auto" w:fill="auto"/>
            <w:noWrap/>
            <w:vAlign w:val="bottom"/>
          </w:tcPr>
          <w:p w14:paraId="28B1BDFB" w14:textId="25066D11" w:rsidR="00F66E7F" w:rsidRPr="00A35FC0" w:rsidRDefault="00F66E7F" w:rsidP="00F66E7F">
            <w:pPr>
              <w:spacing w:after="0"/>
              <w:jc w:val="right"/>
              <w:rPr>
                <w:rFonts w:eastAsia="Times New Roman" w:cstheme="minorHAnsi"/>
                <w:sz w:val="18"/>
                <w:szCs w:val="18"/>
              </w:rPr>
            </w:pPr>
            <w:r w:rsidRPr="006E5229">
              <w:rPr>
                <w:rFonts w:eastAsia="Times New Roman" w:cstheme="minorHAnsi"/>
                <w:sz w:val="18"/>
                <w:szCs w:val="18"/>
              </w:rPr>
              <w:t xml:space="preserve">   209,564 </w:t>
            </w:r>
          </w:p>
        </w:tc>
      </w:tr>
      <w:tr w:rsidR="00F66E7F" w:rsidRPr="001904F8" w14:paraId="1D5ECA8B" w14:textId="77777777" w:rsidTr="002B6EF9">
        <w:trPr>
          <w:trHeight w:val="288"/>
        </w:trPr>
        <w:tc>
          <w:tcPr>
            <w:tcW w:w="1590" w:type="dxa"/>
            <w:tcBorders>
              <w:left w:val="single" w:sz="12" w:space="0" w:color="auto"/>
              <w:bottom w:val="single" w:sz="12" w:space="0" w:color="auto"/>
            </w:tcBorders>
            <w:shd w:val="clear" w:color="auto" w:fill="auto"/>
            <w:noWrap/>
            <w:vAlign w:val="bottom"/>
          </w:tcPr>
          <w:p w14:paraId="430F3D75" w14:textId="38822733" w:rsidR="00F66E7F" w:rsidRDefault="00F66E7F" w:rsidP="00F66E7F">
            <w:pPr>
              <w:spacing w:after="0"/>
              <w:rPr>
                <w:rFonts w:eastAsia="Times New Roman" w:cstheme="minorHAnsi"/>
                <w:b/>
                <w:bCs/>
                <w:sz w:val="18"/>
                <w:szCs w:val="18"/>
              </w:rPr>
            </w:pPr>
            <w:r>
              <w:rPr>
                <w:rFonts w:eastAsia="Times New Roman" w:cstheme="minorHAnsi"/>
                <w:b/>
                <w:bCs/>
                <w:sz w:val="18"/>
                <w:szCs w:val="18"/>
              </w:rPr>
              <w:t>Growth</w:t>
            </w:r>
          </w:p>
        </w:tc>
        <w:tc>
          <w:tcPr>
            <w:tcW w:w="851" w:type="dxa"/>
            <w:tcBorders>
              <w:bottom w:val="single" w:sz="12" w:space="0" w:color="auto"/>
            </w:tcBorders>
            <w:shd w:val="clear" w:color="auto" w:fill="auto"/>
            <w:noWrap/>
            <w:vAlign w:val="bottom"/>
          </w:tcPr>
          <w:p w14:paraId="3AB58294" w14:textId="77777777" w:rsidR="00F66E7F" w:rsidRPr="00A35FC0" w:rsidRDefault="00F66E7F" w:rsidP="00F66E7F">
            <w:pPr>
              <w:spacing w:after="0"/>
              <w:jc w:val="right"/>
              <w:rPr>
                <w:rFonts w:eastAsia="Times New Roman" w:cstheme="minorHAnsi"/>
                <w:sz w:val="18"/>
                <w:szCs w:val="18"/>
              </w:rPr>
            </w:pPr>
          </w:p>
        </w:tc>
        <w:tc>
          <w:tcPr>
            <w:tcW w:w="841" w:type="dxa"/>
            <w:tcBorders>
              <w:bottom w:val="single" w:sz="12" w:space="0" w:color="auto"/>
            </w:tcBorders>
            <w:shd w:val="clear" w:color="auto" w:fill="auto"/>
            <w:noWrap/>
            <w:vAlign w:val="bottom"/>
          </w:tcPr>
          <w:p w14:paraId="605F2FC5" w14:textId="0292E2FF" w:rsidR="00F66E7F" w:rsidRPr="00A35FC0" w:rsidRDefault="00F66E7F" w:rsidP="00F66E7F">
            <w:pPr>
              <w:spacing w:after="0"/>
              <w:jc w:val="right"/>
              <w:rPr>
                <w:rFonts w:eastAsia="Times New Roman" w:cstheme="minorHAnsi"/>
                <w:sz w:val="18"/>
                <w:szCs w:val="18"/>
              </w:rPr>
            </w:pPr>
            <w:r w:rsidRPr="006E5229">
              <w:rPr>
                <w:rFonts w:eastAsia="Times New Roman" w:cstheme="minorHAnsi"/>
                <w:sz w:val="18"/>
                <w:szCs w:val="18"/>
              </w:rPr>
              <w:t>5%</w:t>
            </w:r>
          </w:p>
        </w:tc>
        <w:tc>
          <w:tcPr>
            <w:tcW w:w="870" w:type="dxa"/>
            <w:tcBorders>
              <w:bottom w:val="single" w:sz="12" w:space="0" w:color="auto"/>
            </w:tcBorders>
            <w:shd w:val="clear" w:color="auto" w:fill="auto"/>
            <w:noWrap/>
            <w:vAlign w:val="bottom"/>
          </w:tcPr>
          <w:p w14:paraId="3EB887C3" w14:textId="581AFE7E" w:rsidR="00F66E7F" w:rsidRPr="00A35FC0" w:rsidRDefault="00F66E7F" w:rsidP="00F66E7F">
            <w:pPr>
              <w:spacing w:after="0"/>
              <w:jc w:val="right"/>
              <w:rPr>
                <w:rFonts w:eastAsia="Times New Roman" w:cstheme="minorHAnsi"/>
                <w:sz w:val="18"/>
                <w:szCs w:val="18"/>
              </w:rPr>
            </w:pPr>
            <w:r w:rsidRPr="006E5229">
              <w:rPr>
                <w:rFonts w:eastAsia="Times New Roman" w:cstheme="minorHAnsi"/>
                <w:sz w:val="18"/>
                <w:szCs w:val="18"/>
              </w:rPr>
              <w:t>14%</w:t>
            </w:r>
          </w:p>
        </w:tc>
        <w:tc>
          <w:tcPr>
            <w:tcW w:w="841" w:type="dxa"/>
            <w:tcBorders>
              <w:bottom w:val="single" w:sz="12" w:space="0" w:color="auto"/>
            </w:tcBorders>
            <w:shd w:val="clear" w:color="auto" w:fill="auto"/>
            <w:noWrap/>
            <w:vAlign w:val="bottom"/>
          </w:tcPr>
          <w:p w14:paraId="483D0C98" w14:textId="5D0B1216" w:rsidR="00F66E7F" w:rsidRPr="00A35FC0" w:rsidRDefault="00F66E7F" w:rsidP="00F66E7F">
            <w:pPr>
              <w:spacing w:after="0"/>
              <w:jc w:val="right"/>
              <w:rPr>
                <w:rFonts w:eastAsia="Times New Roman" w:cstheme="minorHAnsi"/>
                <w:sz w:val="18"/>
                <w:szCs w:val="18"/>
              </w:rPr>
            </w:pPr>
            <w:r w:rsidRPr="006E5229">
              <w:rPr>
                <w:rFonts w:eastAsia="Times New Roman" w:cstheme="minorHAnsi"/>
                <w:sz w:val="18"/>
                <w:szCs w:val="18"/>
              </w:rPr>
              <w:t>13%</w:t>
            </w:r>
          </w:p>
        </w:tc>
        <w:tc>
          <w:tcPr>
            <w:tcW w:w="841" w:type="dxa"/>
            <w:tcBorders>
              <w:bottom w:val="single" w:sz="12" w:space="0" w:color="auto"/>
            </w:tcBorders>
            <w:shd w:val="clear" w:color="auto" w:fill="auto"/>
            <w:noWrap/>
            <w:vAlign w:val="bottom"/>
          </w:tcPr>
          <w:p w14:paraId="69190B5E" w14:textId="0CC1B30E" w:rsidR="00F66E7F" w:rsidRPr="00A35FC0" w:rsidRDefault="00F66E7F" w:rsidP="00F66E7F">
            <w:pPr>
              <w:spacing w:after="0"/>
              <w:jc w:val="right"/>
              <w:rPr>
                <w:rFonts w:eastAsia="Times New Roman" w:cstheme="minorHAnsi"/>
                <w:sz w:val="18"/>
                <w:szCs w:val="18"/>
              </w:rPr>
            </w:pPr>
            <w:r w:rsidRPr="006E5229">
              <w:rPr>
                <w:rFonts w:eastAsia="Times New Roman" w:cstheme="minorHAnsi"/>
                <w:sz w:val="18"/>
                <w:szCs w:val="18"/>
              </w:rPr>
              <w:t>13%</w:t>
            </w:r>
          </w:p>
        </w:tc>
        <w:tc>
          <w:tcPr>
            <w:tcW w:w="841" w:type="dxa"/>
            <w:tcBorders>
              <w:bottom w:val="single" w:sz="12" w:space="0" w:color="auto"/>
            </w:tcBorders>
            <w:shd w:val="clear" w:color="auto" w:fill="auto"/>
            <w:noWrap/>
            <w:vAlign w:val="bottom"/>
          </w:tcPr>
          <w:p w14:paraId="00D6016D" w14:textId="7DFEEA7C" w:rsidR="00F66E7F" w:rsidRPr="00A35FC0" w:rsidRDefault="00F66E7F" w:rsidP="00F66E7F">
            <w:pPr>
              <w:spacing w:after="0"/>
              <w:jc w:val="right"/>
              <w:rPr>
                <w:rFonts w:eastAsia="Times New Roman" w:cstheme="minorHAnsi"/>
                <w:sz w:val="18"/>
                <w:szCs w:val="18"/>
              </w:rPr>
            </w:pPr>
            <w:r w:rsidRPr="006E5229">
              <w:rPr>
                <w:rFonts w:eastAsia="Times New Roman" w:cstheme="minorHAnsi"/>
                <w:sz w:val="18"/>
                <w:szCs w:val="18"/>
              </w:rPr>
              <w:t>15%</w:t>
            </w:r>
          </w:p>
        </w:tc>
        <w:tc>
          <w:tcPr>
            <w:tcW w:w="841" w:type="dxa"/>
            <w:tcBorders>
              <w:bottom w:val="single" w:sz="12" w:space="0" w:color="auto"/>
            </w:tcBorders>
            <w:shd w:val="clear" w:color="auto" w:fill="auto"/>
            <w:noWrap/>
            <w:vAlign w:val="bottom"/>
          </w:tcPr>
          <w:p w14:paraId="2D0151C5" w14:textId="3776A569" w:rsidR="00F66E7F" w:rsidRPr="00A35FC0" w:rsidRDefault="00F66E7F" w:rsidP="00F66E7F">
            <w:pPr>
              <w:spacing w:after="0"/>
              <w:jc w:val="right"/>
              <w:rPr>
                <w:rFonts w:eastAsia="Times New Roman" w:cstheme="minorHAnsi"/>
                <w:sz w:val="18"/>
                <w:szCs w:val="18"/>
              </w:rPr>
            </w:pPr>
            <w:r w:rsidRPr="006E5229">
              <w:rPr>
                <w:rFonts w:eastAsia="Times New Roman" w:cstheme="minorHAnsi"/>
                <w:sz w:val="18"/>
                <w:szCs w:val="18"/>
              </w:rPr>
              <w:t>19%</w:t>
            </w:r>
          </w:p>
        </w:tc>
        <w:tc>
          <w:tcPr>
            <w:tcW w:w="841" w:type="dxa"/>
            <w:tcBorders>
              <w:bottom w:val="single" w:sz="12" w:space="0" w:color="auto"/>
            </w:tcBorders>
            <w:shd w:val="clear" w:color="auto" w:fill="auto"/>
            <w:noWrap/>
            <w:vAlign w:val="bottom"/>
          </w:tcPr>
          <w:p w14:paraId="26AABBA0" w14:textId="5DB48B7A" w:rsidR="00F66E7F" w:rsidRPr="00A35FC0" w:rsidRDefault="00F66E7F" w:rsidP="00F66E7F">
            <w:pPr>
              <w:spacing w:after="0"/>
              <w:jc w:val="right"/>
              <w:rPr>
                <w:rFonts w:eastAsia="Times New Roman" w:cstheme="minorHAnsi"/>
                <w:sz w:val="18"/>
                <w:szCs w:val="18"/>
              </w:rPr>
            </w:pPr>
            <w:r w:rsidRPr="006E5229">
              <w:rPr>
                <w:rFonts w:eastAsia="Times New Roman" w:cstheme="minorHAnsi"/>
                <w:sz w:val="18"/>
                <w:szCs w:val="18"/>
              </w:rPr>
              <w:t>34%</w:t>
            </w:r>
          </w:p>
        </w:tc>
        <w:tc>
          <w:tcPr>
            <w:tcW w:w="841" w:type="dxa"/>
            <w:tcBorders>
              <w:bottom w:val="single" w:sz="12" w:space="0" w:color="auto"/>
            </w:tcBorders>
            <w:shd w:val="clear" w:color="auto" w:fill="auto"/>
            <w:noWrap/>
            <w:vAlign w:val="bottom"/>
          </w:tcPr>
          <w:p w14:paraId="7EECABEC" w14:textId="7257BB75" w:rsidR="00F66E7F" w:rsidRPr="00A35FC0" w:rsidRDefault="00F66E7F" w:rsidP="00F66E7F">
            <w:pPr>
              <w:spacing w:after="0"/>
              <w:jc w:val="right"/>
              <w:rPr>
                <w:rFonts w:eastAsia="Times New Roman" w:cstheme="minorHAnsi"/>
                <w:sz w:val="18"/>
                <w:szCs w:val="18"/>
              </w:rPr>
            </w:pPr>
            <w:r w:rsidRPr="006E5229">
              <w:rPr>
                <w:rFonts w:eastAsia="Times New Roman" w:cstheme="minorHAnsi"/>
                <w:sz w:val="18"/>
                <w:szCs w:val="18"/>
              </w:rPr>
              <w:t>44%</w:t>
            </w:r>
          </w:p>
        </w:tc>
        <w:tc>
          <w:tcPr>
            <w:tcW w:w="841" w:type="dxa"/>
            <w:tcBorders>
              <w:bottom w:val="single" w:sz="12" w:space="0" w:color="auto"/>
              <w:right w:val="single" w:sz="12" w:space="0" w:color="auto"/>
            </w:tcBorders>
            <w:shd w:val="clear" w:color="auto" w:fill="auto"/>
            <w:noWrap/>
            <w:vAlign w:val="bottom"/>
          </w:tcPr>
          <w:p w14:paraId="588C672B" w14:textId="24C6F401" w:rsidR="00F66E7F" w:rsidRPr="00A35FC0" w:rsidRDefault="00F66E7F" w:rsidP="00F66E7F">
            <w:pPr>
              <w:spacing w:after="0"/>
              <w:jc w:val="right"/>
              <w:rPr>
                <w:rFonts w:eastAsia="Times New Roman" w:cstheme="minorHAnsi"/>
                <w:sz w:val="18"/>
                <w:szCs w:val="18"/>
              </w:rPr>
            </w:pPr>
            <w:r w:rsidRPr="006E5229">
              <w:rPr>
                <w:rFonts w:eastAsia="Times New Roman" w:cstheme="minorHAnsi"/>
                <w:sz w:val="18"/>
                <w:szCs w:val="18"/>
              </w:rPr>
              <w:t>40%</w:t>
            </w:r>
          </w:p>
        </w:tc>
      </w:tr>
      <w:tr w:rsidR="00E62C2E" w:rsidRPr="001904F8" w14:paraId="501DE3C6" w14:textId="77777777" w:rsidTr="002B6EF9">
        <w:trPr>
          <w:trHeight w:val="50"/>
        </w:trPr>
        <w:tc>
          <w:tcPr>
            <w:tcW w:w="1590" w:type="dxa"/>
            <w:tcBorders>
              <w:top w:val="single" w:sz="12" w:space="0" w:color="auto"/>
              <w:left w:val="nil"/>
              <w:bottom w:val="nil"/>
              <w:right w:val="nil"/>
            </w:tcBorders>
            <w:shd w:val="clear" w:color="auto" w:fill="auto"/>
            <w:noWrap/>
            <w:vAlign w:val="bottom"/>
          </w:tcPr>
          <w:p w14:paraId="175966F1" w14:textId="77777777" w:rsidR="00E62C2E" w:rsidRPr="002F5752" w:rsidRDefault="00E62C2E" w:rsidP="00F66E7F">
            <w:pPr>
              <w:spacing w:after="0"/>
              <w:rPr>
                <w:rFonts w:eastAsia="Times New Roman" w:cstheme="minorHAnsi"/>
                <w:b/>
                <w:bCs/>
                <w:sz w:val="12"/>
                <w:szCs w:val="12"/>
              </w:rPr>
            </w:pPr>
          </w:p>
        </w:tc>
        <w:tc>
          <w:tcPr>
            <w:tcW w:w="851" w:type="dxa"/>
            <w:tcBorders>
              <w:top w:val="single" w:sz="12" w:space="0" w:color="auto"/>
              <w:left w:val="nil"/>
              <w:bottom w:val="nil"/>
              <w:right w:val="nil"/>
            </w:tcBorders>
            <w:shd w:val="clear" w:color="auto" w:fill="auto"/>
            <w:noWrap/>
            <w:vAlign w:val="bottom"/>
          </w:tcPr>
          <w:p w14:paraId="5BCEEB8A" w14:textId="77777777" w:rsidR="00E62C2E" w:rsidRPr="002F5752" w:rsidRDefault="00E62C2E" w:rsidP="00F66E7F">
            <w:pPr>
              <w:spacing w:after="0"/>
              <w:jc w:val="right"/>
              <w:rPr>
                <w:rFonts w:eastAsia="Times New Roman" w:cstheme="minorHAnsi"/>
                <w:sz w:val="12"/>
                <w:szCs w:val="12"/>
              </w:rPr>
            </w:pPr>
          </w:p>
        </w:tc>
        <w:tc>
          <w:tcPr>
            <w:tcW w:w="841" w:type="dxa"/>
            <w:tcBorders>
              <w:top w:val="single" w:sz="12" w:space="0" w:color="auto"/>
              <w:left w:val="nil"/>
              <w:bottom w:val="nil"/>
              <w:right w:val="nil"/>
            </w:tcBorders>
            <w:shd w:val="clear" w:color="auto" w:fill="auto"/>
            <w:noWrap/>
            <w:vAlign w:val="bottom"/>
          </w:tcPr>
          <w:p w14:paraId="2C2EEB9E" w14:textId="77777777" w:rsidR="00E62C2E" w:rsidRPr="002F5752" w:rsidRDefault="00E62C2E" w:rsidP="00F66E7F">
            <w:pPr>
              <w:spacing w:after="0"/>
              <w:jc w:val="right"/>
              <w:rPr>
                <w:rFonts w:eastAsia="Times New Roman" w:cstheme="minorHAnsi"/>
                <w:sz w:val="12"/>
                <w:szCs w:val="12"/>
              </w:rPr>
            </w:pPr>
          </w:p>
        </w:tc>
        <w:tc>
          <w:tcPr>
            <w:tcW w:w="870" w:type="dxa"/>
            <w:tcBorders>
              <w:top w:val="single" w:sz="12" w:space="0" w:color="auto"/>
              <w:left w:val="nil"/>
              <w:bottom w:val="nil"/>
              <w:right w:val="nil"/>
            </w:tcBorders>
            <w:shd w:val="clear" w:color="auto" w:fill="auto"/>
            <w:noWrap/>
            <w:vAlign w:val="bottom"/>
          </w:tcPr>
          <w:p w14:paraId="1F11E81D" w14:textId="77777777" w:rsidR="00E62C2E" w:rsidRPr="002F5752" w:rsidRDefault="00E62C2E" w:rsidP="00F66E7F">
            <w:pPr>
              <w:spacing w:after="0"/>
              <w:jc w:val="right"/>
              <w:rPr>
                <w:rFonts w:eastAsia="Times New Roman" w:cstheme="minorHAnsi"/>
                <w:sz w:val="12"/>
                <w:szCs w:val="12"/>
              </w:rPr>
            </w:pPr>
          </w:p>
        </w:tc>
        <w:tc>
          <w:tcPr>
            <w:tcW w:w="841" w:type="dxa"/>
            <w:tcBorders>
              <w:top w:val="single" w:sz="12" w:space="0" w:color="auto"/>
              <w:left w:val="nil"/>
              <w:bottom w:val="nil"/>
              <w:right w:val="nil"/>
            </w:tcBorders>
            <w:shd w:val="clear" w:color="auto" w:fill="auto"/>
            <w:noWrap/>
            <w:vAlign w:val="bottom"/>
          </w:tcPr>
          <w:p w14:paraId="0D02609A" w14:textId="77777777" w:rsidR="00E62C2E" w:rsidRPr="002F5752" w:rsidRDefault="00E62C2E" w:rsidP="00F66E7F">
            <w:pPr>
              <w:spacing w:after="0"/>
              <w:jc w:val="right"/>
              <w:rPr>
                <w:rFonts w:eastAsia="Times New Roman" w:cstheme="minorHAnsi"/>
                <w:sz w:val="12"/>
                <w:szCs w:val="12"/>
              </w:rPr>
            </w:pPr>
          </w:p>
        </w:tc>
        <w:tc>
          <w:tcPr>
            <w:tcW w:w="841" w:type="dxa"/>
            <w:tcBorders>
              <w:top w:val="single" w:sz="12" w:space="0" w:color="auto"/>
              <w:left w:val="nil"/>
              <w:bottom w:val="nil"/>
              <w:right w:val="nil"/>
            </w:tcBorders>
            <w:shd w:val="clear" w:color="auto" w:fill="auto"/>
            <w:noWrap/>
            <w:vAlign w:val="bottom"/>
          </w:tcPr>
          <w:p w14:paraId="2F40B309" w14:textId="77777777" w:rsidR="00E62C2E" w:rsidRPr="002F5752" w:rsidRDefault="00E62C2E" w:rsidP="00F66E7F">
            <w:pPr>
              <w:spacing w:after="0"/>
              <w:jc w:val="right"/>
              <w:rPr>
                <w:rFonts w:eastAsia="Times New Roman" w:cstheme="minorHAnsi"/>
                <w:sz w:val="12"/>
                <w:szCs w:val="12"/>
              </w:rPr>
            </w:pPr>
          </w:p>
        </w:tc>
        <w:tc>
          <w:tcPr>
            <w:tcW w:w="841" w:type="dxa"/>
            <w:tcBorders>
              <w:top w:val="single" w:sz="12" w:space="0" w:color="auto"/>
              <w:left w:val="nil"/>
              <w:bottom w:val="nil"/>
              <w:right w:val="nil"/>
            </w:tcBorders>
            <w:shd w:val="clear" w:color="auto" w:fill="auto"/>
            <w:noWrap/>
            <w:vAlign w:val="bottom"/>
          </w:tcPr>
          <w:p w14:paraId="602137DC" w14:textId="77777777" w:rsidR="00E62C2E" w:rsidRPr="002F5752" w:rsidRDefault="00E62C2E" w:rsidP="00F66E7F">
            <w:pPr>
              <w:spacing w:after="0"/>
              <w:jc w:val="right"/>
              <w:rPr>
                <w:rFonts w:eastAsia="Times New Roman" w:cstheme="minorHAnsi"/>
                <w:sz w:val="12"/>
                <w:szCs w:val="12"/>
              </w:rPr>
            </w:pPr>
          </w:p>
        </w:tc>
        <w:tc>
          <w:tcPr>
            <w:tcW w:w="841" w:type="dxa"/>
            <w:tcBorders>
              <w:top w:val="single" w:sz="12" w:space="0" w:color="auto"/>
              <w:left w:val="nil"/>
              <w:bottom w:val="nil"/>
              <w:right w:val="nil"/>
            </w:tcBorders>
            <w:shd w:val="clear" w:color="auto" w:fill="auto"/>
            <w:noWrap/>
            <w:vAlign w:val="bottom"/>
          </w:tcPr>
          <w:p w14:paraId="7568D9B8" w14:textId="77777777" w:rsidR="00E62C2E" w:rsidRPr="002F5752" w:rsidRDefault="00E62C2E" w:rsidP="00F66E7F">
            <w:pPr>
              <w:spacing w:after="0"/>
              <w:jc w:val="right"/>
              <w:rPr>
                <w:rFonts w:eastAsia="Times New Roman" w:cstheme="minorHAnsi"/>
                <w:sz w:val="12"/>
                <w:szCs w:val="12"/>
              </w:rPr>
            </w:pPr>
          </w:p>
        </w:tc>
        <w:tc>
          <w:tcPr>
            <w:tcW w:w="841" w:type="dxa"/>
            <w:tcBorders>
              <w:top w:val="single" w:sz="12" w:space="0" w:color="auto"/>
              <w:left w:val="nil"/>
              <w:bottom w:val="nil"/>
              <w:right w:val="nil"/>
            </w:tcBorders>
            <w:shd w:val="clear" w:color="auto" w:fill="auto"/>
            <w:noWrap/>
            <w:vAlign w:val="bottom"/>
          </w:tcPr>
          <w:p w14:paraId="52757023" w14:textId="77777777" w:rsidR="00E62C2E" w:rsidRPr="002F5752" w:rsidRDefault="00E62C2E" w:rsidP="00F66E7F">
            <w:pPr>
              <w:spacing w:after="0"/>
              <w:jc w:val="right"/>
              <w:rPr>
                <w:rFonts w:eastAsia="Times New Roman" w:cstheme="minorHAnsi"/>
                <w:sz w:val="12"/>
                <w:szCs w:val="12"/>
              </w:rPr>
            </w:pPr>
          </w:p>
        </w:tc>
        <w:tc>
          <w:tcPr>
            <w:tcW w:w="841" w:type="dxa"/>
            <w:tcBorders>
              <w:top w:val="single" w:sz="12" w:space="0" w:color="auto"/>
              <w:left w:val="nil"/>
              <w:bottom w:val="nil"/>
              <w:right w:val="nil"/>
            </w:tcBorders>
            <w:shd w:val="clear" w:color="auto" w:fill="auto"/>
            <w:noWrap/>
            <w:vAlign w:val="bottom"/>
          </w:tcPr>
          <w:p w14:paraId="7E5BD823" w14:textId="77777777" w:rsidR="00E62C2E" w:rsidRPr="002F5752" w:rsidRDefault="00E62C2E" w:rsidP="00F66E7F">
            <w:pPr>
              <w:spacing w:after="0"/>
              <w:jc w:val="right"/>
              <w:rPr>
                <w:rFonts w:eastAsia="Times New Roman" w:cstheme="minorHAnsi"/>
                <w:sz w:val="12"/>
                <w:szCs w:val="12"/>
              </w:rPr>
            </w:pPr>
          </w:p>
        </w:tc>
        <w:tc>
          <w:tcPr>
            <w:tcW w:w="841" w:type="dxa"/>
            <w:tcBorders>
              <w:top w:val="single" w:sz="12" w:space="0" w:color="auto"/>
              <w:left w:val="nil"/>
              <w:bottom w:val="nil"/>
              <w:right w:val="nil"/>
            </w:tcBorders>
            <w:shd w:val="clear" w:color="auto" w:fill="auto"/>
            <w:noWrap/>
            <w:vAlign w:val="bottom"/>
          </w:tcPr>
          <w:p w14:paraId="247FA65C" w14:textId="77777777" w:rsidR="00E62C2E" w:rsidRPr="002F5752" w:rsidRDefault="00E62C2E" w:rsidP="00F66E7F">
            <w:pPr>
              <w:spacing w:after="0"/>
              <w:jc w:val="right"/>
              <w:rPr>
                <w:rFonts w:eastAsia="Times New Roman" w:cstheme="minorHAnsi"/>
                <w:sz w:val="12"/>
                <w:szCs w:val="12"/>
              </w:rPr>
            </w:pPr>
          </w:p>
        </w:tc>
      </w:tr>
    </w:tbl>
    <w:p w14:paraId="1B62A773" w14:textId="1EE10C0B" w:rsidR="001904F8" w:rsidRDefault="002B6EF9" w:rsidP="001904F8">
      <w:pPr>
        <w:pStyle w:val="TableFooter"/>
        <w:ind w:left="-284"/>
        <w:jc w:val="left"/>
      </w:pPr>
      <w:r w:rsidRPr="001D105D">
        <w:t xml:space="preserve">*Therapy total is less than the sum of components as </w:t>
      </w:r>
      <w:r>
        <w:t>people</w:t>
      </w:r>
      <w:r w:rsidRPr="001D105D">
        <w:t xml:space="preserve"> are only counted once even if they are prevalent to more than one ADHD medication.</w:t>
      </w:r>
    </w:p>
    <w:p w14:paraId="03F1AD54" w14:textId="7E2F55B2" w:rsidR="001904F8" w:rsidRPr="001D105D" w:rsidRDefault="001904F8" w:rsidP="00C060CE">
      <w:pPr>
        <w:pStyle w:val="Figuretitle"/>
        <w:ind w:left="-426" w:right="-313"/>
      </w:pPr>
      <w:bookmarkStart w:id="14" w:name="_Hlk143075415"/>
      <w:r w:rsidRPr="00242991">
        <w:t xml:space="preserve">Table 2c: Prevalent patients </w:t>
      </w:r>
      <w:r w:rsidR="008B5AF2" w:rsidRPr="00242991">
        <w:rPr>
          <w:rFonts w:cstheme="minorHAnsi"/>
        </w:rPr>
        <w:t>≤</w:t>
      </w:r>
      <w:r w:rsidRPr="00242991">
        <w:t>18 years old treated with each ADHD medicines per financial year</w:t>
      </w:r>
    </w:p>
    <w:tbl>
      <w:tblPr>
        <w:tblW w:w="100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851"/>
        <w:gridCol w:w="850"/>
        <w:gridCol w:w="841"/>
        <w:gridCol w:w="841"/>
        <w:gridCol w:w="841"/>
        <w:gridCol w:w="841"/>
        <w:gridCol w:w="841"/>
        <w:gridCol w:w="868"/>
        <w:gridCol w:w="851"/>
        <w:gridCol w:w="841"/>
      </w:tblGrid>
      <w:tr w:rsidR="006E415C" w:rsidRPr="008B5AF2" w14:paraId="3242CC5C" w14:textId="77777777" w:rsidTr="006E415C">
        <w:trPr>
          <w:trHeight w:val="288"/>
        </w:trPr>
        <w:tc>
          <w:tcPr>
            <w:tcW w:w="1590" w:type="dxa"/>
            <w:shd w:val="clear" w:color="auto" w:fill="BFBFBF" w:themeFill="background1" w:themeFillShade="BF"/>
            <w:noWrap/>
            <w:vAlign w:val="bottom"/>
            <w:hideMark/>
          </w:tcPr>
          <w:bookmarkEnd w:id="14"/>
          <w:p w14:paraId="2C6416B1" w14:textId="2FD9735B" w:rsidR="008B5AF2" w:rsidRPr="008B5AF2" w:rsidRDefault="008B5AF2" w:rsidP="008B5AF2">
            <w:pPr>
              <w:spacing w:after="0"/>
              <w:rPr>
                <w:rFonts w:eastAsia="Times New Roman" w:cstheme="minorHAnsi"/>
                <w:b/>
                <w:bCs/>
                <w:color w:val="000000"/>
                <w:sz w:val="18"/>
                <w:szCs w:val="18"/>
              </w:rPr>
            </w:pPr>
            <w:r w:rsidRPr="001D105D">
              <w:rPr>
                <w:rFonts w:ascii="Calibri" w:eastAsia="Times New Roman" w:hAnsi="Calibri" w:cs="Calibri"/>
                <w:b/>
                <w:bCs/>
                <w:color w:val="000000"/>
                <w:sz w:val="20"/>
                <w:szCs w:val="20"/>
              </w:rPr>
              <w:t xml:space="preserve">Drug Name  / </w:t>
            </w:r>
            <w:r w:rsidRPr="001D105D">
              <w:rPr>
                <w:rFonts w:ascii="Calibri" w:eastAsia="Times New Roman" w:hAnsi="Calibri" w:cs="Calibri"/>
                <w:b/>
                <w:bCs/>
                <w:color w:val="000000"/>
                <w:sz w:val="20"/>
                <w:szCs w:val="20"/>
              </w:rPr>
              <w:br/>
              <w:t>Patient Count</w:t>
            </w:r>
          </w:p>
        </w:tc>
        <w:tc>
          <w:tcPr>
            <w:tcW w:w="851" w:type="dxa"/>
            <w:shd w:val="clear" w:color="auto" w:fill="BFBFBF" w:themeFill="background1" w:themeFillShade="BF"/>
            <w:noWrap/>
            <w:vAlign w:val="bottom"/>
            <w:hideMark/>
          </w:tcPr>
          <w:p w14:paraId="16C759D6" w14:textId="77777777" w:rsidR="008B5AF2" w:rsidRPr="008B5AF2" w:rsidRDefault="008B5AF2" w:rsidP="008B5AF2">
            <w:pPr>
              <w:spacing w:after="0"/>
              <w:rPr>
                <w:rFonts w:eastAsia="Times New Roman" w:cstheme="minorHAnsi"/>
                <w:b/>
                <w:bCs/>
                <w:color w:val="000000"/>
                <w:sz w:val="18"/>
                <w:szCs w:val="18"/>
              </w:rPr>
            </w:pPr>
            <w:r w:rsidRPr="008B5AF2">
              <w:rPr>
                <w:rFonts w:eastAsia="Times New Roman" w:cstheme="minorHAnsi"/>
                <w:b/>
                <w:bCs/>
                <w:color w:val="000000"/>
                <w:sz w:val="18"/>
                <w:szCs w:val="18"/>
              </w:rPr>
              <w:t>2013/14</w:t>
            </w:r>
          </w:p>
        </w:tc>
        <w:tc>
          <w:tcPr>
            <w:tcW w:w="850" w:type="dxa"/>
            <w:shd w:val="clear" w:color="auto" w:fill="BFBFBF" w:themeFill="background1" w:themeFillShade="BF"/>
            <w:noWrap/>
            <w:vAlign w:val="bottom"/>
            <w:hideMark/>
          </w:tcPr>
          <w:p w14:paraId="78CE142F" w14:textId="77777777" w:rsidR="008B5AF2" w:rsidRPr="008B5AF2" w:rsidRDefault="008B5AF2" w:rsidP="008B5AF2">
            <w:pPr>
              <w:spacing w:after="0"/>
              <w:rPr>
                <w:rFonts w:eastAsia="Times New Roman" w:cstheme="minorHAnsi"/>
                <w:b/>
                <w:bCs/>
                <w:color w:val="000000"/>
                <w:sz w:val="18"/>
                <w:szCs w:val="18"/>
              </w:rPr>
            </w:pPr>
            <w:r w:rsidRPr="008B5AF2">
              <w:rPr>
                <w:rFonts w:eastAsia="Times New Roman" w:cstheme="minorHAnsi"/>
                <w:b/>
                <w:bCs/>
                <w:color w:val="000000"/>
                <w:sz w:val="18"/>
                <w:szCs w:val="18"/>
              </w:rPr>
              <w:t>2014/15</w:t>
            </w:r>
          </w:p>
        </w:tc>
        <w:tc>
          <w:tcPr>
            <w:tcW w:w="841" w:type="dxa"/>
            <w:shd w:val="clear" w:color="auto" w:fill="BFBFBF" w:themeFill="background1" w:themeFillShade="BF"/>
            <w:noWrap/>
            <w:vAlign w:val="bottom"/>
            <w:hideMark/>
          </w:tcPr>
          <w:p w14:paraId="14E9426E" w14:textId="77777777" w:rsidR="008B5AF2" w:rsidRPr="008B5AF2" w:rsidRDefault="008B5AF2" w:rsidP="008B5AF2">
            <w:pPr>
              <w:spacing w:after="0"/>
              <w:rPr>
                <w:rFonts w:eastAsia="Times New Roman" w:cstheme="minorHAnsi"/>
                <w:b/>
                <w:bCs/>
                <w:color w:val="000000"/>
                <w:sz w:val="18"/>
                <w:szCs w:val="18"/>
              </w:rPr>
            </w:pPr>
            <w:r w:rsidRPr="008B5AF2">
              <w:rPr>
                <w:rFonts w:eastAsia="Times New Roman" w:cstheme="minorHAnsi"/>
                <w:b/>
                <w:bCs/>
                <w:color w:val="000000"/>
                <w:sz w:val="18"/>
                <w:szCs w:val="18"/>
              </w:rPr>
              <w:t>2015/16</w:t>
            </w:r>
          </w:p>
        </w:tc>
        <w:tc>
          <w:tcPr>
            <w:tcW w:w="841" w:type="dxa"/>
            <w:shd w:val="clear" w:color="auto" w:fill="BFBFBF" w:themeFill="background1" w:themeFillShade="BF"/>
            <w:noWrap/>
            <w:vAlign w:val="bottom"/>
            <w:hideMark/>
          </w:tcPr>
          <w:p w14:paraId="53A62EAE" w14:textId="77777777" w:rsidR="008B5AF2" w:rsidRPr="008B5AF2" w:rsidRDefault="008B5AF2" w:rsidP="008B5AF2">
            <w:pPr>
              <w:spacing w:after="0"/>
              <w:rPr>
                <w:rFonts w:eastAsia="Times New Roman" w:cstheme="minorHAnsi"/>
                <w:b/>
                <w:bCs/>
                <w:color w:val="000000"/>
                <w:sz w:val="18"/>
                <w:szCs w:val="18"/>
              </w:rPr>
            </w:pPr>
            <w:r w:rsidRPr="008B5AF2">
              <w:rPr>
                <w:rFonts w:eastAsia="Times New Roman" w:cstheme="minorHAnsi"/>
                <w:b/>
                <w:bCs/>
                <w:color w:val="000000"/>
                <w:sz w:val="18"/>
                <w:szCs w:val="18"/>
              </w:rPr>
              <w:t>2016/17</w:t>
            </w:r>
          </w:p>
        </w:tc>
        <w:tc>
          <w:tcPr>
            <w:tcW w:w="841" w:type="dxa"/>
            <w:shd w:val="clear" w:color="auto" w:fill="BFBFBF" w:themeFill="background1" w:themeFillShade="BF"/>
            <w:noWrap/>
            <w:vAlign w:val="bottom"/>
            <w:hideMark/>
          </w:tcPr>
          <w:p w14:paraId="2959B64F" w14:textId="77777777" w:rsidR="008B5AF2" w:rsidRPr="008B5AF2" w:rsidRDefault="008B5AF2" w:rsidP="008B5AF2">
            <w:pPr>
              <w:spacing w:after="0"/>
              <w:rPr>
                <w:rFonts w:eastAsia="Times New Roman" w:cstheme="minorHAnsi"/>
                <w:b/>
                <w:bCs/>
                <w:color w:val="000000"/>
                <w:sz w:val="18"/>
                <w:szCs w:val="18"/>
              </w:rPr>
            </w:pPr>
            <w:r w:rsidRPr="008B5AF2">
              <w:rPr>
                <w:rFonts w:eastAsia="Times New Roman" w:cstheme="minorHAnsi"/>
                <w:b/>
                <w:bCs/>
                <w:color w:val="000000"/>
                <w:sz w:val="18"/>
                <w:szCs w:val="18"/>
              </w:rPr>
              <w:t>2017/18</w:t>
            </w:r>
          </w:p>
        </w:tc>
        <w:tc>
          <w:tcPr>
            <w:tcW w:w="841" w:type="dxa"/>
            <w:shd w:val="clear" w:color="auto" w:fill="BFBFBF" w:themeFill="background1" w:themeFillShade="BF"/>
            <w:noWrap/>
            <w:vAlign w:val="bottom"/>
            <w:hideMark/>
          </w:tcPr>
          <w:p w14:paraId="71B3BA28" w14:textId="77777777" w:rsidR="008B5AF2" w:rsidRPr="008B5AF2" w:rsidRDefault="008B5AF2" w:rsidP="008B5AF2">
            <w:pPr>
              <w:spacing w:after="0"/>
              <w:rPr>
                <w:rFonts w:eastAsia="Times New Roman" w:cstheme="minorHAnsi"/>
                <w:b/>
                <w:bCs/>
                <w:color w:val="000000"/>
                <w:sz w:val="18"/>
                <w:szCs w:val="18"/>
              </w:rPr>
            </w:pPr>
            <w:r w:rsidRPr="008B5AF2">
              <w:rPr>
                <w:rFonts w:eastAsia="Times New Roman" w:cstheme="minorHAnsi"/>
                <w:b/>
                <w:bCs/>
                <w:color w:val="000000"/>
                <w:sz w:val="18"/>
                <w:szCs w:val="18"/>
              </w:rPr>
              <w:t>2018/19</w:t>
            </w:r>
          </w:p>
        </w:tc>
        <w:tc>
          <w:tcPr>
            <w:tcW w:w="841" w:type="dxa"/>
            <w:shd w:val="clear" w:color="auto" w:fill="BFBFBF" w:themeFill="background1" w:themeFillShade="BF"/>
            <w:noWrap/>
            <w:vAlign w:val="bottom"/>
            <w:hideMark/>
          </w:tcPr>
          <w:p w14:paraId="16F978FC" w14:textId="77777777" w:rsidR="008B5AF2" w:rsidRPr="008B5AF2" w:rsidRDefault="008B5AF2" w:rsidP="008B5AF2">
            <w:pPr>
              <w:spacing w:after="0"/>
              <w:rPr>
                <w:rFonts w:eastAsia="Times New Roman" w:cstheme="minorHAnsi"/>
                <w:b/>
                <w:bCs/>
                <w:color w:val="000000"/>
                <w:sz w:val="18"/>
                <w:szCs w:val="18"/>
              </w:rPr>
            </w:pPr>
            <w:r w:rsidRPr="008B5AF2">
              <w:rPr>
                <w:rFonts w:eastAsia="Times New Roman" w:cstheme="minorHAnsi"/>
                <w:b/>
                <w:bCs/>
                <w:color w:val="000000"/>
                <w:sz w:val="18"/>
                <w:szCs w:val="18"/>
              </w:rPr>
              <w:t>2019/20</w:t>
            </w:r>
          </w:p>
        </w:tc>
        <w:tc>
          <w:tcPr>
            <w:tcW w:w="868" w:type="dxa"/>
            <w:shd w:val="clear" w:color="auto" w:fill="BFBFBF" w:themeFill="background1" w:themeFillShade="BF"/>
            <w:noWrap/>
            <w:vAlign w:val="bottom"/>
            <w:hideMark/>
          </w:tcPr>
          <w:p w14:paraId="7BA3171D" w14:textId="77777777" w:rsidR="008B5AF2" w:rsidRPr="008B5AF2" w:rsidRDefault="008B5AF2" w:rsidP="008B5AF2">
            <w:pPr>
              <w:spacing w:after="0"/>
              <w:rPr>
                <w:rFonts w:eastAsia="Times New Roman" w:cstheme="minorHAnsi"/>
                <w:b/>
                <w:bCs/>
                <w:color w:val="000000"/>
                <w:sz w:val="18"/>
                <w:szCs w:val="18"/>
              </w:rPr>
            </w:pPr>
            <w:r w:rsidRPr="008B5AF2">
              <w:rPr>
                <w:rFonts w:eastAsia="Times New Roman" w:cstheme="minorHAnsi"/>
                <w:b/>
                <w:bCs/>
                <w:color w:val="000000"/>
                <w:sz w:val="18"/>
                <w:szCs w:val="18"/>
              </w:rPr>
              <w:t>2020/21</w:t>
            </w:r>
          </w:p>
        </w:tc>
        <w:tc>
          <w:tcPr>
            <w:tcW w:w="851" w:type="dxa"/>
            <w:shd w:val="clear" w:color="auto" w:fill="BFBFBF" w:themeFill="background1" w:themeFillShade="BF"/>
            <w:noWrap/>
            <w:vAlign w:val="bottom"/>
            <w:hideMark/>
          </w:tcPr>
          <w:p w14:paraId="3ABA9CE3" w14:textId="77777777" w:rsidR="008B5AF2" w:rsidRPr="008B5AF2" w:rsidRDefault="008B5AF2" w:rsidP="008B5AF2">
            <w:pPr>
              <w:spacing w:after="0"/>
              <w:rPr>
                <w:rFonts w:eastAsia="Times New Roman" w:cstheme="minorHAnsi"/>
                <w:b/>
                <w:bCs/>
                <w:color w:val="000000"/>
                <w:sz w:val="18"/>
                <w:szCs w:val="18"/>
              </w:rPr>
            </w:pPr>
            <w:r w:rsidRPr="008B5AF2">
              <w:rPr>
                <w:rFonts w:eastAsia="Times New Roman" w:cstheme="minorHAnsi"/>
                <w:b/>
                <w:bCs/>
                <w:color w:val="000000"/>
                <w:sz w:val="18"/>
                <w:szCs w:val="18"/>
              </w:rPr>
              <w:t>2021/22</w:t>
            </w:r>
          </w:p>
        </w:tc>
        <w:tc>
          <w:tcPr>
            <w:tcW w:w="841" w:type="dxa"/>
            <w:shd w:val="clear" w:color="auto" w:fill="BFBFBF" w:themeFill="background1" w:themeFillShade="BF"/>
            <w:noWrap/>
            <w:vAlign w:val="bottom"/>
            <w:hideMark/>
          </w:tcPr>
          <w:p w14:paraId="242172EE" w14:textId="77777777" w:rsidR="008B5AF2" w:rsidRPr="008B5AF2" w:rsidRDefault="008B5AF2" w:rsidP="008B5AF2">
            <w:pPr>
              <w:spacing w:after="0"/>
              <w:rPr>
                <w:rFonts w:eastAsia="Times New Roman" w:cstheme="minorHAnsi"/>
                <w:b/>
                <w:bCs/>
                <w:color w:val="000000"/>
                <w:sz w:val="18"/>
                <w:szCs w:val="18"/>
              </w:rPr>
            </w:pPr>
            <w:r w:rsidRPr="008B5AF2">
              <w:rPr>
                <w:rFonts w:eastAsia="Times New Roman" w:cstheme="minorHAnsi"/>
                <w:b/>
                <w:bCs/>
                <w:color w:val="000000"/>
                <w:sz w:val="18"/>
                <w:szCs w:val="18"/>
              </w:rPr>
              <w:t>2022/23</w:t>
            </w:r>
          </w:p>
        </w:tc>
      </w:tr>
      <w:tr w:rsidR="006E415C" w:rsidRPr="008B5AF2" w14:paraId="59921272" w14:textId="77777777" w:rsidTr="006E415C">
        <w:trPr>
          <w:trHeight w:val="288"/>
        </w:trPr>
        <w:tc>
          <w:tcPr>
            <w:tcW w:w="1590" w:type="dxa"/>
            <w:shd w:val="clear" w:color="auto" w:fill="auto"/>
            <w:noWrap/>
            <w:vAlign w:val="bottom"/>
            <w:hideMark/>
          </w:tcPr>
          <w:p w14:paraId="47A6AC3B" w14:textId="77777777" w:rsidR="008B5AF2" w:rsidRPr="008B5AF2" w:rsidRDefault="008B5AF2" w:rsidP="008B5AF2">
            <w:pPr>
              <w:spacing w:after="0"/>
              <w:rPr>
                <w:rFonts w:eastAsia="Times New Roman" w:cstheme="minorHAnsi"/>
                <w:b/>
                <w:bCs/>
                <w:sz w:val="18"/>
                <w:szCs w:val="18"/>
              </w:rPr>
            </w:pPr>
            <w:r w:rsidRPr="008B5AF2">
              <w:rPr>
                <w:rFonts w:eastAsia="Times New Roman" w:cstheme="minorHAnsi"/>
                <w:b/>
                <w:bCs/>
                <w:sz w:val="18"/>
                <w:szCs w:val="18"/>
              </w:rPr>
              <w:t>MPH-MR</w:t>
            </w:r>
          </w:p>
        </w:tc>
        <w:tc>
          <w:tcPr>
            <w:tcW w:w="851" w:type="dxa"/>
            <w:shd w:val="clear" w:color="auto" w:fill="auto"/>
            <w:noWrap/>
            <w:vAlign w:val="bottom"/>
            <w:hideMark/>
          </w:tcPr>
          <w:p w14:paraId="602A1FDC" w14:textId="05EDD747"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50,798 </w:t>
            </w:r>
          </w:p>
        </w:tc>
        <w:tc>
          <w:tcPr>
            <w:tcW w:w="850" w:type="dxa"/>
            <w:shd w:val="clear" w:color="auto" w:fill="auto"/>
            <w:noWrap/>
            <w:vAlign w:val="bottom"/>
            <w:hideMark/>
          </w:tcPr>
          <w:p w14:paraId="4B151F40" w14:textId="202B14EC"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54,245 </w:t>
            </w:r>
          </w:p>
        </w:tc>
        <w:tc>
          <w:tcPr>
            <w:tcW w:w="841" w:type="dxa"/>
            <w:shd w:val="clear" w:color="auto" w:fill="auto"/>
            <w:noWrap/>
            <w:vAlign w:val="bottom"/>
            <w:hideMark/>
          </w:tcPr>
          <w:p w14:paraId="045CBC69" w14:textId="77777777"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57,489 </w:t>
            </w:r>
          </w:p>
        </w:tc>
        <w:tc>
          <w:tcPr>
            <w:tcW w:w="841" w:type="dxa"/>
            <w:shd w:val="clear" w:color="auto" w:fill="auto"/>
            <w:noWrap/>
            <w:vAlign w:val="bottom"/>
            <w:hideMark/>
          </w:tcPr>
          <w:p w14:paraId="74B4B9AB" w14:textId="1F9D55BC"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58,423 </w:t>
            </w:r>
          </w:p>
        </w:tc>
        <w:tc>
          <w:tcPr>
            <w:tcW w:w="841" w:type="dxa"/>
            <w:shd w:val="clear" w:color="auto" w:fill="auto"/>
            <w:noWrap/>
            <w:vAlign w:val="bottom"/>
            <w:hideMark/>
          </w:tcPr>
          <w:p w14:paraId="5443D7CC" w14:textId="63C9428D"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61,205 </w:t>
            </w:r>
          </w:p>
        </w:tc>
        <w:tc>
          <w:tcPr>
            <w:tcW w:w="841" w:type="dxa"/>
            <w:shd w:val="clear" w:color="auto" w:fill="auto"/>
            <w:noWrap/>
            <w:vAlign w:val="bottom"/>
            <w:hideMark/>
          </w:tcPr>
          <w:p w14:paraId="49BA7E8E" w14:textId="5703B863"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66,044 </w:t>
            </w:r>
          </w:p>
        </w:tc>
        <w:tc>
          <w:tcPr>
            <w:tcW w:w="841" w:type="dxa"/>
            <w:shd w:val="clear" w:color="auto" w:fill="auto"/>
            <w:noWrap/>
            <w:vAlign w:val="bottom"/>
            <w:hideMark/>
          </w:tcPr>
          <w:p w14:paraId="1295F870" w14:textId="1E5B8843"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72,989 </w:t>
            </w:r>
          </w:p>
        </w:tc>
        <w:tc>
          <w:tcPr>
            <w:tcW w:w="868" w:type="dxa"/>
            <w:shd w:val="clear" w:color="auto" w:fill="auto"/>
            <w:noWrap/>
            <w:vAlign w:val="bottom"/>
            <w:hideMark/>
          </w:tcPr>
          <w:p w14:paraId="1E6894EA" w14:textId="0F8CC522"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83,440 </w:t>
            </w:r>
          </w:p>
        </w:tc>
        <w:tc>
          <w:tcPr>
            <w:tcW w:w="851" w:type="dxa"/>
            <w:shd w:val="clear" w:color="auto" w:fill="auto"/>
            <w:noWrap/>
            <w:vAlign w:val="bottom"/>
            <w:hideMark/>
          </w:tcPr>
          <w:p w14:paraId="2D259FA3" w14:textId="360CFC8A"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95,439 </w:t>
            </w:r>
          </w:p>
        </w:tc>
        <w:tc>
          <w:tcPr>
            <w:tcW w:w="841" w:type="dxa"/>
            <w:shd w:val="clear" w:color="auto" w:fill="auto"/>
            <w:noWrap/>
            <w:vAlign w:val="bottom"/>
            <w:hideMark/>
          </w:tcPr>
          <w:p w14:paraId="176A06C3" w14:textId="76A0178E"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112,726 </w:t>
            </w:r>
          </w:p>
        </w:tc>
      </w:tr>
      <w:tr w:rsidR="006E415C" w:rsidRPr="008B5AF2" w14:paraId="2999C609" w14:textId="77777777" w:rsidTr="006E415C">
        <w:trPr>
          <w:trHeight w:val="288"/>
        </w:trPr>
        <w:tc>
          <w:tcPr>
            <w:tcW w:w="1590" w:type="dxa"/>
            <w:shd w:val="clear" w:color="auto" w:fill="auto"/>
            <w:noWrap/>
            <w:vAlign w:val="bottom"/>
            <w:hideMark/>
          </w:tcPr>
          <w:p w14:paraId="53DA94AD" w14:textId="77777777" w:rsidR="008B5AF2" w:rsidRPr="008B5AF2" w:rsidRDefault="008B5AF2" w:rsidP="008B5AF2">
            <w:pPr>
              <w:spacing w:after="0"/>
              <w:rPr>
                <w:rFonts w:eastAsia="Times New Roman" w:cstheme="minorHAnsi"/>
                <w:b/>
                <w:bCs/>
                <w:sz w:val="18"/>
                <w:szCs w:val="18"/>
              </w:rPr>
            </w:pPr>
            <w:r w:rsidRPr="008B5AF2">
              <w:rPr>
                <w:rFonts w:eastAsia="Times New Roman" w:cstheme="minorHAnsi"/>
                <w:b/>
                <w:bCs/>
                <w:sz w:val="18"/>
                <w:szCs w:val="18"/>
              </w:rPr>
              <w:t>MPH-IR</w:t>
            </w:r>
          </w:p>
        </w:tc>
        <w:tc>
          <w:tcPr>
            <w:tcW w:w="851" w:type="dxa"/>
            <w:shd w:val="clear" w:color="auto" w:fill="auto"/>
            <w:noWrap/>
            <w:vAlign w:val="bottom"/>
            <w:hideMark/>
          </w:tcPr>
          <w:p w14:paraId="038694F5" w14:textId="493FC034"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34,991 </w:t>
            </w:r>
          </w:p>
        </w:tc>
        <w:tc>
          <w:tcPr>
            <w:tcW w:w="850" w:type="dxa"/>
            <w:shd w:val="clear" w:color="auto" w:fill="auto"/>
            <w:noWrap/>
            <w:vAlign w:val="bottom"/>
            <w:hideMark/>
          </w:tcPr>
          <w:p w14:paraId="5D0D21E4" w14:textId="4BD145BF"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38,135 </w:t>
            </w:r>
          </w:p>
        </w:tc>
        <w:tc>
          <w:tcPr>
            <w:tcW w:w="841" w:type="dxa"/>
            <w:shd w:val="clear" w:color="auto" w:fill="auto"/>
            <w:noWrap/>
            <w:vAlign w:val="bottom"/>
            <w:hideMark/>
          </w:tcPr>
          <w:p w14:paraId="5BDA0C15" w14:textId="77777777"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40,625 </w:t>
            </w:r>
          </w:p>
        </w:tc>
        <w:tc>
          <w:tcPr>
            <w:tcW w:w="841" w:type="dxa"/>
            <w:shd w:val="clear" w:color="auto" w:fill="auto"/>
            <w:noWrap/>
            <w:vAlign w:val="bottom"/>
            <w:hideMark/>
          </w:tcPr>
          <w:p w14:paraId="570E5CD1" w14:textId="610605E3"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41,985 </w:t>
            </w:r>
          </w:p>
        </w:tc>
        <w:tc>
          <w:tcPr>
            <w:tcW w:w="841" w:type="dxa"/>
            <w:shd w:val="clear" w:color="auto" w:fill="auto"/>
            <w:noWrap/>
            <w:vAlign w:val="bottom"/>
            <w:hideMark/>
          </w:tcPr>
          <w:p w14:paraId="5D0B99F0" w14:textId="49A62F13"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46,180 </w:t>
            </w:r>
          </w:p>
        </w:tc>
        <w:tc>
          <w:tcPr>
            <w:tcW w:w="841" w:type="dxa"/>
            <w:shd w:val="clear" w:color="auto" w:fill="auto"/>
            <w:noWrap/>
            <w:vAlign w:val="bottom"/>
            <w:hideMark/>
          </w:tcPr>
          <w:p w14:paraId="211D6820" w14:textId="15E6ED02"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52,569 </w:t>
            </w:r>
          </w:p>
        </w:tc>
        <w:tc>
          <w:tcPr>
            <w:tcW w:w="841" w:type="dxa"/>
            <w:shd w:val="clear" w:color="auto" w:fill="auto"/>
            <w:noWrap/>
            <w:vAlign w:val="bottom"/>
            <w:hideMark/>
          </w:tcPr>
          <w:p w14:paraId="00306899" w14:textId="00FC20F0"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60,242 </w:t>
            </w:r>
          </w:p>
        </w:tc>
        <w:tc>
          <w:tcPr>
            <w:tcW w:w="868" w:type="dxa"/>
            <w:shd w:val="clear" w:color="auto" w:fill="auto"/>
            <w:noWrap/>
            <w:vAlign w:val="bottom"/>
            <w:hideMark/>
          </w:tcPr>
          <w:p w14:paraId="5C29684F" w14:textId="15A5863E"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71,262 </w:t>
            </w:r>
          </w:p>
        </w:tc>
        <w:tc>
          <w:tcPr>
            <w:tcW w:w="851" w:type="dxa"/>
            <w:shd w:val="clear" w:color="auto" w:fill="auto"/>
            <w:noWrap/>
            <w:vAlign w:val="bottom"/>
            <w:hideMark/>
          </w:tcPr>
          <w:p w14:paraId="3B93776B" w14:textId="1BF0DA2B"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83,261 </w:t>
            </w:r>
          </w:p>
        </w:tc>
        <w:tc>
          <w:tcPr>
            <w:tcW w:w="841" w:type="dxa"/>
            <w:shd w:val="clear" w:color="auto" w:fill="auto"/>
            <w:noWrap/>
            <w:vAlign w:val="bottom"/>
            <w:hideMark/>
          </w:tcPr>
          <w:p w14:paraId="23590822" w14:textId="7BB489FF" w:rsidR="008B5AF2" w:rsidRPr="008B5AF2" w:rsidRDefault="00D7038E" w:rsidP="003F7D21">
            <w:pPr>
              <w:spacing w:after="0"/>
              <w:jc w:val="right"/>
              <w:rPr>
                <w:rFonts w:eastAsia="Times New Roman" w:cstheme="minorHAnsi"/>
                <w:sz w:val="18"/>
                <w:szCs w:val="18"/>
              </w:rPr>
            </w:pPr>
            <w:r>
              <w:rPr>
                <w:rFonts w:eastAsia="Times New Roman" w:cstheme="minorHAnsi"/>
                <w:sz w:val="18"/>
                <w:szCs w:val="18"/>
              </w:rPr>
              <w:t>1</w:t>
            </w:r>
            <w:r w:rsidR="008B5AF2" w:rsidRPr="008B5AF2">
              <w:rPr>
                <w:rFonts w:eastAsia="Times New Roman" w:cstheme="minorHAnsi"/>
                <w:sz w:val="18"/>
                <w:szCs w:val="18"/>
              </w:rPr>
              <w:t xml:space="preserve">00,754 </w:t>
            </w:r>
          </w:p>
        </w:tc>
      </w:tr>
      <w:tr w:rsidR="006E415C" w:rsidRPr="008B5AF2" w14:paraId="49CA5576" w14:textId="77777777" w:rsidTr="006E415C">
        <w:trPr>
          <w:trHeight w:val="288"/>
        </w:trPr>
        <w:tc>
          <w:tcPr>
            <w:tcW w:w="1590" w:type="dxa"/>
            <w:shd w:val="clear" w:color="auto" w:fill="auto"/>
            <w:noWrap/>
            <w:vAlign w:val="bottom"/>
          </w:tcPr>
          <w:p w14:paraId="14AE3B04" w14:textId="43FA7EE5" w:rsidR="008B5AF2" w:rsidRPr="008B5AF2" w:rsidRDefault="008B5AF2" w:rsidP="008B5AF2">
            <w:pPr>
              <w:spacing w:after="0"/>
              <w:rPr>
                <w:rFonts w:eastAsia="Times New Roman" w:cstheme="minorHAnsi"/>
                <w:b/>
                <w:bCs/>
                <w:sz w:val="18"/>
                <w:szCs w:val="18"/>
              </w:rPr>
            </w:pPr>
            <w:r w:rsidRPr="001904F8">
              <w:rPr>
                <w:rFonts w:eastAsia="Times New Roman" w:cstheme="minorHAnsi"/>
                <w:b/>
                <w:bCs/>
                <w:sz w:val="18"/>
                <w:szCs w:val="18"/>
              </w:rPr>
              <w:t>Lisdexamfetamine</w:t>
            </w:r>
          </w:p>
        </w:tc>
        <w:tc>
          <w:tcPr>
            <w:tcW w:w="851" w:type="dxa"/>
            <w:shd w:val="clear" w:color="auto" w:fill="auto"/>
            <w:noWrap/>
            <w:vAlign w:val="bottom"/>
          </w:tcPr>
          <w:p w14:paraId="7B1AB243" w14:textId="77777777" w:rsidR="008B5AF2" w:rsidRPr="008B5AF2" w:rsidRDefault="008B5AF2" w:rsidP="003F7D21">
            <w:pPr>
              <w:spacing w:after="0"/>
              <w:jc w:val="right"/>
              <w:rPr>
                <w:rFonts w:eastAsia="Times New Roman" w:cstheme="minorHAnsi"/>
                <w:sz w:val="18"/>
                <w:szCs w:val="18"/>
              </w:rPr>
            </w:pPr>
          </w:p>
        </w:tc>
        <w:tc>
          <w:tcPr>
            <w:tcW w:w="850" w:type="dxa"/>
            <w:shd w:val="clear" w:color="auto" w:fill="auto"/>
            <w:noWrap/>
            <w:vAlign w:val="bottom"/>
          </w:tcPr>
          <w:p w14:paraId="4A359BD1" w14:textId="77777777" w:rsidR="008B5AF2" w:rsidRPr="008B5AF2" w:rsidRDefault="008B5AF2" w:rsidP="003F7D21">
            <w:pPr>
              <w:spacing w:after="0"/>
              <w:jc w:val="right"/>
              <w:rPr>
                <w:rFonts w:eastAsia="Times New Roman" w:cstheme="minorHAnsi"/>
                <w:sz w:val="18"/>
                <w:szCs w:val="18"/>
              </w:rPr>
            </w:pPr>
          </w:p>
        </w:tc>
        <w:tc>
          <w:tcPr>
            <w:tcW w:w="841" w:type="dxa"/>
            <w:shd w:val="clear" w:color="auto" w:fill="auto"/>
            <w:noWrap/>
            <w:vAlign w:val="bottom"/>
          </w:tcPr>
          <w:p w14:paraId="05A774ED" w14:textId="0A26ACE4"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12,368 </w:t>
            </w:r>
          </w:p>
        </w:tc>
        <w:tc>
          <w:tcPr>
            <w:tcW w:w="841" w:type="dxa"/>
            <w:shd w:val="clear" w:color="auto" w:fill="auto"/>
            <w:noWrap/>
            <w:vAlign w:val="bottom"/>
          </w:tcPr>
          <w:p w14:paraId="043D4CF7" w14:textId="2F31ED28"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21,449 </w:t>
            </w:r>
          </w:p>
        </w:tc>
        <w:tc>
          <w:tcPr>
            <w:tcW w:w="841" w:type="dxa"/>
            <w:shd w:val="clear" w:color="auto" w:fill="auto"/>
            <w:noWrap/>
            <w:vAlign w:val="bottom"/>
          </w:tcPr>
          <w:p w14:paraId="3EBE614B" w14:textId="01948298"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28,426 </w:t>
            </w:r>
          </w:p>
        </w:tc>
        <w:tc>
          <w:tcPr>
            <w:tcW w:w="841" w:type="dxa"/>
            <w:shd w:val="clear" w:color="auto" w:fill="auto"/>
            <w:noWrap/>
            <w:vAlign w:val="bottom"/>
          </w:tcPr>
          <w:p w14:paraId="28A7519D" w14:textId="732EBA8F"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34,538 </w:t>
            </w:r>
          </w:p>
        </w:tc>
        <w:tc>
          <w:tcPr>
            <w:tcW w:w="841" w:type="dxa"/>
            <w:shd w:val="clear" w:color="auto" w:fill="auto"/>
            <w:noWrap/>
            <w:vAlign w:val="bottom"/>
          </w:tcPr>
          <w:p w14:paraId="35F2C5EF" w14:textId="3880F95B"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40,747 </w:t>
            </w:r>
          </w:p>
        </w:tc>
        <w:tc>
          <w:tcPr>
            <w:tcW w:w="868" w:type="dxa"/>
            <w:shd w:val="clear" w:color="auto" w:fill="auto"/>
            <w:noWrap/>
            <w:vAlign w:val="bottom"/>
          </w:tcPr>
          <w:p w14:paraId="3DA029C1" w14:textId="6A1FF26A"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50,632 </w:t>
            </w:r>
          </w:p>
        </w:tc>
        <w:tc>
          <w:tcPr>
            <w:tcW w:w="851" w:type="dxa"/>
            <w:shd w:val="clear" w:color="auto" w:fill="auto"/>
            <w:noWrap/>
            <w:vAlign w:val="bottom"/>
          </w:tcPr>
          <w:p w14:paraId="446EB957" w14:textId="61633291"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62,715 </w:t>
            </w:r>
          </w:p>
        </w:tc>
        <w:tc>
          <w:tcPr>
            <w:tcW w:w="841" w:type="dxa"/>
            <w:shd w:val="clear" w:color="auto" w:fill="auto"/>
            <w:noWrap/>
            <w:vAlign w:val="bottom"/>
          </w:tcPr>
          <w:p w14:paraId="66C90B7B" w14:textId="236F0178"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79,710 </w:t>
            </w:r>
          </w:p>
        </w:tc>
      </w:tr>
      <w:tr w:rsidR="006E415C" w:rsidRPr="008B5AF2" w14:paraId="640D2FC8" w14:textId="77777777" w:rsidTr="006E415C">
        <w:trPr>
          <w:trHeight w:val="288"/>
        </w:trPr>
        <w:tc>
          <w:tcPr>
            <w:tcW w:w="1590" w:type="dxa"/>
            <w:shd w:val="clear" w:color="auto" w:fill="auto"/>
            <w:noWrap/>
            <w:vAlign w:val="bottom"/>
            <w:hideMark/>
          </w:tcPr>
          <w:p w14:paraId="0268C474" w14:textId="77777777" w:rsidR="008B5AF2" w:rsidRPr="008B5AF2" w:rsidRDefault="008B5AF2" w:rsidP="008B5AF2">
            <w:pPr>
              <w:spacing w:after="0"/>
              <w:rPr>
                <w:rFonts w:eastAsia="Times New Roman" w:cstheme="minorHAnsi"/>
                <w:b/>
                <w:bCs/>
                <w:sz w:val="18"/>
                <w:szCs w:val="18"/>
              </w:rPr>
            </w:pPr>
            <w:r w:rsidRPr="008B5AF2">
              <w:rPr>
                <w:rFonts w:eastAsia="Times New Roman" w:cstheme="minorHAnsi"/>
                <w:b/>
                <w:bCs/>
                <w:sz w:val="18"/>
                <w:szCs w:val="18"/>
              </w:rPr>
              <w:t>Guanfacine</w:t>
            </w:r>
          </w:p>
        </w:tc>
        <w:tc>
          <w:tcPr>
            <w:tcW w:w="851" w:type="dxa"/>
            <w:shd w:val="clear" w:color="auto" w:fill="auto"/>
            <w:noWrap/>
            <w:vAlign w:val="bottom"/>
            <w:hideMark/>
          </w:tcPr>
          <w:p w14:paraId="08453E9B" w14:textId="77777777" w:rsidR="008B5AF2" w:rsidRPr="008B5AF2" w:rsidRDefault="008B5AF2" w:rsidP="003F7D21">
            <w:pPr>
              <w:spacing w:after="0"/>
              <w:jc w:val="right"/>
              <w:rPr>
                <w:rFonts w:eastAsia="Times New Roman" w:cstheme="minorHAnsi"/>
                <w:sz w:val="18"/>
                <w:szCs w:val="18"/>
              </w:rPr>
            </w:pPr>
          </w:p>
        </w:tc>
        <w:tc>
          <w:tcPr>
            <w:tcW w:w="850" w:type="dxa"/>
            <w:shd w:val="clear" w:color="auto" w:fill="auto"/>
            <w:noWrap/>
            <w:vAlign w:val="bottom"/>
            <w:hideMark/>
          </w:tcPr>
          <w:p w14:paraId="637F7715" w14:textId="77777777" w:rsidR="008B5AF2" w:rsidRPr="008B5AF2" w:rsidRDefault="008B5AF2" w:rsidP="003F7D21">
            <w:pPr>
              <w:spacing w:after="0"/>
              <w:jc w:val="right"/>
              <w:rPr>
                <w:rFonts w:eastAsia="Times New Roman" w:cstheme="minorHAnsi"/>
                <w:sz w:val="18"/>
                <w:szCs w:val="18"/>
              </w:rPr>
            </w:pPr>
          </w:p>
        </w:tc>
        <w:tc>
          <w:tcPr>
            <w:tcW w:w="841" w:type="dxa"/>
            <w:shd w:val="clear" w:color="auto" w:fill="auto"/>
            <w:noWrap/>
            <w:vAlign w:val="bottom"/>
            <w:hideMark/>
          </w:tcPr>
          <w:p w14:paraId="2C0848FF" w14:textId="77777777" w:rsidR="008B5AF2" w:rsidRPr="008B5AF2" w:rsidRDefault="008B5AF2" w:rsidP="003F7D21">
            <w:pPr>
              <w:spacing w:after="0"/>
              <w:jc w:val="right"/>
              <w:rPr>
                <w:rFonts w:eastAsia="Times New Roman" w:cstheme="minorHAnsi"/>
                <w:sz w:val="18"/>
                <w:szCs w:val="18"/>
              </w:rPr>
            </w:pPr>
          </w:p>
        </w:tc>
        <w:tc>
          <w:tcPr>
            <w:tcW w:w="841" w:type="dxa"/>
            <w:shd w:val="clear" w:color="auto" w:fill="auto"/>
            <w:noWrap/>
            <w:vAlign w:val="bottom"/>
            <w:hideMark/>
          </w:tcPr>
          <w:p w14:paraId="54E52A2A" w14:textId="77777777" w:rsidR="008B5AF2" w:rsidRPr="008B5AF2" w:rsidRDefault="008B5AF2" w:rsidP="003F7D21">
            <w:pPr>
              <w:spacing w:after="0"/>
              <w:jc w:val="right"/>
              <w:rPr>
                <w:rFonts w:eastAsia="Times New Roman" w:cstheme="minorHAnsi"/>
                <w:sz w:val="18"/>
                <w:szCs w:val="18"/>
              </w:rPr>
            </w:pPr>
          </w:p>
        </w:tc>
        <w:tc>
          <w:tcPr>
            <w:tcW w:w="841" w:type="dxa"/>
            <w:shd w:val="clear" w:color="auto" w:fill="auto"/>
            <w:noWrap/>
            <w:vAlign w:val="bottom"/>
            <w:hideMark/>
          </w:tcPr>
          <w:p w14:paraId="768F6AB1" w14:textId="77777777" w:rsidR="008B5AF2" w:rsidRPr="008B5AF2" w:rsidRDefault="008B5AF2" w:rsidP="003F7D21">
            <w:pPr>
              <w:spacing w:after="0"/>
              <w:jc w:val="right"/>
              <w:rPr>
                <w:rFonts w:eastAsia="Times New Roman" w:cstheme="minorHAnsi"/>
                <w:sz w:val="18"/>
                <w:szCs w:val="18"/>
              </w:rPr>
            </w:pPr>
          </w:p>
        </w:tc>
        <w:tc>
          <w:tcPr>
            <w:tcW w:w="841" w:type="dxa"/>
            <w:shd w:val="clear" w:color="auto" w:fill="auto"/>
            <w:noWrap/>
            <w:vAlign w:val="bottom"/>
            <w:hideMark/>
          </w:tcPr>
          <w:p w14:paraId="76FCF58B" w14:textId="107101C8"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10,862 </w:t>
            </w:r>
          </w:p>
        </w:tc>
        <w:tc>
          <w:tcPr>
            <w:tcW w:w="841" w:type="dxa"/>
            <w:shd w:val="clear" w:color="auto" w:fill="auto"/>
            <w:noWrap/>
            <w:vAlign w:val="bottom"/>
            <w:hideMark/>
          </w:tcPr>
          <w:p w14:paraId="6164CF67" w14:textId="4F9266E6"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20,544 </w:t>
            </w:r>
          </w:p>
        </w:tc>
        <w:tc>
          <w:tcPr>
            <w:tcW w:w="868" w:type="dxa"/>
            <w:shd w:val="clear" w:color="auto" w:fill="auto"/>
            <w:noWrap/>
            <w:vAlign w:val="bottom"/>
            <w:hideMark/>
          </w:tcPr>
          <w:p w14:paraId="737590A2" w14:textId="36FF9718"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27,625 </w:t>
            </w:r>
          </w:p>
        </w:tc>
        <w:tc>
          <w:tcPr>
            <w:tcW w:w="851" w:type="dxa"/>
            <w:shd w:val="clear" w:color="auto" w:fill="auto"/>
            <w:noWrap/>
            <w:vAlign w:val="bottom"/>
            <w:hideMark/>
          </w:tcPr>
          <w:p w14:paraId="003A9E7A" w14:textId="357BD403"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35,548 </w:t>
            </w:r>
          </w:p>
        </w:tc>
        <w:tc>
          <w:tcPr>
            <w:tcW w:w="841" w:type="dxa"/>
            <w:shd w:val="clear" w:color="auto" w:fill="auto"/>
            <w:noWrap/>
            <w:vAlign w:val="bottom"/>
            <w:hideMark/>
          </w:tcPr>
          <w:p w14:paraId="63DE591A" w14:textId="51F36A4E"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45,618 </w:t>
            </w:r>
          </w:p>
        </w:tc>
      </w:tr>
      <w:tr w:rsidR="006E415C" w:rsidRPr="008B5AF2" w14:paraId="39F5D3CF" w14:textId="77777777" w:rsidTr="006E415C">
        <w:trPr>
          <w:trHeight w:val="288"/>
        </w:trPr>
        <w:tc>
          <w:tcPr>
            <w:tcW w:w="1590" w:type="dxa"/>
            <w:shd w:val="clear" w:color="auto" w:fill="auto"/>
            <w:noWrap/>
            <w:vAlign w:val="bottom"/>
            <w:hideMark/>
          </w:tcPr>
          <w:p w14:paraId="68EF051D" w14:textId="77777777" w:rsidR="008B5AF2" w:rsidRPr="008B5AF2" w:rsidRDefault="008B5AF2" w:rsidP="008B5AF2">
            <w:pPr>
              <w:spacing w:after="0"/>
              <w:rPr>
                <w:rFonts w:eastAsia="Times New Roman" w:cstheme="minorHAnsi"/>
                <w:b/>
                <w:bCs/>
                <w:sz w:val="18"/>
                <w:szCs w:val="18"/>
              </w:rPr>
            </w:pPr>
            <w:r w:rsidRPr="008B5AF2">
              <w:rPr>
                <w:rFonts w:eastAsia="Times New Roman" w:cstheme="minorHAnsi"/>
                <w:b/>
                <w:bCs/>
                <w:sz w:val="18"/>
                <w:szCs w:val="18"/>
              </w:rPr>
              <w:t>Dexamfetamine</w:t>
            </w:r>
          </w:p>
        </w:tc>
        <w:tc>
          <w:tcPr>
            <w:tcW w:w="851" w:type="dxa"/>
            <w:shd w:val="clear" w:color="auto" w:fill="auto"/>
            <w:noWrap/>
            <w:vAlign w:val="bottom"/>
            <w:hideMark/>
          </w:tcPr>
          <w:p w14:paraId="34A4143C" w14:textId="334F9F75"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9,310 </w:t>
            </w:r>
          </w:p>
        </w:tc>
        <w:tc>
          <w:tcPr>
            <w:tcW w:w="850" w:type="dxa"/>
            <w:shd w:val="clear" w:color="auto" w:fill="auto"/>
            <w:noWrap/>
            <w:vAlign w:val="bottom"/>
            <w:hideMark/>
          </w:tcPr>
          <w:p w14:paraId="15A90E74" w14:textId="12566676"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9,564 </w:t>
            </w:r>
          </w:p>
        </w:tc>
        <w:tc>
          <w:tcPr>
            <w:tcW w:w="841" w:type="dxa"/>
            <w:shd w:val="clear" w:color="auto" w:fill="auto"/>
            <w:noWrap/>
            <w:vAlign w:val="bottom"/>
            <w:hideMark/>
          </w:tcPr>
          <w:p w14:paraId="119C24A7" w14:textId="77777777"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9,746 </w:t>
            </w:r>
          </w:p>
        </w:tc>
        <w:tc>
          <w:tcPr>
            <w:tcW w:w="841" w:type="dxa"/>
            <w:shd w:val="clear" w:color="auto" w:fill="auto"/>
            <w:noWrap/>
            <w:vAlign w:val="bottom"/>
            <w:hideMark/>
          </w:tcPr>
          <w:p w14:paraId="2E36CA19" w14:textId="672272A3"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9,210 </w:t>
            </w:r>
          </w:p>
        </w:tc>
        <w:tc>
          <w:tcPr>
            <w:tcW w:w="841" w:type="dxa"/>
            <w:shd w:val="clear" w:color="auto" w:fill="auto"/>
            <w:noWrap/>
            <w:vAlign w:val="bottom"/>
            <w:hideMark/>
          </w:tcPr>
          <w:p w14:paraId="06F3FA1A" w14:textId="42ECC928"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9,982 </w:t>
            </w:r>
          </w:p>
        </w:tc>
        <w:tc>
          <w:tcPr>
            <w:tcW w:w="841" w:type="dxa"/>
            <w:shd w:val="clear" w:color="auto" w:fill="auto"/>
            <w:noWrap/>
            <w:vAlign w:val="bottom"/>
            <w:hideMark/>
          </w:tcPr>
          <w:p w14:paraId="58CE62D4" w14:textId="64C9F086"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11,019 </w:t>
            </w:r>
          </w:p>
        </w:tc>
        <w:tc>
          <w:tcPr>
            <w:tcW w:w="841" w:type="dxa"/>
            <w:shd w:val="clear" w:color="auto" w:fill="auto"/>
            <w:noWrap/>
            <w:vAlign w:val="bottom"/>
            <w:hideMark/>
          </w:tcPr>
          <w:p w14:paraId="00B23F61" w14:textId="05E192F9"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12,867 </w:t>
            </w:r>
          </w:p>
        </w:tc>
        <w:tc>
          <w:tcPr>
            <w:tcW w:w="868" w:type="dxa"/>
            <w:shd w:val="clear" w:color="auto" w:fill="auto"/>
            <w:noWrap/>
            <w:vAlign w:val="bottom"/>
            <w:hideMark/>
          </w:tcPr>
          <w:p w14:paraId="51360FFA" w14:textId="337AA508"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15,874 </w:t>
            </w:r>
          </w:p>
        </w:tc>
        <w:tc>
          <w:tcPr>
            <w:tcW w:w="851" w:type="dxa"/>
            <w:shd w:val="clear" w:color="auto" w:fill="auto"/>
            <w:noWrap/>
            <w:vAlign w:val="bottom"/>
            <w:hideMark/>
          </w:tcPr>
          <w:p w14:paraId="220FDC50" w14:textId="2E7D0B06"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19,716 </w:t>
            </w:r>
          </w:p>
        </w:tc>
        <w:tc>
          <w:tcPr>
            <w:tcW w:w="841" w:type="dxa"/>
            <w:shd w:val="clear" w:color="auto" w:fill="auto"/>
            <w:noWrap/>
            <w:vAlign w:val="bottom"/>
            <w:hideMark/>
          </w:tcPr>
          <w:p w14:paraId="5583BCFB" w14:textId="4D4189B1"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25,593 </w:t>
            </w:r>
          </w:p>
        </w:tc>
      </w:tr>
      <w:tr w:rsidR="006E415C" w:rsidRPr="008B5AF2" w14:paraId="5FFFE15B" w14:textId="77777777" w:rsidTr="008F0110">
        <w:trPr>
          <w:trHeight w:val="288"/>
        </w:trPr>
        <w:tc>
          <w:tcPr>
            <w:tcW w:w="1590" w:type="dxa"/>
            <w:tcBorders>
              <w:bottom w:val="single" w:sz="12" w:space="0" w:color="auto"/>
            </w:tcBorders>
            <w:shd w:val="clear" w:color="auto" w:fill="auto"/>
            <w:noWrap/>
            <w:vAlign w:val="bottom"/>
            <w:hideMark/>
          </w:tcPr>
          <w:p w14:paraId="26CB71E2" w14:textId="77777777" w:rsidR="008B5AF2" w:rsidRPr="008B5AF2" w:rsidRDefault="008B5AF2" w:rsidP="008B5AF2">
            <w:pPr>
              <w:spacing w:after="0"/>
              <w:rPr>
                <w:rFonts w:eastAsia="Times New Roman" w:cstheme="minorHAnsi"/>
                <w:b/>
                <w:bCs/>
                <w:sz w:val="18"/>
                <w:szCs w:val="18"/>
              </w:rPr>
            </w:pPr>
            <w:r w:rsidRPr="008B5AF2">
              <w:rPr>
                <w:rFonts w:eastAsia="Times New Roman" w:cstheme="minorHAnsi"/>
                <w:b/>
                <w:bCs/>
                <w:sz w:val="18"/>
                <w:szCs w:val="18"/>
              </w:rPr>
              <w:t>Atomoxetine</w:t>
            </w:r>
          </w:p>
        </w:tc>
        <w:tc>
          <w:tcPr>
            <w:tcW w:w="851" w:type="dxa"/>
            <w:tcBorders>
              <w:bottom w:val="single" w:sz="12" w:space="0" w:color="auto"/>
            </w:tcBorders>
            <w:shd w:val="clear" w:color="auto" w:fill="auto"/>
            <w:noWrap/>
            <w:vAlign w:val="bottom"/>
            <w:hideMark/>
          </w:tcPr>
          <w:p w14:paraId="65DCC217" w14:textId="04CEAD26"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6,080 </w:t>
            </w:r>
          </w:p>
        </w:tc>
        <w:tc>
          <w:tcPr>
            <w:tcW w:w="850" w:type="dxa"/>
            <w:tcBorders>
              <w:bottom w:val="single" w:sz="12" w:space="0" w:color="auto"/>
            </w:tcBorders>
            <w:shd w:val="clear" w:color="auto" w:fill="auto"/>
            <w:noWrap/>
            <w:vAlign w:val="bottom"/>
            <w:hideMark/>
          </w:tcPr>
          <w:p w14:paraId="610EE823" w14:textId="1AC601B4"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6,235 </w:t>
            </w:r>
          </w:p>
        </w:tc>
        <w:tc>
          <w:tcPr>
            <w:tcW w:w="841" w:type="dxa"/>
            <w:tcBorders>
              <w:bottom w:val="single" w:sz="12" w:space="0" w:color="auto"/>
            </w:tcBorders>
            <w:shd w:val="clear" w:color="auto" w:fill="auto"/>
            <w:noWrap/>
            <w:vAlign w:val="bottom"/>
            <w:hideMark/>
          </w:tcPr>
          <w:p w14:paraId="13EC6341" w14:textId="77777777"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6,365 </w:t>
            </w:r>
          </w:p>
        </w:tc>
        <w:tc>
          <w:tcPr>
            <w:tcW w:w="841" w:type="dxa"/>
            <w:tcBorders>
              <w:bottom w:val="single" w:sz="12" w:space="0" w:color="auto"/>
            </w:tcBorders>
            <w:shd w:val="clear" w:color="auto" w:fill="auto"/>
            <w:noWrap/>
            <w:vAlign w:val="bottom"/>
            <w:hideMark/>
          </w:tcPr>
          <w:p w14:paraId="6EA87499" w14:textId="051BF6DA"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6,628 </w:t>
            </w:r>
          </w:p>
        </w:tc>
        <w:tc>
          <w:tcPr>
            <w:tcW w:w="841" w:type="dxa"/>
            <w:tcBorders>
              <w:bottom w:val="single" w:sz="12" w:space="0" w:color="auto"/>
            </w:tcBorders>
            <w:shd w:val="clear" w:color="auto" w:fill="auto"/>
            <w:noWrap/>
            <w:vAlign w:val="bottom"/>
            <w:hideMark/>
          </w:tcPr>
          <w:p w14:paraId="4F8E166E" w14:textId="43B62E3C"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7,050 </w:t>
            </w:r>
          </w:p>
        </w:tc>
        <w:tc>
          <w:tcPr>
            <w:tcW w:w="841" w:type="dxa"/>
            <w:tcBorders>
              <w:bottom w:val="single" w:sz="12" w:space="0" w:color="auto"/>
            </w:tcBorders>
            <w:shd w:val="clear" w:color="auto" w:fill="auto"/>
            <w:noWrap/>
            <w:vAlign w:val="bottom"/>
            <w:hideMark/>
          </w:tcPr>
          <w:p w14:paraId="18FF55C0" w14:textId="172B8760"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6,989 </w:t>
            </w:r>
          </w:p>
        </w:tc>
        <w:tc>
          <w:tcPr>
            <w:tcW w:w="841" w:type="dxa"/>
            <w:tcBorders>
              <w:bottom w:val="single" w:sz="12" w:space="0" w:color="auto"/>
            </w:tcBorders>
            <w:shd w:val="clear" w:color="auto" w:fill="auto"/>
            <w:noWrap/>
            <w:vAlign w:val="bottom"/>
            <w:hideMark/>
          </w:tcPr>
          <w:p w14:paraId="16896DC9" w14:textId="28D63A16"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6,904 </w:t>
            </w:r>
          </w:p>
        </w:tc>
        <w:tc>
          <w:tcPr>
            <w:tcW w:w="868" w:type="dxa"/>
            <w:tcBorders>
              <w:bottom w:val="single" w:sz="12" w:space="0" w:color="auto"/>
            </w:tcBorders>
            <w:shd w:val="clear" w:color="auto" w:fill="auto"/>
            <w:noWrap/>
            <w:vAlign w:val="bottom"/>
            <w:hideMark/>
          </w:tcPr>
          <w:p w14:paraId="314572FD" w14:textId="4CC2A0B5"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7,383 </w:t>
            </w:r>
          </w:p>
        </w:tc>
        <w:tc>
          <w:tcPr>
            <w:tcW w:w="851" w:type="dxa"/>
            <w:tcBorders>
              <w:bottom w:val="single" w:sz="12" w:space="0" w:color="auto"/>
            </w:tcBorders>
            <w:shd w:val="clear" w:color="auto" w:fill="auto"/>
            <w:noWrap/>
            <w:vAlign w:val="bottom"/>
            <w:hideMark/>
          </w:tcPr>
          <w:p w14:paraId="50592BE0" w14:textId="6BE6CF38"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7,710 </w:t>
            </w:r>
          </w:p>
        </w:tc>
        <w:tc>
          <w:tcPr>
            <w:tcW w:w="841" w:type="dxa"/>
            <w:tcBorders>
              <w:bottom w:val="single" w:sz="12" w:space="0" w:color="auto"/>
            </w:tcBorders>
            <w:shd w:val="clear" w:color="auto" w:fill="auto"/>
            <w:noWrap/>
            <w:vAlign w:val="bottom"/>
            <w:hideMark/>
          </w:tcPr>
          <w:p w14:paraId="07F513A9" w14:textId="40553755" w:rsidR="008B5AF2" w:rsidRPr="008B5AF2" w:rsidRDefault="008B5AF2" w:rsidP="003F7D21">
            <w:pPr>
              <w:spacing w:after="0"/>
              <w:jc w:val="right"/>
              <w:rPr>
                <w:rFonts w:eastAsia="Times New Roman" w:cstheme="minorHAnsi"/>
                <w:sz w:val="18"/>
                <w:szCs w:val="18"/>
              </w:rPr>
            </w:pPr>
            <w:r w:rsidRPr="008B5AF2">
              <w:rPr>
                <w:rFonts w:eastAsia="Times New Roman" w:cstheme="minorHAnsi"/>
                <w:sz w:val="18"/>
                <w:szCs w:val="18"/>
              </w:rPr>
              <w:t xml:space="preserve">     8,079 </w:t>
            </w:r>
          </w:p>
        </w:tc>
      </w:tr>
      <w:tr w:rsidR="006E415C" w:rsidRPr="008B5AF2" w14:paraId="0B34C14E" w14:textId="77777777" w:rsidTr="008F0110">
        <w:trPr>
          <w:trHeight w:val="254"/>
        </w:trPr>
        <w:tc>
          <w:tcPr>
            <w:tcW w:w="1590" w:type="dxa"/>
            <w:tcBorders>
              <w:top w:val="single" w:sz="12" w:space="0" w:color="auto"/>
              <w:left w:val="single" w:sz="12" w:space="0" w:color="auto"/>
            </w:tcBorders>
            <w:shd w:val="clear" w:color="auto" w:fill="auto"/>
            <w:noWrap/>
            <w:vAlign w:val="bottom"/>
          </w:tcPr>
          <w:p w14:paraId="52023961" w14:textId="2E15A9A4" w:rsidR="00F66E7F" w:rsidRPr="008B5AF2" w:rsidRDefault="00F66E7F" w:rsidP="00F66E7F">
            <w:pPr>
              <w:spacing w:after="0"/>
              <w:rPr>
                <w:rFonts w:eastAsia="Times New Roman" w:cstheme="minorHAnsi"/>
                <w:b/>
                <w:bCs/>
                <w:sz w:val="18"/>
                <w:szCs w:val="18"/>
              </w:rPr>
            </w:pPr>
            <w:r>
              <w:rPr>
                <w:rFonts w:eastAsia="Times New Roman" w:cstheme="minorHAnsi"/>
                <w:b/>
                <w:bCs/>
                <w:sz w:val="18"/>
                <w:szCs w:val="18"/>
              </w:rPr>
              <w:t>Total</w:t>
            </w:r>
          </w:p>
        </w:tc>
        <w:tc>
          <w:tcPr>
            <w:tcW w:w="851" w:type="dxa"/>
            <w:tcBorders>
              <w:top w:val="single" w:sz="12" w:space="0" w:color="auto"/>
            </w:tcBorders>
            <w:shd w:val="clear" w:color="auto" w:fill="auto"/>
            <w:noWrap/>
            <w:vAlign w:val="bottom"/>
          </w:tcPr>
          <w:p w14:paraId="3A601B3A" w14:textId="7F8B93A4" w:rsidR="00F66E7F" w:rsidRPr="00A35FC0" w:rsidRDefault="00F66E7F" w:rsidP="00F66E7F">
            <w:pPr>
              <w:spacing w:after="0"/>
              <w:jc w:val="right"/>
              <w:rPr>
                <w:rFonts w:eastAsia="Times New Roman" w:cstheme="minorHAnsi"/>
                <w:sz w:val="18"/>
                <w:szCs w:val="18"/>
              </w:rPr>
            </w:pPr>
            <w:r w:rsidRPr="006E5229">
              <w:rPr>
                <w:rFonts w:eastAsia="Times New Roman" w:cstheme="minorHAnsi"/>
                <w:sz w:val="18"/>
                <w:szCs w:val="18"/>
              </w:rPr>
              <w:t xml:space="preserve">                                                      80,098 </w:t>
            </w:r>
          </w:p>
        </w:tc>
        <w:tc>
          <w:tcPr>
            <w:tcW w:w="850" w:type="dxa"/>
            <w:tcBorders>
              <w:top w:val="single" w:sz="12" w:space="0" w:color="auto"/>
            </w:tcBorders>
            <w:shd w:val="clear" w:color="auto" w:fill="auto"/>
            <w:noWrap/>
            <w:vAlign w:val="bottom"/>
          </w:tcPr>
          <w:p w14:paraId="14014382" w14:textId="28ABED25" w:rsidR="00F66E7F" w:rsidRPr="00A35FC0" w:rsidRDefault="00F66E7F" w:rsidP="00F66E7F">
            <w:pPr>
              <w:spacing w:after="0"/>
              <w:jc w:val="right"/>
              <w:rPr>
                <w:rFonts w:eastAsia="Times New Roman" w:cstheme="minorHAnsi"/>
                <w:sz w:val="18"/>
                <w:szCs w:val="18"/>
              </w:rPr>
            </w:pPr>
            <w:r w:rsidRPr="006E5229">
              <w:rPr>
                <w:rFonts w:eastAsia="Times New Roman" w:cstheme="minorHAnsi"/>
                <w:sz w:val="18"/>
                <w:szCs w:val="18"/>
              </w:rPr>
              <w:t xml:space="preserve">   85,254 </w:t>
            </w:r>
          </w:p>
        </w:tc>
        <w:tc>
          <w:tcPr>
            <w:tcW w:w="841" w:type="dxa"/>
            <w:tcBorders>
              <w:top w:val="single" w:sz="12" w:space="0" w:color="auto"/>
            </w:tcBorders>
            <w:shd w:val="clear" w:color="auto" w:fill="auto"/>
            <w:noWrap/>
            <w:vAlign w:val="bottom"/>
          </w:tcPr>
          <w:p w14:paraId="0F8797FD" w14:textId="66B573F0" w:rsidR="00F66E7F" w:rsidRPr="00A35FC0" w:rsidRDefault="00F66E7F" w:rsidP="00F66E7F">
            <w:pPr>
              <w:spacing w:after="0"/>
              <w:jc w:val="right"/>
              <w:rPr>
                <w:rFonts w:eastAsia="Times New Roman" w:cstheme="minorHAnsi"/>
                <w:sz w:val="18"/>
                <w:szCs w:val="18"/>
              </w:rPr>
            </w:pPr>
            <w:r w:rsidRPr="006E5229">
              <w:rPr>
                <w:rFonts w:eastAsia="Times New Roman" w:cstheme="minorHAnsi"/>
                <w:sz w:val="18"/>
                <w:szCs w:val="18"/>
              </w:rPr>
              <w:t xml:space="preserve">   95,075 </w:t>
            </w:r>
          </w:p>
        </w:tc>
        <w:tc>
          <w:tcPr>
            <w:tcW w:w="841" w:type="dxa"/>
            <w:tcBorders>
              <w:top w:val="single" w:sz="12" w:space="0" w:color="auto"/>
            </w:tcBorders>
            <w:shd w:val="clear" w:color="auto" w:fill="auto"/>
            <w:noWrap/>
            <w:vAlign w:val="bottom"/>
          </w:tcPr>
          <w:p w14:paraId="5FDE7C81" w14:textId="5A2DB3AC" w:rsidR="00F66E7F" w:rsidRPr="00A35FC0" w:rsidRDefault="00F66E7F" w:rsidP="00F66E7F">
            <w:pPr>
              <w:spacing w:after="0"/>
              <w:jc w:val="right"/>
              <w:rPr>
                <w:rFonts w:eastAsia="Times New Roman" w:cstheme="minorHAnsi"/>
                <w:sz w:val="18"/>
                <w:szCs w:val="18"/>
              </w:rPr>
            </w:pPr>
            <w:r w:rsidRPr="006E5229">
              <w:rPr>
                <w:rFonts w:eastAsia="Times New Roman" w:cstheme="minorHAnsi"/>
                <w:sz w:val="18"/>
                <w:szCs w:val="18"/>
              </w:rPr>
              <w:t xml:space="preserve">   104,811 </w:t>
            </w:r>
          </w:p>
        </w:tc>
        <w:tc>
          <w:tcPr>
            <w:tcW w:w="841" w:type="dxa"/>
            <w:tcBorders>
              <w:top w:val="single" w:sz="12" w:space="0" w:color="auto"/>
            </w:tcBorders>
            <w:shd w:val="clear" w:color="auto" w:fill="auto"/>
            <w:noWrap/>
            <w:vAlign w:val="bottom"/>
          </w:tcPr>
          <w:p w14:paraId="755B5885" w14:textId="2652C67F" w:rsidR="00F66E7F" w:rsidRPr="00A35FC0" w:rsidRDefault="00F66E7F" w:rsidP="00F66E7F">
            <w:pPr>
              <w:spacing w:after="0"/>
              <w:jc w:val="right"/>
              <w:rPr>
                <w:rFonts w:eastAsia="Times New Roman" w:cstheme="minorHAnsi"/>
                <w:sz w:val="18"/>
                <w:szCs w:val="18"/>
              </w:rPr>
            </w:pPr>
            <w:r w:rsidRPr="006E5229">
              <w:rPr>
                <w:rFonts w:eastAsia="Times New Roman" w:cstheme="minorHAnsi"/>
                <w:sz w:val="18"/>
                <w:szCs w:val="18"/>
              </w:rPr>
              <w:t xml:space="preserve">   117,273 </w:t>
            </w:r>
          </w:p>
        </w:tc>
        <w:tc>
          <w:tcPr>
            <w:tcW w:w="841" w:type="dxa"/>
            <w:tcBorders>
              <w:top w:val="single" w:sz="12" w:space="0" w:color="auto"/>
            </w:tcBorders>
            <w:shd w:val="clear" w:color="auto" w:fill="auto"/>
            <w:noWrap/>
            <w:vAlign w:val="bottom"/>
          </w:tcPr>
          <w:p w14:paraId="4C5FE997" w14:textId="5095B706" w:rsidR="00F66E7F" w:rsidRPr="00A35FC0" w:rsidRDefault="00F66E7F" w:rsidP="00F66E7F">
            <w:pPr>
              <w:spacing w:after="0"/>
              <w:jc w:val="right"/>
              <w:rPr>
                <w:rFonts w:eastAsia="Times New Roman" w:cstheme="minorHAnsi"/>
                <w:sz w:val="18"/>
                <w:szCs w:val="18"/>
              </w:rPr>
            </w:pPr>
            <w:r w:rsidRPr="006E5229">
              <w:rPr>
                <w:rFonts w:eastAsia="Times New Roman" w:cstheme="minorHAnsi"/>
                <w:sz w:val="18"/>
                <w:szCs w:val="18"/>
              </w:rPr>
              <w:t xml:space="preserve">   134,566 </w:t>
            </w:r>
          </w:p>
        </w:tc>
        <w:tc>
          <w:tcPr>
            <w:tcW w:w="841" w:type="dxa"/>
            <w:tcBorders>
              <w:top w:val="single" w:sz="12" w:space="0" w:color="auto"/>
            </w:tcBorders>
            <w:shd w:val="clear" w:color="auto" w:fill="auto"/>
            <w:noWrap/>
            <w:vAlign w:val="bottom"/>
          </w:tcPr>
          <w:p w14:paraId="169128B0" w14:textId="1A9B468F" w:rsidR="00F66E7F" w:rsidRPr="00A35FC0" w:rsidRDefault="00F66E7F" w:rsidP="00F66E7F">
            <w:pPr>
              <w:spacing w:after="0"/>
              <w:jc w:val="right"/>
              <w:rPr>
                <w:rFonts w:eastAsia="Times New Roman" w:cstheme="minorHAnsi"/>
                <w:sz w:val="18"/>
                <w:szCs w:val="18"/>
              </w:rPr>
            </w:pPr>
            <w:r w:rsidRPr="006E5229">
              <w:rPr>
                <w:rFonts w:eastAsia="Times New Roman" w:cstheme="minorHAnsi"/>
                <w:sz w:val="18"/>
                <w:szCs w:val="18"/>
              </w:rPr>
              <w:t xml:space="preserve">   155,521 </w:t>
            </w:r>
          </w:p>
        </w:tc>
        <w:tc>
          <w:tcPr>
            <w:tcW w:w="868" w:type="dxa"/>
            <w:tcBorders>
              <w:top w:val="single" w:sz="12" w:space="0" w:color="auto"/>
            </w:tcBorders>
            <w:shd w:val="clear" w:color="auto" w:fill="auto"/>
            <w:noWrap/>
            <w:vAlign w:val="bottom"/>
          </w:tcPr>
          <w:p w14:paraId="59D2B1D1" w14:textId="51EEAC92" w:rsidR="00F66E7F" w:rsidRPr="00A35FC0" w:rsidRDefault="00F66E7F" w:rsidP="00F66E7F">
            <w:pPr>
              <w:spacing w:after="0"/>
              <w:jc w:val="right"/>
              <w:rPr>
                <w:rFonts w:eastAsia="Times New Roman" w:cstheme="minorHAnsi"/>
                <w:sz w:val="18"/>
                <w:szCs w:val="18"/>
              </w:rPr>
            </w:pPr>
            <w:r w:rsidRPr="006E5229">
              <w:rPr>
                <w:rFonts w:eastAsia="Times New Roman" w:cstheme="minorHAnsi"/>
                <w:sz w:val="18"/>
                <w:szCs w:val="18"/>
              </w:rPr>
              <w:t xml:space="preserve">   183,370 </w:t>
            </w:r>
          </w:p>
        </w:tc>
        <w:tc>
          <w:tcPr>
            <w:tcW w:w="851" w:type="dxa"/>
            <w:tcBorders>
              <w:top w:val="single" w:sz="12" w:space="0" w:color="auto"/>
            </w:tcBorders>
            <w:shd w:val="clear" w:color="auto" w:fill="auto"/>
            <w:noWrap/>
            <w:vAlign w:val="bottom"/>
          </w:tcPr>
          <w:p w14:paraId="02FC7C84" w14:textId="4C5F47F6" w:rsidR="00F66E7F" w:rsidRPr="00A35FC0" w:rsidRDefault="00F66E7F" w:rsidP="00F66E7F">
            <w:pPr>
              <w:spacing w:after="0"/>
              <w:jc w:val="right"/>
              <w:rPr>
                <w:rFonts w:eastAsia="Times New Roman" w:cstheme="minorHAnsi"/>
                <w:sz w:val="18"/>
                <w:szCs w:val="18"/>
              </w:rPr>
            </w:pPr>
            <w:r w:rsidRPr="006E5229">
              <w:rPr>
                <w:rFonts w:eastAsia="Times New Roman" w:cstheme="minorHAnsi"/>
                <w:sz w:val="18"/>
                <w:szCs w:val="18"/>
              </w:rPr>
              <w:t xml:space="preserve">   217,664 </w:t>
            </w:r>
          </w:p>
        </w:tc>
        <w:tc>
          <w:tcPr>
            <w:tcW w:w="841" w:type="dxa"/>
            <w:tcBorders>
              <w:top w:val="single" w:sz="12" w:space="0" w:color="auto"/>
              <w:right w:val="single" w:sz="12" w:space="0" w:color="auto"/>
            </w:tcBorders>
            <w:shd w:val="clear" w:color="auto" w:fill="auto"/>
            <w:noWrap/>
            <w:vAlign w:val="bottom"/>
          </w:tcPr>
          <w:p w14:paraId="2B418269" w14:textId="7E5889EC" w:rsidR="00F66E7F" w:rsidRPr="00A35FC0" w:rsidRDefault="00F66E7F" w:rsidP="00F66E7F">
            <w:pPr>
              <w:spacing w:after="0"/>
              <w:jc w:val="right"/>
              <w:rPr>
                <w:rFonts w:eastAsia="Times New Roman" w:cstheme="minorHAnsi"/>
                <w:sz w:val="18"/>
                <w:szCs w:val="18"/>
              </w:rPr>
            </w:pPr>
            <w:r w:rsidRPr="006E5229">
              <w:rPr>
                <w:rFonts w:eastAsia="Times New Roman" w:cstheme="minorHAnsi"/>
                <w:sz w:val="18"/>
                <w:szCs w:val="18"/>
              </w:rPr>
              <w:t xml:space="preserve">   260,710 </w:t>
            </w:r>
          </w:p>
        </w:tc>
      </w:tr>
      <w:tr w:rsidR="006E415C" w:rsidRPr="008B5AF2" w14:paraId="2842CCBD" w14:textId="77777777" w:rsidTr="008F0110">
        <w:trPr>
          <w:trHeight w:val="254"/>
        </w:trPr>
        <w:tc>
          <w:tcPr>
            <w:tcW w:w="1590" w:type="dxa"/>
            <w:tcBorders>
              <w:left w:val="single" w:sz="12" w:space="0" w:color="auto"/>
              <w:bottom w:val="single" w:sz="12" w:space="0" w:color="auto"/>
            </w:tcBorders>
            <w:shd w:val="clear" w:color="auto" w:fill="auto"/>
            <w:noWrap/>
            <w:vAlign w:val="bottom"/>
          </w:tcPr>
          <w:p w14:paraId="0A933A2B" w14:textId="274F7587" w:rsidR="00F66E7F" w:rsidRDefault="00F66E7F" w:rsidP="00F66E7F">
            <w:pPr>
              <w:spacing w:after="0"/>
              <w:rPr>
                <w:rFonts w:eastAsia="Times New Roman" w:cstheme="minorHAnsi"/>
                <w:b/>
                <w:bCs/>
                <w:sz w:val="18"/>
                <w:szCs w:val="18"/>
              </w:rPr>
            </w:pPr>
            <w:r>
              <w:rPr>
                <w:rFonts w:eastAsia="Times New Roman" w:cstheme="minorHAnsi"/>
                <w:b/>
                <w:bCs/>
                <w:sz w:val="18"/>
                <w:szCs w:val="18"/>
              </w:rPr>
              <w:t>Growth</w:t>
            </w:r>
          </w:p>
        </w:tc>
        <w:tc>
          <w:tcPr>
            <w:tcW w:w="851" w:type="dxa"/>
            <w:tcBorders>
              <w:bottom w:val="single" w:sz="12" w:space="0" w:color="auto"/>
            </w:tcBorders>
            <w:shd w:val="clear" w:color="auto" w:fill="auto"/>
            <w:noWrap/>
            <w:vAlign w:val="bottom"/>
          </w:tcPr>
          <w:p w14:paraId="4D2B4B2D" w14:textId="77777777" w:rsidR="00F66E7F" w:rsidRPr="00A35FC0" w:rsidRDefault="00F66E7F" w:rsidP="00F66E7F">
            <w:pPr>
              <w:spacing w:after="0"/>
              <w:jc w:val="right"/>
              <w:rPr>
                <w:rFonts w:eastAsia="Times New Roman" w:cstheme="minorHAnsi"/>
                <w:sz w:val="18"/>
                <w:szCs w:val="18"/>
              </w:rPr>
            </w:pPr>
          </w:p>
        </w:tc>
        <w:tc>
          <w:tcPr>
            <w:tcW w:w="850" w:type="dxa"/>
            <w:tcBorders>
              <w:bottom w:val="single" w:sz="12" w:space="0" w:color="auto"/>
            </w:tcBorders>
            <w:shd w:val="clear" w:color="auto" w:fill="auto"/>
            <w:noWrap/>
            <w:vAlign w:val="bottom"/>
          </w:tcPr>
          <w:p w14:paraId="10EFE919" w14:textId="25B00F9B" w:rsidR="00F66E7F" w:rsidRPr="00A35FC0" w:rsidRDefault="00F66E7F" w:rsidP="00F66E7F">
            <w:pPr>
              <w:spacing w:after="0"/>
              <w:jc w:val="right"/>
              <w:rPr>
                <w:rFonts w:eastAsia="Times New Roman" w:cstheme="minorHAnsi"/>
                <w:sz w:val="18"/>
                <w:szCs w:val="18"/>
              </w:rPr>
            </w:pPr>
            <w:r w:rsidRPr="006E5229">
              <w:rPr>
                <w:rFonts w:eastAsia="Times New Roman" w:cstheme="minorHAnsi"/>
                <w:sz w:val="18"/>
                <w:szCs w:val="18"/>
              </w:rPr>
              <w:t>6%</w:t>
            </w:r>
          </w:p>
        </w:tc>
        <w:tc>
          <w:tcPr>
            <w:tcW w:w="841" w:type="dxa"/>
            <w:tcBorders>
              <w:bottom w:val="single" w:sz="12" w:space="0" w:color="auto"/>
            </w:tcBorders>
            <w:shd w:val="clear" w:color="auto" w:fill="auto"/>
            <w:noWrap/>
            <w:vAlign w:val="bottom"/>
          </w:tcPr>
          <w:p w14:paraId="5ECE1F33" w14:textId="6E53844C" w:rsidR="00F66E7F" w:rsidRPr="00A35FC0" w:rsidRDefault="00F66E7F" w:rsidP="00F66E7F">
            <w:pPr>
              <w:spacing w:after="0"/>
              <w:jc w:val="right"/>
              <w:rPr>
                <w:rFonts w:eastAsia="Times New Roman" w:cstheme="minorHAnsi"/>
                <w:sz w:val="18"/>
                <w:szCs w:val="18"/>
              </w:rPr>
            </w:pPr>
            <w:r w:rsidRPr="006E5229">
              <w:rPr>
                <w:rFonts w:eastAsia="Times New Roman" w:cstheme="minorHAnsi"/>
                <w:sz w:val="18"/>
                <w:szCs w:val="18"/>
              </w:rPr>
              <w:t>12%</w:t>
            </w:r>
          </w:p>
        </w:tc>
        <w:tc>
          <w:tcPr>
            <w:tcW w:w="841" w:type="dxa"/>
            <w:tcBorders>
              <w:bottom w:val="single" w:sz="12" w:space="0" w:color="auto"/>
            </w:tcBorders>
            <w:shd w:val="clear" w:color="auto" w:fill="auto"/>
            <w:noWrap/>
            <w:vAlign w:val="bottom"/>
          </w:tcPr>
          <w:p w14:paraId="248FCD6F" w14:textId="15075365" w:rsidR="00F66E7F" w:rsidRPr="00A35FC0" w:rsidRDefault="00F66E7F" w:rsidP="00F66E7F">
            <w:pPr>
              <w:spacing w:after="0"/>
              <w:jc w:val="right"/>
              <w:rPr>
                <w:rFonts w:eastAsia="Times New Roman" w:cstheme="minorHAnsi"/>
                <w:sz w:val="18"/>
                <w:szCs w:val="18"/>
              </w:rPr>
            </w:pPr>
            <w:r w:rsidRPr="006E5229">
              <w:rPr>
                <w:rFonts w:eastAsia="Times New Roman" w:cstheme="minorHAnsi"/>
                <w:sz w:val="18"/>
                <w:szCs w:val="18"/>
              </w:rPr>
              <w:t>10%</w:t>
            </w:r>
          </w:p>
        </w:tc>
        <w:tc>
          <w:tcPr>
            <w:tcW w:w="841" w:type="dxa"/>
            <w:tcBorders>
              <w:bottom w:val="single" w:sz="12" w:space="0" w:color="auto"/>
            </w:tcBorders>
            <w:shd w:val="clear" w:color="auto" w:fill="auto"/>
            <w:noWrap/>
            <w:vAlign w:val="bottom"/>
          </w:tcPr>
          <w:p w14:paraId="3BC8D000" w14:textId="5516FFDD" w:rsidR="00F66E7F" w:rsidRPr="00A35FC0" w:rsidRDefault="00F66E7F" w:rsidP="00F66E7F">
            <w:pPr>
              <w:spacing w:after="0"/>
              <w:jc w:val="right"/>
              <w:rPr>
                <w:rFonts w:eastAsia="Times New Roman" w:cstheme="minorHAnsi"/>
                <w:sz w:val="18"/>
                <w:szCs w:val="18"/>
              </w:rPr>
            </w:pPr>
            <w:r w:rsidRPr="006E5229">
              <w:rPr>
                <w:rFonts w:eastAsia="Times New Roman" w:cstheme="minorHAnsi"/>
                <w:sz w:val="18"/>
                <w:szCs w:val="18"/>
              </w:rPr>
              <w:t>12%</w:t>
            </w:r>
          </w:p>
        </w:tc>
        <w:tc>
          <w:tcPr>
            <w:tcW w:w="841" w:type="dxa"/>
            <w:tcBorders>
              <w:bottom w:val="single" w:sz="12" w:space="0" w:color="auto"/>
            </w:tcBorders>
            <w:shd w:val="clear" w:color="auto" w:fill="auto"/>
            <w:noWrap/>
            <w:vAlign w:val="bottom"/>
          </w:tcPr>
          <w:p w14:paraId="21E05E14" w14:textId="6E62A7A2" w:rsidR="00F66E7F" w:rsidRPr="00A35FC0" w:rsidRDefault="00F66E7F" w:rsidP="00F66E7F">
            <w:pPr>
              <w:spacing w:after="0"/>
              <w:jc w:val="right"/>
              <w:rPr>
                <w:rFonts w:eastAsia="Times New Roman" w:cstheme="minorHAnsi"/>
                <w:sz w:val="18"/>
                <w:szCs w:val="18"/>
              </w:rPr>
            </w:pPr>
            <w:r w:rsidRPr="006E5229">
              <w:rPr>
                <w:rFonts w:eastAsia="Times New Roman" w:cstheme="minorHAnsi"/>
                <w:sz w:val="18"/>
                <w:szCs w:val="18"/>
              </w:rPr>
              <w:t>15%</w:t>
            </w:r>
          </w:p>
        </w:tc>
        <w:tc>
          <w:tcPr>
            <w:tcW w:w="841" w:type="dxa"/>
            <w:tcBorders>
              <w:bottom w:val="single" w:sz="12" w:space="0" w:color="auto"/>
            </w:tcBorders>
            <w:shd w:val="clear" w:color="auto" w:fill="auto"/>
            <w:noWrap/>
            <w:vAlign w:val="bottom"/>
          </w:tcPr>
          <w:p w14:paraId="3785E315" w14:textId="59C5F6B3" w:rsidR="00F66E7F" w:rsidRPr="00A35FC0" w:rsidRDefault="00F66E7F" w:rsidP="00F66E7F">
            <w:pPr>
              <w:spacing w:after="0"/>
              <w:jc w:val="right"/>
              <w:rPr>
                <w:rFonts w:eastAsia="Times New Roman" w:cstheme="minorHAnsi"/>
                <w:sz w:val="18"/>
                <w:szCs w:val="18"/>
              </w:rPr>
            </w:pPr>
            <w:r w:rsidRPr="006E5229">
              <w:rPr>
                <w:rFonts w:eastAsia="Times New Roman" w:cstheme="minorHAnsi"/>
                <w:sz w:val="18"/>
                <w:szCs w:val="18"/>
              </w:rPr>
              <w:t>16%</w:t>
            </w:r>
          </w:p>
        </w:tc>
        <w:tc>
          <w:tcPr>
            <w:tcW w:w="868" w:type="dxa"/>
            <w:tcBorders>
              <w:bottom w:val="single" w:sz="12" w:space="0" w:color="auto"/>
            </w:tcBorders>
            <w:shd w:val="clear" w:color="auto" w:fill="auto"/>
            <w:noWrap/>
            <w:vAlign w:val="bottom"/>
          </w:tcPr>
          <w:p w14:paraId="266570DA" w14:textId="1A960CD1" w:rsidR="00F66E7F" w:rsidRPr="00A35FC0" w:rsidRDefault="00F66E7F" w:rsidP="00F66E7F">
            <w:pPr>
              <w:spacing w:after="0"/>
              <w:jc w:val="right"/>
              <w:rPr>
                <w:rFonts w:eastAsia="Times New Roman" w:cstheme="minorHAnsi"/>
                <w:sz w:val="18"/>
                <w:szCs w:val="18"/>
              </w:rPr>
            </w:pPr>
            <w:r w:rsidRPr="006E5229">
              <w:rPr>
                <w:rFonts w:eastAsia="Times New Roman" w:cstheme="minorHAnsi"/>
                <w:sz w:val="18"/>
                <w:szCs w:val="18"/>
              </w:rPr>
              <w:t>18%</w:t>
            </w:r>
          </w:p>
        </w:tc>
        <w:tc>
          <w:tcPr>
            <w:tcW w:w="851" w:type="dxa"/>
            <w:tcBorders>
              <w:bottom w:val="single" w:sz="12" w:space="0" w:color="auto"/>
            </w:tcBorders>
            <w:shd w:val="clear" w:color="auto" w:fill="auto"/>
            <w:noWrap/>
            <w:vAlign w:val="bottom"/>
          </w:tcPr>
          <w:p w14:paraId="1CA714F8" w14:textId="097674F6" w:rsidR="00F66E7F" w:rsidRPr="00A35FC0" w:rsidRDefault="00F66E7F" w:rsidP="00F66E7F">
            <w:pPr>
              <w:spacing w:after="0"/>
              <w:jc w:val="right"/>
              <w:rPr>
                <w:rFonts w:eastAsia="Times New Roman" w:cstheme="minorHAnsi"/>
                <w:sz w:val="18"/>
                <w:szCs w:val="18"/>
              </w:rPr>
            </w:pPr>
            <w:r w:rsidRPr="006E5229">
              <w:rPr>
                <w:rFonts w:eastAsia="Times New Roman" w:cstheme="minorHAnsi"/>
                <w:sz w:val="18"/>
                <w:szCs w:val="18"/>
              </w:rPr>
              <w:t>19%</w:t>
            </w:r>
          </w:p>
        </w:tc>
        <w:tc>
          <w:tcPr>
            <w:tcW w:w="841" w:type="dxa"/>
            <w:tcBorders>
              <w:bottom w:val="single" w:sz="12" w:space="0" w:color="auto"/>
              <w:right w:val="single" w:sz="12" w:space="0" w:color="auto"/>
            </w:tcBorders>
            <w:shd w:val="clear" w:color="auto" w:fill="auto"/>
            <w:noWrap/>
            <w:vAlign w:val="bottom"/>
          </w:tcPr>
          <w:p w14:paraId="50DC234B" w14:textId="2071BC57" w:rsidR="00F66E7F" w:rsidRPr="00A35FC0" w:rsidRDefault="00F66E7F" w:rsidP="00F66E7F">
            <w:pPr>
              <w:spacing w:after="0"/>
              <w:jc w:val="right"/>
              <w:rPr>
                <w:rFonts w:eastAsia="Times New Roman" w:cstheme="minorHAnsi"/>
                <w:sz w:val="18"/>
                <w:szCs w:val="18"/>
              </w:rPr>
            </w:pPr>
            <w:r w:rsidRPr="006E5229">
              <w:rPr>
                <w:rFonts w:eastAsia="Times New Roman" w:cstheme="minorHAnsi"/>
                <w:sz w:val="18"/>
                <w:szCs w:val="18"/>
              </w:rPr>
              <w:t>20%</w:t>
            </w:r>
          </w:p>
        </w:tc>
      </w:tr>
    </w:tbl>
    <w:p w14:paraId="63F6CB7E" w14:textId="5F7F723A" w:rsidR="008B5AF2" w:rsidRDefault="002B6EF9" w:rsidP="00C060CE">
      <w:pPr>
        <w:pStyle w:val="TableFooter"/>
        <w:ind w:left="-426" w:right="-454"/>
        <w:jc w:val="left"/>
      </w:pPr>
      <w:r w:rsidRPr="001D105D">
        <w:t xml:space="preserve">*Therapy total is less than the sum of components as </w:t>
      </w:r>
      <w:r>
        <w:t>people</w:t>
      </w:r>
      <w:r w:rsidRPr="001D105D">
        <w:t xml:space="preserve"> are only counted once even if they are prevalent to more than one ADHD medication.</w:t>
      </w:r>
    </w:p>
    <w:p w14:paraId="2A2B8E17" w14:textId="77777777" w:rsidR="008B5AF2" w:rsidRPr="001D105D" w:rsidRDefault="008B5AF2" w:rsidP="001904F8">
      <w:pPr>
        <w:pStyle w:val="TableFooter"/>
        <w:ind w:left="-284"/>
        <w:jc w:val="left"/>
      </w:pPr>
    </w:p>
    <w:p w14:paraId="35312354" w14:textId="77777777" w:rsidR="00412A8C" w:rsidRDefault="00412A8C">
      <w:pPr>
        <w:spacing w:line="276" w:lineRule="auto"/>
        <w:rPr>
          <w:b/>
          <w:i/>
        </w:rPr>
      </w:pPr>
      <w:r>
        <w:br w:type="page"/>
      </w:r>
    </w:p>
    <w:p w14:paraId="435AAFFF" w14:textId="246797A4" w:rsidR="008C30DC" w:rsidRPr="00242991" w:rsidRDefault="008C30DC" w:rsidP="00215563">
      <w:pPr>
        <w:pStyle w:val="Heading4"/>
        <w:rPr>
          <w:sz w:val="24"/>
          <w:szCs w:val="24"/>
        </w:rPr>
      </w:pPr>
      <w:r w:rsidRPr="00242991">
        <w:rPr>
          <w:sz w:val="24"/>
          <w:szCs w:val="24"/>
        </w:rPr>
        <w:lastRenderedPageBreak/>
        <w:t>Numbe</w:t>
      </w:r>
      <w:r w:rsidR="00C50F14" w:rsidRPr="00242991">
        <w:rPr>
          <w:sz w:val="24"/>
          <w:szCs w:val="24"/>
        </w:rPr>
        <w:t>r of patients by age and gender</w:t>
      </w:r>
    </w:p>
    <w:p w14:paraId="5ED614E8" w14:textId="77777777" w:rsidR="002B6EF9" w:rsidRPr="00242991" w:rsidRDefault="002B6EF9" w:rsidP="002B6EF9">
      <w:r w:rsidRPr="00242991">
        <w:t>The number of p</w:t>
      </w:r>
      <w:r>
        <w:t>eople</w:t>
      </w:r>
      <w:r w:rsidRPr="00242991">
        <w:t>s treated with R/PBS-listed medicines for ADHD</w:t>
      </w:r>
      <w:r>
        <w:t>,</w:t>
      </w:r>
      <w:r w:rsidRPr="00242991">
        <w:t xml:space="preserve"> </w:t>
      </w:r>
      <w:r>
        <w:t>broken down by gender and more detailed age groups</w:t>
      </w:r>
      <w:r w:rsidRPr="00242991">
        <w:t xml:space="preserve"> per financial year is shown in Figure 5 and </w:t>
      </w:r>
      <w:r>
        <w:t>Tables</w:t>
      </w:r>
      <w:r w:rsidRPr="00242991">
        <w:t xml:space="preserve"> 3 and 4. The data is presented as the number of p</w:t>
      </w:r>
      <w:r>
        <w:t>eople</w:t>
      </w:r>
      <w:r w:rsidRPr="00242991">
        <w:t xml:space="preserve"> initiating R/PBS ADHD therapy (Table 3) from 2014-15 to 2022-23 and prevalent p</w:t>
      </w:r>
      <w:r>
        <w:t>eople</w:t>
      </w:r>
      <w:r w:rsidRPr="00242991">
        <w:t xml:space="preserve"> (Table 4) from 2013-14 to 2022-23 by age group and gender. </w:t>
      </w:r>
    </w:p>
    <w:p w14:paraId="55ED0303" w14:textId="77777777" w:rsidR="002B6EF9" w:rsidRPr="00242991" w:rsidRDefault="002B6EF9" w:rsidP="002B6EF9">
      <w:r w:rsidRPr="00242991">
        <w:t>Figure 5 shows an increase in the number of prevalent ADHD patients by age group, gender and financial year, beginning in 2013-14.</w:t>
      </w:r>
    </w:p>
    <w:p w14:paraId="0099782A" w14:textId="77777777" w:rsidR="002B6EF9" w:rsidRPr="00242991" w:rsidRDefault="002B6EF9" w:rsidP="002B6EF9">
      <w:r w:rsidRPr="00242991">
        <w:t>Previously, 6-12 year olds w</w:t>
      </w:r>
      <w:r>
        <w:t>ere</w:t>
      </w:r>
      <w:r w:rsidRPr="00242991">
        <w:t xml:space="preserve"> the largest </w:t>
      </w:r>
      <w:r>
        <w:t xml:space="preserve">age </w:t>
      </w:r>
      <w:r w:rsidRPr="00242991">
        <w:t>cohort (both initiating and prevalent). However, since around 2021-22 this changed, and the age group with the largest population is now the adult population (</w:t>
      </w:r>
      <w:r>
        <w:t>&gt;</w:t>
      </w:r>
      <w:r w:rsidRPr="00242991">
        <w:t>18 year olds). This might be due to p</w:t>
      </w:r>
      <w:r>
        <w:t>eople</w:t>
      </w:r>
      <w:r w:rsidRPr="00242991">
        <w:t xml:space="preserve"> moving through the age cohorts, however this pattern is also seen in initiating p</w:t>
      </w:r>
      <w:r>
        <w:t>eople</w:t>
      </w:r>
      <w:r w:rsidRPr="00242991">
        <w:t>, leaving the lisdexamfetamine restriction change (1 February 2021) as the most likely reason</w:t>
      </w:r>
      <w:r>
        <w:t xml:space="preserve"> for this increase</w:t>
      </w:r>
      <w:r w:rsidRPr="00242991">
        <w:t>.</w:t>
      </w:r>
    </w:p>
    <w:p w14:paraId="1AA39038" w14:textId="77777777" w:rsidR="002B6EF9" w:rsidRDefault="002B6EF9" w:rsidP="002B6EF9">
      <w:r w:rsidRPr="00242991">
        <w:t xml:space="preserve">Of note, the growth in ADHD treatment for females (when compared to males) is much larger in some age groups, most noticeably the older age groups. </w:t>
      </w:r>
    </w:p>
    <w:p w14:paraId="73B9E170" w14:textId="33519C87" w:rsidR="00633CED" w:rsidRPr="001D105D" w:rsidRDefault="00EE692D" w:rsidP="00215563">
      <w:pPr>
        <w:jc w:val="center"/>
      </w:pPr>
      <w:r>
        <w:rPr>
          <w:noProof/>
        </w:rPr>
        <w:drawing>
          <wp:inline distT="0" distB="0" distL="0" distR="0" wp14:anchorId="5CEEAE60" wp14:editId="3E14373F">
            <wp:extent cx="5832475" cy="3505200"/>
            <wp:effectExtent l="0" t="0" r="15875" b="0"/>
            <wp:docPr id="33" name="Chart 33">
              <a:extLst xmlns:a="http://schemas.openxmlformats.org/drawingml/2006/main">
                <a:ext uri="{FF2B5EF4-FFF2-40B4-BE49-F238E27FC236}">
                  <a16:creationId xmlns:a16="http://schemas.microsoft.com/office/drawing/2014/main" id="{C753250D-06E3-4A0C-A376-762EA10D1E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633CED" w:rsidRPr="001D105D">
        <w:t xml:space="preserve">                        </w:t>
      </w:r>
    </w:p>
    <w:p w14:paraId="2A5FFA4E" w14:textId="77777777" w:rsidR="002B6EF9" w:rsidRPr="00242991" w:rsidRDefault="002B6EF9" w:rsidP="002B6EF9">
      <w:pPr>
        <w:pStyle w:val="Figuretitle"/>
        <w:ind w:right="-171"/>
      </w:pPr>
      <w:bookmarkStart w:id="15" w:name="_Hlk143075426"/>
      <w:bookmarkStart w:id="16" w:name="_Hlk143075435"/>
      <w:r w:rsidRPr="00242991">
        <w:t>Figure 5: Prevalent p</w:t>
      </w:r>
      <w:r>
        <w:t>eople</w:t>
      </w:r>
      <w:r w:rsidRPr="00242991">
        <w:t xml:space="preserve"> treated with R/PBS-listed ADHD medicines by age group and </w:t>
      </w:r>
      <w:r>
        <w:t>gender</w:t>
      </w:r>
    </w:p>
    <w:p w14:paraId="3F124A58" w14:textId="77777777" w:rsidR="002B6EF9" w:rsidRDefault="002B6EF9" w:rsidP="002B6EF9"/>
    <w:p w14:paraId="3BBADACD" w14:textId="77777777" w:rsidR="002B6EF9" w:rsidRPr="00242991" w:rsidRDefault="002B6EF9" w:rsidP="002B6EF9">
      <w:r w:rsidRPr="00242991">
        <w:t>Table 3 shows the number of p</w:t>
      </w:r>
      <w:r>
        <w:t>eople</w:t>
      </w:r>
      <w:r w:rsidRPr="00242991">
        <w:t xml:space="preserve"> initiating ADHD therapy by age group and gender. From the 2020-21 financial year, female</w:t>
      </w:r>
      <w:r>
        <w:t>s</w:t>
      </w:r>
      <w:r w:rsidRPr="00242991">
        <w:t xml:space="preserve"> in the </w:t>
      </w:r>
      <w:r>
        <w:t>&gt;</w:t>
      </w:r>
      <w:r w:rsidRPr="00242991">
        <w:t>18 year old population outnumbered male</w:t>
      </w:r>
      <w:r>
        <w:t>s</w:t>
      </w:r>
      <w:r w:rsidRPr="00242991">
        <w:t xml:space="preserve">. </w:t>
      </w:r>
      <w:r>
        <w:t>From 2020-21, t</w:t>
      </w:r>
      <w:r w:rsidRPr="00242991">
        <w:t xml:space="preserve">he amount of females </w:t>
      </w:r>
      <w:r>
        <w:t xml:space="preserve">treated for ADHD </w:t>
      </w:r>
      <w:r w:rsidRPr="00242991">
        <w:t xml:space="preserve">in the 13-18 year old population </w:t>
      </w:r>
      <w:r>
        <w:t xml:space="preserve">overtook the amount of males </w:t>
      </w:r>
      <w:r w:rsidRPr="00242991">
        <w:t xml:space="preserve">being treated in this age group. </w:t>
      </w:r>
    </w:p>
    <w:bookmarkEnd w:id="15"/>
    <w:p w14:paraId="239A5D12" w14:textId="77777777" w:rsidR="002B6EF9" w:rsidRPr="001D105D" w:rsidRDefault="002B6EF9" w:rsidP="002B6EF9">
      <w:pPr>
        <w:pStyle w:val="Tabletitle"/>
      </w:pPr>
      <w:r w:rsidRPr="00242991">
        <w:lastRenderedPageBreak/>
        <w:t>Table 3. Number of p</w:t>
      </w:r>
      <w:r>
        <w:t>eople</w:t>
      </w:r>
      <w:r w:rsidRPr="00242991">
        <w:t xml:space="preserve"> initiating R/PBS-listed ADHD medicine therapy by age group and gender per financial year</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797"/>
        <w:gridCol w:w="839"/>
        <w:gridCol w:w="839"/>
        <w:gridCol w:w="841"/>
        <w:gridCol w:w="839"/>
        <w:gridCol w:w="840"/>
        <w:gridCol w:w="839"/>
        <w:gridCol w:w="839"/>
        <w:gridCol w:w="839"/>
        <w:gridCol w:w="829"/>
      </w:tblGrid>
      <w:tr w:rsidR="004B363E" w:rsidRPr="004B363E" w14:paraId="5E76C62A" w14:textId="77777777" w:rsidTr="0051436D">
        <w:trPr>
          <w:trHeight w:val="288"/>
          <w:jc w:val="center"/>
        </w:trPr>
        <w:tc>
          <w:tcPr>
            <w:tcW w:w="941" w:type="dxa"/>
            <w:shd w:val="clear" w:color="auto" w:fill="BFBFBF" w:themeFill="background1" w:themeFillShade="BF"/>
            <w:noWrap/>
            <w:vAlign w:val="bottom"/>
            <w:hideMark/>
          </w:tcPr>
          <w:bookmarkEnd w:id="16"/>
          <w:p w14:paraId="1EB5A032" w14:textId="0CE5C27A" w:rsidR="004B363E" w:rsidRPr="004B363E" w:rsidRDefault="004B363E" w:rsidP="004B363E">
            <w:pPr>
              <w:spacing w:after="0"/>
              <w:rPr>
                <w:rFonts w:eastAsia="Times New Roman" w:cstheme="minorHAnsi"/>
                <w:b/>
                <w:bCs/>
                <w:color w:val="000000"/>
                <w:sz w:val="18"/>
                <w:szCs w:val="18"/>
              </w:rPr>
            </w:pPr>
            <w:r w:rsidRPr="004B363E">
              <w:rPr>
                <w:rFonts w:eastAsia="Times New Roman" w:cstheme="minorHAnsi"/>
                <w:b/>
                <w:bCs/>
                <w:color w:val="000000"/>
                <w:sz w:val="18"/>
                <w:szCs w:val="18"/>
              </w:rPr>
              <w:t>Patients</w:t>
            </w:r>
            <w:r w:rsidR="0041367F">
              <w:rPr>
                <w:rFonts w:eastAsia="Times New Roman" w:cstheme="minorHAnsi"/>
                <w:b/>
                <w:bCs/>
                <w:color w:val="000000"/>
                <w:sz w:val="18"/>
                <w:szCs w:val="18"/>
              </w:rPr>
              <w:t xml:space="preserve"> Age</w:t>
            </w:r>
          </w:p>
        </w:tc>
        <w:tc>
          <w:tcPr>
            <w:tcW w:w="797" w:type="dxa"/>
            <w:shd w:val="clear" w:color="auto" w:fill="BFBFBF" w:themeFill="background1" w:themeFillShade="BF"/>
            <w:noWrap/>
            <w:vAlign w:val="bottom"/>
            <w:hideMark/>
          </w:tcPr>
          <w:p w14:paraId="38CF602D" w14:textId="3126A80B" w:rsidR="004B363E" w:rsidRPr="004B363E" w:rsidRDefault="004B363E" w:rsidP="004B363E">
            <w:pPr>
              <w:spacing w:after="0"/>
              <w:rPr>
                <w:rFonts w:eastAsia="Times New Roman" w:cstheme="minorHAnsi"/>
                <w:b/>
                <w:bCs/>
                <w:color w:val="000000"/>
                <w:sz w:val="18"/>
                <w:szCs w:val="18"/>
              </w:rPr>
            </w:pPr>
            <w:r>
              <w:rPr>
                <w:rFonts w:eastAsia="Times New Roman" w:cstheme="minorHAnsi"/>
                <w:b/>
                <w:bCs/>
                <w:color w:val="000000"/>
                <w:sz w:val="18"/>
                <w:szCs w:val="18"/>
              </w:rPr>
              <w:t>Gender</w:t>
            </w:r>
          </w:p>
        </w:tc>
        <w:tc>
          <w:tcPr>
            <w:tcW w:w="839" w:type="dxa"/>
            <w:shd w:val="clear" w:color="auto" w:fill="BFBFBF" w:themeFill="background1" w:themeFillShade="BF"/>
            <w:noWrap/>
            <w:vAlign w:val="bottom"/>
            <w:hideMark/>
          </w:tcPr>
          <w:p w14:paraId="06A9792A" w14:textId="0D87E71E" w:rsidR="004B363E" w:rsidRPr="004B363E" w:rsidRDefault="004B363E" w:rsidP="00E45D15">
            <w:pPr>
              <w:spacing w:after="0"/>
              <w:jc w:val="right"/>
              <w:rPr>
                <w:rFonts w:eastAsia="Times New Roman" w:cstheme="minorHAnsi"/>
                <w:b/>
                <w:bCs/>
                <w:color w:val="000000"/>
                <w:sz w:val="18"/>
                <w:szCs w:val="18"/>
              </w:rPr>
            </w:pPr>
            <w:r w:rsidRPr="004B363E">
              <w:rPr>
                <w:rFonts w:eastAsia="Times New Roman" w:cstheme="minorHAnsi"/>
                <w:b/>
                <w:bCs/>
                <w:color w:val="000000"/>
                <w:sz w:val="18"/>
                <w:szCs w:val="18"/>
              </w:rPr>
              <w:t>2014</w:t>
            </w:r>
            <w:r>
              <w:rPr>
                <w:rFonts w:eastAsia="Times New Roman" w:cstheme="minorHAnsi"/>
                <w:b/>
                <w:bCs/>
                <w:color w:val="000000"/>
                <w:sz w:val="18"/>
                <w:szCs w:val="18"/>
              </w:rPr>
              <w:t>-</w:t>
            </w:r>
            <w:r w:rsidRPr="004B363E">
              <w:rPr>
                <w:rFonts w:eastAsia="Times New Roman" w:cstheme="minorHAnsi"/>
                <w:b/>
                <w:bCs/>
                <w:color w:val="000000"/>
                <w:sz w:val="18"/>
                <w:szCs w:val="18"/>
              </w:rPr>
              <w:t>15</w:t>
            </w:r>
          </w:p>
        </w:tc>
        <w:tc>
          <w:tcPr>
            <w:tcW w:w="839" w:type="dxa"/>
            <w:shd w:val="clear" w:color="auto" w:fill="BFBFBF" w:themeFill="background1" w:themeFillShade="BF"/>
            <w:noWrap/>
            <w:vAlign w:val="bottom"/>
            <w:hideMark/>
          </w:tcPr>
          <w:p w14:paraId="2E99F96E" w14:textId="4EEE3C0D" w:rsidR="004B363E" w:rsidRPr="004B363E" w:rsidRDefault="004B363E" w:rsidP="00E45D15">
            <w:pPr>
              <w:spacing w:after="0"/>
              <w:jc w:val="right"/>
              <w:rPr>
                <w:rFonts w:eastAsia="Times New Roman" w:cstheme="minorHAnsi"/>
                <w:b/>
                <w:bCs/>
                <w:color w:val="000000"/>
                <w:sz w:val="18"/>
                <w:szCs w:val="18"/>
              </w:rPr>
            </w:pPr>
            <w:r w:rsidRPr="004B363E">
              <w:rPr>
                <w:rFonts w:eastAsia="Times New Roman" w:cstheme="minorHAnsi"/>
                <w:b/>
                <w:bCs/>
                <w:color w:val="000000"/>
                <w:sz w:val="18"/>
                <w:szCs w:val="18"/>
              </w:rPr>
              <w:t>2015</w:t>
            </w:r>
            <w:r>
              <w:rPr>
                <w:rFonts w:eastAsia="Times New Roman" w:cstheme="minorHAnsi"/>
                <w:b/>
                <w:bCs/>
                <w:color w:val="000000"/>
                <w:sz w:val="18"/>
                <w:szCs w:val="18"/>
              </w:rPr>
              <w:t>-</w:t>
            </w:r>
            <w:r w:rsidRPr="004B363E">
              <w:rPr>
                <w:rFonts w:eastAsia="Times New Roman" w:cstheme="minorHAnsi"/>
                <w:b/>
                <w:bCs/>
                <w:color w:val="000000"/>
                <w:sz w:val="18"/>
                <w:szCs w:val="18"/>
              </w:rPr>
              <w:t>16</w:t>
            </w:r>
          </w:p>
        </w:tc>
        <w:tc>
          <w:tcPr>
            <w:tcW w:w="841" w:type="dxa"/>
            <w:shd w:val="clear" w:color="auto" w:fill="BFBFBF" w:themeFill="background1" w:themeFillShade="BF"/>
            <w:noWrap/>
            <w:vAlign w:val="bottom"/>
            <w:hideMark/>
          </w:tcPr>
          <w:p w14:paraId="6402BB23" w14:textId="77777777" w:rsidR="004B363E" w:rsidRPr="004B363E" w:rsidRDefault="004B363E" w:rsidP="00E45D15">
            <w:pPr>
              <w:spacing w:after="0"/>
              <w:jc w:val="right"/>
              <w:rPr>
                <w:rFonts w:eastAsia="Times New Roman" w:cstheme="minorHAnsi"/>
                <w:b/>
                <w:bCs/>
                <w:color w:val="000000"/>
                <w:sz w:val="18"/>
                <w:szCs w:val="18"/>
              </w:rPr>
            </w:pPr>
            <w:r w:rsidRPr="004B363E">
              <w:rPr>
                <w:rFonts w:eastAsia="Times New Roman" w:cstheme="minorHAnsi"/>
                <w:b/>
                <w:bCs/>
                <w:color w:val="000000"/>
                <w:sz w:val="18"/>
                <w:szCs w:val="18"/>
              </w:rPr>
              <w:t>2016/17</w:t>
            </w:r>
          </w:p>
        </w:tc>
        <w:tc>
          <w:tcPr>
            <w:tcW w:w="839" w:type="dxa"/>
            <w:shd w:val="clear" w:color="auto" w:fill="BFBFBF" w:themeFill="background1" w:themeFillShade="BF"/>
            <w:noWrap/>
            <w:vAlign w:val="bottom"/>
            <w:hideMark/>
          </w:tcPr>
          <w:p w14:paraId="57D2272C" w14:textId="4217F2FE" w:rsidR="004B363E" w:rsidRPr="004B363E" w:rsidRDefault="004B363E" w:rsidP="00E45D15">
            <w:pPr>
              <w:spacing w:after="0"/>
              <w:jc w:val="right"/>
              <w:rPr>
                <w:rFonts w:eastAsia="Times New Roman" w:cstheme="minorHAnsi"/>
                <w:b/>
                <w:bCs/>
                <w:color w:val="000000"/>
                <w:sz w:val="18"/>
                <w:szCs w:val="18"/>
              </w:rPr>
            </w:pPr>
            <w:r w:rsidRPr="004B363E">
              <w:rPr>
                <w:rFonts w:eastAsia="Times New Roman" w:cstheme="minorHAnsi"/>
                <w:b/>
                <w:bCs/>
                <w:color w:val="000000"/>
                <w:sz w:val="18"/>
                <w:szCs w:val="18"/>
              </w:rPr>
              <w:t>2017</w:t>
            </w:r>
            <w:r>
              <w:rPr>
                <w:rFonts w:eastAsia="Times New Roman" w:cstheme="minorHAnsi"/>
                <w:b/>
                <w:bCs/>
                <w:color w:val="000000"/>
                <w:sz w:val="18"/>
                <w:szCs w:val="18"/>
              </w:rPr>
              <w:t>-</w:t>
            </w:r>
            <w:r w:rsidRPr="004B363E">
              <w:rPr>
                <w:rFonts w:eastAsia="Times New Roman" w:cstheme="minorHAnsi"/>
                <w:b/>
                <w:bCs/>
                <w:color w:val="000000"/>
                <w:sz w:val="18"/>
                <w:szCs w:val="18"/>
              </w:rPr>
              <w:t>18</w:t>
            </w:r>
          </w:p>
        </w:tc>
        <w:tc>
          <w:tcPr>
            <w:tcW w:w="840" w:type="dxa"/>
            <w:shd w:val="clear" w:color="auto" w:fill="BFBFBF" w:themeFill="background1" w:themeFillShade="BF"/>
            <w:noWrap/>
            <w:vAlign w:val="bottom"/>
            <w:hideMark/>
          </w:tcPr>
          <w:p w14:paraId="3435ADAF" w14:textId="2AF157A6" w:rsidR="004B363E" w:rsidRPr="004B363E" w:rsidRDefault="004B363E" w:rsidP="00E45D15">
            <w:pPr>
              <w:spacing w:after="0"/>
              <w:jc w:val="right"/>
              <w:rPr>
                <w:rFonts w:eastAsia="Times New Roman" w:cstheme="minorHAnsi"/>
                <w:b/>
                <w:bCs/>
                <w:color w:val="000000"/>
                <w:sz w:val="18"/>
                <w:szCs w:val="18"/>
              </w:rPr>
            </w:pPr>
            <w:r w:rsidRPr="004B363E">
              <w:rPr>
                <w:rFonts w:eastAsia="Times New Roman" w:cstheme="minorHAnsi"/>
                <w:b/>
                <w:bCs/>
                <w:color w:val="000000"/>
                <w:sz w:val="18"/>
                <w:szCs w:val="18"/>
              </w:rPr>
              <w:t>2018</w:t>
            </w:r>
            <w:r>
              <w:rPr>
                <w:rFonts w:eastAsia="Times New Roman" w:cstheme="minorHAnsi"/>
                <w:b/>
                <w:bCs/>
                <w:color w:val="000000"/>
                <w:sz w:val="18"/>
                <w:szCs w:val="18"/>
              </w:rPr>
              <w:t>-</w:t>
            </w:r>
            <w:r w:rsidRPr="004B363E">
              <w:rPr>
                <w:rFonts w:eastAsia="Times New Roman" w:cstheme="minorHAnsi"/>
                <w:b/>
                <w:bCs/>
                <w:color w:val="000000"/>
                <w:sz w:val="18"/>
                <w:szCs w:val="18"/>
              </w:rPr>
              <w:t>19</w:t>
            </w:r>
          </w:p>
        </w:tc>
        <w:tc>
          <w:tcPr>
            <w:tcW w:w="839" w:type="dxa"/>
            <w:shd w:val="clear" w:color="auto" w:fill="BFBFBF" w:themeFill="background1" w:themeFillShade="BF"/>
            <w:noWrap/>
            <w:vAlign w:val="bottom"/>
            <w:hideMark/>
          </w:tcPr>
          <w:p w14:paraId="0A54DF3B" w14:textId="5E21295D" w:rsidR="004B363E" w:rsidRPr="004B363E" w:rsidRDefault="004B363E" w:rsidP="00E45D15">
            <w:pPr>
              <w:spacing w:after="0"/>
              <w:jc w:val="right"/>
              <w:rPr>
                <w:rFonts w:eastAsia="Times New Roman" w:cstheme="minorHAnsi"/>
                <w:b/>
                <w:bCs/>
                <w:color w:val="000000"/>
                <w:sz w:val="18"/>
                <w:szCs w:val="18"/>
              </w:rPr>
            </w:pPr>
            <w:r w:rsidRPr="004B363E">
              <w:rPr>
                <w:rFonts w:eastAsia="Times New Roman" w:cstheme="minorHAnsi"/>
                <w:b/>
                <w:bCs/>
                <w:color w:val="000000"/>
                <w:sz w:val="18"/>
                <w:szCs w:val="18"/>
              </w:rPr>
              <w:t>2019</w:t>
            </w:r>
            <w:r>
              <w:rPr>
                <w:rFonts w:eastAsia="Times New Roman" w:cstheme="minorHAnsi"/>
                <w:b/>
                <w:bCs/>
                <w:color w:val="000000"/>
                <w:sz w:val="18"/>
                <w:szCs w:val="18"/>
              </w:rPr>
              <w:t>-</w:t>
            </w:r>
            <w:r w:rsidRPr="004B363E">
              <w:rPr>
                <w:rFonts w:eastAsia="Times New Roman" w:cstheme="minorHAnsi"/>
                <w:b/>
                <w:bCs/>
                <w:color w:val="000000"/>
                <w:sz w:val="18"/>
                <w:szCs w:val="18"/>
              </w:rPr>
              <w:t>20</w:t>
            </w:r>
          </w:p>
        </w:tc>
        <w:tc>
          <w:tcPr>
            <w:tcW w:w="839" w:type="dxa"/>
            <w:shd w:val="clear" w:color="auto" w:fill="BFBFBF" w:themeFill="background1" w:themeFillShade="BF"/>
            <w:noWrap/>
            <w:vAlign w:val="bottom"/>
            <w:hideMark/>
          </w:tcPr>
          <w:p w14:paraId="750486F0" w14:textId="69EF8BAE" w:rsidR="004B363E" w:rsidRPr="004B363E" w:rsidRDefault="004B363E" w:rsidP="00E45D15">
            <w:pPr>
              <w:spacing w:after="0"/>
              <w:jc w:val="right"/>
              <w:rPr>
                <w:rFonts w:eastAsia="Times New Roman" w:cstheme="minorHAnsi"/>
                <w:b/>
                <w:bCs/>
                <w:color w:val="000000"/>
                <w:sz w:val="18"/>
                <w:szCs w:val="18"/>
              </w:rPr>
            </w:pPr>
            <w:r w:rsidRPr="004B363E">
              <w:rPr>
                <w:rFonts w:eastAsia="Times New Roman" w:cstheme="minorHAnsi"/>
                <w:b/>
                <w:bCs/>
                <w:color w:val="000000"/>
                <w:sz w:val="18"/>
                <w:szCs w:val="18"/>
              </w:rPr>
              <w:t>2020</w:t>
            </w:r>
            <w:r>
              <w:rPr>
                <w:rFonts w:eastAsia="Times New Roman" w:cstheme="minorHAnsi"/>
                <w:b/>
                <w:bCs/>
                <w:color w:val="000000"/>
                <w:sz w:val="18"/>
                <w:szCs w:val="18"/>
              </w:rPr>
              <w:t>-</w:t>
            </w:r>
            <w:r w:rsidRPr="004B363E">
              <w:rPr>
                <w:rFonts w:eastAsia="Times New Roman" w:cstheme="minorHAnsi"/>
                <w:b/>
                <w:bCs/>
                <w:color w:val="000000"/>
                <w:sz w:val="18"/>
                <w:szCs w:val="18"/>
              </w:rPr>
              <w:t>21</w:t>
            </w:r>
          </w:p>
        </w:tc>
        <w:tc>
          <w:tcPr>
            <w:tcW w:w="839" w:type="dxa"/>
            <w:shd w:val="clear" w:color="auto" w:fill="BFBFBF" w:themeFill="background1" w:themeFillShade="BF"/>
            <w:noWrap/>
            <w:vAlign w:val="bottom"/>
            <w:hideMark/>
          </w:tcPr>
          <w:p w14:paraId="49B9A158" w14:textId="7EA33765" w:rsidR="004B363E" w:rsidRPr="004B363E" w:rsidRDefault="004B363E" w:rsidP="00E45D15">
            <w:pPr>
              <w:spacing w:after="0"/>
              <w:jc w:val="right"/>
              <w:rPr>
                <w:rFonts w:eastAsia="Times New Roman" w:cstheme="minorHAnsi"/>
                <w:b/>
                <w:bCs/>
                <w:color w:val="000000"/>
                <w:sz w:val="18"/>
                <w:szCs w:val="18"/>
              </w:rPr>
            </w:pPr>
            <w:r w:rsidRPr="004B363E">
              <w:rPr>
                <w:rFonts w:eastAsia="Times New Roman" w:cstheme="minorHAnsi"/>
                <w:b/>
                <w:bCs/>
                <w:color w:val="000000"/>
                <w:sz w:val="18"/>
                <w:szCs w:val="18"/>
              </w:rPr>
              <w:t>2021</w:t>
            </w:r>
            <w:r>
              <w:rPr>
                <w:rFonts w:eastAsia="Times New Roman" w:cstheme="minorHAnsi"/>
                <w:b/>
                <w:bCs/>
                <w:color w:val="000000"/>
                <w:sz w:val="18"/>
                <w:szCs w:val="18"/>
              </w:rPr>
              <w:t>-</w:t>
            </w:r>
            <w:r w:rsidRPr="004B363E">
              <w:rPr>
                <w:rFonts w:eastAsia="Times New Roman" w:cstheme="minorHAnsi"/>
                <w:b/>
                <w:bCs/>
                <w:color w:val="000000"/>
                <w:sz w:val="18"/>
                <w:szCs w:val="18"/>
              </w:rPr>
              <w:t>22</w:t>
            </w:r>
          </w:p>
        </w:tc>
        <w:tc>
          <w:tcPr>
            <w:tcW w:w="829" w:type="dxa"/>
            <w:shd w:val="clear" w:color="auto" w:fill="BFBFBF" w:themeFill="background1" w:themeFillShade="BF"/>
            <w:noWrap/>
            <w:vAlign w:val="bottom"/>
            <w:hideMark/>
          </w:tcPr>
          <w:p w14:paraId="716F860E" w14:textId="17D5D049" w:rsidR="004B363E" w:rsidRPr="004B363E" w:rsidRDefault="004B363E" w:rsidP="00E45D15">
            <w:pPr>
              <w:spacing w:after="0"/>
              <w:ind w:right="-93"/>
              <w:jc w:val="right"/>
              <w:rPr>
                <w:rFonts w:eastAsia="Times New Roman" w:cstheme="minorHAnsi"/>
                <w:b/>
                <w:bCs/>
                <w:color w:val="000000"/>
                <w:sz w:val="18"/>
                <w:szCs w:val="18"/>
              </w:rPr>
            </w:pPr>
            <w:r w:rsidRPr="004B363E">
              <w:rPr>
                <w:rFonts w:eastAsia="Times New Roman" w:cstheme="minorHAnsi"/>
                <w:b/>
                <w:bCs/>
                <w:color w:val="000000"/>
                <w:sz w:val="18"/>
                <w:szCs w:val="18"/>
              </w:rPr>
              <w:t>2022</w:t>
            </w:r>
            <w:r>
              <w:rPr>
                <w:rFonts w:eastAsia="Times New Roman" w:cstheme="minorHAnsi"/>
                <w:b/>
                <w:bCs/>
                <w:color w:val="000000"/>
                <w:sz w:val="18"/>
                <w:szCs w:val="18"/>
              </w:rPr>
              <w:t>-</w:t>
            </w:r>
            <w:r w:rsidRPr="004B363E">
              <w:rPr>
                <w:rFonts w:eastAsia="Times New Roman" w:cstheme="minorHAnsi"/>
                <w:b/>
                <w:bCs/>
                <w:color w:val="000000"/>
                <w:sz w:val="18"/>
                <w:szCs w:val="18"/>
              </w:rPr>
              <w:t>23</w:t>
            </w:r>
          </w:p>
        </w:tc>
      </w:tr>
      <w:tr w:rsidR="0051436D" w:rsidRPr="004B363E" w14:paraId="415E7A89" w14:textId="77777777" w:rsidTr="0051436D">
        <w:trPr>
          <w:trHeight w:val="288"/>
          <w:jc w:val="center"/>
        </w:trPr>
        <w:tc>
          <w:tcPr>
            <w:tcW w:w="941" w:type="dxa"/>
            <w:vMerge w:val="restart"/>
            <w:shd w:val="clear" w:color="auto" w:fill="auto"/>
            <w:noWrap/>
            <w:vAlign w:val="center"/>
            <w:hideMark/>
          </w:tcPr>
          <w:p w14:paraId="0D9D157F" w14:textId="77777777" w:rsidR="0051436D" w:rsidRPr="004B363E" w:rsidRDefault="0051436D" w:rsidP="0051436D">
            <w:pPr>
              <w:spacing w:after="0"/>
              <w:jc w:val="center"/>
              <w:rPr>
                <w:rFonts w:eastAsia="Times New Roman" w:cstheme="minorHAnsi"/>
                <w:b/>
                <w:bCs/>
                <w:color w:val="000000"/>
                <w:sz w:val="18"/>
                <w:szCs w:val="18"/>
              </w:rPr>
            </w:pPr>
            <w:r w:rsidRPr="004B363E">
              <w:rPr>
                <w:rFonts w:eastAsia="Times New Roman" w:cstheme="minorHAnsi"/>
                <w:b/>
                <w:bCs/>
                <w:color w:val="000000"/>
                <w:sz w:val="18"/>
                <w:szCs w:val="18"/>
              </w:rPr>
              <w:t>&lt;6 yrs</w:t>
            </w:r>
          </w:p>
        </w:tc>
        <w:tc>
          <w:tcPr>
            <w:tcW w:w="797" w:type="dxa"/>
            <w:shd w:val="clear" w:color="auto" w:fill="auto"/>
            <w:noWrap/>
            <w:vAlign w:val="bottom"/>
            <w:hideMark/>
          </w:tcPr>
          <w:p w14:paraId="5E4E739D" w14:textId="77777777" w:rsidR="0051436D" w:rsidRPr="004B363E" w:rsidRDefault="0051436D" w:rsidP="0051436D">
            <w:pPr>
              <w:spacing w:after="0"/>
              <w:rPr>
                <w:rFonts w:eastAsia="Times New Roman" w:cstheme="minorHAnsi"/>
                <w:sz w:val="18"/>
                <w:szCs w:val="18"/>
              </w:rPr>
            </w:pPr>
            <w:r w:rsidRPr="004B363E">
              <w:rPr>
                <w:rFonts w:eastAsia="Times New Roman" w:cstheme="minorHAnsi"/>
                <w:sz w:val="18"/>
                <w:szCs w:val="18"/>
              </w:rPr>
              <w:t>Male</w:t>
            </w:r>
          </w:p>
        </w:tc>
        <w:tc>
          <w:tcPr>
            <w:tcW w:w="839" w:type="dxa"/>
            <w:shd w:val="clear" w:color="auto" w:fill="auto"/>
            <w:noWrap/>
            <w:vAlign w:val="bottom"/>
            <w:hideMark/>
          </w:tcPr>
          <w:p w14:paraId="02B63D02" w14:textId="46530735"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1,568 </w:t>
            </w:r>
          </w:p>
        </w:tc>
        <w:tc>
          <w:tcPr>
            <w:tcW w:w="839" w:type="dxa"/>
            <w:shd w:val="clear" w:color="auto" w:fill="auto"/>
            <w:noWrap/>
            <w:vAlign w:val="bottom"/>
            <w:hideMark/>
          </w:tcPr>
          <w:p w14:paraId="244F2994" w14:textId="7A485F88"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1,784 </w:t>
            </w:r>
          </w:p>
        </w:tc>
        <w:tc>
          <w:tcPr>
            <w:tcW w:w="841" w:type="dxa"/>
            <w:shd w:val="clear" w:color="auto" w:fill="auto"/>
            <w:noWrap/>
            <w:vAlign w:val="bottom"/>
            <w:hideMark/>
          </w:tcPr>
          <w:p w14:paraId="0BFAE0EC" w14:textId="4585D818"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1,854 </w:t>
            </w:r>
          </w:p>
        </w:tc>
        <w:tc>
          <w:tcPr>
            <w:tcW w:w="839" w:type="dxa"/>
            <w:shd w:val="clear" w:color="auto" w:fill="auto"/>
            <w:noWrap/>
            <w:vAlign w:val="bottom"/>
            <w:hideMark/>
          </w:tcPr>
          <w:p w14:paraId="32937329" w14:textId="3ABFFBF1"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2,197 </w:t>
            </w:r>
          </w:p>
        </w:tc>
        <w:tc>
          <w:tcPr>
            <w:tcW w:w="840" w:type="dxa"/>
            <w:shd w:val="clear" w:color="auto" w:fill="auto"/>
            <w:noWrap/>
            <w:vAlign w:val="bottom"/>
            <w:hideMark/>
          </w:tcPr>
          <w:p w14:paraId="5DB5B2ED" w14:textId="7231239D"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2,628 </w:t>
            </w:r>
          </w:p>
        </w:tc>
        <w:tc>
          <w:tcPr>
            <w:tcW w:w="839" w:type="dxa"/>
            <w:shd w:val="clear" w:color="auto" w:fill="auto"/>
            <w:noWrap/>
            <w:vAlign w:val="bottom"/>
            <w:hideMark/>
          </w:tcPr>
          <w:p w14:paraId="1E9E0F6F" w14:textId="623040C9"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2,981 </w:t>
            </w:r>
          </w:p>
        </w:tc>
        <w:tc>
          <w:tcPr>
            <w:tcW w:w="839" w:type="dxa"/>
            <w:shd w:val="clear" w:color="auto" w:fill="auto"/>
            <w:noWrap/>
            <w:vAlign w:val="bottom"/>
            <w:hideMark/>
          </w:tcPr>
          <w:p w14:paraId="30C2C6EE" w14:textId="70323782"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3,273 </w:t>
            </w:r>
          </w:p>
        </w:tc>
        <w:tc>
          <w:tcPr>
            <w:tcW w:w="839" w:type="dxa"/>
            <w:shd w:val="clear" w:color="auto" w:fill="auto"/>
            <w:noWrap/>
            <w:vAlign w:val="bottom"/>
            <w:hideMark/>
          </w:tcPr>
          <w:p w14:paraId="3B565561" w14:textId="518863EC"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3,542 </w:t>
            </w:r>
          </w:p>
        </w:tc>
        <w:tc>
          <w:tcPr>
            <w:tcW w:w="829" w:type="dxa"/>
            <w:shd w:val="clear" w:color="auto" w:fill="auto"/>
            <w:noWrap/>
            <w:vAlign w:val="bottom"/>
            <w:hideMark/>
          </w:tcPr>
          <w:p w14:paraId="7A163790" w14:textId="786E2B93"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4,444 </w:t>
            </w:r>
          </w:p>
        </w:tc>
      </w:tr>
      <w:tr w:rsidR="0051436D" w:rsidRPr="004B363E" w14:paraId="1EAA2D7A" w14:textId="77777777" w:rsidTr="0051436D">
        <w:trPr>
          <w:trHeight w:val="288"/>
          <w:jc w:val="center"/>
        </w:trPr>
        <w:tc>
          <w:tcPr>
            <w:tcW w:w="941" w:type="dxa"/>
            <w:vMerge/>
            <w:shd w:val="clear" w:color="auto" w:fill="auto"/>
            <w:noWrap/>
            <w:vAlign w:val="center"/>
            <w:hideMark/>
          </w:tcPr>
          <w:p w14:paraId="608FB0E9" w14:textId="77777777" w:rsidR="0051436D" w:rsidRPr="004B363E" w:rsidRDefault="0051436D" w:rsidP="0051436D">
            <w:pPr>
              <w:spacing w:after="0"/>
              <w:jc w:val="center"/>
              <w:rPr>
                <w:rFonts w:eastAsia="Times New Roman" w:cstheme="minorHAnsi"/>
                <w:sz w:val="18"/>
                <w:szCs w:val="18"/>
              </w:rPr>
            </w:pPr>
          </w:p>
        </w:tc>
        <w:tc>
          <w:tcPr>
            <w:tcW w:w="797" w:type="dxa"/>
            <w:shd w:val="clear" w:color="auto" w:fill="auto"/>
            <w:noWrap/>
            <w:vAlign w:val="bottom"/>
            <w:hideMark/>
          </w:tcPr>
          <w:p w14:paraId="0382BE01" w14:textId="77777777" w:rsidR="0051436D" w:rsidRPr="004B363E" w:rsidRDefault="0051436D" w:rsidP="0051436D">
            <w:pPr>
              <w:spacing w:after="0"/>
              <w:rPr>
                <w:rFonts w:eastAsia="Times New Roman" w:cstheme="minorHAnsi"/>
                <w:sz w:val="18"/>
                <w:szCs w:val="18"/>
              </w:rPr>
            </w:pPr>
            <w:r w:rsidRPr="004B363E">
              <w:rPr>
                <w:rFonts w:eastAsia="Times New Roman" w:cstheme="minorHAnsi"/>
                <w:sz w:val="18"/>
                <w:szCs w:val="18"/>
              </w:rPr>
              <w:t>Female</w:t>
            </w:r>
          </w:p>
        </w:tc>
        <w:tc>
          <w:tcPr>
            <w:tcW w:w="839" w:type="dxa"/>
            <w:shd w:val="clear" w:color="auto" w:fill="auto"/>
            <w:noWrap/>
            <w:vAlign w:val="bottom"/>
            <w:hideMark/>
          </w:tcPr>
          <w:p w14:paraId="49BFDA4B" w14:textId="72597912"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402 </w:t>
            </w:r>
          </w:p>
        </w:tc>
        <w:tc>
          <w:tcPr>
            <w:tcW w:w="839" w:type="dxa"/>
            <w:shd w:val="clear" w:color="auto" w:fill="auto"/>
            <w:noWrap/>
            <w:vAlign w:val="bottom"/>
            <w:hideMark/>
          </w:tcPr>
          <w:p w14:paraId="60265659" w14:textId="6D86966E"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483 </w:t>
            </w:r>
          </w:p>
        </w:tc>
        <w:tc>
          <w:tcPr>
            <w:tcW w:w="841" w:type="dxa"/>
            <w:shd w:val="clear" w:color="auto" w:fill="auto"/>
            <w:noWrap/>
            <w:vAlign w:val="bottom"/>
            <w:hideMark/>
          </w:tcPr>
          <w:p w14:paraId="39CB6BC6" w14:textId="5F45F391"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457 </w:t>
            </w:r>
          </w:p>
        </w:tc>
        <w:tc>
          <w:tcPr>
            <w:tcW w:w="839" w:type="dxa"/>
            <w:shd w:val="clear" w:color="auto" w:fill="auto"/>
            <w:noWrap/>
            <w:vAlign w:val="bottom"/>
            <w:hideMark/>
          </w:tcPr>
          <w:p w14:paraId="4BF263CB" w14:textId="199DFA63"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496 </w:t>
            </w:r>
          </w:p>
        </w:tc>
        <w:tc>
          <w:tcPr>
            <w:tcW w:w="840" w:type="dxa"/>
            <w:shd w:val="clear" w:color="auto" w:fill="auto"/>
            <w:noWrap/>
            <w:vAlign w:val="bottom"/>
            <w:hideMark/>
          </w:tcPr>
          <w:p w14:paraId="2CEB4CEC" w14:textId="5C9B7357"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630 </w:t>
            </w:r>
          </w:p>
        </w:tc>
        <w:tc>
          <w:tcPr>
            <w:tcW w:w="839" w:type="dxa"/>
            <w:shd w:val="clear" w:color="auto" w:fill="auto"/>
            <w:noWrap/>
            <w:vAlign w:val="bottom"/>
            <w:hideMark/>
          </w:tcPr>
          <w:p w14:paraId="59F2BBF8" w14:textId="52A4C678"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762 </w:t>
            </w:r>
          </w:p>
        </w:tc>
        <w:tc>
          <w:tcPr>
            <w:tcW w:w="839" w:type="dxa"/>
            <w:shd w:val="clear" w:color="auto" w:fill="auto"/>
            <w:noWrap/>
            <w:vAlign w:val="bottom"/>
            <w:hideMark/>
          </w:tcPr>
          <w:p w14:paraId="502208D0" w14:textId="165EB8B9"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866 </w:t>
            </w:r>
          </w:p>
        </w:tc>
        <w:tc>
          <w:tcPr>
            <w:tcW w:w="839" w:type="dxa"/>
            <w:shd w:val="clear" w:color="auto" w:fill="auto"/>
            <w:noWrap/>
            <w:vAlign w:val="bottom"/>
            <w:hideMark/>
          </w:tcPr>
          <w:p w14:paraId="44B8E6BC" w14:textId="4AE13D7D"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1,060 </w:t>
            </w:r>
          </w:p>
        </w:tc>
        <w:tc>
          <w:tcPr>
            <w:tcW w:w="829" w:type="dxa"/>
            <w:shd w:val="clear" w:color="auto" w:fill="auto"/>
            <w:noWrap/>
            <w:vAlign w:val="bottom"/>
            <w:hideMark/>
          </w:tcPr>
          <w:p w14:paraId="0478859B" w14:textId="3E00CBA9"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1,241 </w:t>
            </w:r>
          </w:p>
        </w:tc>
      </w:tr>
      <w:tr w:rsidR="0051436D" w:rsidRPr="004B363E" w14:paraId="378FBA93" w14:textId="77777777" w:rsidTr="0051436D">
        <w:trPr>
          <w:trHeight w:val="288"/>
          <w:jc w:val="center"/>
        </w:trPr>
        <w:tc>
          <w:tcPr>
            <w:tcW w:w="941" w:type="dxa"/>
            <w:vMerge w:val="restart"/>
            <w:shd w:val="clear" w:color="auto" w:fill="DBE5F1" w:themeFill="accent1" w:themeFillTint="33"/>
            <w:noWrap/>
            <w:vAlign w:val="center"/>
            <w:hideMark/>
          </w:tcPr>
          <w:p w14:paraId="019F7492" w14:textId="77777777" w:rsidR="0051436D" w:rsidRPr="004B363E" w:rsidRDefault="0051436D" w:rsidP="0051436D">
            <w:pPr>
              <w:spacing w:after="0"/>
              <w:jc w:val="center"/>
              <w:rPr>
                <w:rFonts w:eastAsia="Times New Roman" w:cstheme="minorHAnsi"/>
                <w:b/>
                <w:bCs/>
                <w:color w:val="000000"/>
                <w:sz w:val="18"/>
                <w:szCs w:val="18"/>
              </w:rPr>
            </w:pPr>
            <w:r w:rsidRPr="004B363E">
              <w:rPr>
                <w:rFonts w:eastAsia="Times New Roman" w:cstheme="minorHAnsi"/>
                <w:b/>
                <w:bCs/>
                <w:color w:val="000000"/>
                <w:sz w:val="18"/>
                <w:szCs w:val="18"/>
              </w:rPr>
              <w:t>6-12 yrs</w:t>
            </w:r>
          </w:p>
        </w:tc>
        <w:tc>
          <w:tcPr>
            <w:tcW w:w="797" w:type="dxa"/>
            <w:shd w:val="clear" w:color="auto" w:fill="DBE5F1" w:themeFill="accent1" w:themeFillTint="33"/>
            <w:noWrap/>
            <w:vAlign w:val="bottom"/>
            <w:hideMark/>
          </w:tcPr>
          <w:p w14:paraId="5D47B0F2" w14:textId="77777777" w:rsidR="0051436D" w:rsidRPr="004B363E" w:rsidRDefault="0051436D" w:rsidP="0051436D">
            <w:pPr>
              <w:spacing w:after="0"/>
              <w:rPr>
                <w:rFonts w:eastAsia="Times New Roman" w:cstheme="minorHAnsi"/>
                <w:sz w:val="18"/>
                <w:szCs w:val="18"/>
              </w:rPr>
            </w:pPr>
            <w:r w:rsidRPr="004B363E">
              <w:rPr>
                <w:rFonts w:eastAsia="Times New Roman" w:cstheme="minorHAnsi"/>
                <w:sz w:val="18"/>
                <w:szCs w:val="18"/>
              </w:rPr>
              <w:t>Male</w:t>
            </w:r>
          </w:p>
        </w:tc>
        <w:tc>
          <w:tcPr>
            <w:tcW w:w="839" w:type="dxa"/>
            <w:shd w:val="clear" w:color="auto" w:fill="DBE5F1" w:themeFill="accent1" w:themeFillTint="33"/>
            <w:noWrap/>
            <w:vAlign w:val="bottom"/>
            <w:hideMark/>
          </w:tcPr>
          <w:p w14:paraId="225C1EB1" w14:textId="3F91F7C6"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11,143 </w:t>
            </w:r>
          </w:p>
        </w:tc>
        <w:tc>
          <w:tcPr>
            <w:tcW w:w="839" w:type="dxa"/>
            <w:shd w:val="clear" w:color="auto" w:fill="DBE5F1" w:themeFill="accent1" w:themeFillTint="33"/>
            <w:noWrap/>
            <w:vAlign w:val="bottom"/>
            <w:hideMark/>
          </w:tcPr>
          <w:p w14:paraId="43122506" w14:textId="5DDB378D"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12,559 </w:t>
            </w:r>
          </w:p>
        </w:tc>
        <w:tc>
          <w:tcPr>
            <w:tcW w:w="841" w:type="dxa"/>
            <w:shd w:val="clear" w:color="auto" w:fill="DBE5F1" w:themeFill="accent1" w:themeFillTint="33"/>
            <w:noWrap/>
            <w:vAlign w:val="bottom"/>
            <w:hideMark/>
          </w:tcPr>
          <w:p w14:paraId="2A231DEA" w14:textId="3DEF0725"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13,213 </w:t>
            </w:r>
          </w:p>
        </w:tc>
        <w:tc>
          <w:tcPr>
            <w:tcW w:w="839" w:type="dxa"/>
            <w:shd w:val="clear" w:color="auto" w:fill="DBE5F1" w:themeFill="accent1" w:themeFillTint="33"/>
            <w:noWrap/>
            <w:vAlign w:val="bottom"/>
            <w:hideMark/>
          </w:tcPr>
          <w:p w14:paraId="203F5F78" w14:textId="15F1F800"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14,778 </w:t>
            </w:r>
          </w:p>
        </w:tc>
        <w:tc>
          <w:tcPr>
            <w:tcW w:w="840" w:type="dxa"/>
            <w:shd w:val="clear" w:color="auto" w:fill="DBE5F1" w:themeFill="accent1" w:themeFillTint="33"/>
            <w:noWrap/>
            <w:vAlign w:val="bottom"/>
            <w:hideMark/>
          </w:tcPr>
          <w:p w14:paraId="3A3E40AE" w14:textId="7EC3DE81"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17,435 </w:t>
            </w:r>
          </w:p>
        </w:tc>
        <w:tc>
          <w:tcPr>
            <w:tcW w:w="839" w:type="dxa"/>
            <w:shd w:val="clear" w:color="auto" w:fill="DBE5F1" w:themeFill="accent1" w:themeFillTint="33"/>
            <w:noWrap/>
            <w:vAlign w:val="bottom"/>
            <w:hideMark/>
          </w:tcPr>
          <w:p w14:paraId="014434FF" w14:textId="3B3BF825"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18,847 </w:t>
            </w:r>
          </w:p>
        </w:tc>
        <w:tc>
          <w:tcPr>
            <w:tcW w:w="839" w:type="dxa"/>
            <w:shd w:val="clear" w:color="auto" w:fill="DBE5F1" w:themeFill="accent1" w:themeFillTint="33"/>
            <w:noWrap/>
            <w:vAlign w:val="bottom"/>
            <w:hideMark/>
          </w:tcPr>
          <w:p w14:paraId="30B1CFB0" w14:textId="06AB71E5"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21,882 </w:t>
            </w:r>
          </w:p>
        </w:tc>
        <w:tc>
          <w:tcPr>
            <w:tcW w:w="839" w:type="dxa"/>
            <w:shd w:val="clear" w:color="auto" w:fill="DBE5F1" w:themeFill="accent1" w:themeFillTint="33"/>
            <w:noWrap/>
            <w:vAlign w:val="bottom"/>
            <w:hideMark/>
          </w:tcPr>
          <w:p w14:paraId="30795D7E" w14:textId="7A3D187B"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24,152 </w:t>
            </w:r>
          </w:p>
        </w:tc>
        <w:tc>
          <w:tcPr>
            <w:tcW w:w="829" w:type="dxa"/>
            <w:shd w:val="clear" w:color="auto" w:fill="DBE5F1" w:themeFill="accent1" w:themeFillTint="33"/>
            <w:noWrap/>
            <w:vAlign w:val="bottom"/>
            <w:hideMark/>
          </w:tcPr>
          <w:p w14:paraId="3B0485D9" w14:textId="14E13307"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29,155 </w:t>
            </w:r>
          </w:p>
        </w:tc>
      </w:tr>
      <w:tr w:rsidR="0051436D" w:rsidRPr="004B363E" w14:paraId="39EAE64F" w14:textId="77777777" w:rsidTr="0051436D">
        <w:trPr>
          <w:trHeight w:val="288"/>
          <w:jc w:val="center"/>
        </w:trPr>
        <w:tc>
          <w:tcPr>
            <w:tcW w:w="941" w:type="dxa"/>
            <w:vMerge/>
            <w:shd w:val="clear" w:color="auto" w:fill="DBE5F1" w:themeFill="accent1" w:themeFillTint="33"/>
            <w:noWrap/>
            <w:vAlign w:val="center"/>
            <w:hideMark/>
          </w:tcPr>
          <w:p w14:paraId="1FF56861" w14:textId="77777777" w:rsidR="0051436D" w:rsidRPr="004B363E" w:rsidRDefault="0051436D" w:rsidP="0051436D">
            <w:pPr>
              <w:spacing w:after="0"/>
              <w:jc w:val="center"/>
              <w:rPr>
                <w:rFonts w:eastAsia="Times New Roman" w:cstheme="minorHAnsi"/>
                <w:sz w:val="18"/>
                <w:szCs w:val="18"/>
              </w:rPr>
            </w:pPr>
          </w:p>
        </w:tc>
        <w:tc>
          <w:tcPr>
            <w:tcW w:w="797" w:type="dxa"/>
            <w:shd w:val="clear" w:color="auto" w:fill="DBE5F1" w:themeFill="accent1" w:themeFillTint="33"/>
            <w:noWrap/>
            <w:vAlign w:val="bottom"/>
            <w:hideMark/>
          </w:tcPr>
          <w:p w14:paraId="24B215F3" w14:textId="77777777" w:rsidR="0051436D" w:rsidRPr="004B363E" w:rsidRDefault="0051436D" w:rsidP="0051436D">
            <w:pPr>
              <w:spacing w:after="0"/>
              <w:rPr>
                <w:rFonts w:eastAsia="Times New Roman" w:cstheme="minorHAnsi"/>
                <w:sz w:val="18"/>
                <w:szCs w:val="18"/>
              </w:rPr>
            </w:pPr>
            <w:r w:rsidRPr="004B363E">
              <w:rPr>
                <w:rFonts w:eastAsia="Times New Roman" w:cstheme="minorHAnsi"/>
                <w:sz w:val="18"/>
                <w:szCs w:val="18"/>
              </w:rPr>
              <w:t>Female</w:t>
            </w:r>
          </w:p>
        </w:tc>
        <w:tc>
          <w:tcPr>
            <w:tcW w:w="839" w:type="dxa"/>
            <w:shd w:val="clear" w:color="auto" w:fill="DBE5F1" w:themeFill="accent1" w:themeFillTint="33"/>
            <w:noWrap/>
            <w:vAlign w:val="bottom"/>
            <w:hideMark/>
          </w:tcPr>
          <w:p w14:paraId="5F00D468" w14:textId="1E6F4F43"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3,171 </w:t>
            </w:r>
          </w:p>
        </w:tc>
        <w:tc>
          <w:tcPr>
            <w:tcW w:w="839" w:type="dxa"/>
            <w:shd w:val="clear" w:color="auto" w:fill="DBE5F1" w:themeFill="accent1" w:themeFillTint="33"/>
            <w:noWrap/>
            <w:vAlign w:val="bottom"/>
            <w:hideMark/>
          </w:tcPr>
          <w:p w14:paraId="3DE17E69" w14:textId="2F408E44"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3,678 </w:t>
            </w:r>
          </w:p>
        </w:tc>
        <w:tc>
          <w:tcPr>
            <w:tcW w:w="841" w:type="dxa"/>
            <w:shd w:val="clear" w:color="auto" w:fill="DBE5F1" w:themeFill="accent1" w:themeFillTint="33"/>
            <w:noWrap/>
            <w:vAlign w:val="bottom"/>
            <w:hideMark/>
          </w:tcPr>
          <w:p w14:paraId="0EBB59D0" w14:textId="5A9E80C5"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4,025 </w:t>
            </w:r>
          </w:p>
        </w:tc>
        <w:tc>
          <w:tcPr>
            <w:tcW w:w="839" w:type="dxa"/>
            <w:shd w:val="clear" w:color="auto" w:fill="DBE5F1" w:themeFill="accent1" w:themeFillTint="33"/>
            <w:noWrap/>
            <w:vAlign w:val="bottom"/>
            <w:hideMark/>
          </w:tcPr>
          <w:p w14:paraId="447147F8" w14:textId="0DBEFD01"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4,813 </w:t>
            </w:r>
          </w:p>
        </w:tc>
        <w:tc>
          <w:tcPr>
            <w:tcW w:w="840" w:type="dxa"/>
            <w:shd w:val="clear" w:color="auto" w:fill="DBE5F1" w:themeFill="accent1" w:themeFillTint="33"/>
            <w:noWrap/>
            <w:vAlign w:val="bottom"/>
            <w:hideMark/>
          </w:tcPr>
          <w:p w14:paraId="48E2D2E7" w14:textId="72FCD75E"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5,821 </w:t>
            </w:r>
          </w:p>
        </w:tc>
        <w:tc>
          <w:tcPr>
            <w:tcW w:w="839" w:type="dxa"/>
            <w:shd w:val="clear" w:color="auto" w:fill="DBE5F1" w:themeFill="accent1" w:themeFillTint="33"/>
            <w:noWrap/>
            <w:vAlign w:val="bottom"/>
            <w:hideMark/>
          </w:tcPr>
          <w:p w14:paraId="40C1D1A4" w14:textId="68DF2057"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6,794 </w:t>
            </w:r>
          </w:p>
        </w:tc>
        <w:tc>
          <w:tcPr>
            <w:tcW w:w="839" w:type="dxa"/>
            <w:shd w:val="clear" w:color="auto" w:fill="DBE5F1" w:themeFill="accent1" w:themeFillTint="33"/>
            <w:noWrap/>
            <w:vAlign w:val="bottom"/>
            <w:hideMark/>
          </w:tcPr>
          <w:p w14:paraId="669465BB" w14:textId="52E898B9"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8,349 </w:t>
            </w:r>
          </w:p>
        </w:tc>
        <w:tc>
          <w:tcPr>
            <w:tcW w:w="839" w:type="dxa"/>
            <w:shd w:val="clear" w:color="auto" w:fill="DBE5F1" w:themeFill="accent1" w:themeFillTint="33"/>
            <w:noWrap/>
            <w:vAlign w:val="bottom"/>
            <w:hideMark/>
          </w:tcPr>
          <w:p w14:paraId="660F9903" w14:textId="4037D95C"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10,568 </w:t>
            </w:r>
          </w:p>
        </w:tc>
        <w:tc>
          <w:tcPr>
            <w:tcW w:w="829" w:type="dxa"/>
            <w:shd w:val="clear" w:color="auto" w:fill="DBE5F1" w:themeFill="accent1" w:themeFillTint="33"/>
            <w:noWrap/>
            <w:vAlign w:val="bottom"/>
            <w:hideMark/>
          </w:tcPr>
          <w:p w14:paraId="7F6DFF5F" w14:textId="399A6455"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13,725 </w:t>
            </w:r>
          </w:p>
        </w:tc>
      </w:tr>
      <w:tr w:rsidR="0051436D" w:rsidRPr="004B363E" w14:paraId="1DED623D" w14:textId="77777777" w:rsidTr="0051436D">
        <w:trPr>
          <w:trHeight w:val="288"/>
          <w:jc w:val="center"/>
        </w:trPr>
        <w:tc>
          <w:tcPr>
            <w:tcW w:w="941" w:type="dxa"/>
            <w:vMerge w:val="restart"/>
            <w:shd w:val="clear" w:color="auto" w:fill="auto"/>
            <w:noWrap/>
            <w:vAlign w:val="center"/>
            <w:hideMark/>
          </w:tcPr>
          <w:p w14:paraId="039235DA" w14:textId="77777777" w:rsidR="0051436D" w:rsidRPr="004B363E" w:rsidRDefault="0051436D" w:rsidP="0051436D">
            <w:pPr>
              <w:spacing w:after="0"/>
              <w:jc w:val="center"/>
              <w:rPr>
                <w:rFonts w:eastAsia="Times New Roman" w:cstheme="minorHAnsi"/>
                <w:b/>
                <w:bCs/>
                <w:color w:val="000000"/>
                <w:sz w:val="18"/>
                <w:szCs w:val="18"/>
              </w:rPr>
            </w:pPr>
            <w:r w:rsidRPr="004B363E">
              <w:rPr>
                <w:rFonts w:eastAsia="Times New Roman" w:cstheme="minorHAnsi"/>
                <w:b/>
                <w:bCs/>
                <w:color w:val="000000"/>
                <w:sz w:val="18"/>
                <w:szCs w:val="18"/>
              </w:rPr>
              <w:t>13-18 yrs</w:t>
            </w:r>
          </w:p>
        </w:tc>
        <w:tc>
          <w:tcPr>
            <w:tcW w:w="797" w:type="dxa"/>
            <w:shd w:val="clear" w:color="auto" w:fill="auto"/>
            <w:noWrap/>
            <w:vAlign w:val="bottom"/>
            <w:hideMark/>
          </w:tcPr>
          <w:p w14:paraId="1B2894CF" w14:textId="77777777" w:rsidR="0051436D" w:rsidRPr="004B363E" w:rsidRDefault="0051436D" w:rsidP="0051436D">
            <w:pPr>
              <w:spacing w:after="0"/>
              <w:rPr>
                <w:rFonts w:eastAsia="Times New Roman" w:cstheme="minorHAnsi"/>
                <w:sz w:val="18"/>
                <w:szCs w:val="18"/>
              </w:rPr>
            </w:pPr>
            <w:r w:rsidRPr="004B363E">
              <w:rPr>
                <w:rFonts w:eastAsia="Times New Roman" w:cstheme="minorHAnsi"/>
                <w:sz w:val="18"/>
                <w:szCs w:val="18"/>
              </w:rPr>
              <w:t>Male</w:t>
            </w:r>
          </w:p>
        </w:tc>
        <w:tc>
          <w:tcPr>
            <w:tcW w:w="839" w:type="dxa"/>
            <w:shd w:val="clear" w:color="auto" w:fill="auto"/>
            <w:noWrap/>
            <w:vAlign w:val="bottom"/>
            <w:hideMark/>
          </w:tcPr>
          <w:p w14:paraId="7EE18DE8" w14:textId="7307D669"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3,007 </w:t>
            </w:r>
          </w:p>
        </w:tc>
        <w:tc>
          <w:tcPr>
            <w:tcW w:w="839" w:type="dxa"/>
            <w:shd w:val="clear" w:color="auto" w:fill="auto"/>
            <w:noWrap/>
            <w:vAlign w:val="bottom"/>
            <w:hideMark/>
          </w:tcPr>
          <w:p w14:paraId="2E0DECC7" w14:textId="0EB96991"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3,039 </w:t>
            </w:r>
          </w:p>
        </w:tc>
        <w:tc>
          <w:tcPr>
            <w:tcW w:w="841" w:type="dxa"/>
            <w:shd w:val="clear" w:color="auto" w:fill="auto"/>
            <w:noWrap/>
            <w:vAlign w:val="bottom"/>
            <w:hideMark/>
          </w:tcPr>
          <w:p w14:paraId="67414C8E" w14:textId="7A13970B"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3,058 </w:t>
            </w:r>
          </w:p>
        </w:tc>
        <w:tc>
          <w:tcPr>
            <w:tcW w:w="839" w:type="dxa"/>
            <w:shd w:val="clear" w:color="auto" w:fill="auto"/>
            <w:noWrap/>
            <w:vAlign w:val="bottom"/>
            <w:hideMark/>
          </w:tcPr>
          <w:p w14:paraId="4F22E19D" w14:textId="5C968A1D"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3,288 </w:t>
            </w:r>
          </w:p>
        </w:tc>
        <w:tc>
          <w:tcPr>
            <w:tcW w:w="840" w:type="dxa"/>
            <w:shd w:val="clear" w:color="auto" w:fill="auto"/>
            <w:noWrap/>
            <w:vAlign w:val="bottom"/>
            <w:hideMark/>
          </w:tcPr>
          <w:p w14:paraId="083631CF" w14:textId="163D63F6"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3,993 </w:t>
            </w:r>
          </w:p>
        </w:tc>
        <w:tc>
          <w:tcPr>
            <w:tcW w:w="839" w:type="dxa"/>
            <w:shd w:val="clear" w:color="auto" w:fill="auto"/>
            <w:noWrap/>
            <w:vAlign w:val="bottom"/>
            <w:hideMark/>
          </w:tcPr>
          <w:p w14:paraId="222189A6" w14:textId="4C309DA6"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4,897 </w:t>
            </w:r>
          </w:p>
        </w:tc>
        <w:tc>
          <w:tcPr>
            <w:tcW w:w="839" w:type="dxa"/>
            <w:shd w:val="clear" w:color="auto" w:fill="auto"/>
            <w:noWrap/>
            <w:vAlign w:val="bottom"/>
            <w:hideMark/>
          </w:tcPr>
          <w:p w14:paraId="7BAA68A9" w14:textId="001CB583"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6,136 </w:t>
            </w:r>
          </w:p>
        </w:tc>
        <w:tc>
          <w:tcPr>
            <w:tcW w:w="839" w:type="dxa"/>
            <w:shd w:val="clear" w:color="auto" w:fill="auto"/>
            <w:noWrap/>
            <w:vAlign w:val="bottom"/>
            <w:hideMark/>
          </w:tcPr>
          <w:p w14:paraId="537E26E9" w14:textId="686C0BA6"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7,845 </w:t>
            </w:r>
          </w:p>
        </w:tc>
        <w:tc>
          <w:tcPr>
            <w:tcW w:w="829" w:type="dxa"/>
            <w:shd w:val="clear" w:color="auto" w:fill="auto"/>
            <w:noWrap/>
            <w:vAlign w:val="bottom"/>
            <w:hideMark/>
          </w:tcPr>
          <w:p w14:paraId="29A79AE1" w14:textId="1407CDD4"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9,912 </w:t>
            </w:r>
          </w:p>
        </w:tc>
      </w:tr>
      <w:tr w:rsidR="0051436D" w:rsidRPr="004B363E" w14:paraId="666F5714" w14:textId="77777777" w:rsidTr="0051436D">
        <w:trPr>
          <w:trHeight w:val="288"/>
          <w:jc w:val="center"/>
        </w:trPr>
        <w:tc>
          <w:tcPr>
            <w:tcW w:w="941" w:type="dxa"/>
            <w:vMerge/>
            <w:shd w:val="clear" w:color="auto" w:fill="auto"/>
            <w:noWrap/>
            <w:vAlign w:val="center"/>
            <w:hideMark/>
          </w:tcPr>
          <w:p w14:paraId="36DE6FFD" w14:textId="77777777" w:rsidR="0051436D" w:rsidRPr="004B363E" w:rsidRDefault="0051436D" w:rsidP="0051436D">
            <w:pPr>
              <w:spacing w:after="0"/>
              <w:jc w:val="center"/>
              <w:rPr>
                <w:rFonts w:eastAsia="Times New Roman" w:cstheme="minorHAnsi"/>
                <w:sz w:val="18"/>
                <w:szCs w:val="18"/>
              </w:rPr>
            </w:pPr>
          </w:p>
        </w:tc>
        <w:tc>
          <w:tcPr>
            <w:tcW w:w="797" w:type="dxa"/>
            <w:shd w:val="clear" w:color="auto" w:fill="auto"/>
            <w:noWrap/>
            <w:vAlign w:val="bottom"/>
            <w:hideMark/>
          </w:tcPr>
          <w:p w14:paraId="0E7B0EBC" w14:textId="77777777" w:rsidR="0051436D" w:rsidRPr="004B363E" w:rsidRDefault="0051436D" w:rsidP="0051436D">
            <w:pPr>
              <w:spacing w:after="0"/>
              <w:rPr>
                <w:rFonts w:eastAsia="Times New Roman" w:cstheme="minorHAnsi"/>
                <w:sz w:val="18"/>
                <w:szCs w:val="18"/>
              </w:rPr>
            </w:pPr>
            <w:r w:rsidRPr="004B363E">
              <w:rPr>
                <w:rFonts w:eastAsia="Times New Roman" w:cstheme="minorHAnsi"/>
                <w:sz w:val="18"/>
                <w:szCs w:val="18"/>
              </w:rPr>
              <w:t>Female</w:t>
            </w:r>
          </w:p>
        </w:tc>
        <w:tc>
          <w:tcPr>
            <w:tcW w:w="839" w:type="dxa"/>
            <w:shd w:val="clear" w:color="auto" w:fill="auto"/>
            <w:noWrap/>
            <w:vAlign w:val="bottom"/>
            <w:hideMark/>
          </w:tcPr>
          <w:p w14:paraId="21F10343" w14:textId="0A6FFCCF"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1,435 </w:t>
            </w:r>
          </w:p>
        </w:tc>
        <w:tc>
          <w:tcPr>
            <w:tcW w:w="839" w:type="dxa"/>
            <w:shd w:val="clear" w:color="auto" w:fill="auto"/>
            <w:noWrap/>
            <w:vAlign w:val="bottom"/>
            <w:hideMark/>
          </w:tcPr>
          <w:p w14:paraId="3616E753" w14:textId="05424CEC"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1,541 </w:t>
            </w:r>
          </w:p>
        </w:tc>
        <w:tc>
          <w:tcPr>
            <w:tcW w:w="841" w:type="dxa"/>
            <w:shd w:val="clear" w:color="auto" w:fill="auto"/>
            <w:noWrap/>
            <w:vAlign w:val="bottom"/>
            <w:hideMark/>
          </w:tcPr>
          <w:p w14:paraId="27B527A8" w14:textId="5B8DA44B"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1,575 </w:t>
            </w:r>
          </w:p>
        </w:tc>
        <w:tc>
          <w:tcPr>
            <w:tcW w:w="839" w:type="dxa"/>
            <w:shd w:val="clear" w:color="auto" w:fill="auto"/>
            <w:noWrap/>
            <w:vAlign w:val="bottom"/>
            <w:hideMark/>
          </w:tcPr>
          <w:p w14:paraId="6BBF1CF7" w14:textId="63E4B1AD"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1,866 </w:t>
            </w:r>
          </w:p>
        </w:tc>
        <w:tc>
          <w:tcPr>
            <w:tcW w:w="840" w:type="dxa"/>
            <w:shd w:val="clear" w:color="auto" w:fill="auto"/>
            <w:noWrap/>
            <w:vAlign w:val="bottom"/>
            <w:hideMark/>
          </w:tcPr>
          <w:p w14:paraId="1DC70DC5" w14:textId="57813148"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2,479 </w:t>
            </w:r>
          </w:p>
        </w:tc>
        <w:tc>
          <w:tcPr>
            <w:tcW w:w="839" w:type="dxa"/>
            <w:shd w:val="clear" w:color="auto" w:fill="auto"/>
            <w:noWrap/>
            <w:vAlign w:val="bottom"/>
            <w:hideMark/>
          </w:tcPr>
          <w:p w14:paraId="7867F08A" w14:textId="124C8587"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3,417 </w:t>
            </w:r>
          </w:p>
        </w:tc>
        <w:tc>
          <w:tcPr>
            <w:tcW w:w="839" w:type="dxa"/>
            <w:shd w:val="clear" w:color="auto" w:fill="auto"/>
            <w:noWrap/>
            <w:vAlign w:val="bottom"/>
            <w:hideMark/>
          </w:tcPr>
          <w:p w14:paraId="4683E441" w14:textId="1CAB54E0"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6,160 </w:t>
            </w:r>
          </w:p>
        </w:tc>
        <w:tc>
          <w:tcPr>
            <w:tcW w:w="839" w:type="dxa"/>
            <w:shd w:val="clear" w:color="auto" w:fill="auto"/>
            <w:noWrap/>
            <w:vAlign w:val="bottom"/>
            <w:hideMark/>
          </w:tcPr>
          <w:p w14:paraId="4CD870D9" w14:textId="73E3DE21"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9,058 </w:t>
            </w:r>
          </w:p>
        </w:tc>
        <w:tc>
          <w:tcPr>
            <w:tcW w:w="829" w:type="dxa"/>
            <w:shd w:val="clear" w:color="auto" w:fill="auto"/>
            <w:noWrap/>
            <w:vAlign w:val="bottom"/>
            <w:hideMark/>
          </w:tcPr>
          <w:p w14:paraId="266E0981" w14:textId="07CD8024"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11,270 </w:t>
            </w:r>
          </w:p>
        </w:tc>
      </w:tr>
      <w:tr w:rsidR="0051436D" w:rsidRPr="004B363E" w14:paraId="66B74A4A" w14:textId="77777777" w:rsidTr="0051436D">
        <w:trPr>
          <w:trHeight w:val="288"/>
          <w:jc w:val="center"/>
        </w:trPr>
        <w:tc>
          <w:tcPr>
            <w:tcW w:w="941" w:type="dxa"/>
            <w:vMerge w:val="restart"/>
            <w:shd w:val="clear" w:color="auto" w:fill="DBE5F1" w:themeFill="accent1" w:themeFillTint="33"/>
            <w:noWrap/>
            <w:vAlign w:val="center"/>
            <w:hideMark/>
          </w:tcPr>
          <w:p w14:paraId="586C8377" w14:textId="77777777" w:rsidR="0051436D" w:rsidRPr="004B363E" w:rsidRDefault="0051436D" w:rsidP="0051436D">
            <w:pPr>
              <w:spacing w:after="0"/>
              <w:jc w:val="center"/>
              <w:rPr>
                <w:rFonts w:eastAsia="Times New Roman" w:cstheme="minorHAnsi"/>
                <w:b/>
                <w:bCs/>
                <w:color w:val="000000"/>
                <w:sz w:val="18"/>
                <w:szCs w:val="18"/>
              </w:rPr>
            </w:pPr>
            <w:r w:rsidRPr="004B363E">
              <w:rPr>
                <w:rFonts w:eastAsia="Times New Roman" w:cstheme="minorHAnsi"/>
                <w:b/>
                <w:bCs/>
                <w:color w:val="000000"/>
                <w:sz w:val="18"/>
                <w:szCs w:val="18"/>
              </w:rPr>
              <w:t>&gt;18 yrs</w:t>
            </w:r>
          </w:p>
        </w:tc>
        <w:tc>
          <w:tcPr>
            <w:tcW w:w="797" w:type="dxa"/>
            <w:shd w:val="clear" w:color="auto" w:fill="DBE5F1" w:themeFill="accent1" w:themeFillTint="33"/>
            <w:noWrap/>
            <w:vAlign w:val="bottom"/>
            <w:hideMark/>
          </w:tcPr>
          <w:p w14:paraId="55FC46F8" w14:textId="77777777" w:rsidR="0051436D" w:rsidRPr="004B363E" w:rsidRDefault="0051436D" w:rsidP="0051436D">
            <w:pPr>
              <w:spacing w:after="0"/>
              <w:rPr>
                <w:rFonts w:eastAsia="Times New Roman" w:cstheme="minorHAnsi"/>
                <w:sz w:val="18"/>
                <w:szCs w:val="18"/>
              </w:rPr>
            </w:pPr>
            <w:r w:rsidRPr="004B363E">
              <w:rPr>
                <w:rFonts w:eastAsia="Times New Roman" w:cstheme="minorHAnsi"/>
                <w:sz w:val="18"/>
                <w:szCs w:val="18"/>
              </w:rPr>
              <w:t>Male</w:t>
            </w:r>
          </w:p>
        </w:tc>
        <w:tc>
          <w:tcPr>
            <w:tcW w:w="839" w:type="dxa"/>
            <w:shd w:val="clear" w:color="auto" w:fill="DBE5F1" w:themeFill="accent1" w:themeFillTint="33"/>
            <w:noWrap/>
            <w:vAlign w:val="bottom"/>
            <w:hideMark/>
          </w:tcPr>
          <w:p w14:paraId="4A3B70A9" w14:textId="71B9AB22"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5,814 </w:t>
            </w:r>
          </w:p>
        </w:tc>
        <w:tc>
          <w:tcPr>
            <w:tcW w:w="839" w:type="dxa"/>
            <w:shd w:val="clear" w:color="auto" w:fill="DBE5F1" w:themeFill="accent1" w:themeFillTint="33"/>
            <w:noWrap/>
            <w:vAlign w:val="bottom"/>
            <w:hideMark/>
          </w:tcPr>
          <w:p w14:paraId="655DD1B1" w14:textId="7AE7312F"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6,342 </w:t>
            </w:r>
          </w:p>
        </w:tc>
        <w:tc>
          <w:tcPr>
            <w:tcW w:w="841" w:type="dxa"/>
            <w:shd w:val="clear" w:color="auto" w:fill="DBE5F1" w:themeFill="accent1" w:themeFillTint="33"/>
            <w:noWrap/>
            <w:vAlign w:val="bottom"/>
            <w:hideMark/>
          </w:tcPr>
          <w:p w14:paraId="5B426C62" w14:textId="1256BF67"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6,592 </w:t>
            </w:r>
          </w:p>
        </w:tc>
        <w:tc>
          <w:tcPr>
            <w:tcW w:w="839" w:type="dxa"/>
            <w:shd w:val="clear" w:color="auto" w:fill="DBE5F1" w:themeFill="accent1" w:themeFillTint="33"/>
            <w:noWrap/>
            <w:vAlign w:val="bottom"/>
            <w:hideMark/>
          </w:tcPr>
          <w:p w14:paraId="1E44D9D3" w14:textId="24F9987A"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7,359 </w:t>
            </w:r>
          </w:p>
        </w:tc>
        <w:tc>
          <w:tcPr>
            <w:tcW w:w="840" w:type="dxa"/>
            <w:shd w:val="clear" w:color="auto" w:fill="DBE5F1" w:themeFill="accent1" w:themeFillTint="33"/>
            <w:noWrap/>
            <w:vAlign w:val="bottom"/>
            <w:hideMark/>
          </w:tcPr>
          <w:p w14:paraId="52652E8C" w14:textId="165B53CB"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8,495 </w:t>
            </w:r>
          </w:p>
        </w:tc>
        <w:tc>
          <w:tcPr>
            <w:tcW w:w="839" w:type="dxa"/>
            <w:shd w:val="clear" w:color="auto" w:fill="DBE5F1" w:themeFill="accent1" w:themeFillTint="33"/>
            <w:noWrap/>
            <w:vAlign w:val="bottom"/>
            <w:hideMark/>
          </w:tcPr>
          <w:p w14:paraId="0EB781DC" w14:textId="48AA538F"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10,300 </w:t>
            </w:r>
          </w:p>
        </w:tc>
        <w:tc>
          <w:tcPr>
            <w:tcW w:w="839" w:type="dxa"/>
            <w:shd w:val="clear" w:color="auto" w:fill="DBE5F1" w:themeFill="accent1" w:themeFillTint="33"/>
            <w:noWrap/>
            <w:vAlign w:val="bottom"/>
            <w:hideMark/>
          </w:tcPr>
          <w:p w14:paraId="30FD95F6" w14:textId="4954735C"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15,231 </w:t>
            </w:r>
          </w:p>
        </w:tc>
        <w:tc>
          <w:tcPr>
            <w:tcW w:w="839" w:type="dxa"/>
            <w:shd w:val="clear" w:color="auto" w:fill="DBE5F1" w:themeFill="accent1" w:themeFillTint="33"/>
            <w:noWrap/>
            <w:vAlign w:val="bottom"/>
            <w:hideMark/>
          </w:tcPr>
          <w:p w14:paraId="0B6ECB52" w14:textId="47DA652A"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21,664 </w:t>
            </w:r>
          </w:p>
        </w:tc>
        <w:tc>
          <w:tcPr>
            <w:tcW w:w="829" w:type="dxa"/>
            <w:shd w:val="clear" w:color="auto" w:fill="DBE5F1" w:themeFill="accent1" w:themeFillTint="33"/>
            <w:noWrap/>
            <w:vAlign w:val="bottom"/>
            <w:hideMark/>
          </w:tcPr>
          <w:p w14:paraId="347AD12C" w14:textId="2067E6CF"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28,446 </w:t>
            </w:r>
          </w:p>
        </w:tc>
      </w:tr>
      <w:tr w:rsidR="0051436D" w:rsidRPr="004B363E" w14:paraId="6F0D3CD9" w14:textId="77777777" w:rsidTr="0051436D">
        <w:trPr>
          <w:trHeight w:val="288"/>
          <w:jc w:val="center"/>
        </w:trPr>
        <w:tc>
          <w:tcPr>
            <w:tcW w:w="941" w:type="dxa"/>
            <w:vMerge/>
            <w:shd w:val="clear" w:color="auto" w:fill="DBE5F1" w:themeFill="accent1" w:themeFillTint="33"/>
            <w:noWrap/>
            <w:vAlign w:val="bottom"/>
            <w:hideMark/>
          </w:tcPr>
          <w:p w14:paraId="20A9F9C3" w14:textId="77777777" w:rsidR="0051436D" w:rsidRPr="004B363E" w:rsidRDefault="0051436D" w:rsidP="0051436D">
            <w:pPr>
              <w:spacing w:after="0"/>
              <w:rPr>
                <w:rFonts w:eastAsia="Times New Roman" w:cstheme="minorHAnsi"/>
                <w:sz w:val="18"/>
                <w:szCs w:val="18"/>
              </w:rPr>
            </w:pPr>
          </w:p>
        </w:tc>
        <w:tc>
          <w:tcPr>
            <w:tcW w:w="797" w:type="dxa"/>
            <w:shd w:val="clear" w:color="auto" w:fill="DBE5F1" w:themeFill="accent1" w:themeFillTint="33"/>
            <w:noWrap/>
            <w:vAlign w:val="bottom"/>
            <w:hideMark/>
          </w:tcPr>
          <w:p w14:paraId="33DF7180" w14:textId="77777777" w:rsidR="0051436D" w:rsidRPr="004B363E" w:rsidRDefault="0051436D" w:rsidP="0051436D">
            <w:pPr>
              <w:spacing w:after="0"/>
              <w:rPr>
                <w:rFonts w:eastAsia="Times New Roman" w:cstheme="minorHAnsi"/>
                <w:sz w:val="18"/>
                <w:szCs w:val="18"/>
              </w:rPr>
            </w:pPr>
            <w:r w:rsidRPr="004B363E">
              <w:rPr>
                <w:rFonts w:eastAsia="Times New Roman" w:cstheme="minorHAnsi"/>
                <w:sz w:val="18"/>
                <w:szCs w:val="18"/>
              </w:rPr>
              <w:t>Female</w:t>
            </w:r>
          </w:p>
        </w:tc>
        <w:tc>
          <w:tcPr>
            <w:tcW w:w="839" w:type="dxa"/>
            <w:shd w:val="clear" w:color="auto" w:fill="DBE5F1" w:themeFill="accent1" w:themeFillTint="33"/>
            <w:noWrap/>
            <w:vAlign w:val="bottom"/>
            <w:hideMark/>
          </w:tcPr>
          <w:p w14:paraId="1E12162A" w14:textId="4D0E51EA"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3,569 </w:t>
            </w:r>
          </w:p>
        </w:tc>
        <w:tc>
          <w:tcPr>
            <w:tcW w:w="839" w:type="dxa"/>
            <w:shd w:val="clear" w:color="auto" w:fill="DBE5F1" w:themeFill="accent1" w:themeFillTint="33"/>
            <w:noWrap/>
            <w:vAlign w:val="bottom"/>
            <w:hideMark/>
          </w:tcPr>
          <w:p w14:paraId="36E91ADB" w14:textId="3969591F"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3,944 </w:t>
            </w:r>
          </w:p>
        </w:tc>
        <w:tc>
          <w:tcPr>
            <w:tcW w:w="841" w:type="dxa"/>
            <w:shd w:val="clear" w:color="auto" w:fill="DBE5F1" w:themeFill="accent1" w:themeFillTint="33"/>
            <w:noWrap/>
            <w:vAlign w:val="bottom"/>
            <w:hideMark/>
          </w:tcPr>
          <w:p w14:paraId="27B815FB" w14:textId="198CCF4F"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4,344 </w:t>
            </w:r>
          </w:p>
        </w:tc>
        <w:tc>
          <w:tcPr>
            <w:tcW w:w="839" w:type="dxa"/>
            <w:shd w:val="clear" w:color="auto" w:fill="DBE5F1" w:themeFill="accent1" w:themeFillTint="33"/>
            <w:noWrap/>
            <w:vAlign w:val="bottom"/>
            <w:hideMark/>
          </w:tcPr>
          <w:p w14:paraId="5C301087" w14:textId="49F9C365"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4,979 </w:t>
            </w:r>
          </w:p>
        </w:tc>
        <w:tc>
          <w:tcPr>
            <w:tcW w:w="840" w:type="dxa"/>
            <w:shd w:val="clear" w:color="auto" w:fill="DBE5F1" w:themeFill="accent1" w:themeFillTint="33"/>
            <w:noWrap/>
            <w:vAlign w:val="bottom"/>
            <w:hideMark/>
          </w:tcPr>
          <w:p w14:paraId="3AF6FCC9" w14:textId="0DC9CE4A"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6,062 </w:t>
            </w:r>
          </w:p>
        </w:tc>
        <w:tc>
          <w:tcPr>
            <w:tcW w:w="839" w:type="dxa"/>
            <w:shd w:val="clear" w:color="auto" w:fill="DBE5F1" w:themeFill="accent1" w:themeFillTint="33"/>
            <w:noWrap/>
            <w:vAlign w:val="bottom"/>
            <w:hideMark/>
          </w:tcPr>
          <w:p w14:paraId="304C7A85" w14:textId="11FBA322"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8,102 </w:t>
            </w:r>
          </w:p>
        </w:tc>
        <w:tc>
          <w:tcPr>
            <w:tcW w:w="839" w:type="dxa"/>
            <w:shd w:val="clear" w:color="auto" w:fill="DBE5F1" w:themeFill="accent1" w:themeFillTint="33"/>
            <w:noWrap/>
            <w:vAlign w:val="bottom"/>
            <w:hideMark/>
          </w:tcPr>
          <w:p w14:paraId="01050F72" w14:textId="7DAE164E"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15,876 </w:t>
            </w:r>
          </w:p>
        </w:tc>
        <w:tc>
          <w:tcPr>
            <w:tcW w:w="839" w:type="dxa"/>
            <w:shd w:val="clear" w:color="auto" w:fill="DBE5F1" w:themeFill="accent1" w:themeFillTint="33"/>
            <w:noWrap/>
            <w:vAlign w:val="bottom"/>
            <w:hideMark/>
          </w:tcPr>
          <w:p w14:paraId="3A2E34B3" w14:textId="1A9AAF11"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28,718 </w:t>
            </w:r>
          </w:p>
        </w:tc>
        <w:tc>
          <w:tcPr>
            <w:tcW w:w="829" w:type="dxa"/>
            <w:shd w:val="clear" w:color="auto" w:fill="DBE5F1" w:themeFill="accent1" w:themeFillTint="33"/>
            <w:noWrap/>
            <w:vAlign w:val="bottom"/>
            <w:hideMark/>
          </w:tcPr>
          <w:p w14:paraId="19A877EB" w14:textId="3B3AD50D"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40,911 </w:t>
            </w:r>
          </w:p>
        </w:tc>
      </w:tr>
      <w:tr w:rsidR="0051436D" w:rsidRPr="004B363E" w14:paraId="65FAD24E" w14:textId="77777777" w:rsidTr="008F0110">
        <w:trPr>
          <w:trHeight w:val="288"/>
          <w:jc w:val="center"/>
        </w:trPr>
        <w:tc>
          <w:tcPr>
            <w:tcW w:w="1738" w:type="dxa"/>
            <w:gridSpan w:val="2"/>
            <w:tcBorders>
              <w:bottom w:val="single" w:sz="12" w:space="0" w:color="auto"/>
            </w:tcBorders>
            <w:shd w:val="clear" w:color="auto" w:fill="auto"/>
            <w:noWrap/>
            <w:vAlign w:val="bottom"/>
            <w:hideMark/>
          </w:tcPr>
          <w:p w14:paraId="747075C2" w14:textId="06A83CF9" w:rsidR="0051436D" w:rsidRPr="004B363E" w:rsidRDefault="0051436D" w:rsidP="0051436D">
            <w:pPr>
              <w:spacing w:after="0"/>
              <w:rPr>
                <w:rFonts w:eastAsia="Times New Roman" w:cstheme="minorHAnsi"/>
                <w:sz w:val="18"/>
                <w:szCs w:val="18"/>
              </w:rPr>
            </w:pPr>
            <w:r>
              <w:rPr>
                <w:rFonts w:eastAsia="Times New Roman" w:cstheme="minorHAnsi"/>
                <w:b/>
                <w:bCs/>
                <w:color w:val="000000"/>
                <w:sz w:val="18"/>
                <w:szCs w:val="18"/>
              </w:rPr>
              <w:t>Unknown</w:t>
            </w:r>
          </w:p>
        </w:tc>
        <w:tc>
          <w:tcPr>
            <w:tcW w:w="839" w:type="dxa"/>
            <w:tcBorders>
              <w:bottom w:val="single" w:sz="12" w:space="0" w:color="auto"/>
            </w:tcBorders>
            <w:shd w:val="clear" w:color="auto" w:fill="auto"/>
            <w:noWrap/>
            <w:vAlign w:val="bottom"/>
            <w:hideMark/>
          </w:tcPr>
          <w:p w14:paraId="19628EF6" w14:textId="5B0C1E33"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18 </w:t>
            </w:r>
          </w:p>
        </w:tc>
        <w:tc>
          <w:tcPr>
            <w:tcW w:w="839" w:type="dxa"/>
            <w:tcBorders>
              <w:bottom w:val="single" w:sz="12" w:space="0" w:color="auto"/>
            </w:tcBorders>
            <w:shd w:val="clear" w:color="auto" w:fill="auto"/>
            <w:noWrap/>
            <w:vAlign w:val="bottom"/>
            <w:hideMark/>
          </w:tcPr>
          <w:p w14:paraId="75133407" w14:textId="0E202E72"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w:t>
            </w:r>
            <w:r w:rsidR="00412A8C" w:rsidRPr="00412A8C">
              <w:rPr>
                <w:rFonts w:cstheme="minorHAnsi"/>
                <w:sz w:val="20"/>
                <w:szCs w:val="20"/>
              </w:rPr>
              <w:t>≤</w:t>
            </w:r>
            <w:r w:rsidRPr="006E5229">
              <w:rPr>
                <w:rFonts w:ascii="Calibri" w:hAnsi="Calibri" w:cs="Calibri"/>
                <w:sz w:val="18"/>
                <w:szCs w:val="18"/>
              </w:rPr>
              <w:t xml:space="preserve">5 </w:t>
            </w:r>
          </w:p>
        </w:tc>
        <w:tc>
          <w:tcPr>
            <w:tcW w:w="841" w:type="dxa"/>
            <w:tcBorders>
              <w:bottom w:val="single" w:sz="12" w:space="0" w:color="auto"/>
            </w:tcBorders>
            <w:shd w:val="clear" w:color="auto" w:fill="auto"/>
            <w:noWrap/>
            <w:vAlign w:val="bottom"/>
            <w:hideMark/>
          </w:tcPr>
          <w:p w14:paraId="7CBFE760" w14:textId="2E73FEE3"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w:t>
            </w:r>
            <w:r w:rsidR="00412A8C" w:rsidRPr="00412A8C">
              <w:rPr>
                <w:rFonts w:cstheme="minorHAnsi"/>
                <w:sz w:val="20"/>
                <w:szCs w:val="20"/>
              </w:rPr>
              <w:t>≤</w:t>
            </w:r>
            <w:r w:rsidR="00412A8C">
              <w:rPr>
                <w:rFonts w:cstheme="minorHAnsi"/>
                <w:sz w:val="20"/>
                <w:szCs w:val="20"/>
              </w:rPr>
              <w:t>5</w:t>
            </w:r>
            <w:r w:rsidRPr="006E5229">
              <w:rPr>
                <w:rFonts w:ascii="Calibri" w:hAnsi="Calibri" w:cs="Calibri"/>
                <w:sz w:val="18"/>
                <w:szCs w:val="18"/>
              </w:rPr>
              <w:t xml:space="preserve"> </w:t>
            </w:r>
          </w:p>
        </w:tc>
        <w:tc>
          <w:tcPr>
            <w:tcW w:w="839" w:type="dxa"/>
            <w:tcBorders>
              <w:bottom w:val="single" w:sz="12" w:space="0" w:color="auto"/>
            </w:tcBorders>
            <w:shd w:val="clear" w:color="auto" w:fill="auto"/>
            <w:noWrap/>
            <w:vAlign w:val="bottom"/>
            <w:hideMark/>
          </w:tcPr>
          <w:p w14:paraId="691C515F" w14:textId="18D9D196"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w:t>
            </w:r>
            <w:r w:rsidR="00412A8C" w:rsidRPr="00412A8C">
              <w:rPr>
                <w:rFonts w:cstheme="minorHAnsi"/>
                <w:sz w:val="20"/>
                <w:szCs w:val="20"/>
              </w:rPr>
              <w:t>≤</w:t>
            </w:r>
            <w:r w:rsidR="00412A8C">
              <w:rPr>
                <w:rFonts w:cstheme="minorHAnsi"/>
                <w:sz w:val="20"/>
                <w:szCs w:val="20"/>
              </w:rPr>
              <w:t>5</w:t>
            </w:r>
            <w:r w:rsidRPr="006E5229">
              <w:rPr>
                <w:rFonts w:ascii="Calibri" w:hAnsi="Calibri" w:cs="Calibri"/>
                <w:sz w:val="18"/>
                <w:szCs w:val="18"/>
              </w:rPr>
              <w:t xml:space="preserve"> </w:t>
            </w:r>
          </w:p>
        </w:tc>
        <w:tc>
          <w:tcPr>
            <w:tcW w:w="840" w:type="dxa"/>
            <w:tcBorders>
              <w:bottom w:val="single" w:sz="12" w:space="0" w:color="auto"/>
            </w:tcBorders>
            <w:shd w:val="clear" w:color="auto" w:fill="auto"/>
            <w:noWrap/>
            <w:vAlign w:val="bottom"/>
            <w:hideMark/>
          </w:tcPr>
          <w:p w14:paraId="7E6AA152" w14:textId="06CDFA9F" w:rsidR="0051436D" w:rsidRPr="0051436D" w:rsidRDefault="0051436D" w:rsidP="0051436D">
            <w:pPr>
              <w:spacing w:after="0"/>
              <w:jc w:val="right"/>
              <w:rPr>
                <w:rFonts w:eastAsia="Times New Roman" w:cstheme="minorHAnsi"/>
                <w:sz w:val="18"/>
                <w:szCs w:val="18"/>
              </w:rPr>
            </w:pPr>
          </w:p>
        </w:tc>
        <w:tc>
          <w:tcPr>
            <w:tcW w:w="839" w:type="dxa"/>
            <w:tcBorders>
              <w:bottom w:val="single" w:sz="12" w:space="0" w:color="auto"/>
            </w:tcBorders>
            <w:shd w:val="clear" w:color="auto" w:fill="auto"/>
            <w:noWrap/>
            <w:vAlign w:val="bottom"/>
            <w:hideMark/>
          </w:tcPr>
          <w:p w14:paraId="5BBBB1A3" w14:textId="520A7ED3" w:rsidR="0051436D" w:rsidRPr="0051436D" w:rsidRDefault="0051436D" w:rsidP="0051436D">
            <w:pPr>
              <w:spacing w:after="0"/>
              <w:jc w:val="right"/>
              <w:rPr>
                <w:rFonts w:eastAsia="Times New Roman" w:cstheme="minorHAnsi"/>
                <w:sz w:val="18"/>
                <w:szCs w:val="18"/>
              </w:rPr>
            </w:pPr>
            <w:r w:rsidRPr="006E5229">
              <w:rPr>
                <w:rFonts w:ascii="Calibri" w:hAnsi="Calibri" w:cs="Calibri"/>
                <w:sz w:val="18"/>
                <w:szCs w:val="18"/>
              </w:rPr>
              <w:t xml:space="preserve">          </w:t>
            </w:r>
            <w:r w:rsidR="00412A8C" w:rsidRPr="00412A8C">
              <w:rPr>
                <w:rFonts w:cstheme="minorHAnsi"/>
                <w:sz w:val="20"/>
                <w:szCs w:val="20"/>
              </w:rPr>
              <w:t>≤</w:t>
            </w:r>
            <w:r w:rsidR="00412A8C">
              <w:rPr>
                <w:rFonts w:cstheme="minorHAnsi"/>
                <w:sz w:val="20"/>
                <w:szCs w:val="20"/>
              </w:rPr>
              <w:t>5</w:t>
            </w:r>
            <w:r w:rsidRPr="006E5229">
              <w:rPr>
                <w:rFonts w:ascii="Calibri" w:hAnsi="Calibri" w:cs="Calibri"/>
                <w:sz w:val="18"/>
                <w:szCs w:val="18"/>
              </w:rPr>
              <w:t xml:space="preserve"> </w:t>
            </w:r>
          </w:p>
        </w:tc>
        <w:tc>
          <w:tcPr>
            <w:tcW w:w="839" w:type="dxa"/>
            <w:tcBorders>
              <w:bottom w:val="single" w:sz="12" w:space="0" w:color="auto"/>
            </w:tcBorders>
            <w:shd w:val="clear" w:color="auto" w:fill="auto"/>
            <w:noWrap/>
            <w:vAlign w:val="bottom"/>
            <w:hideMark/>
          </w:tcPr>
          <w:p w14:paraId="4A9A94F4" w14:textId="7B374DF8" w:rsidR="0051436D" w:rsidRPr="0051436D" w:rsidRDefault="00412A8C" w:rsidP="0051436D">
            <w:pPr>
              <w:spacing w:after="0"/>
              <w:jc w:val="right"/>
              <w:rPr>
                <w:rFonts w:eastAsia="Times New Roman" w:cstheme="minorHAnsi"/>
                <w:sz w:val="18"/>
                <w:szCs w:val="18"/>
              </w:rPr>
            </w:pPr>
            <w:r w:rsidRPr="00412A8C">
              <w:rPr>
                <w:rFonts w:cstheme="minorHAnsi"/>
                <w:sz w:val="20"/>
                <w:szCs w:val="20"/>
              </w:rPr>
              <w:t>≤</w:t>
            </w:r>
            <w:r>
              <w:rPr>
                <w:rFonts w:cstheme="minorHAnsi"/>
                <w:sz w:val="20"/>
                <w:szCs w:val="20"/>
              </w:rPr>
              <w:t>5</w:t>
            </w:r>
            <w:r w:rsidR="0051436D" w:rsidRPr="006E5229">
              <w:rPr>
                <w:rFonts w:ascii="Calibri" w:hAnsi="Calibri" w:cs="Calibri"/>
                <w:sz w:val="18"/>
                <w:szCs w:val="18"/>
              </w:rPr>
              <w:t xml:space="preserve">          </w:t>
            </w:r>
          </w:p>
        </w:tc>
        <w:tc>
          <w:tcPr>
            <w:tcW w:w="839" w:type="dxa"/>
            <w:tcBorders>
              <w:bottom w:val="single" w:sz="12" w:space="0" w:color="auto"/>
            </w:tcBorders>
            <w:shd w:val="clear" w:color="auto" w:fill="auto"/>
            <w:noWrap/>
            <w:vAlign w:val="bottom"/>
            <w:hideMark/>
          </w:tcPr>
          <w:p w14:paraId="27512D35" w14:textId="77777777" w:rsidR="0051436D" w:rsidRPr="0051436D" w:rsidRDefault="0051436D" w:rsidP="0051436D">
            <w:pPr>
              <w:spacing w:after="0"/>
              <w:jc w:val="right"/>
              <w:rPr>
                <w:rFonts w:eastAsia="Times New Roman" w:cstheme="minorHAnsi"/>
                <w:sz w:val="18"/>
                <w:szCs w:val="18"/>
              </w:rPr>
            </w:pPr>
          </w:p>
        </w:tc>
        <w:tc>
          <w:tcPr>
            <w:tcW w:w="829" w:type="dxa"/>
            <w:tcBorders>
              <w:bottom w:val="single" w:sz="12" w:space="0" w:color="auto"/>
            </w:tcBorders>
            <w:shd w:val="clear" w:color="auto" w:fill="auto"/>
            <w:noWrap/>
            <w:vAlign w:val="bottom"/>
            <w:hideMark/>
          </w:tcPr>
          <w:p w14:paraId="7040188D" w14:textId="77777777" w:rsidR="0051436D" w:rsidRPr="0051436D" w:rsidRDefault="0051436D" w:rsidP="0051436D">
            <w:pPr>
              <w:spacing w:after="0"/>
              <w:jc w:val="right"/>
              <w:rPr>
                <w:rFonts w:eastAsia="Times New Roman" w:cstheme="minorHAnsi"/>
                <w:sz w:val="18"/>
                <w:szCs w:val="18"/>
              </w:rPr>
            </w:pPr>
          </w:p>
        </w:tc>
      </w:tr>
      <w:tr w:rsidR="0051436D" w:rsidRPr="004B363E" w14:paraId="7F557B81" w14:textId="77777777" w:rsidTr="008F0110">
        <w:trPr>
          <w:trHeight w:val="288"/>
          <w:jc w:val="center"/>
        </w:trPr>
        <w:tc>
          <w:tcPr>
            <w:tcW w:w="1738" w:type="dxa"/>
            <w:gridSpan w:val="2"/>
            <w:tcBorders>
              <w:top w:val="single" w:sz="12" w:space="0" w:color="auto"/>
              <w:left w:val="single" w:sz="12" w:space="0" w:color="auto"/>
            </w:tcBorders>
            <w:shd w:val="clear" w:color="auto" w:fill="auto"/>
            <w:noWrap/>
            <w:vAlign w:val="bottom"/>
            <w:hideMark/>
          </w:tcPr>
          <w:p w14:paraId="078070D9" w14:textId="4FD533B7" w:rsidR="0051436D" w:rsidRPr="004B363E" w:rsidRDefault="0051436D" w:rsidP="0051436D">
            <w:pPr>
              <w:spacing w:after="0"/>
              <w:rPr>
                <w:rFonts w:eastAsia="Times New Roman" w:cstheme="minorHAnsi"/>
                <w:b/>
                <w:bCs/>
                <w:color w:val="000000"/>
                <w:sz w:val="18"/>
                <w:szCs w:val="18"/>
              </w:rPr>
            </w:pPr>
            <w:r>
              <w:rPr>
                <w:rFonts w:eastAsia="Times New Roman" w:cstheme="minorHAnsi"/>
                <w:b/>
                <w:bCs/>
                <w:color w:val="000000"/>
                <w:sz w:val="18"/>
                <w:szCs w:val="18"/>
              </w:rPr>
              <w:t>Total new patients</w:t>
            </w:r>
          </w:p>
        </w:tc>
        <w:tc>
          <w:tcPr>
            <w:tcW w:w="839" w:type="dxa"/>
            <w:tcBorders>
              <w:top w:val="single" w:sz="12" w:space="0" w:color="auto"/>
            </w:tcBorders>
            <w:shd w:val="clear" w:color="auto" w:fill="auto"/>
            <w:noWrap/>
            <w:vAlign w:val="bottom"/>
            <w:hideMark/>
          </w:tcPr>
          <w:p w14:paraId="6575DF77" w14:textId="5071E0FB" w:rsidR="0051436D" w:rsidRPr="0051436D" w:rsidRDefault="0051436D" w:rsidP="0051436D">
            <w:pPr>
              <w:spacing w:after="0"/>
              <w:jc w:val="right"/>
              <w:rPr>
                <w:rFonts w:eastAsia="Times New Roman" w:cstheme="minorHAnsi"/>
                <w:b/>
                <w:bCs/>
                <w:color w:val="000000"/>
                <w:sz w:val="18"/>
                <w:szCs w:val="18"/>
              </w:rPr>
            </w:pPr>
            <w:r w:rsidRPr="006E5229">
              <w:rPr>
                <w:rFonts w:ascii="Calibri" w:hAnsi="Calibri" w:cs="Calibri"/>
                <w:b/>
                <w:bCs/>
                <w:color w:val="000000"/>
                <w:sz w:val="18"/>
                <w:szCs w:val="18"/>
              </w:rPr>
              <w:t xml:space="preserve">         30,127 </w:t>
            </w:r>
          </w:p>
        </w:tc>
        <w:tc>
          <w:tcPr>
            <w:tcW w:w="839" w:type="dxa"/>
            <w:tcBorders>
              <w:top w:val="single" w:sz="12" w:space="0" w:color="auto"/>
            </w:tcBorders>
            <w:shd w:val="clear" w:color="auto" w:fill="auto"/>
            <w:noWrap/>
            <w:vAlign w:val="bottom"/>
            <w:hideMark/>
          </w:tcPr>
          <w:p w14:paraId="760ABFA1" w14:textId="03A28005" w:rsidR="0051436D" w:rsidRPr="0051436D" w:rsidRDefault="0051436D" w:rsidP="0051436D">
            <w:pPr>
              <w:spacing w:after="0"/>
              <w:jc w:val="right"/>
              <w:rPr>
                <w:rFonts w:eastAsia="Times New Roman" w:cstheme="minorHAnsi"/>
                <w:b/>
                <w:bCs/>
                <w:color w:val="000000"/>
                <w:sz w:val="18"/>
                <w:szCs w:val="18"/>
              </w:rPr>
            </w:pPr>
            <w:r w:rsidRPr="006E5229">
              <w:rPr>
                <w:rFonts w:ascii="Calibri" w:hAnsi="Calibri" w:cs="Calibri"/>
                <w:b/>
                <w:bCs/>
                <w:color w:val="000000"/>
                <w:sz w:val="18"/>
                <w:szCs w:val="18"/>
              </w:rPr>
              <w:t xml:space="preserve">   </w:t>
            </w:r>
            <w:r w:rsidR="00412A8C" w:rsidRPr="00412A8C">
              <w:rPr>
                <w:rFonts w:cstheme="minorHAnsi"/>
                <w:sz w:val="20"/>
                <w:szCs w:val="20"/>
              </w:rPr>
              <w:t>≤</w:t>
            </w:r>
            <w:r w:rsidRPr="006E5229">
              <w:rPr>
                <w:rFonts w:ascii="Calibri" w:hAnsi="Calibri" w:cs="Calibri"/>
                <w:b/>
                <w:bCs/>
                <w:color w:val="000000"/>
                <w:sz w:val="18"/>
                <w:szCs w:val="18"/>
              </w:rPr>
              <w:t xml:space="preserve">33,375 </w:t>
            </w:r>
          </w:p>
        </w:tc>
        <w:tc>
          <w:tcPr>
            <w:tcW w:w="841" w:type="dxa"/>
            <w:tcBorders>
              <w:top w:val="single" w:sz="12" w:space="0" w:color="auto"/>
            </w:tcBorders>
            <w:shd w:val="clear" w:color="auto" w:fill="auto"/>
            <w:noWrap/>
            <w:vAlign w:val="bottom"/>
            <w:hideMark/>
          </w:tcPr>
          <w:p w14:paraId="156676CE" w14:textId="4119A5D5" w:rsidR="0051436D" w:rsidRPr="0051436D" w:rsidRDefault="0051436D" w:rsidP="0051436D">
            <w:pPr>
              <w:spacing w:after="0"/>
              <w:jc w:val="right"/>
              <w:rPr>
                <w:rFonts w:eastAsia="Times New Roman" w:cstheme="minorHAnsi"/>
                <w:b/>
                <w:bCs/>
                <w:color w:val="000000"/>
                <w:sz w:val="18"/>
                <w:szCs w:val="18"/>
              </w:rPr>
            </w:pPr>
            <w:r w:rsidRPr="006E5229">
              <w:rPr>
                <w:rFonts w:ascii="Calibri" w:hAnsi="Calibri" w:cs="Calibri"/>
                <w:b/>
                <w:bCs/>
                <w:color w:val="000000"/>
                <w:sz w:val="18"/>
                <w:szCs w:val="18"/>
              </w:rPr>
              <w:t xml:space="preserve">   </w:t>
            </w:r>
            <w:r w:rsidR="00412A8C" w:rsidRPr="00412A8C">
              <w:rPr>
                <w:rFonts w:cstheme="minorHAnsi"/>
                <w:sz w:val="20"/>
                <w:szCs w:val="20"/>
              </w:rPr>
              <w:t>≤</w:t>
            </w:r>
            <w:r w:rsidRPr="006E5229">
              <w:rPr>
                <w:rFonts w:ascii="Calibri" w:hAnsi="Calibri" w:cs="Calibri"/>
                <w:b/>
                <w:bCs/>
                <w:color w:val="000000"/>
                <w:sz w:val="18"/>
                <w:szCs w:val="18"/>
              </w:rPr>
              <w:t>35,12</w:t>
            </w:r>
            <w:r w:rsidR="00412A8C">
              <w:rPr>
                <w:rFonts w:ascii="Calibri" w:hAnsi="Calibri" w:cs="Calibri"/>
                <w:b/>
                <w:bCs/>
                <w:color w:val="000000"/>
                <w:sz w:val="18"/>
                <w:szCs w:val="18"/>
              </w:rPr>
              <w:t>3</w:t>
            </w:r>
            <w:r w:rsidRPr="006E5229">
              <w:rPr>
                <w:rFonts w:ascii="Calibri" w:hAnsi="Calibri" w:cs="Calibri"/>
                <w:b/>
                <w:bCs/>
                <w:color w:val="000000"/>
                <w:sz w:val="18"/>
                <w:szCs w:val="18"/>
              </w:rPr>
              <w:t xml:space="preserve"> </w:t>
            </w:r>
          </w:p>
        </w:tc>
        <w:tc>
          <w:tcPr>
            <w:tcW w:w="839" w:type="dxa"/>
            <w:tcBorders>
              <w:top w:val="single" w:sz="12" w:space="0" w:color="auto"/>
            </w:tcBorders>
            <w:shd w:val="clear" w:color="auto" w:fill="auto"/>
            <w:noWrap/>
            <w:vAlign w:val="bottom"/>
            <w:hideMark/>
          </w:tcPr>
          <w:p w14:paraId="16E8854B" w14:textId="13B715BD" w:rsidR="0051436D" w:rsidRPr="0051436D" w:rsidRDefault="0051436D" w:rsidP="0051436D">
            <w:pPr>
              <w:spacing w:after="0"/>
              <w:jc w:val="right"/>
              <w:rPr>
                <w:rFonts w:eastAsia="Times New Roman" w:cstheme="minorHAnsi"/>
                <w:b/>
                <w:bCs/>
                <w:color w:val="000000"/>
                <w:sz w:val="18"/>
                <w:szCs w:val="18"/>
              </w:rPr>
            </w:pPr>
            <w:r w:rsidRPr="006E5229">
              <w:rPr>
                <w:rFonts w:ascii="Calibri" w:hAnsi="Calibri" w:cs="Calibri"/>
                <w:b/>
                <w:bCs/>
                <w:color w:val="000000"/>
                <w:sz w:val="18"/>
                <w:szCs w:val="18"/>
              </w:rPr>
              <w:t xml:space="preserve">   </w:t>
            </w:r>
            <w:r w:rsidR="00412A8C" w:rsidRPr="00412A8C">
              <w:rPr>
                <w:rFonts w:cstheme="minorHAnsi"/>
                <w:sz w:val="20"/>
                <w:szCs w:val="20"/>
              </w:rPr>
              <w:t>≤</w:t>
            </w:r>
            <w:r w:rsidRPr="006E5229">
              <w:rPr>
                <w:rFonts w:ascii="Calibri" w:hAnsi="Calibri" w:cs="Calibri"/>
                <w:b/>
                <w:bCs/>
                <w:color w:val="000000"/>
                <w:sz w:val="18"/>
                <w:szCs w:val="18"/>
              </w:rPr>
              <w:t>39,7</w:t>
            </w:r>
            <w:r w:rsidR="00412A8C">
              <w:rPr>
                <w:rFonts w:ascii="Calibri" w:hAnsi="Calibri" w:cs="Calibri"/>
                <w:b/>
                <w:bCs/>
                <w:color w:val="000000"/>
                <w:sz w:val="18"/>
                <w:szCs w:val="18"/>
              </w:rPr>
              <w:t>81</w:t>
            </w:r>
            <w:r w:rsidRPr="006E5229">
              <w:rPr>
                <w:rFonts w:ascii="Calibri" w:hAnsi="Calibri" w:cs="Calibri"/>
                <w:b/>
                <w:bCs/>
                <w:color w:val="000000"/>
                <w:sz w:val="18"/>
                <w:szCs w:val="18"/>
              </w:rPr>
              <w:t xml:space="preserve"> </w:t>
            </w:r>
          </w:p>
        </w:tc>
        <w:tc>
          <w:tcPr>
            <w:tcW w:w="840" w:type="dxa"/>
            <w:tcBorders>
              <w:top w:val="single" w:sz="12" w:space="0" w:color="auto"/>
            </w:tcBorders>
            <w:shd w:val="clear" w:color="auto" w:fill="auto"/>
            <w:noWrap/>
            <w:vAlign w:val="bottom"/>
            <w:hideMark/>
          </w:tcPr>
          <w:p w14:paraId="714E5A85" w14:textId="7D78BB1F" w:rsidR="0051436D" w:rsidRPr="0051436D" w:rsidRDefault="0051436D" w:rsidP="0051436D">
            <w:pPr>
              <w:spacing w:after="0"/>
              <w:jc w:val="right"/>
              <w:rPr>
                <w:rFonts w:eastAsia="Times New Roman" w:cstheme="minorHAnsi"/>
                <w:b/>
                <w:bCs/>
                <w:color w:val="000000"/>
                <w:sz w:val="18"/>
                <w:szCs w:val="18"/>
              </w:rPr>
            </w:pPr>
            <w:r w:rsidRPr="006E5229">
              <w:rPr>
                <w:rFonts w:ascii="Calibri" w:hAnsi="Calibri" w:cs="Calibri"/>
                <w:b/>
                <w:bCs/>
                <w:color w:val="000000"/>
                <w:sz w:val="18"/>
                <w:szCs w:val="18"/>
              </w:rPr>
              <w:t xml:space="preserve">   47,543 </w:t>
            </w:r>
          </w:p>
        </w:tc>
        <w:tc>
          <w:tcPr>
            <w:tcW w:w="839" w:type="dxa"/>
            <w:tcBorders>
              <w:top w:val="single" w:sz="12" w:space="0" w:color="auto"/>
            </w:tcBorders>
            <w:shd w:val="clear" w:color="auto" w:fill="auto"/>
            <w:noWrap/>
            <w:vAlign w:val="bottom"/>
            <w:hideMark/>
          </w:tcPr>
          <w:p w14:paraId="65F39D12" w14:textId="71C9A3D6" w:rsidR="0051436D" w:rsidRPr="0051436D" w:rsidRDefault="0051436D" w:rsidP="0051436D">
            <w:pPr>
              <w:spacing w:after="0"/>
              <w:jc w:val="right"/>
              <w:rPr>
                <w:rFonts w:eastAsia="Times New Roman" w:cstheme="minorHAnsi"/>
                <w:b/>
                <w:bCs/>
                <w:color w:val="000000"/>
                <w:sz w:val="18"/>
                <w:szCs w:val="18"/>
              </w:rPr>
            </w:pPr>
            <w:r w:rsidRPr="006E5229">
              <w:rPr>
                <w:rFonts w:ascii="Calibri" w:hAnsi="Calibri" w:cs="Calibri"/>
                <w:b/>
                <w:bCs/>
                <w:color w:val="000000"/>
                <w:sz w:val="18"/>
                <w:szCs w:val="18"/>
              </w:rPr>
              <w:t xml:space="preserve">   </w:t>
            </w:r>
            <w:r w:rsidR="00412A8C" w:rsidRPr="00412A8C">
              <w:rPr>
                <w:rFonts w:cstheme="minorHAnsi"/>
                <w:sz w:val="20"/>
                <w:szCs w:val="20"/>
              </w:rPr>
              <w:t>≤</w:t>
            </w:r>
            <w:r w:rsidRPr="006E5229">
              <w:rPr>
                <w:rFonts w:ascii="Calibri" w:hAnsi="Calibri" w:cs="Calibri"/>
                <w:b/>
                <w:bCs/>
                <w:color w:val="000000"/>
                <w:sz w:val="18"/>
                <w:szCs w:val="18"/>
              </w:rPr>
              <w:t>56,10</w:t>
            </w:r>
            <w:r w:rsidR="00412A8C">
              <w:rPr>
                <w:rFonts w:ascii="Calibri" w:hAnsi="Calibri" w:cs="Calibri"/>
                <w:b/>
                <w:bCs/>
                <w:color w:val="000000"/>
                <w:sz w:val="18"/>
                <w:szCs w:val="18"/>
              </w:rPr>
              <w:t>4</w:t>
            </w:r>
            <w:r w:rsidRPr="006E5229">
              <w:rPr>
                <w:rFonts w:ascii="Calibri" w:hAnsi="Calibri" w:cs="Calibri"/>
                <w:b/>
                <w:bCs/>
                <w:color w:val="000000"/>
                <w:sz w:val="18"/>
                <w:szCs w:val="18"/>
              </w:rPr>
              <w:t xml:space="preserve"> </w:t>
            </w:r>
          </w:p>
        </w:tc>
        <w:tc>
          <w:tcPr>
            <w:tcW w:w="839" w:type="dxa"/>
            <w:tcBorders>
              <w:top w:val="single" w:sz="12" w:space="0" w:color="auto"/>
            </w:tcBorders>
            <w:shd w:val="clear" w:color="auto" w:fill="auto"/>
            <w:noWrap/>
            <w:vAlign w:val="bottom"/>
            <w:hideMark/>
          </w:tcPr>
          <w:p w14:paraId="4DDDA603" w14:textId="5F9F4113" w:rsidR="0051436D" w:rsidRPr="0051436D" w:rsidRDefault="0051436D" w:rsidP="0051436D">
            <w:pPr>
              <w:spacing w:after="0"/>
              <w:jc w:val="right"/>
              <w:rPr>
                <w:rFonts w:eastAsia="Times New Roman" w:cstheme="minorHAnsi"/>
                <w:b/>
                <w:bCs/>
                <w:color w:val="000000"/>
                <w:sz w:val="18"/>
                <w:szCs w:val="18"/>
              </w:rPr>
            </w:pPr>
            <w:r w:rsidRPr="006E5229">
              <w:rPr>
                <w:rFonts w:ascii="Calibri" w:hAnsi="Calibri" w:cs="Calibri"/>
                <w:b/>
                <w:bCs/>
                <w:color w:val="000000"/>
                <w:sz w:val="18"/>
                <w:szCs w:val="18"/>
              </w:rPr>
              <w:t xml:space="preserve">   </w:t>
            </w:r>
            <w:r w:rsidR="00412A8C" w:rsidRPr="00412A8C">
              <w:rPr>
                <w:rFonts w:cstheme="minorHAnsi"/>
                <w:sz w:val="20"/>
                <w:szCs w:val="20"/>
              </w:rPr>
              <w:t>≤</w:t>
            </w:r>
            <w:r w:rsidRPr="006E5229">
              <w:rPr>
                <w:rFonts w:ascii="Calibri" w:hAnsi="Calibri" w:cs="Calibri"/>
                <w:b/>
                <w:bCs/>
                <w:color w:val="000000"/>
                <w:sz w:val="18"/>
                <w:szCs w:val="18"/>
              </w:rPr>
              <w:t>77,77</w:t>
            </w:r>
            <w:r w:rsidR="00412A8C">
              <w:rPr>
                <w:rFonts w:ascii="Calibri" w:hAnsi="Calibri" w:cs="Calibri"/>
                <w:b/>
                <w:bCs/>
                <w:color w:val="000000"/>
                <w:sz w:val="18"/>
                <w:szCs w:val="18"/>
              </w:rPr>
              <w:t>8</w:t>
            </w:r>
            <w:r w:rsidRPr="006E5229">
              <w:rPr>
                <w:rFonts w:ascii="Calibri" w:hAnsi="Calibri" w:cs="Calibri"/>
                <w:b/>
                <w:bCs/>
                <w:color w:val="000000"/>
                <w:sz w:val="18"/>
                <w:szCs w:val="18"/>
              </w:rPr>
              <w:t xml:space="preserve"> </w:t>
            </w:r>
          </w:p>
        </w:tc>
        <w:tc>
          <w:tcPr>
            <w:tcW w:w="839" w:type="dxa"/>
            <w:tcBorders>
              <w:top w:val="single" w:sz="12" w:space="0" w:color="auto"/>
            </w:tcBorders>
            <w:shd w:val="clear" w:color="auto" w:fill="auto"/>
            <w:noWrap/>
            <w:vAlign w:val="bottom"/>
            <w:hideMark/>
          </w:tcPr>
          <w:p w14:paraId="4B369F33" w14:textId="7AD10965" w:rsidR="0051436D" w:rsidRPr="0051436D" w:rsidRDefault="0051436D" w:rsidP="0051436D">
            <w:pPr>
              <w:spacing w:after="0"/>
              <w:jc w:val="right"/>
              <w:rPr>
                <w:rFonts w:eastAsia="Times New Roman" w:cstheme="minorHAnsi"/>
                <w:b/>
                <w:bCs/>
                <w:color w:val="000000"/>
                <w:sz w:val="18"/>
                <w:szCs w:val="18"/>
              </w:rPr>
            </w:pPr>
            <w:r w:rsidRPr="006E5229">
              <w:rPr>
                <w:rFonts w:ascii="Calibri" w:hAnsi="Calibri" w:cs="Calibri"/>
                <w:b/>
                <w:bCs/>
                <w:color w:val="000000"/>
                <w:sz w:val="18"/>
                <w:szCs w:val="18"/>
              </w:rPr>
              <w:t xml:space="preserve">   106,607 </w:t>
            </w:r>
          </w:p>
        </w:tc>
        <w:tc>
          <w:tcPr>
            <w:tcW w:w="829" w:type="dxa"/>
            <w:tcBorders>
              <w:top w:val="single" w:sz="12" w:space="0" w:color="auto"/>
              <w:right w:val="single" w:sz="12" w:space="0" w:color="auto"/>
            </w:tcBorders>
            <w:shd w:val="clear" w:color="auto" w:fill="auto"/>
            <w:noWrap/>
            <w:vAlign w:val="bottom"/>
            <w:hideMark/>
          </w:tcPr>
          <w:p w14:paraId="098646C4" w14:textId="40626CD7" w:rsidR="0051436D" w:rsidRPr="0051436D" w:rsidRDefault="0051436D" w:rsidP="0051436D">
            <w:pPr>
              <w:spacing w:after="0"/>
              <w:jc w:val="right"/>
              <w:rPr>
                <w:rFonts w:eastAsia="Times New Roman" w:cstheme="minorHAnsi"/>
                <w:b/>
                <w:bCs/>
                <w:color w:val="000000"/>
                <w:sz w:val="18"/>
                <w:szCs w:val="18"/>
              </w:rPr>
            </w:pPr>
            <w:r w:rsidRPr="006E5229">
              <w:rPr>
                <w:rFonts w:ascii="Calibri" w:hAnsi="Calibri" w:cs="Calibri"/>
                <w:b/>
                <w:bCs/>
                <w:color w:val="000000"/>
                <w:sz w:val="18"/>
                <w:szCs w:val="18"/>
              </w:rPr>
              <w:t xml:space="preserve">   139,104 </w:t>
            </w:r>
          </w:p>
        </w:tc>
      </w:tr>
      <w:tr w:rsidR="0051436D" w:rsidRPr="004B363E" w14:paraId="7BF14559" w14:textId="77777777" w:rsidTr="008F0110">
        <w:trPr>
          <w:trHeight w:val="288"/>
          <w:jc w:val="center"/>
        </w:trPr>
        <w:tc>
          <w:tcPr>
            <w:tcW w:w="1738" w:type="dxa"/>
            <w:gridSpan w:val="2"/>
            <w:tcBorders>
              <w:left w:val="single" w:sz="12" w:space="0" w:color="auto"/>
              <w:bottom w:val="single" w:sz="12" w:space="0" w:color="auto"/>
            </w:tcBorders>
            <w:shd w:val="clear" w:color="auto" w:fill="auto"/>
            <w:noWrap/>
            <w:vAlign w:val="bottom"/>
            <w:hideMark/>
          </w:tcPr>
          <w:p w14:paraId="1ECE811D" w14:textId="06DBB2FB" w:rsidR="0051436D" w:rsidRPr="004B363E" w:rsidRDefault="0051436D" w:rsidP="0051436D">
            <w:pPr>
              <w:spacing w:after="0"/>
              <w:rPr>
                <w:rFonts w:eastAsia="Times New Roman" w:cstheme="minorHAnsi"/>
                <w:b/>
                <w:bCs/>
                <w:sz w:val="18"/>
                <w:szCs w:val="18"/>
              </w:rPr>
            </w:pPr>
            <w:r w:rsidRPr="004B363E">
              <w:rPr>
                <w:rFonts w:eastAsia="Times New Roman" w:cstheme="minorHAnsi"/>
                <w:b/>
                <w:bCs/>
                <w:sz w:val="18"/>
                <w:szCs w:val="18"/>
              </w:rPr>
              <w:t>% growth from previous year</w:t>
            </w:r>
          </w:p>
        </w:tc>
        <w:tc>
          <w:tcPr>
            <w:tcW w:w="839" w:type="dxa"/>
            <w:tcBorders>
              <w:bottom w:val="single" w:sz="12" w:space="0" w:color="auto"/>
            </w:tcBorders>
            <w:shd w:val="clear" w:color="auto" w:fill="auto"/>
            <w:noWrap/>
            <w:vAlign w:val="bottom"/>
            <w:hideMark/>
          </w:tcPr>
          <w:p w14:paraId="733BF0E0" w14:textId="1D95B414" w:rsidR="0051436D" w:rsidRPr="006E5229" w:rsidRDefault="0051436D" w:rsidP="0051436D">
            <w:pPr>
              <w:spacing w:after="0"/>
              <w:jc w:val="right"/>
              <w:rPr>
                <w:rFonts w:eastAsia="Times New Roman" w:cstheme="minorHAnsi"/>
                <w:b/>
                <w:bCs/>
                <w:sz w:val="18"/>
                <w:szCs w:val="18"/>
              </w:rPr>
            </w:pPr>
          </w:p>
        </w:tc>
        <w:tc>
          <w:tcPr>
            <w:tcW w:w="839" w:type="dxa"/>
            <w:tcBorders>
              <w:bottom w:val="single" w:sz="12" w:space="0" w:color="auto"/>
            </w:tcBorders>
            <w:shd w:val="clear" w:color="auto" w:fill="auto"/>
            <w:noWrap/>
            <w:vAlign w:val="bottom"/>
            <w:hideMark/>
          </w:tcPr>
          <w:p w14:paraId="5D94BC2E" w14:textId="1AF64568" w:rsidR="0051436D" w:rsidRPr="0051436D" w:rsidRDefault="0051436D" w:rsidP="0051436D">
            <w:pPr>
              <w:spacing w:after="0"/>
              <w:jc w:val="right"/>
              <w:rPr>
                <w:rFonts w:eastAsia="Times New Roman" w:cstheme="minorHAnsi"/>
                <w:b/>
                <w:bCs/>
                <w:sz w:val="18"/>
                <w:szCs w:val="18"/>
              </w:rPr>
            </w:pPr>
            <w:r w:rsidRPr="006E5229">
              <w:rPr>
                <w:rFonts w:ascii="Calibri" w:hAnsi="Calibri" w:cs="Calibri"/>
                <w:sz w:val="18"/>
                <w:szCs w:val="18"/>
              </w:rPr>
              <w:t>11%</w:t>
            </w:r>
          </w:p>
        </w:tc>
        <w:tc>
          <w:tcPr>
            <w:tcW w:w="841" w:type="dxa"/>
            <w:tcBorders>
              <w:bottom w:val="single" w:sz="12" w:space="0" w:color="auto"/>
            </w:tcBorders>
            <w:shd w:val="clear" w:color="auto" w:fill="auto"/>
            <w:noWrap/>
            <w:vAlign w:val="bottom"/>
            <w:hideMark/>
          </w:tcPr>
          <w:p w14:paraId="2E0425D3" w14:textId="74D15D53" w:rsidR="0051436D" w:rsidRPr="0051436D" w:rsidRDefault="0051436D" w:rsidP="0051436D">
            <w:pPr>
              <w:spacing w:after="0"/>
              <w:jc w:val="right"/>
              <w:rPr>
                <w:rFonts w:eastAsia="Times New Roman" w:cstheme="minorHAnsi"/>
                <w:b/>
                <w:bCs/>
                <w:sz w:val="18"/>
                <w:szCs w:val="18"/>
              </w:rPr>
            </w:pPr>
            <w:r w:rsidRPr="006E5229">
              <w:rPr>
                <w:rFonts w:ascii="Calibri" w:hAnsi="Calibri" w:cs="Calibri"/>
                <w:sz w:val="18"/>
                <w:szCs w:val="18"/>
              </w:rPr>
              <w:t>5%</w:t>
            </w:r>
          </w:p>
        </w:tc>
        <w:tc>
          <w:tcPr>
            <w:tcW w:w="839" w:type="dxa"/>
            <w:tcBorders>
              <w:bottom w:val="single" w:sz="12" w:space="0" w:color="auto"/>
            </w:tcBorders>
            <w:shd w:val="clear" w:color="auto" w:fill="auto"/>
            <w:noWrap/>
            <w:vAlign w:val="bottom"/>
            <w:hideMark/>
          </w:tcPr>
          <w:p w14:paraId="702BE5D1" w14:textId="1EF64259" w:rsidR="0051436D" w:rsidRPr="0051436D" w:rsidRDefault="0051436D" w:rsidP="0051436D">
            <w:pPr>
              <w:spacing w:after="0"/>
              <w:jc w:val="right"/>
              <w:rPr>
                <w:rFonts w:eastAsia="Times New Roman" w:cstheme="minorHAnsi"/>
                <w:b/>
                <w:bCs/>
                <w:sz w:val="18"/>
                <w:szCs w:val="18"/>
              </w:rPr>
            </w:pPr>
            <w:r w:rsidRPr="006E5229">
              <w:rPr>
                <w:rFonts w:ascii="Calibri" w:hAnsi="Calibri" w:cs="Calibri"/>
                <w:sz w:val="18"/>
                <w:szCs w:val="18"/>
              </w:rPr>
              <w:t>13%</w:t>
            </w:r>
          </w:p>
        </w:tc>
        <w:tc>
          <w:tcPr>
            <w:tcW w:w="840" w:type="dxa"/>
            <w:tcBorders>
              <w:bottom w:val="single" w:sz="12" w:space="0" w:color="auto"/>
            </w:tcBorders>
            <w:shd w:val="clear" w:color="auto" w:fill="auto"/>
            <w:noWrap/>
            <w:vAlign w:val="bottom"/>
            <w:hideMark/>
          </w:tcPr>
          <w:p w14:paraId="5F1C7EC8" w14:textId="685C1A49" w:rsidR="0051436D" w:rsidRPr="0051436D" w:rsidRDefault="0051436D" w:rsidP="0051436D">
            <w:pPr>
              <w:spacing w:after="0"/>
              <w:jc w:val="right"/>
              <w:rPr>
                <w:rFonts w:eastAsia="Times New Roman" w:cstheme="minorHAnsi"/>
                <w:b/>
                <w:bCs/>
                <w:sz w:val="18"/>
                <w:szCs w:val="18"/>
              </w:rPr>
            </w:pPr>
            <w:r w:rsidRPr="006E5229">
              <w:rPr>
                <w:rFonts w:ascii="Calibri" w:hAnsi="Calibri" w:cs="Calibri"/>
                <w:sz w:val="18"/>
                <w:szCs w:val="18"/>
              </w:rPr>
              <w:t>20%</w:t>
            </w:r>
          </w:p>
        </w:tc>
        <w:tc>
          <w:tcPr>
            <w:tcW w:w="839" w:type="dxa"/>
            <w:tcBorders>
              <w:bottom w:val="single" w:sz="12" w:space="0" w:color="auto"/>
            </w:tcBorders>
            <w:shd w:val="clear" w:color="auto" w:fill="auto"/>
            <w:noWrap/>
            <w:vAlign w:val="bottom"/>
            <w:hideMark/>
          </w:tcPr>
          <w:p w14:paraId="6338A23C" w14:textId="30694713" w:rsidR="0051436D" w:rsidRPr="0051436D" w:rsidRDefault="0051436D" w:rsidP="0051436D">
            <w:pPr>
              <w:spacing w:after="0"/>
              <w:jc w:val="right"/>
              <w:rPr>
                <w:rFonts w:eastAsia="Times New Roman" w:cstheme="minorHAnsi"/>
                <w:b/>
                <w:bCs/>
                <w:sz w:val="18"/>
                <w:szCs w:val="18"/>
              </w:rPr>
            </w:pPr>
            <w:r w:rsidRPr="006E5229">
              <w:rPr>
                <w:rFonts w:ascii="Calibri" w:hAnsi="Calibri" w:cs="Calibri"/>
                <w:sz w:val="18"/>
                <w:szCs w:val="18"/>
              </w:rPr>
              <w:t>18%</w:t>
            </w:r>
          </w:p>
        </w:tc>
        <w:tc>
          <w:tcPr>
            <w:tcW w:w="839" w:type="dxa"/>
            <w:tcBorders>
              <w:bottom w:val="single" w:sz="12" w:space="0" w:color="auto"/>
            </w:tcBorders>
            <w:shd w:val="clear" w:color="auto" w:fill="auto"/>
            <w:noWrap/>
            <w:vAlign w:val="bottom"/>
            <w:hideMark/>
          </w:tcPr>
          <w:p w14:paraId="0EB4C100" w14:textId="51D87499" w:rsidR="0051436D" w:rsidRPr="0051436D" w:rsidRDefault="0051436D" w:rsidP="0051436D">
            <w:pPr>
              <w:spacing w:after="0"/>
              <w:jc w:val="right"/>
              <w:rPr>
                <w:rFonts w:eastAsia="Times New Roman" w:cstheme="minorHAnsi"/>
                <w:b/>
                <w:bCs/>
                <w:sz w:val="18"/>
                <w:szCs w:val="18"/>
              </w:rPr>
            </w:pPr>
            <w:r w:rsidRPr="006E5229">
              <w:rPr>
                <w:rFonts w:ascii="Calibri" w:hAnsi="Calibri" w:cs="Calibri"/>
                <w:sz w:val="18"/>
                <w:szCs w:val="18"/>
              </w:rPr>
              <w:t>39%</w:t>
            </w:r>
          </w:p>
        </w:tc>
        <w:tc>
          <w:tcPr>
            <w:tcW w:w="839" w:type="dxa"/>
            <w:tcBorders>
              <w:bottom w:val="single" w:sz="12" w:space="0" w:color="auto"/>
            </w:tcBorders>
            <w:shd w:val="clear" w:color="auto" w:fill="auto"/>
            <w:noWrap/>
            <w:vAlign w:val="bottom"/>
            <w:hideMark/>
          </w:tcPr>
          <w:p w14:paraId="475CD160" w14:textId="77FE0378" w:rsidR="0051436D" w:rsidRPr="0051436D" w:rsidRDefault="0051436D" w:rsidP="0051436D">
            <w:pPr>
              <w:spacing w:after="0"/>
              <w:jc w:val="right"/>
              <w:rPr>
                <w:rFonts w:eastAsia="Times New Roman" w:cstheme="minorHAnsi"/>
                <w:b/>
                <w:bCs/>
                <w:sz w:val="18"/>
                <w:szCs w:val="18"/>
              </w:rPr>
            </w:pPr>
            <w:r w:rsidRPr="006E5229">
              <w:rPr>
                <w:rFonts w:ascii="Calibri" w:hAnsi="Calibri" w:cs="Calibri"/>
                <w:sz w:val="18"/>
                <w:szCs w:val="18"/>
              </w:rPr>
              <w:t>37%</w:t>
            </w:r>
          </w:p>
        </w:tc>
        <w:tc>
          <w:tcPr>
            <w:tcW w:w="829" w:type="dxa"/>
            <w:tcBorders>
              <w:bottom w:val="single" w:sz="12" w:space="0" w:color="auto"/>
              <w:right w:val="single" w:sz="12" w:space="0" w:color="auto"/>
            </w:tcBorders>
            <w:shd w:val="clear" w:color="auto" w:fill="auto"/>
            <w:noWrap/>
            <w:vAlign w:val="bottom"/>
            <w:hideMark/>
          </w:tcPr>
          <w:p w14:paraId="4ED92871" w14:textId="66D81664" w:rsidR="0051436D" w:rsidRPr="0051436D" w:rsidRDefault="0051436D" w:rsidP="0051436D">
            <w:pPr>
              <w:spacing w:after="0"/>
              <w:jc w:val="right"/>
              <w:rPr>
                <w:rFonts w:eastAsia="Times New Roman" w:cstheme="minorHAnsi"/>
                <w:b/>
                <w:bCs/>
                <w:sz w:val="18"/>
                <w:szCs w:val="18"/>
              </w:rPr>
            </w:pPr>
            <w:r w:rsidRPr="006E5229">
              <w:rPr>
                <w:rFonts w:ascii="Calibri" w:hAnsi="Calibri" w:cs="Calibri"/>
                <w:sz w:val="18"/>
                <w:szCs w:val="18"/>
              </w:rPr>
              <w:t>30%</w:t>
            </w:r>
          </w:p>
        </w:tc>
      </w:tr>
    </w:tbl>
    <w:p w14:paraId="29F9A49A" w14:textId="28C48FF7" w:rsidR="004B363E" w:rsidRDefault="00E15A96" w:rsidP="004B363E">
      <w:pPr>
        <w:pStyle w:val="TableFooter"/>
      </w:pPr>
      <w:r>
        <w:t xml:space="preserve">Note: </w:t>
      </w:r>
      <w:r w:rsidR="004B363E" w:rsidRPr="001D105D">
        <w:t xml:space="preserve">Unknown denotes age and </w:t>
      </w:r>
      <w:r w:rsidR="00412A8C">
        <w:t>gender</w:t>
      </w:r>
      <w:r w:rsidR="004B363E" w:rsidRPr="001D105D">
        <w:t xml:space="preserve"> not available in the data.</w:t>
      </w:r>
      <w:r w:rsidR="004B363E" w:rsidRPr="001D105D" w:rsidDel="00EF6FF2">
        <w:t xml:space="preserve"> </w:t>
      </w:r>
    </w:p>
    <w:p w14:paraId="680F1522" w14:textId="29BF5C6A" w:rsidR="004B363E" w:rsidRPr="00262A44" w:rsidRDefault="004B363E" w:rsidP="00215563">
      <w:pPr>
        <w:pStyle w:val="Notes"/>
        <w:rPr>
          <w:sz w:val="12"/>
          <w:szCs w:val="12"/>
        </w:rPr>
      </w:pPr>
    </w:p>
    <w:p w14:paraId="12CAB997" w14:textId="77777777" w:rsidR="002B6EF9" w:rsidRPr="00242991" w:rsidRDefault="002B6EF9" w:rsidP="008E28EB">
      <w:bookmarkStart w:id="17" w:name="_Hlk143075444"/>
      <w:r w:rsidRPr="00242991">
        <w:t xml:space="preserve">Table 4 shows the number of prevalent </w:t>
      </w:r>
      <w:r>
        <w:t>people</w:t>
      </w:r>
      <w:r w:rsidRPr="00242991">
        <w:t xml:space="preserve"> treated with PBS listed ADHD therapy by age group and gender per financial year. </w:t>
      </w:r>
    </w:p>
    <w:p w14:paraId="063E9ADE" w14:textId="77777777" w:rsidR="002B6EF9" w:rsidRPr="00242991" w:rsidRDefault="002B6EF9" w:rsidP="008E28EB">
      <w:r w:rsidRPr="00242991">
        <w:t xml:space="preserve">In the </w:t>
      </w:r>
      <w:r>
        <w:t>&gt;</w:t>
      </w:r>
      <w:r w:rsidRPr="00242991">
        <w:t xml:space="preserve">18 year old </w:t>
      </w:r>
      <w:r>
        <w:t>population</w:t>
      </w:r>
      <w:r w:rsidRPr="00242991">
        <w:t>, for the first time, female</w:t>
      </w:r>
      <w:r>
        <w:t>s</w:t>
      </w:r>
      <w:r w:rsidRPr="00242991">
        <w:t xml:space="preserve"> overtook males in 2022-23. This is due to the increasing numbers of initiating females as shown in Table 3.</w:t>
      </w:r>
    </w:p>
    <w:p w14:paraId="2AC7F54A" w14:textId="77777777" w:rsidR="002B6EF9" w:rsidRPr="001D105D" w:rsidRDefault="002B6EF9" w:rsidP="002B6EF9">
      <w:pPr>
        <w:pStyle w:val="Tabletitle"/>
        <w:ind w:right="-29"/>
        <w:rPr>
          <w:sz w:val="20"/>
          <w:szCs w:val="20"/>
          <w:lang w:eastAsia="en-US"/>
        </w:rPr>
      </w:pPr>
      <w:r w:rsidRPr="00242991">
        <w:t>Table 4. Number of prevalent p</w:t>
      </w:r>
      <w:r>
        <w:t>eople</w:t>
      </w:r>
      <w:r w:rsidRPr="00242991">
        <w:t xml:space="preserve"> treated with PBS-listed ADHD medicines by age group and gender per financial year</w:t>
      </w:r>
    </w:p>
    <w:tbl>
      <w:tblPr>
        <w:tblW w:w="1000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770"/>
        <w:gridCol w:w="841"/>
        <w:gridCol w:w="841"/>
        <w:gridCol w:w="841"/>
        <w:gridCol w:w="841"/>
        <w:gridCol w:w="841"/>
        <w:gridCol w:w="841"/>
        <w:gridCol w:w="841"/>
        <w:gridCol w:w="841"/>
        <w:gridCol w:w="841"/>
        <w:gridCol w:w="841"/>
      </w:tblGrid>
      <w:tr w:rsidR="0041367F" w:rsidRPr="0041367F" w14:paraId="6E07E4C5" w14:textId="77777777" w:rsidTr="002A05C2">
        <w:trPr>
          <w:trHeight w:val="288"/>
        </w:trPr>
        <w:tc>
          <w:tcPr>
            <w:tcW w:w="829" w:type="dxa"/>
            <w:shd w:val="clear" w:color="auto" w:fill="BFBFBF" w:themeFill="background1" w:themeFillShade="BF"/>
            <w:noWrap/>
            <w:vAlign w:val="bottom"/>
            <w:hideMark/>
          </w:tcPr>
          <w:bookmarkEnd w:id="17"/>
          <w:p w14:paraId="519C6098" w14:textId="308A681E" w:rsidR="0041367F" w:rsidRPr="0041367F" w:rsidRDefault="0041367F" w:rsidP="0041367F">
            <w:pPr>
              <w:spacing w:after="0"/>
              <w:jc w:val="center"/>
              <w:rPr>
                <w:rFonts w:eastAsia="Times New Roman" w:cstheme="minorHAnsi"/>
                <w:b/>
                <w:bCs/>
                <w:color w:val="000000"/>
                <w:sz w:val="18"/>
                <w:szCs w:val="18"/>
              </w:rPr>
            </w:pPr>
            <w:r>
              <w:rPr>
                <w:rFonts w:eastAsia="Times New Roman" w:cstheme="minorHAnsi"/>
                <w:b/>
                <w:bCs/>
                <w:color w:val="000000"/>
                <w:sz w:val="18"/>
                <w:szCs w:val="18"/>
              </w:rPr>
              <w:t>Patients Age</w:t>
            </w:r>
          </w:p>
        </w:tc>
        <w:tc>
          <w:tcPr>
            <w:tcW w:w="770" w:type="dxa"/>
            <w:shd w:val="clear" w:color="auto" w:fill="BFBFBF" w:themeFill="background1" w:themeFillShade="BF"/>
            <w:noWrap/>
            <w:vAlign w:val="bottom"/>
            <w:hideMark/>
          </w:tcPr>
          <w:p w14:paraId="77327D9C" w14:textId="052213AD" w:rsidR="0041367F" w:rsidRPr="0041367F" w:rsidRDefault="0041367F" w:rsidP="0041367F">
            <w:pPr>
              <w:spacing w:after="0"/>
              <w:rPr>
                <w:rFonts w:eastAsia="Times New Roman" w:cstheme="minorHAnsi"/>
                <w:b/>
                <w:bCs/>
                <w:color w:val="000000"/>
                <w:sz w:val="18"/>
                <w:szCs w:val="18"/>
              </w:rPr>
            </w:pPr>
            <w:r>
              <w:rPr>
                <w:rFonts w:eastAsia="Times New Roman" w:cstheme="minorHAnsi"/>
                <w:b/>
                <w:bCs/>
                <w:color w:val="000000"/>
                <w:sz w:val="18"/>
                <w:szCs w:val="18"/>
              </w:rPr>
              <w:t>Gender</w:t>
            </w:r>
          </w:p>
        </w:tc>
        <w:tc>
          <w:tcPr>
            <w:tcW w:w="841" w:type="dxa"/>
            <w:shd w:val="clear" w:color="auto" w:fill="BFBFBF" w:themeFill="background1" w:themeFillShade="BF"/>
            <w:noWrap/>
            <w:vAlign w:val="bottom"/>
            <w:hideMark/>
          </w:tcPr>
          <w:p w14:paraId="6709B411" w14:textId="77777777" w:rsidR="0041367F" w:rsidRPr="0041367F" w:rsidRDefault="0041367F" w:rsidP="0041367F">
            <w:pPr>
              <w:spacing w:after="0"/>
              <w:rPr>
                <w:rFonts w:eastAsia="Times New Roman" w:cstheme="minorHAnsi"/>
                <w:b/>
                <w:bCs/>
                <w:color w:val="000000"/>
                <w:sz w:val="18"/>
                <w:szCs w:val="18"/>
              </w:rPr>
            </w:pPr>
            <w:r w:rsidRPr="0041367F">
              <w:rPr>
                <w:rFonts w:eastAsia="Times New Roman" w:cstheme="minorHAnsi"/>
                <w:b/>
                <w:bCs/>
                <w:color w:val="000000"/>
                <w:sz w:val="18"/>
                <w:szCs w:val="18"/>
              </w:rPr>
              <w:t>2013/14</w:t>
            </w:r>
          </w:p>
        </w:tc>
        <w:tc>
          <w:tcPr>
            <w:tcW w:w="841" w:type="dxa"/>
            <w:shd w:val="clear" w:color="auto" w:fill="BFBFBF" w:themeFill="background1" w:themeFillShade="BF"/>
            <w:noWrap/>
            <w:vAlign w:val="bottom"/>
            <w:hideMark/>
          </w:tcPr>
          <w:p w14:paraId="7A4DEDAD" w14:textId="77777777" w:rsidR="0041367F" w:rsidRPr="0041367F" w:rsidRDefault="0041367F" w:rsidP="0041367F">
            <w:pPr>
              <w:spacing w:after="0"/>
              <w:rPr>
                <w:rFonts w:eastAsia="Times New Roman" w:cstheme="minorHAnsi"/>
                <w:b/>
                <w:bCs/>
                <w:color w:val="000000"/>
                <w:sz w:val="18"/>
                <w:szCs w:val="18"/>
              </w:rPr>
            </w:pPr>
            <w:r w:rsidRPr="0041367F">
              <w:rPr>
                <w:rFonts w:eastAsia="Times New Roman" w:cstheme="minorHAnsi"/>
                <w:b/>
                <w:bCs/>
                <w:color w:val="000000"/>
                <w:sz w:val="18"/>
                <w:szCs w:val="18"/>
              </w:rPr>
              <w:t>2014/15</w:t>
            </w:r>
          </w:p>
        </w:tc>
        <w:tc>
          <w:tcPr>
            <w:tcW w:w="841" w:type="dxa"/>
            <w:shd w:val="clear" w:color="auto" w:fill="BFBFBF" w:themeFill="background1" w:themeFillShade="BF"/>
            <w:noWrap/>
            <w:vAlign w:val="bottom"/>
            <w:hideMark/>
          </w:tcPr>
          <w:p w14:paraId="1AA40F92" w14:textId="77777777" w:rsidR="0041367F" w:rsidRPr="0041367F" w:rsidRDefault="0041367F" w:rsidP="0041367F">
            <w:pPr>
              <w:spacing w:after="0"/>
              <w:rPr>
                <w:rFonts w:eastAsia="Times New Roman" w:cstheme="minorHAnsi"/>
                <w:b/>
                <w:bCs/>
                <w:color w:val="000000"/>
                <w:sz w:val="18"/>
                <w:szCs w:val="18"/>
              </w:rPr>
            </w:pPr>
            <w:r w:rsidRPr="0041367F">
              <w:rPr>
                <w:rFonts w:eastAsia="Times New Roman" w:cstheme="minorHAnsi"/>
                <w:b/>
                <w:bCs/>
                <w:color w:val="000000"/>
                <w:sz w:val="18"/>
                <w:szCs w:val="18"/>
              </w:rPr>
              <w:t>2015/16</w:t>
            </w:r>
          </w:p>
        </w:tc>
        <w:tc>
          <w:tcPr>
            <w:tcW w:w="841" w:type="dxa"/>
            <w:shd w:val="clear" w:color="auto" w:fill="BFBFBF" w:themeFill="background1" w:themeFillShade="BF"/>
            <w:noWrap/>
            <w:vAlign w:val="bottom"/>
            <w:hideMark/>
          </w:tcPr>
          <w:p w14:paraId="22F6021F" w14:textId="77777777" w:rsidR="0041367F" w:rsidRPr="0041367F" w:rsidRDefault="0041367F" w:rsidP="0041367F">
            <w:pPr>
              <w:spacing w:after="0"/>
              <w:rPr>
                <w:rFonts w:eastAsia="Times New Roman" w:cstheme="minorHAnsi"/>
                <w:b/>
                <w:bCs/>
                <w:color w:val="000000"/>
                <w:sz w:val="18"/>
                <w:szCs w:val="18"/>
              </w:rPr>
            </w:pPr>
            <w:r w:rsidRPr="0041367F">
              <w:rPr>
                <w:rFonts w:eastAsia="Times New Roman" w:cstheme="minorHAnsi"/>
                <w:b/>
                <w:bCs/>
                <w:color w:val="000000"/>
                <w:sz w:val="18"/>
                <w:szCs w:val="18"/>
              </w:rPr>
              <w:t>2016/17</w:t>
            </w:r>
          </w:p>
        </w:tc>
        <w:tc>
          <w:tcPr>
            <w:tcW w:w="841" w:type="dxa"/>
            <w:shd w:val="clear" w:color="auto" w:fill="BFBFBF" w:themeFill="background1" w:themeFillShade="BF"/>
            <w:noWrap/>
            <w:vAlign w:val="bottom"/>
            <w:hideMark/>
          </w:tcPr>
          <w:p w14:paraId="52BC2DF0" w14:textId="77777777" w:rsidR="0041367F" w:rsidRPr="0041367F" w:rsidRDefault="0041367F" w:rsidP="0041367F">
            <w:pPr>
              <w:spacing w:after="0"/>
              <w:rPr>
                <w:rFonts w:eastAsia="Times New Roman" w:cstheme="minorHAnsi"/>
                <w:b/>
                <w:bCs/>
                <w:color w:val="000000"/>
                <w:sz w:val="18"/>
                <w:szCs w:val="18"/>
              </w:rPr>
            </w:pPr>
            <w:r w:rsidRPr="0041367F">
              <w:rPr>
                <w:rFonts w:eastAsia="Times New Roman" w:cstheme="minorHAnsi"/>
                <w:b/>
                <w:bCs/>
                <w:color w:val="000000"/>
                <w:sz w:val="18"/>
                <w:szCs w:val="18"/>
              </w:rPr>
              <w:t>2017/18</w:t>
            </w:r>
          </w:p>
        </w:tc>
        <w:tc>
          <w:tcPr>
            <w:tcW w:w="841" w:type="dxa"/>
            <w:shd w:val="clear" w:color="auto" w:fill="BFBFBF" w:themeFill="background1" w:themeFillShade="BF"/>
            <w:noWrap/>
            <w:vAlign w:val="bottom"/>
            <w:hideMark/>
          </w:tcPr>
          <w:p w14:paraId="183B1F64" w14:textId="77777777" w:rsidR="0041367F" w:rsidRPr="0041367F" w:rsidRDefault="0041367F" w:rsidP="0041367F">
            <w:pPr>
              <w:spacing w:after="0"/>
              <w:rPr>
                <w:rFonts w:eastAsia="Times New Roman" w:cstheme="minorHAnsi"/>
                <w:b/>
                <w:bCs/>
                <w:color w:val="000000"/>
                <w:sz w:val="18"/>
                <w:szCs w:val="18"/>
              </w:rPr>
            </w:pPr>
            <w:r w:rsidRPr="0041367F">
              <w:rPr>
                <w:rFonts w:eastAsia="Times New Roman" w:cstheme="minorHAnsi"/>
                <w:b/>
                <w:bCs/>
                <w:color w:val="000000"/>
                <w:sz w:val="18"/>
                <w:szCs w:val="18"/>
              </w:rPr>
              <w:t>2018/19</w:t>
            </w:r>
          </w:p>
        </w:tc>
        <w:tc>
          <w:tcPr>
            <w:tcW w:w="841" w:type="dxa"/>
            <w:shd w:val="clear" w:color="auto" w:fill="BFBFBF" w:themeFill="background1" w:themeFillShade="BF"/>
            <w:noWrap/>
            <w:vAlign w:val="bottom"/>
            <w:hideMark/>
          </w:tcPr>
          <w:p w14:paraId="2F2FF295" w14:textId="77777777" w:rsidR="0041367F" w:rsidRPr="0041367F" w:rsidRDefault="0041367F" w:rsidP="0041367F">
            <w:pPr>
              <w:spacing w:after="0"/>
              <w:rPr>
                <w:rFonts w:eastAsia="Times New Roman" w:cstheme="minorHAnsi"/>
                <w:b/>
                <w:bCs/>
                <w:color w:val="000000"/>
                <w:sz w:val="18"/>
                <w:szCs w:val="18"/>
              </w:rPr>
            </w:pPr>
            <w:r w:rsidRPr="0041367F">
              <w:rPr>
                <w:rFonts w:eastAsia="Times New Roman" w:cstheme="minorHAnsi"/>
                <w:b/>
                <w:bCs/>
                <w:color w:val="000000"/>
                <w:sz w:val="18"/>
                <w:szCs w:val="18"/>
              </w:rPr>
              <w:t>2019/20</w:t>
            </w:r>
          </w:p>
        </w:tc>
        <w:tc>
          <w:tcPr>
            <w:tcW w:w="841" w:type="dxa"/>
            <w:shd w:val="clear" w:color="auto" w:fill="BFBFBF" w:themeFill="background1" w:themeFillShade="BF"/>
            <w:noWrap/>
            <w:vAlign w:val="bottom"/>
            <w:hideMark/>
          </w:tcPr>
          <w:p w14:paraId="5D79FAE5" w14:textId="77777777" w:rsidR="0041367F" w:rsidRPr="0041367F" w:rsidRDefault="0041367F" w:rsidP="0041367F">
            <w:pPr>
              <w:spacing w:after="0"/>
              <w:rPr>
                <w:rFonts w:eastAsia="Times New Roman" w:cstheme="minorHAnsi"/>
                <w:b/>
                <w:bCs/>
                <w:color w:val="000000"/>
                <w:sz w:val="18"/>
                <w:szCs w:val="18"/>
              </w:rPr>
            </w:pPr>
            <w:r w:rsidRPr="0041367F">
              <w:rPr>
                <w:rFonts w:eastAsia="Times New Roman" w:cstheme="minorHAnsi"/>
                <w:b/>
                <w:bCs/>
                <w:color w:val="000000"/>
                <w:sz w:val="18"/>
                <w:szCs w:val="18"/>
              </w:rPr>
              <w:t>2020/21</w:t>
            </w:r>
          </w:p>
        </w:tc>
        <w:tc>
          <w:tcPr>
            <w:tcW w:w="841" w:type="dxa"/>
            <w:shd w:val="clear" w:color="auto" w:fill="BFBFBF" w:themeFill="background1" w:themeFillShade="BF"/>
            <w:noWrap/>
            <w:vAlign w:val="bottom"/>
            <w:hideMark/>
          </w:tcPr>
          <w:p w14:paraId="2B9B08F2" w14:textId="77777777" w:rsidR="0041367F" w:rsidRPr="0041367F" w:rsidRDefault="0041367F" w:rsidP="0041367F">
            <w:pPr>
              <w:spacing w:after="0"/>
              <w:rPr>
                <w:rFonts w:eastAsia="Times New Roman" w:cstheme="minorHAnsi"/>
                <w:b/>
                <w:bCs/>
                <w:color w:val="000000"/>
                <w:sz w:val="18"/>
                <w:szCs w:val="18"/>
              </w:rPr>
            </w:pPr>
            <w:r w:rsidRPr="0041367F">
              <w:rPr>
                <w:rFonts w:eastAsia="Times New Roman" w:cstheme="minorHAnsi"/>
                <w:b/>
                <w:bCs/>
                <w:color w:val="000000"/>
                <w:sz w:val="18"/>
                <w:szCs w:val="18"/>
              </w:rPr>
              <w:t>2021/22</w:t>
            </w:r>
          </w:p>
        </w:tc>
        <w:tc>
          <w:tcPr>
            <w:tcW w:w="841" w:type="dxa"/>
            <w:shd w:val="clear" w:color="auto" w:fill="BFBFBF" w:themeFill="background1" w:themeFillShade="BF"/>
            <w:noWrap/>
            <w:vAlign w:val="bottom"/>
            <w:hideMark/>
          </w:tcPr>
          <w:p w14:paraId="75B2F903" w14:textId="77777777" w:rsidR="0041367F" w:rsidRPr="0041367F" w:rsidRDefault="0041367F" w:rsidP="0041367F">
            <w:pPr>
              <w:spacing w:after="0"/>
              <w:rPr>
                <w:rFonts w:eastAsia="Times New Roman" w:cstheme="minorHAnsi"/>
                <w:b/>
                <w:bCs/>
                <w:color w:val="000000"/>
                <w:sz w:val="18"/>
                <w:szCs w:val="18"/>
              </w:rPr>
            </w:pPr>
            <w:r w:rsidRPr="0041367F">
              <w:rPr>
                <w:rFonts w:eastAsia="Times New Roman" w:cstheme="minorHAnsi"/>
                <w:b/>
                <w:bCs/>
                <w:color w:val="000000"/>
                <w:sz w:val="18"/>
                <w:szCs w:val="18"/>
              </w:rPr>
              <w:t>2022/23</w:t>
            </w:r>
          </w:p>
        </w:tc>
      </w:tr>
      <w:tr w:rsidR="0041367F" w:rsidRPr="0041367F" w14:paraId="6FC73091" w14:textId="77777777" w:rsidTr="002A05C2">
        <w:trPr>
          <w:trHeight w:val="288"/>
        </w:trPr>
        <w:tc>
          <w:tcPr>
            <w:tcW w:w="829" w:type="dxa"/>
            <w:vMerge w:val="restart"/>
            <w:shd w:val="clear" w:color="auto" w:fill="auto"/>
            <w:noWrap/>
            <w:vAlign w:val="center"/>
            <w:hideMark/>
          </w:tcPr>
          <w:p w14:paraId="3FE03CFF" w14:textId="77777777" w:rsidR="0041367F" w:rsidRPr="0041367F" w:rsidRDefault="0041367F" w:rsidP="0041367F">
            <w:pPr>
              <w:spacing w:after="0"/>
              <w:jc w:val="center"/>
              <w:rPr>
                <w:rFonts w:eastAsia="Times New Roman" w:cstheme="minorHAnsi"/>
                <w:b/>
                <w:bCs/>
                <w:color w:val="000000"/>
                <w:sz w:val="18"/>
                <w:szCs w:val="18"/>
              </w:rPr>
            </w:pPr>
            <w:r w:rsidRPr="0041367F">
              <w:rPr>
                <w:rFonts w:eastAsia="Times New Roman" w:cstheme="minorHAnsi"/>
                <w:b/>
                <w:bCs/>
                <w:color w:val="000000"/>
                <w:sz w:val="18"/>
                <w:szCs w:val="18"/>
              </w:rPr>
              <w:t>&lt;6 yrs</w:t>
            </w:r>
          </w:p>
        </w:tc>
        <w:tc>
          <w:tcPr>
            <w:tcW w:w="770" w:type="dxa"/>
            <w:shd w:val="clear" w:color="auto" w:fill="auto"/>
            <w:noWrap/>
            <w:vAlign w:val="bottom"/>
            <w:hideMark/>
          </w:tcPr>
          <w:p w14:paraId="1890DDFA" w14:textId="77777777" w:rsidR="0041367F" w:rsidRPr="0041367F" w:rsidRDefault="0041367F" w:rsidP="0041367F">
            <w:pPr>
              <w:spacing w:after="0"/>
              <w:rPr>
                <w:rFonts w:eastAsia="Times New Roman" w:cstheme="minorHAnsi"/>
                <w:sz w:val="18"/>
                <w:szCs w:val="18"/>
              </w:rPr>
            </w:pPr>
            <w:r w:rsidRPr="0041367F">
              <w:rPr>
                <w:rFonts w:eastAsia="Times New Roman" w:cstheme="minorHAnsi"/>
                <w:sz w:val="18"/>
                <w:szCs w:val="18"/>
              </w:rPr>
              <w:t>Male</w:t>
            </w:r>
          </w:p>
        </w:tc>
        <w:tc>
          <w:tcPr>
            <w:tcW w:w="841" w:type="dxa"/>
            <w:shd w:val="clear" w:color="auto" w:fill="auto"/>
            <w:noWrap/>
            <w:vAlign w:val="bottom"/>
            <w:hideMark/>
          </w:tcPr>
          <w:p w14:paraId="08A08369" w14:textId="08A0AC80"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2,278 </w:t>
            </w:r>
          </w:p>
        </w:tc>
        <w:tc>
          <w:tcPr>
            <w:tcW w:w="841" w:type="dxa"/>
            <w:shd w:val="clear" w:color="auto" w:fill="auto"/>
            <w:noWrap/>
            <w:vAlign w:val="bottom"/>
            <w:hideMark/>
          </w:tcPr>
          <w:p w14:paraId="10DE007B" w14:textId="6C7DB867"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2,320 </w:t>
            </w:r>
          </w:p>
        </w:tc>
        <w:tc>
          <w:tcPr>
            <w:tcW w:w="841" w:type="dxa"/>
            <w:shd w:val="clear" w:color="auto" w:fill="auto"/>
            <w:noWrap/>
            <w:vAlign w:val="bottom"/>
            <w:hideMark/>
          </w:tcPr>
          <w:p w14:paraId="2FC51E0A" w14:textId="2E7CB342"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2,492 </w:t>
            </w:r>
          </w:p>
        </w:tc>
        <w:tc>
          <w:tcPr>
            <w:tcW w:w="841" w:type="dxa"/>
            <w:shd w:val="clear" w:color="auto" w:fill="auto"/>
            <w:noWrap/>
            <w:vAlign w:val="bottom"/>
            <w:hideMark/>
          </w:tcPr>
          <w:p w14:paraId="381E37AE" w14:textId="0084BF27"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2,704 </w:t>
            </w:r>
          </w:p>
        </w:tc>
        <w:tc>
          <w:tcPr>
            <w:tcW w:w="841" w:type="dxa"/>
            <w:shd w:val="clear" w:color="auto" w:fill="auto"/>
            <w:noWrap/>
            <w:vAlign w:val="bottom"/>
            <w:hideMark/>
          </w:tcPr>
          <w:p w14:paraId="7A4AE413" w14:textId="49B217A7"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3,096 </w:t>
            </w:r>
          </w:p>
        </w:tc>
        <w:tc>
          <w:tcPr>
            <w:tcW w:w="841" w:type="dxa"/>
            <w:shd w:val="clear" w:color="auto" w:fill="auto"/>
            <w:noWrap/>
            <w:vAlign w:val="bottom"/>
            <w:hideMark/>
          </w:tcPr>
          <w:p w14:paraId="261CB340" w14:textId="101CDBDB"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3,653 </w:t>
            </w:r>
          </w:p>
        </w:tc>
        <w:tc>
          <w:tcPr>
            <w:tcW w:w="841" w:type="dxa"/>
            <w:shd w:val="clear" w:color="auto" w:fill="auto"/>
            <w:noWrap/>
            <w:vAlign w:val="bottom"/>
            <w:hideMark/>
          </w:tcPr>
          <w:p w14:paraId="36156BF4" w14:textId="304BDB6F"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4,218 </w:t>
            </w:r>
          </w:p>
        </w:tc>
        <w:tc>
          <w:tcPr>
            <w:tcW w:w="841" w:type="dxa"/>
            <w:shd w:val="clear" w:color="auto" w:fill="auto"/>
            <w:noWrap/>
            <w:vAlign w:val="bottom"/>
            <w:hideMark/>
          </w:tcPr>
          <w:p w14:paraId="6EDB30FA" w14:textId="42F44E39"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4,690 </w:t>
            </w:r>
          </w:p>
        </w:tc>
        <w:tc>
          <w:tcPr>
            <w:tcW w:w="841" w:type="dxa"/>
            <w:shd w:val="clear" w:color="auto" w:fill="auto"/>
            <w:noWrap/>
            <w:vAlign w:val="bottom"/>
            <w:hideMark/>
          </w:tcPr>
          <w:p w14:paraId="69F2CFA5" w14:textId="642FF49E"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5,124 </w:t>
            </w:r>
          </w:p>
        </w:tc>
        <w:tc>
          <w:tcPr>
            <w:tcW w:w="841" w:type="dxa"/>
            <w:shd w:val="clear" w:color="auto" w:fill="auto"/>
            <w:noWrap/>
            <w:vAlign w:val="bottom"/>
            <w:hideMark/>
          </w:tcPr>
          <w:p w14:paraId="2314CB47" w14:textId="7F47DEDC"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6,106 </w:t>
            </w:r>
          </w:p>
        </w:tc>
      </w:tr>
      <w:tr w:rsidR="0041367F" w:rsidRPr="0041367F" w14:paraId="12C754BF" w14:textId="77777777" w:rsidTr="002A05C2">
        <w:trPr>
          <w:trHeight w:val="288"/>
        </w:trPr>
        <w:tc>
          <w:tcPr>
            <w:tcW w:w="829" w:type="dxa"/>
            <w:vMerge/>
            <w:shd w:val="clear" w:color="auto" w:fill="auto"/>
            <w:noWrap/>
            <w:vAlign w:val="center"/>
            <w:hideMark/>
          </w:tcPr>
          <w:p w14:paraId="479F1958" w14:textId="77777777" w:rsidR="0041367F" w:rsidRPr="0041367F" w:rsidRDefault="0041367F" w:rsidP="0041367F">
            <w:pPr>
              <w:spacing w:after="0"/>
              <w:jc w:val="center"/>
              <w:rPr>
                <w:rFonts w:eastAsia="Times New Roman" w:cstheme="minorHAnsi"/>
                <w:b/>
                <w:bCs/>
                <w:color w:val="000000"/>
                <w:sz w:val="18"/>
                <w:szCs w:val="18"/>
              </w:rPr>
            </w:pPr>
          </w:p>
        </w:tc>
        <w:tc>
          <w:tcPr>
            <w:tcW w:w="770" w:type="dxa"/>
            <w:shd w:val="clear" w:color="auto" w:fill="auto"/>
            <w:noWrap/>
            <w:vAlign w:val="bottom"/>
            <w:hideMark/>
          </w:tcPr>
          <w:p w14:paraId="3D9C29BF" w14:textId="77777777" w:rsidR="0041367F" w:rsidRPr="0041367F" w:rsidRDefault="0041367F" w:rsidP="0041367F">
            <w:pPr>
              <w:spacing w:after="0"/>
              <w:rPr>
                <w:rFonts w:eastAsia="Times New Roman" w:cstheme="minorHAnsi"/>
                <w:sz w:val="18"/>
                <w:szCs w:val="18"/>
              </w:rPr>
            </w:pPr>
            <w:r w:rsidRPr="0041367F">
              <w:rPr>
                <w:rFonts w:eastAsia="Times New Roman" w:cstheme="minorHAnsi"/>
                <w:sz w:val="18"/>
                <w:szCs w:val="18"/>
              </w:rPr>
              <w:t>Female</w:t>
            </w:r>
          </w:p>
        </w:tc>
        <w:tc>
          <w:tcPr>
            <w:tcW w:w="841" w:type="dxa"/>
            <w:shd w:val="clear" w:color="auto" w:fill="auto"/>
            <w:noWrap/>
            <w:vAlign w:val="bottom"/>
            <w:hideMark/>
          </w:tcPr>
          <w:p w14:paraId="2AFA69FE" w14:textId="0398892E"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518 </w:t>
            </w:r>
          </w:p>
        </w:tc>
        <w:tc>
          <w:tcPr>
            <w:tcW w:w="841" w:type="dxa"/>
            <w:shd w:val="clear" w:color="auto" w:fill="auto"/>
            <w:noWrap/>
            <w:vAlign w:val="bottom"/>
            <w:hideMark/>
          </w:tcPr>
          <w:p w14:paraId="63C0F470" w14:textId="6E278F32"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558 </w:t>
            </w:r>
          </w:p>
        </w:tc>
        <w:tc>
          <w:tcPr>
            <w:tcW w:w="841" w:type="dxa"/>
            <w:shd w:val="clear" w:color="auto" w:fill="auto"/>
            <w:noWrap/>
            <w:vAlign w:val="bottom"/>
            <w:hideMark/>
          </w:tcPr>
          <w:p w14:paraId="7C6E4B3E" w14:textId="1EB9D1B3"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649 </w:t>
            </w:r>
          </w:p>
        </w:tc>
        <w:tc>
          <w:tcPr>
            <w:tcW w:w="841" w:type="dxa"/>
            <w:shd w:val="clear" w:color="auto" w:fill="auto"/>
            <w:noWrap/>
            <w:vAlign w:val="bottom"/>
            <w:hideMark/>
          </w:tcPr>
          <w:p w14:paraId="2E499292" w14:textId="6EF658A8"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636 </w:t>
            </w:r>
          </w:p>
        </w:tc>
        <w:tc>
          <w:tcPr>
            <w:tcW w:w="841" w:type="dxa"/>
            <w:shd w:val="clear" w:color="auto" w:fill="auto"/>
            <w:noWrap/>
            <w:vAlign w:val="bottom"/>
            <w:hideMark/>
          </w:tcPr>
          <w:p w14:paraId="5788A70E" w14:textId="2FE80C12"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664 </w:t>
            </w:r>
          </w:p>
        </w:tc>
        <w:tc>
          <w:tcPr>
            <w:tcW w:w="841" w:type="dxa"/>
            <w:shd w:val="clear" w:color="auto" w:fill="auto"/>
            <w:noWrap/>
            <w:vAlign w:val="bottom"/>
            <w:hideMark/>
          </w:tcPr>
          <w:p w14:paraId="307DB0E2" w14:textId="6E16768D"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801 </w:t>
            </w:r>
          </w:p>
        </w:tc>
        <w:tc>
          <w:tcPr>
            <w:tcW w:w="841" w:type="dxa"/>
            <w:shd w:val="clear" w:color="auto" w:fill="auto"/>
            <w:noWrap/>
            <w:vAlign w:val="bottom"/>
            <w:hideMark/>
          </w:tcPr>
          <w:p w14:paraId="60F79E0C" w14:textId="7E0589C7"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1,016 </w:t>
            </w:r>
          </w:p>
        </w:tc>
        <w:tc>
          <w:tcPr>
            <w:tcW w:w="841" w:type="dxa"/>
            <w:shd w:val="clear" w:color="auto" w:fill="auto"/>
            <w:noWrap/>
            <w:vAlign w:val="bottom"/>
            <w:hideMark/>
          </w:tcPr>
          <w:p w14:paraId="16772B4C" w14:textId="6236DA4E"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1,179 </w:t>
            </w:r>
          </w:p>
        </w:tc>
        <w:tc>
          <w:tcPr>
            <w:tcW w:w="841" w:type="dxa"/>
            <w:shd w:val="clear" w:color="auto" w:fill="auto"/>
            <w:noWrap/>
            <w:vAlign w:val="bottom"/>
            <w:hideMark/>
          </w:tcPr>
          <w:p w14:paraId="74C4BC87" w14:textId="08913F8C"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1,443 </w:t>
            </w:r>
          </w:p>
        </w:tc>
        <w:tc>
          <w:tcPr>
            <w:tcW w:w="841" w:type="dxa"/>
            <w:shd w:val="clear" w:color="auto" w:fill="auto"/>
            <w:noWrap/>
            <w:vAlign w:val="bottom"/>
            <w:hideMark/>
          </w:tcPr>
          <w:p w14:paraId="3A81708B" w14:textId="19399CF2"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1,663 </w:t>
            </w:r>
          </w:p>
        </w:tc>
      </w:tr>
      <w:tr w:rsidR="0041367F" w:rsidRPr="0041367F" w14:paraId="3AC4445C" w14:textId="77777777" w:rsidTr="002A05C2">
        <w:trPr>
          <w:trHeight w:val="288"/>
        </w:trPr>
        <w:tc>
          <w:tcPr>
            <w:tcW w:w="829" w:type="dxa"/>
            <w:vMerge w:val="restart"/>
            <w:shd w:val="clear" w:color="auto" w:fill="DBE5F1" w:themeFill="accent1" w:themeFillTint="33"/>
            <w:noWrap/>
            <w:vAlign w:val="center"/>
            <w:hideMark/>
          </w:tcPr>
          <w:p w14:paraId="040AEB79" w14:textId="77777777" w:rsidR="0041367F" w:rsidRPr="0041367F" w:rsidRDefault="0041367F" w:rsidP="0041367F">
            <w:pPr>
              <w:spacing w:after="0"/>
              <w:jc w:val="center"/>
              <w:rPr>
                <w:rFonts w:eastAsia="Times New Roman" w:cstheme="minorHAnsi"/>
                <w:b/>
                <w:bCs/>
                <w:color w:val="000000"/>
                <w:sz w:val="18"/>
                <w:szCs w:val="18"/>
              </w:rPr>
            </w:pPr>
            <w:r w:rsidRPr="0041367F">
              <w:rPr>
                <w:rFonts w:eastAsia="Times New Roman" w:cstheme="minorHAnsi"/>
                <w:b/>
                <w:bCs/>
                <w:color w:val="000000"/>
                <w:sz w:val="18"/>
                <w:szCs w:val="18"/>
              </w:rPr>
              <w:t>6-12 yrs</w:t>
            </w:r>
          </w:p>
        </w:tc>
        <w:tc>
          <w:tcPr>
            <w:tcW w:w="770" w:type="dxa"/>
            <w:shd w:val="clear" w:color="auto" w:fill="DBE5F1" w:themeFill="accent1" w:themeFillTint="33"/>
            <w:noWrap/>
            <w:vAlign w:val="bottom"/>
            <w:hideMark/>
          </w:tcPr>
          <w:p w14:paraId="31F82A65" w14:textId="77777777" w:rsidR="0041367F" w:rsidRPr="0041367F" w:rsidRDefault="0041367F" w:rsidP="0041367F">
            <w:pPr>
              <w:spacing w:after="0"/>
              <w:rPr>
                <w:rFonts w:eastAsia="Times New Roman" w:cstheme="minorHAnsi"/>
                <w:sz w:val="18"/>
                <w:szCs w:val="18"/>
              </w:rPr>
            </w:pPr>
            <w:r w:rsidRPr="0041367F">
              <w:rPr>
                <w:rFonts w:eastAsia="Times New Roman" w:cstheme="minorHAnsi"/>
                <w:sz w:val="18"/>
                <w:szCs w:val="18"/>
              </w:rPr>
              <w:t>Male</w:t>
            </w:r>
          </w:p>
        </w:tc>
        <w:tc>
          <w:tcPr>
            <w:tcW w:w="841" w:type="dxa"/>
            <w:shd w:val="clear" w:color="auto" w:fill="DBE5F1" w:themeFill="accent1" w:themeFillTint="33"/>
            <w:noWrap/>
            <w:vAlign w:val="bottom"/>
            <w:hideMark/>
          </w:tcPr>
          <w:p w14:paraId="187F2954" w14:textId="0452F247"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39,517 </w:t>
            </w:r>
          </w:p>
        </w:tc>
        <w:tc>
          <w:tcPr>
            <w:tcW w:w="841" w:type="dxa"/>
            <w:shd w:val="clear" w:color="auto" w:fill="DBE5F1" w:themeFill="accent1" w:themeFillTint="33"/>
            <w:noWrap/>
            <w:vAlign w:val="bottom"/>
            <w:hideMark/>
          </w:tcPr>
          <w:p w14:paraId="61613DAD" w14:textId="4761E2C8"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42,733 </w:t>
            </w:r>
          </w:p>
        </w:tc>
        <w:tc>
          <w:tcPr>
            <w:tcW w:w="841" w:type="dxa"/>
            <w:shd w:val="clear" w:color="auto" w:fill="DBE5F1" w:themeFill="accent1" w:themeFillTint="33"/>
            <w:noWrap/>
            <w:vAlign w:val="bottom"/>
            <w:hideMark/>
          </w:tcPr>
          <w:p w14:paraId="6A87FE98" w14:textId="29C24A70"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47,984 </w:t>
            </w:r>
          </w:p>
        </w:tc>
        <w:tc>
          <w:tcPr>
            <w:tcW w:w="841" w:type="dxa"/>
            <w:shd w:val="clear" w:color="auto" w:fill="DBE5F1" w:themeFill="accent1" w:themeFillTint="33"/>
            <w:noWrap/>
            <w:vAlign w:val="bottom"/>
            <w:hideMark/>
          </w:tcPr>
          <w:p w14:paraId="7E3F0ADF" w14:textId="662E1921"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53,171 </w:t>
            </w:r>
          </w:p>
        </w:tc>
        <w:tc>
          <w:tcPr>
            <w:tcW w:w="841" w:type="dxa"/>
            <w:shd w:val="clear" w:color="auto" w:fill="DBE5F1" w:themeFill="accent1" w:themeFillTint="33"/>
            <w:noWrap/>
            <w:vAlign w:val="bottom"/>
            <w:hideMark/>
          </w:tcPr>
          <w:p w14:paraId="5390FE4D" w14:textId="5A8CFA95"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59,315 </w:t>
            </w:r>
          </w:p>
        </w:tc>
        <w:tc>
          <w:tcPr>
            <w:tcW w:w="841" w:type="dxa"/>
            <w:shd w:val="clear" w:color="auto" w:fill="DBE5F1" w:themeFill="accent1" w:themeFillTint="33"/>
            <w:noWrap/>
            <w:vAlign w:val="bottom"/>
            <w:hideMark/>
          </w:tcPr>
          <w:p w14:paraId="7C78C263" w14:textId="15212A8B"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67,485 </w:t>
            </w:r>
          </w:p>
        </w:tc>
        <w:tc>
          <w:tcPr>
            <w:tcW w:w="841" w:type="dxa"/>
            <w:shd w:val="clear" w:color="auto" w:fill="DBE5F1" w:themeFill="accent1" w:themeFillTint="33"/>
            <w:noWrap/>
            <w:vAlign w:val="bottom"/>
            <w:hideMark/>
          </w:tcPr>
          <w:p w14:paraId="3FC637D1" w14:textId="37D27DBE"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76,047 </w:t>
            </w:r>
          </w:p>
        </w:tc>
        <w:tc>
          <w:tcPr>
            <w:tcW w:w="841" w:type="dxa"/>
            <w:shd w:val="clear" w:color="auto" w:fill="DBE5F1" w:themeFill="accent1" w:themeFillTint="33"/>
            <w:noWrap/>
            <w:vAlign w:val="bottom"/>
            <w:hideMark/>
          </w:tcPr>
          <w:p w14:paraId="32581D7A" w14:textId="1CD8EEDF"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86,544 </w:t>
            </w:r>
          </w:p>
        </w:tc>
        <w:tc>
          <w:tcPr>
            <w:tcW w:w="841" w:type="dxa"/>
            <w:shd w:val="clear" w:color="auto" w:fill="DBE5F1" w:themeFill="accent1" w:themeFillTint="33"/>
            <w:noWrap/>
            <w:vAlign w:val="bottom"/>
            <w:hideMark/>
          </w:tcPr>
          <w:p w14:paraId="796F8EE8" w14:textId="74B38F11"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97,718 </w:t>
            </w:r>
          </w:p>
        </w:tc>
        <w:tc>
          <w:tcPr>
            <w:tcW w:w="841" w:type="dxa"/>
            <w:shd w:val="clear" w:color="auto" w:fill="DBE5F1" w:themeFill="accent1" w:themeFillTint="33"/>
            <w:noWrap/>
            <w:vAlign w:val="bottom"/>
            <w:hideMark/>
          </w:tcPr>
          <w:p w14:paraId="47CA6652" w14:textId="05C9E7A4" w:rsidR="0041367F" w:rsidRPr="0041367F" w:rsidRDefault="00292055" w:rsidP="00292055">
            <w:pPr>
              <w:spacing w:after="0"/>
              <w:jc w:val="right"/>
              <w:rPr>
                <w:rFonts w:eastAsia="Times New Roman" w:cstheme="minorHAnsi"/>
                <w:sz w:val="18"/>
                <w:szCs w:val="18"/>
              </w:rPr>
            </w:pPr>
            <w:r>
              <w:rPr>
                <w:rFonts w:eastAsia="Times New Roman" w:cstheme="minorHAnsi"/>
                <w:sz w:val="18"/>
                <w:szCs w:val="18"/>
              </w:rPr>
              <w:t>1</w:t>
            </w:r>
            <w:r w:rsidR="0041367F" w:rsidRPr="0041367F">
              <w:rPr>
                <w:rFonts w:eastAsia="Times New Roman" w:cstheme="minorHAnsi"/>
                <w:sz w:val="18"/>
                <w:szCs w:val="18"/>
              </w:rPr>
              <w:t xml:space="preserve">12,437 </w:t>
            </w:r>
          </w:p>
        </w:tc>
      </w:tr>
      <w:tr w:rsidR="0041367F" w:rsidRPr="0041367F" w14:paraId="7348A793" w14:textId="77777777" w:rsidTr="002A05C2">
        <w:trPr>
          <w:trHeight w:val="288"/>
        </w:trPr>
        <w:tc>
          <w:tcPr>
            <w:tcW w:w="829" w:type="dxa"/>
            <w:vMerge/>
            <w:shd w:val="clear" w:color="auto" w:fill="DBE5F1" w:themeFill="accent1" w:themeFillTint="33"/>
            <w:noWrap/>
            <w:vAlign w:val="center"/>
            <w:hideMark/>
          </w:tcPr>
          <w:p w14:paraId="167F5ED5" w14:textId="77777777" w:rsidR="0041367F" w:rsidRPr="0041367F" w:rsidRDefault="0041367F" w:rsidP="0041367F">
            <w:pPr>
              <w:spacing w:after="0"/>
              <w:jc w:val="center"/>
              <w:rPr>
                <w:rFonts w:eastAsia="Times New Roman" w:cstheme="minorHAnsi"/>
                <w:b/>
                <w:bCs/>
                <w:color w:val="000000"/>
                <w:sz w:val="18"/>
                <w:szCs w:val="18"/>
              </w:rPr>
            </w:pPr>
          </w:p>
        </w:tc>
        <w:tc>
          <w:tcPr>
            <w:tcW w:w="770" w:type="dxa"/>
            <w:shd w:val="clear" w:color="auto" w:fill="DBE5F1" w:themeFill="accent1" w:themeFillTint="33"/>
            <w:noWrap/>
            <w:vAlign w:val="bottom"/>
            <w:hideMark/>
          </w:tcPr>
          <w:p w14:paraId="2F65C9F3" w14:textId="77777777" w:rsidR="0041367F" w:rsidRPr="0041367F" w:rsidRDefault="0041367F" w:rsidP="0041367F">
            <w:pPr>
              <w:spacing w:after="0"/>
              <w:rPr>
                <w:rFonts w:eastAsia="Times New Roman" w:cstheme="minorHAnsi"/>
                <w:sz w:val="18"/>
                <w:szCs w:val="18"/>
              </w:rPr>
            </w:pPr>
            <w:r w:rsidRPr="0041367F">
              <w:rPr>
                <w:rFonts w:eastAsia="Times New Roman" w:cstheme="minorHAnsi"/>
                <w:sz w:val="18"/>
                <w:szCs w:val="18"/>
              </w:rPr>
              <w:t>Female</w:t>
            </w:r>
          </w:p>
        </w:tc>
        <w:tc>
          <w:tcPr>
            <w:tcW w:w="841" w:type="dxa"/>
            <w:shd w:val="clear" w:color="auto" w:fill="DBE5F1" w:themeFill="accent1" w:themeFillTint="33"/>
            <w:noWrap/>
            <w:vAlign w:val="bottom"/>
            <w:hideMark/>
          </w:tcPr>
          <w:p w14:paraId="6F014E6F" w14:textId="69C3AFFC"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10,133 </w:t>
            </w:r>
          </w:p>
        </w:tc>
        <w:tc>
          <w:tcPr>
            <w:tcW w:w="841" w:type="dxa"/>
            <w:shd w:val="clear" w:color="auto" w:fill="DBE5F1" w:themeFill="accent1" w:themeFillTint="33"/>
            <w:noWrap/>
            <w:vAlign w:val="bottom"/>
            <w:hideMark/>
          </w:tcPr>
          <w:p w14:paraId="202AEC64" w14:textId="27A3DAB7"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10,884 </w:t>
            </w:r>
          </w:p>
        </w:tc>
        <w:tc>
          <w:tcPr>
            <w:tcW w:w="841" w:type="dxa"/>
            <w:shd w:val="clear" w:color="auto" w:fill="DBE5F1" w:themeFill="accent1" w:themeFillTint="33"/>
            <w:noWrap/>
            <w:vAlign w:val="bottom"/>
            <w:hideMark/>
          </w:tcPr>
          <w:p w14:paraId="29BB79BE" w14:textId="1594BEFE"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12,495 </w:t>
            </w:r>
          </w:p>
        </w:tc>
        <w:tc>
          <w:tcPr>
            <w:tcW w:w="841" w:type="dxa"/>
            <w:shd w:val="clear" w:color="auto" w:fill="DBE5F1" w:themeFill="accent1" w:themeFillTint="33"/>
            <w:noWrap/>
            <w:vAlign w:val="bottom"/>
            <w:hideMark/>
          </w:tcPr>
          <w:p w14:paraId="183A3775" w14:textId="49984E3F"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14,136 </w:t>
            </w:r>
          </w:p>
        </w:tc>
        <w:tc>
          <w:tcPr>
            <w:tcW w:w="841" w:type="dxa"/>
            <w:shd w:val="clear" w:color="auto" w:fill="DBE5F1" w:themeFill="accent1" w:themeFillTint="33"/>
            <w:noWrap/>
            <w:vAlign w:val="bottom"/>
            <w:hideMark/>
          </w:tcPr>
          <w:p w14:paraId="0C6E3748" w14:textId="685BBC10"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16,386 </w:t>
            </w:r>
          </w:p>
        </w:tc>
        <w:tc>
          <w:tcPr>
            <w:tcW w:w="841" w:type="dxa"/>
            <w:shd w:val="clear" w:color="auto" w:fill="DBE5F1" w:themeFill="accent1" w:themeFillTint="33"/>
            <w:noWrap/>
            <w:vAlign w:val="bottom"/>
            <w:hideMark/>
          </w:tcPr>
          <w:p w14:paraId="7B4B8C56" w14:textId="53AFF82B"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19,313 </w:t>
            </w:r>
          </w:p>
        </w:tc>
        <w:tc>
          <w:tcPr>
            <w:tcW w:w="841" w:type="dxa"/>
            <w:shd w:val="clear" w:color="auto" w:fill="DBE5F1" w:themeFill="accent1" w:themeFillTint="33"/>
            <w:noWrap/>
            <w:vAlign w:val="bottom"/>
            <w:hideMark/>
          </w:tcPr>
          <w:p w14:paraId="1C53AE83" w14:textId="09F13B0B"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22,784 </w:t>
            </w:r>
          </w:p>
        </w:tc>
        <w:tc>
          <w:tcPr>
            <w:tcW w:w="841" w:type="dxa"/>
            <w:shd w:val="clear" w:color="auto" w:fill="DBE5F1" w:themeFill="accent1" w:themeFillTint="33"/>
            <w:noWrap/>
            <w:vAlign w:val="bottom"/>
            <w:hideMark/>
          </w:tcPr>
          <w:p w14:paraId="515AA763" w14:textId="6DCA5544"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27,193 </w:t>
            </w:r>
          </w:p>
        </w:tc>
        <w:tc>
          <w:tcPr>
            <w:tcW w:w="841" w:type="dxa"/>
            <w:shd w:val="clear" w:color="auto" w:fill="DBE5F1" w:themeFill="accent1" w:themeFillTint="33"/>
            <w:noWrap/>
            <w:vAlign w:val="bottom"/>
            <w:hideMark/>
          </w:tcPr>
          <w:p w14:paraId="1DD46BF7" w14:textId="746DC494"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33,292 </w:t>
            </w:r>
          </w:p>
        </w:tc>
        <w:tc>
          <w:tcPr>
            <w:tcW w:w="841" w:type="dxa"/>
            <w:shd w:val="clear" w:color="auto" w:fill="DBE5F1" w:themeFill="accent1" w:themeFillTint="33"/>
            <w:noWrap/>
            <w:vAlign w:val="bottom"/>
            <w:hideMark/>
          </w:tcPr>
          <w:p w14:paraId="793EA4E4" w14:textId="3140443F"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41,494 </w:t>
            </w:r>
          </w:p>
        </w:tc>
      </w:tr>
      <w:tr w:rsidR="0041367F" w:rsidRPr="0041367F" w14:paraId="5BC815A2" w14:textId="77777777" w:rsidTr="002A05C2">
        <w:trPr>
          <w:trHeight w:val="288"/>
        </w:trPr>
        <w:tc>
          <w:tcPr>
            <w:tcW w:w="829" w:type="dxa"/>
            <w:vMerge w:val="restart"/>
            <w:shd w:val="clear" w:color="auto" w:fill="auto"/>
            <w:noWrap/>
            <w:vAlign w:val="center"/>
            <w:hideMark/>
          </w:tcPr>
          <w:p w14:paraId="4551B035" w14:textId="77777777" w:rsidR="0041367F" w:rsidRPr="0041367F" w:rsidRDefault="0041367F" w:rsidP="0041367F">
            <w:pPr>
              <w:spacing w:after="0"/>
              <w:ind w:left="-63" w:right="-36"/>
              <w:jc w:val="center"/>
              <w:rPr>
                <w:rFonts w:eastAsia="Times New Roman" w:cstheme="minorHAnsi"/>
                <w:b/>
                <w:bCs/>
                <w:color w:val="000000"/>
                <w:sz w:val="18"/>
                <w:szCs w:val="18"/>
              </w:rPr>
            </w:pPr>
            <w:r w:rsidRPr="0041367F">
              <w:rPr>
                <w:rFonts w:eastAsia="Times New Roman" w:cstheme="minorHAnsi"/>
                <w:b/>
                <w:bCs/>
                <w:color w:val="000000"/>
                <w:sz w:val="18"/>
                <w:szCs w:val="18"/>
              </w:rPr>
              <w:t>13-18 yrs</w:t>
            </w:r>
          </w:p>
        </w:tc>
        <w:tc>
          <w:tcPr>
            <w:tcW w:w="770" w:type="dxa"/>
            <w:shd w:val="clear" w:color="auto" w:fill="auto"/>
            <w:noWrap/>
            <w:vAlign w:val="bottom"/>
            <w:hideMark/>
          </w:tcPr>
          <w:p w14:paraId="69E1BA31" w14:textId="77777777" w:rsidR="0041367F" w:rsidRPr="0041367F" w:rsidRDefault="0041367F" w:rsidP="0041367F">
            <w:pPr>
              <w:spacing w:after="0"/>
              <w:rPr>
                <w:rFonts w:eastAsia="Times New Roman" w:cstheme="minorHAnsi"/>
                <w:sz w:val="18"/>
                <w:szCs w:val="18"/>
              </w:rPr>
            </w:pPr>
            <w:r w:rsidRPr="0041367F">
              <w:rPr>
                <w:rFonts w:eastAsia="Times New Roman" w:cstheme="minorHAnsi"/>
                <w:sz w:val="18"/>
                <w:szCs w:val="18"/>
              </w:rPr>
              <w:t>Male</w:t>
            </w:r>
          </w:p>
        </w:tc>
        <w:tc>
          <w:tcPr>
            <w:tcW w:w="841" w:type="dxa"/>
            <w:shd w:val="clear" w:color="auto" w:fill="auto"/>
            <w:noWrap/>
            <w:vAlign w:val="bottom"/>
            <w:hideMark/>
          </w:tcPr>
          <w:p w14:paraId="13B0DAF2" w14:textId="2E9ED8C1"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21,414 </w:t>
            </w:r>
          </w:p>
        </w:tc>
        <w:tc>
          <w:tcPr>
            <w:tcW w:w="841" w:type="dxa"/>
            <w:shd w:val="clear" w:color="auto" w:fill="auto"/>
            <w:noWrap/>
            <w:vAlign w:val="bottom"/>
            <w:hideMark/>
          </w:tcPr>
          <w:p w14:paraId="02CC3409" w14:textId="0BD05C7B"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22,095 </w:t>
            </w:r>
          </w:p>
        </w:tc>
        <w:tc>
          <w:tcPr>
            <w:tcW w:w="841" w:type="dxa"/>
            <w:shd w:val="clear" w:color="auto" w:fill="auto"/>
            <w:noWrap/>
            <w:vAlign w:val="bottom"/>
            <w:hideMark/>
          </w:tcPr>
          <w:p w14:paraId="6EF4E0A2" w14:textId="4FC1062D"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23,979 </w:t>
            </w:r>
          </w:p>
        </w:tc>
        <w:tc>
          <w:tcPr>
            <w:tcW w:w="841" w:type="dxa"/>
            <w:shd w:val="clear" w:color="auto" w:fill="auto"/>
            <w:noWrap/>
            <w:vAlign w:val="bottom"/>
            <w:hideMark/>
          </w:tcPr>
          <w:p w14:paraId="435A9CDE" w14:textId="6CD56A0E"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25,855 </w:t>
            </w:r>
          </w:p>
        </w:tc>
        <w:tc>
          <w:tcPr>
            <w:tcW w:w="841" w:type="dxa"/>
            <w:shd w:val="clear" w:color="auto" w:fill="auto"/>
            <w:noWrap/>
            <w:vAlign w:val="bottom"/>
            <w:hideMark/>
          </w:tcPr>
          <w:p w14:paraId="0640BE5A" w14:textId="5DFC282C"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28,332 </w:t>
            </w:r>
          </w:p>
        </w:tc>
        <w:tc>
          <w:tcPr>
            <w:tcW w:w="841" w:type="dxa"/>
            <w:shd w:val="clear" w:color="auto" w:fill="auto"/>
            <w:noWrap/>
            <w:vAlign w:val="bottom"/>
            <w:hideMark/>
          </w:tcPr>
          <w:p w14:paraId="7CD34408" w14:textId="1A3D633D"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32,040 </w:t>
            </w:r>
          </w:p>
        </w:tc>
        <w:tc>
          <w:tcPr>
            <w:tcW w:w="841" w:type="dxa"/>
            <w:shd w:val="clear" w:color="auto" w:fill="auto"/>
            <w:noWrap/>
            <w:vAlign w:val="bottom"/>
            <w:hideMark/>
          </w:tcPr>
          <w:p w14:paraId="4FE5CFBB" w14:textId="1469C840"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37,268 </w:t>
            </w:r>
          </w:p>
        </w:tc>
        <w:tc>
          <w:tcPr>
            <w:tcW w:w="841" w:type="dxa"/>
            <w:shd w:val="clear" w:color="auto" w:fill="auto"/>
            <w:noWrap/>
            <w:vAlign w:val="bottom"/>
            <w:hideMark/>
          </w:tcPr>
          <w:p w14:paraId="3E5F1745" w14:textId="7FE46999"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43,862 </w:t>
            </w:r>
          </w:p>
        </w:tc>
        <w:tc>
          <w:tcPr>
            <w:tcW w:w="841" w:type="dxa"/>
            <w:shd w:val="clear" w:color="auto" w:fill="auto"/>
            <w:noWrap/>
            <w:vAlign w:val="bottom"/>
            <w:hideMark/>
          </w:tcPr>
          <w:p w14:paraId="610C7FD7" w14:textId="11EB6628"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52,332 </w:t>
            </w:r>
          </w:p>
        </w:tc>
        <w:tc>
          <w:tcPr>
            <w:tcW w:w="841" w:type="dxa"/>
            <w:shd w:val="clear" w:color="auto" w:fill="auto"/>
            <w:noWrap/>
            <w:vAlign w:val="bottom"/>
            <w:hideMark/>
          </w:tcPr>
          <w:p w14:paraId="379149C7" w14:textId="4CD4712D"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62,429 </w:t>
            </w:r>
          </w:p>
        </w:tc>
      </w:tr>
      <w:tr w:rsidR="0041367F" w:rsidRPr="0041367F" w14:paraId="31187BA8" w14:textId="77777777" w:rsidTr="002A05C2">
        <w:trPr>
          <w:trHeight w:val="288"/>
        </w:trPr>
        <w:tc>
          <w:tcPr>
            <w:tcW w:w="829" w:type="dxa"/>
            <w:vMerge/>
            <w:shd w:val="clear" w:color="auto" w:fill="auto"/>
            <w:noWrap/>
            <w:vAlign w:val="center"/>
            <w:hideMark/>
          </w:tcPr>
          <w:p w14:paraId="25F2C67D" w14:textId="77777777" w:rsidR="0041367F" w:rsidRPr="0041367F" w:rsidRDefault="0041367F" w:rsidP="0041367F">
            <w:pPr>
              <w:spacing w:after="0"/>
              <w:jc w:val="center"/>
              <w:rPr>
                <w:rFonts w:eastAsia="Times New Roman" w:cstheme="minorHAnsi"/>
                <w:b/>
                <w:bCs/>
                <w:color w:val="000000"/>
                <w:sz w:val="18"/>
                <w:szCs w:val="18"/>
              </w:rPr>
            </w:pPr>
          </w:p>
        </w:tc>
        <w:tc>
          <w:tcPr>
            <w:tcW w:w="770" w:type="dxa"/>
            <w:shd w:val="clear" w:color="auto" w:fill="auto"/>
            <w:noWrap/>
            <w:vAlign w:val="bottom"/>
            <w:hideMark/>
          </w:tcPr>
          <w:p w14:paraId="6DB56CB1" w14:textId="77777777" w:rsidR="0041367F" w:rsidRPr="0041367F" w:rsidRDefault="0041367F" w:rsidP="0041367F">
            <w:pPr>
              <w:spacing w:after="0"/>
              <w:rPr>
                <w:rFonts w:eastAsia="Times New Roman" w:cstheme="minorHAnsi"/>
                <w:sz w:val="18"/>
                <w:szCs w:val="18"/>
              </w:rPr>
            </w:pPr>
            <w:r w:rsidRPr="0041367F">
              <w:rPr>
                <w:rFonts w:eastAsia="Times New Roman" w:cstheme="minorHAnsi"/>
                <w:sz w:val="18"/>
                <w:szCs w:val="18"/>
              </w:rPr>
              <w:t>Female</w:t>
            </w:r>
          </w:p>
        </w:tc>
        <w:tc>
          <w:tcPr>
            <w:tcW w:w="841" w:type="dxa"/>
            <w:shd w:val="clear" w:color="auto" w:fill="auto"/>
            <w:noWrap/>
            <w:vAlign w:val="bottom"/>
            <w:hideMark/>
          </w:tcPr>
          <w:p w14:paraId="6417C6D9" w14:textId="611EC4BC"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6,238 </w:t>
            </w:r>
          </w:p>
        </w:tc>
        <w:tc>
          <w:tcPr>
            <w:tcW w:w="841" w:type="dxa"/>
            <w:shd w:val="clear" w:color="auto" w:fill="auto"/>
            <w:noWrap/>
            <w:vAlign w:val="bottom"/>
            <w:hideMark/>
          </w:tcPr>
          <w:p w14:paraId="7F34591B" w14:textId="0C7968B6"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6,664 </w:t>
            </w:r>
          </w:p>
        </w:tc>
        <w:tc>
          <w:tcPr>
            <w:tcW w:w="841" w:type="dxa"/>
            <w:shd w:val="clear" w:color="auto" w:fill="auto"/>
            <w:noWrap/>
            <w:vAlign w:val="bottom"/>
            <w:hideMark/>
          </w:tcPr>
          <w:p w14:paraId="164B5EB1" w14:textId="293ECE22"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7,476 </w:t>
            </w:r>
          </w:p>
        </w:tc>
        <w:tc>
          <w:tcPr>
            <w:tcW w:w="841" w:type="dxa"/>
            <w:shd w:val="clear" w:color="auto" w:fill="auto"/>
            <w:noWrap/>
            <w:vAlign w:val="bottom"/>
            <w:hideMark/>
          </w:tcPr>
          <w:p w14:paraId="647C65C5" w14:textId="1229C454"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8,309 </w:t>
            </w:r>
          </w:p>
        </w:tc>
        <w:tc>
          <w:tcPr>
            <w:tcW w:w="841" w:type="dxa"/>
            <w:shd w:val="clear" w:color="auto" w:fill="auto"/>
            <w:noWrap/>
            <w:vAlign w:val="bottom"/>
            <w:hideMark/>
          </w:tcPr>
          <w:p w14:paraId="13591C9F" w14:textId="655ABE2C"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9,480 </w:t>
            </w:r>
          </w:p>
        </w:tc>
        <w:tc>
          <w:tcPr>
            <w:tcW w:w="841" w:type="dxa"/>
            <w:shd w:val="clear" w:color="auto" w:fill="auto"/>
            <w:noWrap/>
            <w:vAlign w:val="bottom"/>
            <w:hideMark/>
          </w:tcPr>
          <w:p w14:paraId="5CABC25F" w14:textId="61C095E0"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11,274 </w:t>
            </w:r>
          </w:p>
        </w:tc>
        <w:tc>
          <w:tcPr>
            <w:tcW w:w="841" w:type="dxa"/>
            <w:shd w:val="clear" w:color="auto" w:fill="auto"/>
            <w:noWrap/>
            <w:vAlign w:val="bottom"/>
            <w:hideMark/>
          </w:tcPr>
          <w:p w14:paraId="444CA2B5" w14:textId="70193CA9"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14,188 </w:t>
            </w:r>
          </w:p>
        </w:tc>
        <w:tc>
          <w:tcPr>
            <w:tcW w:w="841" w:type="dxa"/>
            <w:shd w:val="clear" w:color="auto" w:fill="auto"/>
            <w:noWrap/>
            <w:vAlign w:val="bottom"/>
            <w:hideMark/>
          </w:tcPr>
          <w:p w14:paraId="4B0ADEAF" w14:textId="6FA819AC"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19,902 </w:t>
            </w:r>
          </w:p>
        </w:tc>
        <w:tc>
          <w:tcPr>
            <w:tcW w:w="841" w:type="dxa"/>
            <w:shd w:val="clear" w:color="auto" w:fill="auto"/>
            <w:noWrap/>
            <w:vAlign w:val="bottom"/>
            <w:hideMark/>
          </w:tcPr>
          <w:p w14:paraId="7B0DACBF" w14:textId="1E3DE0F6"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27,755 </w:t>
            </w:r>
          </w:p>
        </w:tc>
        <w:tc>
          <w:tcPr>
            <w:tcW w:w="841" w:type="dxa"/>
            <w:shd w:val="clear" w:color="auto" w:fill="auto"/>
            <w:noWrap/>
            <w:vAlign w:val="bottom"/>
            <w:hideMark/>
          </w:tcPr>
          <w:p w14:paraId="56A91F09" w14:textId="7FA4F496"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36,581 </w:t>
            </w:r>
          </w:p>
        </w:tc>
      </w:tr>
      <w:tr w:rsidR="0041367F" w:rsidRPr="0041367F" w14:paraId="06BF54EB" w14:textId="77777777" w:rsidTr="002A05C2">
        <w:trPr>
          <w:trHeight w:val="288"/>
        </w:trPr>
        <w:tc>
          <w:tcPr>
            <w:tcW w:w="829" w:type="dxa"/>
            <w:vMerge w:val="restart"/>
            <w:shd w:val="clear" w:color="auto" w:fill="DBE5F1" w:themeFill="accent1" w:themeFillTint="33"/>
            <w:noWrap/>
            <w:vAlign w:val="center"/>
            <w:hideMark/>
          </w:tcPr>
          <w:p w14:paraId="134C9847" w14:textId="77777777" w:rsidR="0041367F" w:rsidRPr="0041367F" w:rsidRDefault="0041367F" w:rsidP="0041367F">
            <w:pPr>
              <w:spacing w:after="0"/>
              <w:jc w:val="center"/>
              <w:rPr>
                <w:rFonts w:eastAsia="Times New Roman" w:cstheme="minorHAnsi"/>
                <w:b/>
                <w:bCs/>
                <w:color w:val="000000"/>
                <w:sz w:val="18"/>
                <w:szCs w:val="18"/>
              </w:rPr>
            </w:pPr>
            <w:r w:rsidRPr="0041367F">
              <w:rPr>
                <w:rFonts w:eastAsia="Times New Roman" w:cstheme="minorHAnsi"/>
                <w:b/>
                <w:bCs/>
                <w:color w:val="000000"/>
                <w:sz w:val="18"/>
                <w:szCs w:val="18"/>
              </w:rPr>
              <w:t>&gt;18 yrs</w:t>
            </w:r>
          </w:p>
        </w:tc>
        <w:tc>
          <w:tcPr>
            <w:tcW w:w="770" w:type="dxa"/>
            <w:shd w:val="clear" w:color="auto" w:fill="DBE5F1" w:themeFill="accent1" w:themeFillTint="33"/>
            <w:noWrap/>
            <w:vAlign w:val="bottom"/>
            <w:hideMark/>
          </w:tcPr>
          <w:p w14:paraId="7C7A90C4" w14:textId="77777777" w:rsidR="0041367F" w:rsidRPr="0041367F" w:rsidRDefault="0041367F" w:rsidP="0041367F">
            <w:pPr>
              <w:spacing w:after="0"/>
              <w:rPr>
                <w:rFonts w:eastAsia="Times New Roman" w:cstheme="minorHAnsi"/>
                <w:sz w:val="18"/>
                <w:szCs w:val="18"/>
              </w:rPr>
            </w:pPr>
            <w:r w:rsidRPr="0041367F">
              <w:rPr>
                <w:rFonts w:eastAsia="Times New Roman" w:cstheme="minorHAnsi"/>
                <w:sz w:val="18"/>
                <w:szCs w:val="18"/>
              </w:rPr>
              <w:t>Male</w:t>
            </w:r>
          </w:p>
        </w:tc>
        <w:tc>
          <w:tcPr>
            <w:tcW w:w="841" w:type="dxa"/>
            <w:shd w:val="clear" w:color="auto" w:fill="DBE5F1" w:themeFill="accent1" w:themeFillTint="33"/>
            <w:noWrap/>
            <w:vAlign w:val="bottom"/>
            <w:hideMark/>
          </w:tcPr>
          <w:p w14:paraId="05109928" w14:textId="2DBB4789"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23,400 </w:t>
            </w:r>
          </w:p>
        </w:tc>
        <w:tc>
          <w:tcPr>
            <w:tcW w:w="841" w:type="dxa"/>
            <w:shd w:val="clear" w:color="auto" w:fill="DBE5F1" w:themeFill="accent1" w:themeFillTint="33"/>
            <w:noWrap/>
            <w:vAlign w:val="bottom"/>
            <w:hideMark/>
          </w:tcPr>
          <w:p w14:paraId="68D04103" w14:textId="432F0BD8"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24,589 </w:t>
            </w:r>
          </w:p>
        </w:tc>
        <w:tc>
          <w:tcPr>
            <w:tcW w:w="841" w:type="dxa"/>
            <w:shd w:val="clear" w:color="auto" w:fill="DBE5F1" w:themeFill="accent1" w:themeFillTint="33"/>
            <w:noWrap/>
            <w:vAlign w:val="bottom"/>
            <w:hideMark/>
          </w:tcPr>
          <w:p w14:paraId="185AF3BF" w14:textId="5616E808"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28,071 </w:t>
            </w:r>
          </w:p>
        </w:tc>
        <w:tc>
          <w:tcPr>
            <w:tcW w:w="841" w:type="dxa"/>
            <w:shd w:val="clear" w:color="auto" w:fill="DBE5F1" w:themeFill="accent1" w:themeFillTint="33"/>
            <w:noWrap/>
            <w:vAlign w:val="bottom"/>
            <w:hideMark/>
          </w:tcPr>
          <w:p w14:paraId="7445B030" w14:textId="5A514026"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31,392 </w:t>
            </w:r>
          </w:p>
        </w:tc>
        <w:tc>
          <w:tcPr>
            <w:tcW w:w="841" w:type="dxa"/>
            <w:shd w:val="clear" w:color="auto" w:fill="DBE5F1" w:themeFill="accent1" w:themeFillTint="33"/>
            <w:noWrap/>
            <w:vAlign w:val="bottom"/>
            <w:hideMark/>
          </w:tcPr>
          <w:p w14:paraId="30851E6B" w14:textId="19498D05"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35,070 </w:t>
            </w:r>
          </w:p>
        </w:tc>
        <w:tc>
          <w:tcPr>
            <w:tcW w:w="841" w:type="dxa"/>
            <w:shd w:val="clear" w:color="auto" w:fill="DBE5F1" w:themeFill="accent1" w:themeFillTint="33"/>
            <w:noWrap/>
            <w:vAlign w:val="bottom"/>
            <w:hideMark/>
          </w:tcPr>
          <w:p w14:paraId="7DECC7CF" w14:textId="094AB191"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40,049 </w:t>
            </w:r>
          </w:p>
        </w:tc>
        <w:tc>
          <w:tcPr>
            <w:tcW w:w="841" w:type="dxa"/>
            <w:shd w:val="clear" w:color="auto" w:fill="DBE5F1" w:themeFill="accent1" w:themeFillTint="33"/>
            <w:noWrap/>
            <w:vAlign w:val="bottom"/>
            <w:hideMark/>
          </w:tcPr>
          <w:p w14:paraId="7FBA4156" w14:textId="0197210B"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46,591 </w:t>
            </w:r>
          </w:p>
        </w:tc>
        <w:tc>
          <w:tcPr>
            <w:tcW w:w="841" w:type="dxa"/>
            <w:shd w:val="clear" w:color="auto" w:fill="DBE5F1" w:themeFill="accent1" w:themeFillTint="33"/>
            <w:noWrap/>
            <w:vAlign w:val="bottom"/>
            <w:hideMark/>
          </w:tcPr>
          <w:p w14:paraId="27698B3C" w14:textId="5FF70EE1"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58,820 </w:t>
            </w:r>
          </w:p>
        </w:tc>
        <w:tc>
          <w:tcPr>
            <w:tcW w:w="841" w:type="dxa"/>
            <w:shd w:val="clear" w:color="auto" w:fill="DBE5F1" w:themeFill="accent1" w:themeFillTint="33"/>
            <w:noWrap/>
            <w:vAlign w:val="bottom"/>
            <w:hideMark/>
          </w:tcPr>
          <w:p w14:paraId="170F548A" w14:textId="5EA55B84"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77,636 </w:t>
            </w:r>
          </w:p>
        </w:tc>
        <w:tc>
          <w:tcPr>
            <w:tcW w:w="841" w:type="dxa"/>
            <w:shd w:val="clear" w:color="auto" w:fill="DBE5F1" w:themeFill="accent1" w:themeFillTint="33"/>
            <w:noWrap/>
            <w:vAlign w:val="bottom"/>
            <w:hideMark/>
          </w:tcPr>
          <w:p w14:paraId="422B0082" w14:textId="45230A5C"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101,295 </w:t>
            </w:r>
          </w:p>
        </w:tc>
      </w:tr>
      <w:tr w:rsidR="0041367F" w:rsidRPr="0041367F" w14:paraId="25EE6759" w14:textId="77777777" w:rsidTr="002A05C2">
        <w:trPr>
          <w:trHeight w:val="288"/>
        </w:trPr>
        <w:tc>
          <w:tcPr>
            <w:tcW w:w="829" w:type="dxa"/>
            <w:vMerge/>
            <w:shd w:val="clear" w:color="auto" w:fill="DBE5F1" w:themeFill="accent1" w:themeFillTint="33"/>
            <w:noWrap/>
            <w:vAlign w:val="bottom"/>
            <w:hideMark/>
          </w:tcPr>
          <w:p w14:paraId="75297F1A" w14:textId="77777777" w:rsidR="0041367F" w:rsidRPr="0041367F" w:rsidRDefault="0041367F" w:rsidP="0041367F">
            <w:pPr>
              <w:spacing w:after="0"/>
              <w:rPr>
                <w:rFonts w:eastAsia="Times New Roman" w:cstheme="minorHAnsi"/>
                <w:sz w:val="18"/>
                <w:szCs w:val="18"/>
              </w:rPr>
            </w:pPr>
          </w:p>
        </w:tc>
        <w:tc>
          <w:tcPr>
            <w:tcW w:w="770" w:type="dxa"/>
            <w:shd w:val="clear" w:color="auto" w:fill="DBE5F1" w:themeFill="accent1" w:themeFillTint="33"/>
            <w:noWrap/>
            <w:vAlign w:val="bottom"/>
            <w:hideMark/>
          </w:tcPr>
          <w:p w14:paraId="53FE1070" w14:textId="77777777" w:rsidR="0041367F" w:rsidRPr="0041367F" w:rsidRDefault="0041367F" w:rsidP="0041367F">
            <w:pPr>
              <w:spacing w:after="0"/>
              <w:rPr>
                <w:rFonts w:eastAsia="Times New Roman" w:cstheme="minorHAnsi"/>
                <w:sz w:val="18"/>
                <w:szCs w:val="18"/>
              </w:rPr>
            </w:pPr>
            <w:r w:rsidRPr="0041367F">
              <w:rPr>
                <w:rFonts w:eastAsia="Times New Roman" w:cstheme="minorHAnsi"/>
                <w:sz w:val="18"/>
                <w:szCs w:val="18"/>
              </w:rPr>
              <w:t>Female</w:t>
            </w:r>
          </w:p>
        </w:tc>
        <w:tc>
          <w:tcPr>
            <w:tcW w:w="841" w:type="dxa"/>
            <w:shd w:val="clear" w:color="auto" w:fill="DBE5F1" w:themeFill="accent1" w:themeFillTint="33"/>
            <w:noWrap/>
            <w:vAlign w:val="bottom"/>
            <w:hideMark/>
          </w:tcPr>
          <w:p w14:paraId="54C98C9A" w14:textId="435171E0"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14,245 </w:t>
            </w:r>
          </w:p>
        </w:tc>
        <w:tc>
          <w:tcPr>
            <w:tcW w:w="841" w:type="dxa"/>
            <w:shd w:val="clear" w:color="auto" w:fill="DBE5F1" w:themeFill="accent1" w:themeFillTint="33"/>
            <w:noWrap/>
            <w:vAlign w:val="bottom"/>
            <w:hideMark/>
          </w:tcPr>
          <w:p w14:paraId="5323C9B5" w14:textId="6229C8BA"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14,911 </w:t>
            </w:r>
          </w:p>
        </w:tc>
        <w:tc>
          <w:tcPr>
            <w:tcW w:w="841" w:type="dxa"/>
            <w:shd w:val="clear" w:color="auto" w:fill="DBE5F1" w:themeFill="accent1" w:themeFillTint="33"/>
            <w:noWrap/>
            <w:vAlign w:val="bottom"/>
            <w:hideMark/>
          </w:tcPr>
          <w:p w14:paraId="1EFE15D3" w14:textId="416A6CCB"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16,963 </w:t>
            </w:r>
          </w:p>
        </w:tc>
        <w:tc>
          <w:tcPr>
            <w:tcW w:w="841" w:type="dxa"/>
            <w:shd w:val="clear" w:color="auto" w:fill="DBE5F1" w:themeFill="accent1" w:themeFillTint="33"/>
            <w:noWrap/>
            <w:vAlign w:val="bottom"/>
            <w:hideMark/>
          </w:tcPr>
          <w:p w14:paraId="1497F6CD" w14:textId="445D18D0"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19,284 </w:t>
            </w:r>
          </w:p>
        </w:tc>
        <w:tc>
          <w:tcPr>
            <w:tcW w:w="841" w:type="dxa"/>
            <w:shd w:val="clear" w:color="auto" w:fill="DBE5F1" w:themeFill="accent1" w:themeFillTint="33"/>
            <w:noWrap/>
            <w:vAlign w:val="bottom"/>
            <w:hideMark/>
          </w:tcPr>
          <w:p w14:paraId="24E3E453" w14:textId="3DE70C90"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22,002 </w:t>
            </w:r>
          </w:p>
        </w:tc>
        <w:tc>
          <w:tcPr>
            <w:tcW w:w="841" w:type="dxa"/>
            <w:shd w:val="clear" w:color="auto" w:fill="DBE5F1" w:themeFill="accent1" w:themeFillTint="33"/>
            <w:noWrap/>
            <w:vAlign w:val="bottom"/>
            <w:hideMark/>
          </w:tcPr>
          <w:p w14:paraId="55BB136D" w14:textId="363BE581"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25,737 </w:t>
            </w:r>
          </w:p>
        </w:tc>
        <w:tc>
          <w:tcPr>
            <w:tcW w:w="841" w:type="dxa"/>
            <w:shd w:val="clear" w:color="auto" w:fill="DBE5F1" w:themeFill="accent1" w:themeFillTint="33"/>
            <w:noWrap/>
            <w:vAlign w:val="bottom"/>
            <w:hideMark/>
          </w:tcPr>
          <w:p w14:paraId="04E51D2F" w14:textId="31483138"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31,494 </w:t>
            </w:r>
          </w:p>
        </w:tc>
        <w:tc>
          <w:tcPr>
            <w:tcW w:w="841" w:type="dxa"/>
            <w:shd w:val="clear" w:color="auto" w:fill="DBE5F1" w:themeFill="accent1" w:themeFillTint="33"/>
            <w:noWrap/>
            <w:vAlign w:val="bottom"/>
            <w:hideMark/>
          </w:tcPr>
          <w:p w14:paraId="649D4CB8" w14:textId="7B8116E2"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45,538 </w:t>
            </w:r>
          </w:p>
        </w:tc>
        <w:tc>
          <w:tcPr>
            <w:tcW w:w="841" w:type="dxa"/>
            <w:shd w:val="clear" w:color="auto" w:fill="DBE5F1" w:themeFill="accent1" w:themeFillTint="33"/>
            <w:noWrap/>
            <w:vAlign w:val="bottom"/>
            <w:hideMark/>
          </w:tcPr>
          <w:p w14:paraId="019514FA" w14:textId="7AAD2A7D"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72,134 </w:t>
            </w:r>
          </w:p>
        </w:tc>
        <w:tc>
          <w:tcPr>
            <w:tcW w:w="841" w:type="dxa"/>
            <w:shd w:val="clear" w:color="auto" w:fill="DBE5F1" w:themeFill="accent1" w:themeFillTint="33"/>
            <w:noWrap/>
            <w:vAlign w:val="bottom"/>
            <w:hideMark/>
          </w:tcPr>
          <w:p w14:paraId="4F525E09" w14:textId="000DB97D"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108,269 </w:t>
            </w:r>
          </w:p>
        </w:tc>
      </w:tr>
      <w:tr w:rsidR="0041367F" w:rsidRPr="0041367F" w14:paraId="63038FD9" w14:textId="77777777" w:rsidTr="008F0110">
        <w:trPr>
          <w:trHeight w:val="288"/>
        </w:trPr>
        <w:tc>
          <w:tcPr>
            <w:tcW w:w="1599" w:type="dxa"/>
            <w:gridSpan w:val="2"/>
            <w:tcBorders>
              <w:bottom w:val="single" w:sz="12" w:space="0" w:color="auto"/>
            </w:tcBorders>
            <w:shd w:val="clear" w:color="auto" w:fill="auto"/>
            <w:noWrap/>
            <w:vAlign w:val="bottom"/>
            <w:hideMark/>
          </w:tcPr>
          <w:p w14:paraId="77A0934B" w14:textId="3FA0828D" w:rsidR="0041367F" w:rsidRPr="0041367F" w:rsidRDefault="0041367F" w:rsidP="0041367F">
            <w:pPr>
              <w:spacing w:after="0"/>
              <w:rPr>
                <w:rFonts w:eastAsia="Times New Roman" w:cstheme="minorHAnsi"/>
                <w:sz w:val="18"/>
                <w:szCs w:val="18"/>
              </w:rPr>
            </w:pPr>
            <w:r>
              <w:rPr>
                <w:rFonts w:eastAsia="Times New Roman" w:cstheme="minorHAnsi"/>
                <w:b/>
                <w:bCs/>
                <w:color w:val="000000"/>
                <w:sz w:val="18"/>
                <w:szCs w:val="18"/>
              </w:rPr>
              <w:t>Unknown</w:t>
            </w:r>
          </w:p>
        </w:tc>
        <w:tc>
          <w:tcPr>
            <w:tcW w:w="841" w:type="dxa"/>
            <w:tcBorders>
              <w:bottom w:val="single" w:sz="12" w:space="0" w:color="auto"/>
            </w:tcBorders>
            <w:shd w:val="clear" w:color="auto" w:fill="auto"/>
            <w:noWrap/>
            <w:vAlign w:val="bottom"/>
            <w:hideMark/>
          </w:tcPr>
          <w:p w14:paraId="663FA8F1" w14:textId="14FD724C"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81 </w:t>
            </w:r>
          </w:p>
        </w:tc>
        <w:tc>
          <w:tcPr>
            <w:tcW w:w="841" w:type="dxa"/>
            <w:tcBorders>
              <w:bottom w:val="single" w:sz="12" w:space="0" w:color="auto"/>
            </w:tcBorders>
            <w:shd w:val="clear" w:color="auto" w:fill="auto"/>
            <w:noWrap/>
            <w:vAlign w:val="bottom"/>
            <w:hideMark/>
          </w:tcPr>
          <w:p w14:paraId="334119C4" w14:textId="1128FFAB"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72 </w:t>
            </w:r>
          </w:p>
        </w:tc>
        <w:tc>
          <w:tcPr>
            <w:tcW w:w="841" w:type="dxa"/>
            <w:tcBorders>
              <w:bottom w:val="single" w:sz="12" w:space="0" w:color="auto"/>
            </w:tcBorders>
            <w:shd w:val="clear" w:color="auto" w:fill="auto"/>
            <w:noWrap/>
            <w:vAlign w:val="bottom"/>
            <w:hideMark/>
          </w:tcPr>
          <w:p w14:paraId="6386437A" w14:textId="37524AAC"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22 </w:t>
            </w:r>
          </w:p>
        </w:tc>
        <w:tc>
          <w:tcPr>
            <w:tcW w:w="841" w:type="dxa"/>
            <w:tcBorders>
              <w:bottom w:val="single" w:sz="12" w:space="0" w:color="auto"/>
            </w:tcBorders>
            <w:shd w:val="clear" w:color="auto" w:fill="auto"/>
            <w:noWrap/>
            <w:vAlign w:val="bottom"/>
            <w:hideMark/>
          </w:tcPr>
          <w:p w14:paraId="30D77FE7" w14:textId="63872C29"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34 </w:t>
            </w:r>
          </w:p>
        </w:tc>
        <w:tc>
          <w:tcPr>
            <w:tcW w:w="841" w:type="dxa"/>
            <w:tcBorders>
              <w:bottom w:val="single" w:sz="12" w:space="0" w:color="auto"/>
            </w:tcBorders>
            <w:shd w:val="clear" w:color="auto" w:fill="auto"/>
            <w:noWrap/>
            <w:vAlign w:val="bottom"/>
            <w:hideMark/>
          </w:tcPr>
          <w:p w14:paraId="56529FED" w14:textId="5783FC71"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33 </w:t>
            </w:r>
          </w:p>
        </w:tc>
        <w:tc>
          <w:tcPr>
            <w:tcW w:w="841" w:type="dxa"/>
            <w:tcBorders>
              <w:bottom w:val="single" w:sz="12" w:space="0" w:color="auto"/>
            </w:tcBorders>
            <w:shd w:val="clear" w:color="auto" w:fill="auto"/>
            <w:noWrap/>
            <w:vAlign w:val="bottom"/>
            <w:hideMark/>
          </w:tcPr>
          <w:p w14:paraId="3ACE2D3A" w14:textId="24724687"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15 </w:t>
            </w:r>
          </w:p>
        </w:tc>
        <w:tc>
          <w:tcPr>
            <w:tcW w:w="841" w:type="dxa"/>
            <w:tcBorders>
              <w:bottom w:val="single" w:sz="12" w:space="0" w:color="auto"/>
            </w:tcBorders>
            <w:shd w:val="clear" w:color="auto" w:fill="auto"/>
            <w:noWrap/>
            <w:vAlign w:val="bottom"/>
            <w:hideMark/>
          </w:tcPr>
          <w:p w14:paraId="12A9D3A7" w14:textId="37C82CC5"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9 </w:t>
            </w:r>
          </w:p>
        </w:tc>
        <w:tc>
          <w:tcPr>
            <w:tcW w:w="841" w:type="dxa"/>
            <w:tcBorders>
              <w:bottom w:val="single" w:sz="12" w:space="0" w:color="auto"/>
            </w:tcBorders>
            <w:shd w:val="clear" w:color="auto" w:fill="auto"/>
            <w:noWrap/>
            <w:vAlign w:val="bottom"/>
            <w:hideMark/>
          </w:tcPr>
          <w:p w14:paraId="18296F62" w14:textId="4908F0D3" w:rsidR="0041367F" w:rsidRPr="0041367F" w:rsidRDefault="0041367F" w:rsidP="00292055">
            <w:pPr>
              <w:spacing w:after="0"/>
              <w:jc w:val="right"/>
              <w:rPr>
                <w:rFonts w:eastAsia="Times New Roman" w:cstheme="minorHAnsi"/>
                <w:sz w:val="18"/>
                <w:szCs w:val="18"/>
              </w:rPr>
            </w:pPr>
            <w:r w:rsidRPr="0041367F">
              <w:rPr>
                <w:rFonts w:eastAsia="Times New Roman" w:cstheme="minorHAnsi"/>
                <w:sz w:val="18"/>
                <w:szCs w:val="18"/>
              </w:rPr>
              <w:t xml:space="preserve">          18 </w:t>
            </w:r>
          </w:p>
        </w:tc>
        <w:tc>
          <w:tcPr>
            <w:tcW w:w="841" w:type="dxa"/>
            <w:tcBorders>
              <w:bottom w:val="single" w:sz="12" w:space="0" w:color="auto"/>
            </w:tcBorders>
            <w:shd w:val="clear" w:color="auto" w:fill="auto"/>
            <w:noWrap/>
            <w:vAlign w:val="bottom"/>
            <w:hideMark/>
          </w:tcPr>
          <w:p w14:paraId="08A2C18C" w14:textId="77777777" w:rsidR="0041367F" w:rsidRPr="0041367F" w:rsidRDefault="0041367F" w:rsidP="00292055">
            <w:pPr>
              <w:spacing w:after="0"/>
              <w:jc w:val="right"/>
              <w:rPr>
                <w:rFonts w:eastAsia="Times New Roman" w:cstheme="minorHAnsi"/>
                <w:sz w:val="18"/>
                <w:szCs w:val="18"/>
              </w:rPr>
            </w:pPr>
          </w:p>
        </w:tc>
        <w:tc>
          <w:tcPr>
            <w:tcW w:w="841" w:type="dxa"/>
            <w:tcBorders>
              <w:bottom w:val="single" w:sz="12" w:space="0" w:color="auto"/>
            </w:tcBorders>
            <w:shd w:val="clear" w:color="auto" w:fill="auto"/>
            <w:noWrap/>
            <w:vAlign w:val="bottom"/>
            <w:hideMark/>
          </w:tcPr>
          <w:p w14:paraId="66E7BB26" w14:textId="77777777" w:rsidR="0041367F" w:rsidRPr="0041367F" w:rsidRDefault="0041367F" w:rsidP="00292055">
            <w:pPr>
              <w:spacing w:after="0"/>
              <w:jc w:val="right"/>
              <w:rPr>
                <w:rFonts w:eastAsia="Times New Roman" w:cstheme="minorHAnsi"/>
                <w:sz w:val="18"/>
                <w:szCs w:val="18"/>
              </w:rPr>
            </w:pPr>
          </w:p>
        </w:tc>
      </w:tr>
      <w:tr w:rsidR="0041367F" w:rsidRPr="0041367F" w14:paraId="0278EFC1" w14:textId="77777777" w:rsidTr="008F0110">
        <w:trPr>
          <w:trHeight w:val="288"/>
        </w:trPr>
        <w:tc>
          <w:tcPr>
            <w:tcW w:w="1599" w:type="dxa"/>
            <w:gridSpan w:val="2"/>
            <w:tcBorders>
              <w:top w:val="single" w:sz="12" w:space="0" w:color="auto"/>
              <w:left w:val="single" w:sz="12" w:space="0" w:color="auto"/>
            </w:tcBorders>
            <w:shd w:val="clear" w:color="auto" w:fill="auto"/>
            <w:noWrap/>
            <w:vAlign w:val="bottom"/>
            <w:hideMark/>
          </w:tcPr>
          <w:p w14:paraId="470DB87B" w14:textId="0A7BE473" w:rsidR="0041367F" w:rsidRPr="0041367F" w:rsidRDefault="0041367F" w:rsidP="0041367F">
            <w:pPr>
              <w:spacing w:after="0"/>
              <w:rPr>
                <w:rFonts w:eastAsia="Times New Roman" w:cstheme="minorHAnsi"/>
                <w:b/>
                <w:bCs/>
                <w:color w:val="000000"/>
                <w:sz w:val="18"/>
                <w:szCs w:val="18"/>
              </w:rPr>
            </w:pPr>
            <w:r w:rsidRPr="0041367F">
              <w:rPr>
                <w:rFonts w:eastAsia="Times New Roman" w:cstheme="minorHAnsi"/>
                <w:b/>
                <w:bCs/>
                <w:color w:val="000000"/>
                <w:sz w:val="18"/>
                <w:szCs w:val="18"/>
              </w:rPr>
              <w:t>Grand Total</w:t>
            </w:r>
          </w:p>
        </w:tc>
        <w:tc>
          <w:tcPr>
            <w:tcW w:w="841" w:type="dxa"/>
            <w:tcBorders>
              <w:top w:val="single" w:sz="12" w:space="0" w:color="auto"/>
            </w:tcBorders>
            <w:shd w:val="clear" w:color="auto" w:fill="auto"/>
            <w:noWrap/>
            <w:vAlign w:val="bottom"/>
            <w:hideMark/>
          </w:tcPr>
          <w:p w14:paraId="746B3234" w14:textId="448678DC" w:rsidR="0041367F" w:rsidRPr="0041367F" w:rsidRDefault="00292055" w:rsidP="00292055">
            <w:pPr>
              <w:spacing w:after="0"/>
              <w:jc w:val="right"/>
              <w:rPr>
                <w:rFonts w:eastAsia="Times New Roman" w:cstheme="minorHAnsi"/>
                <w:b/>
                <w:bCs/>
                <w:color w:val="000000"/>
                <w:sz w:val="18"/>
                <w:szCs w:val="18"/>
              </w:rPr>
            </w:pPr>
            <w:r>
              <w:rPr>
                <w:rFonts w:eastAsia="Times New Roman" w:cstheme="minorHAnsi"/>
                <w:b/>
                <w:bCs/>
                <w:color w:val="000000"/>
                <w:sz w:val="18"/>
                <w:szCs w:val="18"/>
              </w:rPr>
              <w:t>1</w:t>
            </w:r>
            <w:r w:rsidR="0041367F" w:rsidRPr="0041367F">
              <w:rPr>
                <w:rFonts w:eastAsia="Times New Roman" w:cstheme="minorHAnsi"/>
                <w:b/>
                <w:bCs/>
                <w:color w:val="000000"/>
                <w:sz w:val="18"/>
                <w:szCs w:val="18"/>
              </w:rPr>
              <w:t xml:space="preserve">17,824 </w:t>
            </w:r>
          </w:p>
        </w:tc>
        <w:tc>
          <w:tcPr>
            <w:tcW w:w="841" w:type="dxa"/>
            <w:tcBorders>
              <w:top w:val="single" w:sz="12" w:space="0" w:color="auto"/>
            </w:tcBorders>
            <w:shd w:val="clear" w:color="auto" w:fill="auto"/>
            <w:noWrap/>
            <w:vAlign w:val="bottom"/>
            <w:hideMark/>
          </w:tcPr>
          <w:p w14:paraId="4F71E7D4" w14:textId="288D77F9" w:rsidR="0041367F" w:rsidRPr="0041367F" w:rsidRDefault="0041367F" w:rsidP="00292055">
            <w:pPr>
              <w:spacing w:after="0"/>
              <w:jc w:val="right"/>
              <w:rPr>
                <w:rFonts w:eastAsia="Times New Roman" w:cstheme="minorHAnsi"/>
                <w:b/>
                <w:bCs/>
                <w:color w:val="000000"/>
                <w:sz w:val="18"/>
                <w:szCs w:val="18"/>
              </w:rPr>
            </w:pPr>
            <w:r w:rsidRPr="0041367F">
              <w:rPr>
                <w:rFonts w:eastAsia="Times New Roman" w:cstheme="minorHAnsi"/>
                <w:b/>
                <w:bCs/>
                <w:color w:val="000000"/>
                <w:sz w:val="18"/>
                <w:szCs w:val="18"/>
              </w:rPr>
              <w:t xml:space="preserve">124,826 </w:t>
            </w:r>
          </w:p>
        </w:tc>
        <w:tc>
          <w:tcPr>
            <w:tcW w:w="841" w:type="dxa"/>
            <w:tcBorders>
              <w:top w:val="single" w:sz="12" w:space="0" w:color="auto"/>
            </w:tcBorders>
            <w:shd w:val="clear" w:color="auto" w:fill="auto"/>
            <w:noWrap/>
            <w:vAlign w:val="bottom"/>
            <w:hideMark/>
          </w:tcPr>
          <w:p w14:paraId="5FD7A26E" w14:textId="670624A3" w:rsidR="0041367F" w:rsidRPr="0041367F" w:rsidRDefault="0041367F" w:rsidP="00292055">
            <w:pPr>
              <w:spacing w:after="0"/>
              <w:jc w:val="right"/>
              <w:rPr>
                <w:rFonts w:eastAsia="Times New Roman" w:cstheme="minorHAnsi"/>
                <w:b/>
                <w:bCs/>
                <w:color w:val="000000"/>
                <w:sz w:val="18"/>
                <w:szCs w:val="18"/>
              </w:rPr>
            </w:pPr>
            <w:r w:rsidRPr="0041367F">
              <w:rPr>
                <w:rFonts w:eastAsia="Times New Roman" w:cstheme="minorHAnsi"/>
                <w:b/>
                <w:bCs/>
                <w:color w:val="000000"/>
                <w:sz w:val="18"/>
                <w:szCs w:val="18"/>
              </w:rPr>
              <w:t xml:space="preserve">140,131 </w:t>
            </w:r>
          </w:p>
        </w:tc>
        <w:tc>
          <w:tcPr>
            <w:tcW w:w="841" w:type="dxa"/>
            <w:tcBorders>
              <w:top w:val="single" w:sz="12" w:space="0" w:color="auto"/>
            </w:tcBorders>
            <w:shd w:val="clear" w:color="auto" w:fill="auto"/>
            <w:noWrap/>
            <w:vAlign w:val="bottom"/>
            <w:hideMark/>
          </w:tcPr>
          <w:p w14:paraId="6E7F3DCF" w14:textId="618F121E" w:rsidR="0041367F" w:rsidRPr="0041367F" w:rsidRDefault="0041367F" w:rsidP="00292055">
            <w:pPr>
              <w:spacing w:after="0"/>
              <w:jc w:val="right"/>
              <w:rPr>
                <w:rFonts w:eastAsia="Times New Roman" w:cstheme="minorHAnsi"/>
                <w:b/>
                <w:bCs/>
                <w:color w:val="000000"/>
                <w:sz w:val="18"/>
                <w:szCs w:val="18"/>
              </w:rPr>
            </w:pPr>
            <w:r w:rsidRPr="0041367F">
              <w:rPr>
                <w:rFonts w:eastAsia="Times New Roman" w:cstheme="minorHAnsi"/>
                <w:b/>
                <w:bCs/>
                <w:color w:val="000000"/>
                <w:sz w:val="18"/>
                <w:szCs w:val="18"/>
              </w:rPr>
              <w:t xml:space="preserve">155,521 </w:t>
            </w:r>
          </w:p>
        </w:tc>
        <w:tc>
          <w:tcPr>
            <w:tcW w:w="841" w:type="dxa"/>
            <w:tcBorders>
              <w:top w:val="single" w:sz="12" w:space="0" w:color="auto"/>
            </w:tcBorders>
            <w:shd w:val="clear" w:color="auto" w:fill="auto"/>
            <w:noWrap/>
            <w:vAlign w:val="bottom"/>
            <w:hideMark/>
          </w:tcPr>
          <w:p w14:paraId="227324F6" w14:textId="05AA8873" w:rsidR="0041367F" w:rsidRPr="0041367F" w:rsidRDefault="0041367F" w:rsidP="00292055">
            <w:pPr>
              <w:spacing w:after="0"/>
              <w:jc w:val="right"/>
              <w:rPr>
                <w:rFonts w:eastAsia="Times New Roman" w:cstheme="minorHAnsi"/>
                <w:b/>
                <w:bCs/>
                <w:color w:val="000000"/>
                <w:sz w:val="18"/>
                <w:szCs w:val="18"/>
              </w:rPr>
            </w:pPr>
            <w:r w:rsidRPr="0041367F">
              <w:rPr>
                <w:rFonts w:eastAsia="Times New Roman" w:cstheme="minorHAnsi"/>
                <w:b/>
                <w:bCs/>
                <w:color w:val="000000"/>
                <w:sz w:val="18"/>
                <w:szCs w:val="18"/>
              </w:rPr>
              <w:t xml:space="preserve">174,378 </w:t>
            </w:r>
          </w:p>
        </w:tc>
        <w:tc>
          <w:tcPr>
            <w:tcW w:w="841" w:type="dxa"/>
            <w:tcBorders>
              <w:top w:val="single" w:sz="12" w:space="0" w:color="auto"/>
            </w:tcBorders>
            <w:shd w:val="clear" w:color="auto" w:fill="auto"/>
            <w:noWrap/>
            <w:vAlign w:val="bottom"/>
            <w:hideMark/>
          </w:tcPr>
          <w:p w14:paraId="365DC776" w14:textId="2FC143E1" w:rsidR="0041367F" w:rsidRPr="0041367F" w:rsidRDefault="0041367F" w:rsidP="00292055">
            <w:pPr>
              <w:spacing w:after="0"/>
              <w:jc w:val="right"/>
              <w:rPr>
                <w:rFonts w:eastAsia="Times New Roman" w:cstheme="minorHAnsi"/>
                <w:b/>
                <w:bCs/>
                <w:color w:val="000000"/>
                <w:sz w:val="18"/>
                <w:szCs w:val="18"/>
              </w:rPr>
            </w:pPr>
            <w:r w:rsidRPr="0041367F">
              <w:rPr>
                <w:rFonts w:eastAsia="Times New Roman" w:cstheme="minorHAnsi"/>
                <w:b/>
                <w:bCs/>
                <w:color w:val="000000"/>
                <w:sz w:val="18"/>
                <w:szCs w:val="18"/>
              </w:rPr>
              <w:t xml:space="preserve">200,367 </w:t>
            </w:r>
          </w:p>
        </w:tc>
        <w:tc>
          <w:tcPr>
            <w:tcW w:w="841" w:type="dxa"/>
            <w:tcBorders>
              <w:top w:val="single" w:sz="12" w:space="0" w:color="auto"/>
            </w:tcBorders>
            <w:shd w:val="clear" w:color="auto" w:fill="auto"/>
            <w:noWrap/>
            <w:vAlign w:val="bottom"/>
            <w:hideMark/>
          </w:tcPr>
          <w:p w14:paraId="46B9C864" w14:textId="38D2C6BD" w:rsidR="0041367F" w:rsidRPr="0041367F" w:rsidRDefault="0041367F" w:rsidP="00292055">
            <w:pPr>
              <w:spacing w:after="0"/>
              <w:jc w:val="right"/>
              <w:rPr>
                <w:rFonts w:eastAsia="Times New Roman" w:cstheme="minorHAnsi"/>
                <w:b/>
                <w:bCs/>
                <w:color w:val="000000"/>
                <w:sz w:val="18"/>
                <w:szCs w:val="18"/>
              </w:rPr>
            </w:pPr>
            <w:r w:rsidRPr="0041367F">
              <w:rPr>
                <w:rFonts w:eastAsia="Times New Roman" w:cstheme="minorHAnsi"/>
                <w:b/>
                <w:bCs/>
                <w:color w:val="000000"/>
                <w:sz w:val="18"/>
                <w:szCs w:val="18"/>
              </w:rPr>
              <w:t xml:space="preserve">233,615 </w:t>
            </w:r>
          </w:p>
        </w:tc>
        <w:tc>
          <w:tcPr>
            <w:tcW w:w="841" w:type="dxa"/>
            <w:tcBorders>
              <w:top w:val="single" w:sz="12" w:space="0" w:color="auto"/>
            </w:tcBorders>
            <w:shd w:val="clear" w:color="auto" w:fill="auto"/>
            <w:noWrap/>
            <w:vAlign w:val="bottom"/>
            <w:hideMark/>
          </w:tcPr>
          <w:p w14:paraId="60498BF4" w14:textId="3338D6B1" w:rsidR="0041367F" w:rsidRPr="0041367F" w:rsidRDefault="0041367F" w:rsidP="00292055">
            <w:pPr>
              <w:spacing w:after="0"/>
              <w:jc w:val="right"/>
              <w:rPr>
                <w:rFonts w:eastAsia="Times New Roman" w:cstheme="minorHAnsi"/>
                <w:b/>
                <w:bCs/>
                <w:color w:val="000000"/>
                <w:sz w:val="18"/>
                <w:szCs w:val="18"/>
              </w:rPr>
            </w:pPr>
            <w:r w:rsidRPr="0041367F">
              <w:rPr>
                <w:rFonts w:eastAsia="Times New Roman" w:cstheme="minorHAnsi"/>
                <w:b/>
                <w:bCs/>
                <w:color w:val="000000"/>
                <w:sz w:val="18"/>
                <w:szCs w:val="18"/>
              </w:rPr>
              <w:t xml:space="preserve">287,746 </w:t>
            </w:r>
          </w:p>
        </w:tc>
        <w:tc>
          <w:tcPr>
            <w:tcW w:w="841" w:type="dxa"/>
            <w:tcBorders>
              <w:top w:val="single" w:sz="12" w:space="0" w:color="auto"/>
            </w:tcBorders>
            <w:shd w:val="clear" w:color="auto" w:fill="auto"/>
            <w:noWrap/>
            <w:vAlign w:val="bottom"/>
            <w:hideMark/>
          </w:tcPr>
          <w:p w14:paraId="008AF180" w14:textId="77F3CEA6" w:rsidR="0041367F" w:rsidRPr="0041367F" w:rsidRDefault="0041367F" w:rsidP="00292055">
            <w:pPr>
              <w:spacing w:after="0"/>
              <w:jc w:val="right"/>
              <w:rPr>
                <w:rFonts w:eastAsia="Times New Roman" w:cstheme="minorHAnsi"/>
                <w:b/>
                <w:bCs/>
                <w:color w:val="000000"/>
                <w:sz w:val="18"/>
                <w:szCs w:val="18"/>
              </w:rPr>
            </w:pPr>
            <w:r w:rsidRPr="0041367F">
              <w:rPr>
                <w:rFonts w:eastAsia="Times New Roman" w:cstheme="minorHAnsi"/>
                <w:b/>
                <w:bCs/>
                <w:color w:val="000000"/>
                <w:sz w:val="18"/>
                <w:szCs w:val="18"/>
              </w:rPr>
              <w:t xml:space="preserve">367,434 </w:t>
            </w:r>
          </w:p>
        </w:tc>
        <w:tc>
          <w:tcPr>
            <w:tcW w:w="841" w:type="dxa"/>
            <w:tcBorders>
              <w:top w:val="single" w:sz="12" w:space="0" w:color="auto"/>
              <w:right w:val="single" w:sz="12" w:space="0" w:color="auto"/>
            </w:tcBorders>
            <w:shd w:val="clear" w:color="auto" w:fill="auto"/>
            <w:noWrap/>
            <w:vAlign w:val="bottom"/>
            <w:hideMark/>
          </w:tcPr>
          <w:p w14:paraId="6D5F7784" w14:textId="301F31CD" w:rsidR="0041367F" w:rsidRPr="0041367F" w:rsidRDefault="0041367F" w:rsidP="00292055">
            <w:pPr>
              <w:spacing w:after="0"/>
              <w:jc w:val="right"/>
              <w:rPr>
                <w:rFonts w:eastAsia="Times New Roman" w:cstheme="minorHAnsi"/>
                <w:b/>
                <w:bCs/>
                <w:color w:val="000000"/>
                <w:sz w:val="18"/>
                <w:szCs w:val="18"/>
              </w:rPr>
            </w:pPr>
            <w:r w:rsidRPr="0041367F">
              <w:rPr>
                <w:rFonts w:eastAsia="Times New Roman" w:cstheme="minorHAnsi"/>
                <w:b/>
                <w:bCs/>
                <w:color w:val="000000"/>
                <w:sz w:val="18"/>
                <w:szCs w:val="18"/>
              </w:rPr>
              <w:t xml:space="preserve">470,274 </w:t>
            </w:r>
          </w:p>
        </w:tc>
      </w:tr>
      <w:tr w:rsidR="0041367F" w:rsidRPr="0041367F" w14:paraId="44A95FA2" w14:textId="77777777" w:rsidTr="008F0110">
        <w:trPr>
          <w:trHeight w:val="288"/>
        </w:trPr>
        <w:tc>
          <w:tcPr>
            <w:tcW w:w="1599" w:type="dxa"/>
            <w:gridSpan w:val="2"/>
            <w:tcBorders>
              <w:left w:val="single" w:sz="12" w:space="0" w:color="auto"/>
              <w:bottom w:val="single" w:sz="12" w:space="0" w:color="auto"/>
            </w:tcBorders>
            <w:shd w:val="clear" w:color="auto" w:fill="auto"/>
            <w:noWrap/>
            <w:vAlign w:val="bottom"/>
            <w:hideMark/>
          </w:tcPr>
          <w:p w14:paraId="318219B0" w14:textId="34B23D75" w:rsidR="0041367F" w:rsidRPr="0041367F" w:rsidRDefault="0041367F" w:rsidP="0041367F">
            <w:pPr>
              <w:spacing w:after="0"/>
              <w:rPr>
                <w:rFonts w:eastAsia="Times New Roman" w:cstheme="minorHAnsi"/>
                <w:sz w:val="18"/>
                <w:szCs w:val="18"/>
              </w:rPr>
            </w:pPr>
            <w:r w:rsidRPr="004B363E">
              <w:rPr>
                <w:rFonts w:eastAsia="Times New Roman" w:cstheme="minorHAnsi"/>
                <w:b/>
                <w:bCs/>
                <w:sz w:val="18"/>
                <w:szCs w:val="18"/>
              </w:rPr>
              <w:t>% growth from previous year</w:t>
            </w:r>
          </w:p>
        </w:tc>
        <w:tc>
          <w:tcPr>
            <w:tcW w:w="841" w:type="dxa"/>
            <w:tcBorders>
              <w:bottom w:val="single" w:sz="12" w:space="0" w:color="auto"/>
            </w:tcBorders>
            <w:shd w:val="clear" w:color="auto" w:fill="auto"/>
            <w:noWrap/>
            <w:vAlign w:val="bottom"/>
            <w:hideMark/>
          </w:tcPr>
          <w:p w14:paraId="6720311A" w14:textId="77777777" w:rsidR="0041367F" w:rsidRPr="0041367F" w:rsidRDefault="0041367F" w:rsidP="00292055">
            <w:pPr>
              <w:spacing w:after="0"/>
              <w:jc w:val="right"/>
              <w:rPr>
                <w:rFonts w:eastAsia="Times New Roman" w:cstheme="minorHAnsi"/>
                <w:b/>
                <w:bCs/>
                <w:sz w:val="18"/>
                <w:szCs w:val="18"/>
              </w:rPr>
            </w:pPr>
          </w:p>
        </w:tc>
        <w:tc>
          <w:tcPr>
            <w:tcW w:w="841" w:type="dxa"/>
            <w:tcBorders>
              <w:bottom w:val="single" w:sz="12" w:space="0" w:color="auto"/>
            </w:tcBorders>
            <w:shd w:val="clear" w:color="auto" w:fill="auto"/>
            <w:noWrap/>
            <w:vAlign w:val="bottom"/>
            <w:hideMark/>
          </w:tcPr>
          <w:p w14:paraId="5908AD2D" w14:textId="77777777" w:rsidR="0041367F" w:rsidRPr="0041367F" w:rsidRDefault="0041367F" w:rsidP="00292055">
            <w:pPr>
              <w:spacing w:after="0"/>
              <w:jc w:val="right"/>
              <w:rPr>
                <w:rFonts w:eastAsia="Times New Roman" w:cstheme="minorHAnsi"/>
                <w:b/>
                <w:bCs/>
                <w:sz w:val="18"/>
                <w:szCs w:val="18"/>
              </w:rPr>
            </w:pPr>
            <w:r w:rsidRPr="0041367F">
              <w:rPr>
                <w:rFonts w:eastAsia="Times New Roman" w:cstheme="minorHAnsi"/>
                <w:b/>
                <w:bCs/>
                <w:sz w:val="18"/>
                <w:szCs w:val="18"/>
              </w:rPr>
              <w:t>6%</w:t>
            </w:r>
          </w:p>
        </w:tc>
        <w:tc>
          <w:tcPr>
            <w:tcW w:w="841" w:type="dxa"/>
            <w:tcBorders>
              <w:bottom w:val="single" w:sz="12" w:space="0" w:color="auto"/>
            </w:tcBorders>
            <w:shd w:val="clear" w:color="auto" w:fill="auto"/>
            <w:noWrap/>
            <w:vAlign w:val="bottom"/>
            <w:hideMark/>
          </w:tcPr>
          <w:p w14:paraId="3CE8856B" w14:textId="77777777" w:rsidR="0041367F" w:rsidRPr="0041367F" w:rsidRDefault="0041367F" w:rsidP="00292055">
            <w:pPr>
              <w:spacing w:after="0"/>
              <w:jc w:val="right"/>
              <w:rPr>
                <w:rFonts w:eastAsia="Times New Roman" w:cstheme="minorHAnsi"/>
                <w:b/>
                <w:bCs/>
                <w:sz w:val="18"/>
                <w:szCs w:val="18"/>
              </w:rPr>
            </w:pPr>
            <w:r w:rsidRPr="0041367F">
              <w:rPr>
                <w:rFonts w:eastAsia="Times New Roman" w:cstheme="minorHAnsi"/>
                <w:b/>
                <w:bCs/>
                <w:sz w:val="18"/>
                <w:szCs w:val="18"/>
              </w:rPr>
              <w:t>12%</w:t>
            </w:r>
          </w:p>
        </w:tc>
        <w:tc>
          <w:tcPr>
            <w:tcW w:w="841" w:type="dxa"/>
            <w:tcBorders>
              <w:bottom w:val="single" w:sz="12" w:space="0" w:color="auto"/>
            </w:tcBorders>
            <w:shd w:val="clear" w:color="auto" w:fill="auto"/>
            <w:noWrap/>
            <w:vAlign w:val="bottom"/>
            <w:hideMark/>
          </w:tcPr>
          <w:p w14:paraId="3F532D31" w14:textId="77777777" w:rsidR="0041367F" w:rsidRPr="0041367F" w:rsidRDefault="0041367F" w:rsidP="00292055">
            <w:pPr>
              <w:spacing w:after="0"/>
              <w:jc w:val="right"/>
              <w:rPr>
                <w:rFonts w:eastAsia="Times New Roman" w:cstheme="minorHAnsi"/>
                <w:b/>
                <w:bCs/>
                <w:sz w:val="18"/>
                <w:szCs w:val="18"/>
              </w:rPr>
            </w:pPr>
            <w:r w:rsidRPr="0041367F">
              <w:rPr>
                <w:rFonts w:eastAsia="Times New Roman" w:cstheme="minorHAnsi"/>
                <w:b/>
                <w:bCs/>
                <w:sz w:val="18"/>
                <w:szCs w:val="18"/>
              </w:rPr>
              <w:t>11%</w:t>
            </w:r>
          </w:p>
        </w:tc>
        <w:tc>
          <w:tcPr>
            <w:tcW w:w="841" w:type="dxa"/>
            <w:tcBorders>
              <w:bottom w:val="single" w:sz="12" w:space="0" w:color="auto"/>
            </w:tcBorders>
            <w:shd w:val="clear" w:color="auto" w:fill="auto"/>
            <w:noWrap/>
            <w:vAlign w:val="bottom"/>
            <w:hideMark/>
          </w:tcPr>
          <w:p w14:paraId="74F98A0A" w14:textId="77777777" w:rsidR="0041367F" w:rsidRPr="0041367F" w:rsidRDefault="0041367F" w:rsidP="00292055">
            <w:pPr>
              <w:spacing w:after="0"/>
              <w:jc w:val="right"/>
              <w:rPr>
                <w:rFonts w:eastAsia="Times New Roman" w:cstheme="minorHAnsi"/>
                <w:b/>
                <w:bCs/>
                <w:sz w:val="18"/>
                <w:szCs w:val="18"/>
              </w:rPr>
            </w:pPr>
            <w:r w:rsidRPr="0041367F">
              <w:rPr>
                <w:rFonts w:eastAsia="Times New Roman" w:cstheme="minorHAnsi"/>
                <w:b/>
                <w:bCs/>
                <w:sz w:val="18"/>
                <w:szCs w:val="18"/>
              </w:rPr>
              <w:t>12%</w:t>
            </w:r>
          </w:p>
        </w:tc>
        <w:tc>
          <w:tcPr>
            <w:tcW w:w="841" w:type="dxa"/>
            <w:tcBorders>
              <w:bottom w:val="single" w:sz="12" w:space="0" w:color="auto"/>
            </w:tcBorders>
            <w:shd w:val="clear" w:color="auto" w:fill="auto"/>
            <w:noWrap/>
            <w:vAlign w:val="bottom"/>
            <w:hideMark/>
          </w:tcPr>
          <w:p w14:paraId="24318849" w14:textId="77777777" w:rsidR="0041367F" w:rsidRPr="0041367F" w:rsidRDefault="0041367F" w:rsidP="00292055">
            <w:pPr>
              <w:spacing w:after="0"/>
              <w:jc w:val="right"/>
              <w:rPr>
                <w:rFonts w:eastAsia="Times New Roman" w:cstheme="minorHAnsi"/>
                <w:b/>
                <w:bCs/>
                <w:sz w:val="18"/>
                <w:szCs w:val="18"/>
              </w:rPr>
            </w:pPr>
            <w:r w:rsidRPr="0041367F">
              <w:rPr>
                <w:rFonts w:eastAsia="Times New Roman" w:cstheme="minorHAnsi"/>
                <w:b/>
                <w:bCs/>
                <w:sz w:val="18"/>
                <w:szCs w:val="18"/>
              </w:rPr>
              <w:t>15%</w:t>
            </w:r>
          </w:p>
        </w:tc>
        <w:tc>
          <w:tcPr>
            <w:tcW w:w="841" w:type="dxa"/>
            <w:tcBorders>
              <w:bottom w:val="single" w:sz="12" w:space="0" w:color="auto"/>
            </w:tcBorders>
            <w:shd w:val="clear" w:color="auto" w:fill="auto"/>
            <w:noWrap/>
            <w:vAlign w:val="bottom"/>
            <w:hideMark/>
          </w:tcPr>
          <w:p w14:paraId="1B462CAB" w14:textId="77777777" w:rsidR="0041367F" w:rsidRPr="0041367F" w:rsidRDefault="0041367F" w:rsidP="00292055">
            <w:pPr>
              <w:spacing w:after="0"/>
              <w:jc w:val="right"/>
              <w:rPr>
                <w:rFonts w:eastAsia="Times New Roman" w:cstheme="minorHAnsi"/>
                <w:b/>
                <w:bCs/>
                <w:sz w:val="18"/>
                <w:szCs w:val="18"/>
              </w:rPr>
            </w:pPr>
            <w:r w:rsidRPr="0041367F">
              <w:rPr>
                <w:rFonts w:eastAsia="Times New Roman" w:cstheme="minorHAnsi"/>
                <w:b/>
                <w:bCs/>
                <w:sz w:val="18"/>
                <w:szCs w:val="18"/>
              </w:rPr>
              <w:t>17%</w:t>
            </w:r>
          </w:p>
        </w:tc>
        <w:tc>
          <w:tcPr>
            <w:tcW w:w="841" w:type="dxa"/>
            <w:tcBorders>
              <w:bottom w:val="single" w:sz="12" w:space="0" w:color="auto"/>
            </w:tcBorders>
            <w:shd w:val="clear" w:color="auto" w:fill="auto"/>
            <w:noWrap/>
            <w:vAlign w:val="bottom"/>
            <w:hideMark/>
          </w:tcPr>
          <w:p w14:paraId="6E2C4EEC" w14:textId="77777777" w:rsidR="0041367F" w:rsidRPr="0041367F" w:rsidRDefault="0041367F" w:rsidP="00292055">
            <w:pPr>
              <w:spacing w:after="0"/>
              <w:jc w:val="right"/>
              <w:rPr>
                <w:rFonts w:eastAsia="Times New Roman" w:cstheme="minorHAnsi"/>
                <w:b/>
                <w:bCs/>
                <w:sz w:val="18"/>
                <w:szCs w:val="18"/>
              </w:rPr>
            </w:pPr>
            <w:r w:rsidRPr="0041367F">
              <w:rPr>
                <w:rFonts w:eastAsia="Times New Roman" w:cstheme="minorHAnsi"/>
                <w:b/>
                <w:bCs/>
                <w:sz w:val="18"/>
                <w:szCs w:val="18"/>
              </w:rPr>
              <w:t>23%</w:t>
            </w:r>
          </w:p>
        </w:tc>
        <w:tc>
          <w:tcPr>
            <w:tcW w:w="841" w:type="dxa"/>
            <w:tcBorders>
              <w:bottom w:val="single" w:sz="12" w:space="0" w:color="auto"/>
            </w:tcBorders>
            <w:shd w:val="clear" w:color="auto" w:fill="auto"/>
            <w:noWrap/>
            <w:vAlign w:val="bottom"/>
            <w:hideMark/>
          </w:tcPr>
          <w:p w14:paraId="34DC936B" w14:textId="77777777" w:rsidR="0041367F" w:rsidRPr="0041367F" w:rsidRDefault="0041367F" w:rsidP="00292055">
            <w:pPr>
              <w:spacing w:after="0"/>
              <w:jc w:val="right"/>
              <w:rPr>
                <w:rFonts w:eastAsia="Times New Roman" w:cstheme="minorHAnsi"/>
                <w:b/>
                <w:bCs/>
                <w:sz w:val="18"/>
                <w:szCs w:val="18"/>
              </w:rPr>
            </w:pPr>
            <w:r w:rsidRPr="0041367F">
              <w:rPr>
                <w:rFonts w:eastAsia="Times New Roman" w:cstheme="minorHAnsi"/>
                <w:b/>
                <w:bCs/>
                <w:sz w:val="18"/>
                <w:szCs w:val="18"/>
              </w:rPr>
              <w:t>28%</w:t>
            </w:r>
          </w:p>
        </w:tc>
        <w:tc>
          <w:tcPr>
            <w:tcW w:w="841" w:type="dxa"/>
            <w:tcBorders>
              <w:bottom w:val="single" w:sz="12" w:space="0" w:color="auto"/>
              <w:right w:val="single" w:sz="12" w:space="0" w:color="auto"/>
            </w:tcBorders>
            <w:shd w:val="clear" w:color="auto" w:fill="auto"/>
            <w:noWrap/>
            <w:vAlign w:val="bottom"/>
            <w:hideMark/>
          </w:tcPr>
          <w:p w14:paraId="0D104811" w14:textId="77777777" w:rsidR="0041367F" w:rsidRPr="0041367F" w:rsidRDefault="0041367F" w:rsidP="00292055">
            <w:pPr>
              <w:spacing w:after="0"/>
              <w:jc w:val="right"/>
              <w:rPr>
                <w:rFonts w:eastAsia="Times New Roman" w:cstheme="minorHAnsi"/>
                <w:b/>
                <w:bCs/>
                <w:sz w:val="18"/>
                <w:szCs w:val="18"/>
              </w:rPr>
            </w:pPr>
            <w:r w:rsidRPr="0041367F">
              <w:rPr>
                <w:rFonts w:eastAsia="Times New Roman" w:cstheme="minorHAnsi"/>
                <w:b/>
                <w:bCs/>
                <w:sz w:val="18"/>
                <w:szCs w:val="18"/>
              </w:rPr>
              <w:t>28%</w:t>
            </w:r>
          </w:p>
        </w:tc>
      </w:tr>
    </w:tbl>
    <w:p w14:paraId="2BD9B641" w14:textId="14ACDCE6" w:rsidR="0041367F" w:rsidRPr="001D105D" w:rsidRDefault="000326E5" w:rsidP="0041367F">
      <w:pPr>
        <w:pStyle w:val="TableFooter"/>
      </w:pPr>
      <w:r>
        <w:t xml:space="preserve">Note: </w:t>
      </w:r>
      <w:r w:rsidR="0041367F" w:rsidRPr="001D105D">
        <w:t xml:space="preserve">Unknown denotes age and </w:t>
      </w:r>
      <w:r w:rsidR="00412A8C">
        <w:t>gender</w:t>
      </w:r>
      <w:r w:rsidR="0041367F" w:rsidRPr="001D105D">
        <w:t xml:space="preserve"> not available in the data.</w:t>
      </w:r>
    </w:p>
    <w:p w14:paraId="7CB28858" w14:textId="77777777" w:rsidR="00242991" w:rsidRPr="00262A44" w:rsidRDefault="00242991" w:rsidP="00215563">
      <w:pPr>
        <w:rPr>
          <w:sz w:val="12"/>
          <w:szCs w:val="12"/>
        </w:rPr>
      </w:pPr>
    </w:p>
    <w:p w14:paraId="663D53BB" w14:textId="77777777" w:rsidR="00412A8C" w:rsidRDefault="00412A8C">
      <w:pPr>
        <w:spacing w:line="276" w:lineRule="auto"/>
      </w:pPr>
      <w:bookmarkStart w:id="18" w:name="_Hlk143682786"/>
      <w:r>
        <w:br w:type="page"/>
      </w:r>
    </w:p>
    <w:bookmarkEnd w:id="18"/>
    <w:p w14:paraId="4BC93D67" w14:textId="77777777" w:rsidR="002B6EF9" w:rsidRPr="00242991" w:rsidRDefault="002B6EF9" w:rsidP="002B6EF9">
      <w:r w:rsidRPr="00242991">
        <w:lastRenderedPageBreak/>
        <w:t>In 2019-20, for prevalent p</w:t>
      </w:r>
      <w:r>
        <w:t>eople</w:t>
      </w:r>
      <w:r w:rsidRPr="00242991">
        <w:t>:</w:t>
      </w:r>
    </w:p>
    <w:p w14:paraId="024569F2" w14:textId="77777777" w:rsidR="002B6EF9" w:rsidRPr="00242991" w:rsidRDefault="002B6EF9" w:rsidP="002B6EF9">
      <w:pPr>
        <w:pStyle w:val="ListParagraph"/>
        <w:numPr>
          <w:ilvl w:val="0"/>
          <w:numId w:val="33"/>
        </w:numPr>
        <w:ind w:left="426" w:hanging="284"/>
      </w:pPr>
      <w:r w:rsidRPr="00242991">
        <w:t xml:space="preserve">Children </w:t>
      </w:r>
      <w:r>
        <w:t>&lt;</w:t>
      </w:r>
      <w:r w:rsidRPr="00242991">
        <w:t>6 years constituted 2% of all p</w:t>
      </w:r>
      <w:r>
        <w:t>eople</w:t>
      </w:r>
      <w:r w:rsidRPr="00242991">
        <w:t xml:space="preserve"> treated with ADHD medicines</w:t>
      </w:r>
    </w:p>
    <w:p w14:paraId="3BFE0E01" w14:textId="77777777" w:rsidR="002B6EF9" w:rsidRPr="00242991" w:rsidRDefault="002B6EF9" w:rsidP="002B6EF9">
      <w:pPr>
        <w:pStyle w:val="ListParagraph"/>
        <w:numPr>
          <w:ilvl w:val="0"/>
          <w:numId w:val="33"/>
        </w:numPr>
        <w:ind w:left="426" w:hanging="284"/>
      </w:pPr>
      <w:r w:rsidRPr="00242991">
        <w:t xml:space="preserve">Children aged 6-12 years old constituted 42% of all </w:t>
      </w:r>
      <w:r>
        <w:t>people</w:t>
      </w:r>
      <w:r w:rsidRPr="00242991">
        <w:t xml:space="preserve"> treated with ADHD medicines</w:t>
      </w:r>
    </w:p>
    <w:p w14:paraId="1C6C12D6" w14:textId="77777777" w:rsidR="002B6EF9" w:rsidRPr="00242991" w:rsidRDefault="002B6EF9" w:rsidP="002B6EF9">
      <w:pPr>
        <w:pStyle w:val="ListParagraph"/>
        <w:numPr>
          <w:ilvl w:val="0"/>
          <w:numId w:val="33"/>
        </w:numPr>
        <w:ind w:left="426" w:right="-738" w:hanging="284"/>
      </w:pPr>
      <w:r w:rsidRPr="00242991">
        <w:t>Adolescents aged 13-18 years old constituted 22% of all p</w:t>
      </w:r>
      <w:r>
        <w:t>eople</w:t>
      </w:r>
      <w:r w:rsidRPr="00242991">
        <w:t xml:space="preserve"> treated with ADHD medicines</w:t>
      </w:r>
    </w:p>
    <w:p w14:paraId="791B5762" w14:textId="77777777" w:rsidR="002B6EF9" w:rsidRPr="00242991" w:rsidRDefault="002B6EF9" w:rsidP="002B6EF9">
      <w:pPr>
        <w:pStyle w:val="ListParagraph"/>
        <w:numPr>
          <w:ilvl w:val="0"/>
          <w:numId w:val="33"/>
        </w:numPr>
        <w:ind w:left="426" w:hanging="284"/>
      </w:pPr>
      <w:r w:rsidRPr="00242991">
        <w:t>Adults (</w:t>
      </w:r>
      <w:r>
        <w:t>&gt;</w:t>
      </w:r>
      <w:r w:rsidRPr="00242991">
        <w:t>18 years old) constituted 33% of all p</w:t>
      </w:r>
      <w:r>
        <w:t>eople</w:t>
      </w:r>
      <w:r w:rsidRPr="00242991">
        <w:t xml:space="preserve"> treated with ADHD medicines</w:t>
      </w:r>
    </w:p>
    <w:p w14:paraId="28F43AEC" w14:textId="77777777" w:rsidR="002B6EF9" w:rsidRPr="00242991" w:rsidRDefault="002B6EF9" w:rsidP="002B6EF9">
      <w:pPr>
        <w:rPr>
          <w:rFonts w:eastAsia="MS Mincho" w:cs="Times New Roman"/>
        </w:rPr>
      </w:pPr>
      <w:r w:rsidRPr="00242991">
        <w:rPr>
          <w:rFonts w:eastAsia="MS Mincho" w:cs="Times New Roman"/>
        </w:rPr>
        <w:t>In 2022-23, for prevalent p</w:t>
      </w:r>
      <w:r>
        <w:rPr>
          <w:rFonts w:eastAsia="MS Mincho" w:cs="Times New Roman"/>
        </w:rPr>
        <w:t>eople</w:t>
      </w:r>
      <w:r w:rsidRPr="00242991">
        <w:rPr>
          <w:rFonts w:eastAsia="MS Mincho" w:cs="Times New Roman"/>
        </w:rPr>
        <w:t>:</w:t>
      </w:r>
    </w:p>
    <w:p w14:paraId="3C852E00" w14:textId="77777777" w:rsidR="002B6EF9" w:rsidRPr="00242991" w:rsidRDefault="002B6EF9" w:rsidP="002B6EF9">
      <w:pPr>
        <w:pStyle w:val="ListParagraph"/>
        <w:numPr>
          <w:ilvl w:val="0"/>
          <w:numId w:val="33"/>
        </w:numPr>
        <w:ind w:left="426" w:hanging="284"/>
      </w:pPr>
      <w:r w:rsidRPr="00242991">
        <w:t xml:space="preserve">Children </w:t>
      </w:r>
      <w:r>
        <w:t>&lt;</w:t>
      </w:r>
      <w:r w:rsidRPr="00242991">
        <w:t>6 years constituted 2% of all p</w:t>
      </w:r>
      <w:r>
        <w:t>eople</w:t>
      </w:r>
      <w:r w:rsidRPr="00242991">
        <w:t xml:space="preserve"> treated with ADHD medicines</w:t>
      </w:r>
    </w:p>
    <w:p w14:paraId="5C428DAA" w14:textId="77777777" w:rsidR="002B6EF9" w:rsidRPr="00242991" w:rsidRDefault="002B6EF9" w:rsidP="002B6EF9">
      <w:pPr>
        <w:pStyle w:val="ListParagraph"/>
        <w:numPr>
          <w:ilvl w:val="0"/>
          <w:numId w:val="33"/>
        </w:numPr>
        <w:ind w:left="426" w:hanging="284"/>
      </w:pPr>
      <w:r w:rsidRPr="00242991">
        <w:t>Children aged 6-12 years old constituted 33% of all p</w:t>
      </w:r>
      <w:r>
        <w:t>eople</w:t>
      </w:r>
      <w:r w:rsidRPr="00242991">
        <w:t xml:space="preserve"> treated with ADHD medicines</w:t>
      </w:r>
    </w:p>
    <w:p w14:paraId="0041A088" w14:textId="77777777" w:rsidR="002B6EF9" w:rsidRPr="00242991" w:rsidRDefault="002B6EF9" w:rsidP="002B6EF9">
      <w:pPr>
        <w:pStyle w:val="ListParagraph"/>
        <w:numPr>
          <w:ilvl w:val="0"/>
          <w:numId w:val="33"/>
        </w:numPr>
        <w:ind w:left="426" w:right="-596" w:hanging="284"/>
      </w:pPr>
      <w:r w:rsidRPr="00242991">
        <w:t>Adolescents aged 13-18 years old constituted 21% of all p</w:t>
      </w:r>
      <w:r>
        <w:t>eople</w:t>
      </w:r>
      <w:r w:rsidRPr="00242991">
        <w:t xml:space="preserve"> treated with ADHD medicines</w:t>
      </w:r>
    </w:p>
    <w:p w14:paraId="70B838DA" w14:textId="77777777" w:rsidR="002B6EF9" w:rsidRPr="00242991" w:rsidRDefault="002B6EF9" w:rsidP="002B6EF9">
      <w:pPr>
        <w:pStyle w:val="ListParagraph"/>
        <w:numPr>
          <w:ilvl w:val="0"/>
          <w:numId w:val="33"/>
        </w:numPr>
        <w:ind w:left="426" w:hanging="284"/>
      </w:pPr>
      <w:r w:rsidRPr="00242991">
        <w:t>Adults (</w:t>
      </w:r>
      <w:r>
        <w:t>&gt;</w:t>
      </w:r>
      <w:r w:rsidRPr="00242991">
        <w:t>18 years old) constituted 45% of all p</w:t>
      </w:r>
      <w:r>
        <w:t>eople</w:t>
      </w:r>
      <w:r w:rsidRPr="00242991">
        <w:t xml:space="preserve"> treated with ADHD medicines</w:t>
      </w:r>
    </w:p>
    <w:p w14:paraId="6669ECEB" w14:textId="77777777" w:rsidR="002B6EF9" w:rsidRPr="00242991" w:rsidRDefault="002B6EF9" w:rsidP="002B6EF9">
      <w:pPr>
        <w:rPr>
          <w:rFonts w:eastAsia="MS Mincho" w:cs="Times New Roman"/>
        </w:rPr>
      </w:pPr>
      <w:r w:rsidRPr="00242991">
        <w:rPr>
          <w:rFonts w:eastAsia="MS Mincho" w:cs="Times New Roman"/>
        </w:rPr>
        <w:t xml:space="preserve">The above figures highlight the shift in patient demographics, where the adult population has become the highest treated population for ADHD medicines. </w:t>
      </w:r>
    </w:p>
    <w:p w14:paraId="3F6C8C4E" w14:textId="1514C632" w:rsidR="002B3CAB" w:rsidRDefault="009106B4" w:rsidP="00215563">
      <w:pPr>
        <w:rPr>
          <w:rFonts w:eastAsia="MS Mincho" w:cs="Times New Roman"/>
          <w:highlight w:val="green"/>
        </w:rPr>
      </w:pPr>
      <w:r>
        <w:rPr>
          <w:noProof/>
        </w:rPr>
        <w:drawing>
          <wp:inline distT="0" distB="0" distL="0" distR="0" wp14:anchorId="590419CB" wp14:editId="289836AB">
            <wp:extent cx="5832475" cy="4648200"/>
            <wp:effectExtent l="0" t="0" r="15875" b="0"/>
            <wp:docPr id="5" name="Chart 5">
              <a:extLst xmlns:a="http://schemas.openxmlformats.org/drawingml/2006/main">
                <a:ext uri="{FF2B5EF4-FFF2-40B4-BE49-F238E27FC236}">
                  <a16:creationId xmlns:a16="http://schemas.microsoft.com/office/drawing/2014/main" id="{FC42AB93-7750-42E3-9B48-47288387F5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350B694" w14:textId="3E94B29A" w:rsidR="009106B4" w:rsidRDefault="002B6EF9" w:rsidP="009106B4">
      <w:pPr>
        <w:pStyle w:val="Figuretitle"/>
        <w:rPr>
          <w:b w:val="0"/>
          <w:sz w:val="20"/>
          <w:szCs w:val="20"/>
        </w:rPr>
      </w:pPr>
      <w:r w:rsidRPr="0076209A">
        <w:t>Figure 6a: Age distribution of p</w:t>
      </w:r>
      <w:r>
        <w:t>eople</w:t>
      </w:r>
      <w:r w:rsidRPr="0076209A">
        <w:t xml:space="preserve"> initiating an ADHD medicine or clonidine in financial year 2019-20</w:t>
      </w:r>
      <w:r w:rsidR="009106B4" w:rsidRPr="001D105D">
        <w:br/>
      </w:r>
      <w:r w:rsidR="009106B4" w:rsidRPr="001D105D">
        <w:rPr>
          <w:b w:val="0"/>
          <w:sz w:val="20"/>
          <w:szCs w:val="20"/>
        </w:rPr>
        <w:br/>
      </w:r>
    </w:p>
    <w:p w14:paraId="397C69BE" w14:textId="5AFA220E" w:rsidR="009106B4" w:rsidRDefault="009106B4" w:rsidP="002B3CAB">
      <w:pPr>
        <w:rPr>
          <w:rFonts w:eastAsia="MS Mincho" w:cs="Times New Roman"/>
          <w:highlight w:val="green"/>
        </w:rPr>
      </w:pPr>
      <w:r>
        <w:rPr>
          <w:noProof/>
        </w:rPr>
        <w:lastRenderedPageBreak/>
        <w:drawing>
          <wp:inline distT="0" distB="0" distL="0" distR="0" wp14:anchorId="48F956AA" wp14:editId="7275FC3C">
            <wp:extent cx="5832475" cy="4619625"/>
            <wp:effectExtent l="0" t="0" r="15875" b="9525"/>
            <wp:docPr id="6" name="Chart 6">
              <a:extLst xmlns:a="http://schemas.openxmlformats.org/drawingml/2006/main">
                <a:ext uri="{FF2B5EF4-FFF2-40B4-BE49-F238E27FC236}">
                  <a16:creationId xmlns:a16="http://schemas.microsoft.com/office/drawing/2014/main" id="{5E2529C6-9A5E-4A45-B6E9-225FC0C05B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E627609" w14:textId="77777777" w:rsidR="002B6EF9" w:rsidRPr="00242991" w:rsidRDefault="002B6EF9" w:rsidP="002B6EF9">
      <w:pPr>
        <w:pStyle w:val="Figuretitle"/>
        <w:rPr>
          <w:rFonts w:cs="Baskerville"/>
          <w:b w:val="0"/>
          <w:sz w:val="20"/>
          <w:szCs w:val="20"/>
        </w:rPr>
      </w:pPr>
      <w:bookmarkStart w:id="19" w:name="_Hlk143075454"/>
      <w:r w:rsidRPr="00242991">
        <w:t>Figure 6b: Age distribution of p</w:t>
      </w:r>
      <w:r>
        <w:t>eople</w:t>
      </w:r>
      <w:r w:rsidRPr="00242991">
        <w:t xml:space="preserve"> </w:t>
      </w:r>
      <w:r>
        <w:t>initiating</w:t>
      </w:r>
      <w:r w:rsidRPr="00242991">
        <w:t xml:space="preserve"> </w:t>
      </w:r>
      <w:r>
        <w:t xml:space="preserve">an </w:t>
      </w:r>
      <w:r w:rsidRPr="00242991">
        <w:t xml:space="preserve">ADHD medicine or clonidine in financial year 2022-23 </w:t>
      </w:r>
      <w:r w:rsidRPr="00242991">
        <w:br/>
      </w:r>
    </w:p>
    <w:p w14:paraId="12570101" w14:textId="77777777" w:rsidR="002B6EF9" w:rsidRPr="00EF62C2" w:rsidRDefault="002B6EF9" w:rsidP="002B6EF9">
      <w:r w:rsidRPr="00EF62C2">
        <w:t>When comparing the two figures (6a and 6b) the rise in use of all ADHD medicines (apart from atomoxetine) from the 2019-20 financial year compared to the 2022-23 financial year is evident.</w:t>
      </w:r>
    </w:p>
    <w:p w14:paraId="2ECE2CA6" w14:textId="77777777" w:rsidR="002B6EF9" w:rsidRPr="00EF62C2" w:rsidRDefault="002B6EF9" w:rsidP="002B6EF9">
      <w:r w:rsidRPr="00EF62C2">
        <w:t xml:space="preserve">The distribution of initial prescribing for lisdexamfetamine has dramatically changed over the two year time periods in the graphs. There is increasing prescribing amongst 10 year olds, with the age of initial medicine prescription peaking in the 13 year old age group. </w:t>
      </w:r>
    </w:p>
    <w:p w14:paraId="3693B95E" w14:textId="77777777" w:rsidR="002B6EF9" w:rsidRPr="00EF62C2" w:rsidRDefault="002B6EF9" w:rsidP="002B6EF9">
      <w:r w:rsidRPr="00EF62C2">
        <w:t xml:space="preserve">The overall initial prescribing of lisdexamfetamine is much higher in 2022-23 than in 2019-20 (prior to the restriction change), the distribution has also changed with a much higher amount of adults using lisdexamfetamine in 2022-23 compared to 2019-20. </w:t>
      </w:r>
    </w:p>
    <w:p w14:paraId="5C3B158D" w14:textId="77777777" w:rsidR="002B6EF9" w:rsidRPr="00EF62C2" w:rsidRDefault="002B6EF9" w:rsidP="002B6EF9">
      <w:pPr>
        <w:ind w:right="-313"/>
      </w:pPr>
      <w:r w:rsidRPr="00EF62C2">
        <w:t>The use of dexamfetamine has also increased in 2022-23 compared to 2019-20.</w:t>
      </w:r>
      <w:r>
        <w:t xml:space="preserve"> </w:t>
      </w:r>
      <w:r w:rsidRPr="00EF62C2">
        <w:t>Clonidine use remains consistent across the two time periods.</w:t>
      </w:r>
      <w:r>
        <w:t xml:space="preserve"> </w:t>
      </w:r>
      <w:r w:rsidRPr="00435096">
        <w:t>There is a high level of confidence that clonidine is being prescribed for p</w:t>
      </w:r>
      <w:r>
        <w:t>eople</w:t>
      </w:r>
      <w:r w:rsidRPr="00435096">
        <w:t xml:space="preserve"> </w:t>
      </w:r>
      <w:r w:rsidRPr="001518F0">
        <w:rPr>
          <w:rFonts w:cstheme="minorHAnsi"/>
        </w:rPr>
        <w:t>≤</w:t>
      </w:r>
      <w:r w:rsidRPr="00435096">
        <w:t xml:space="preserve">18 years </w:t>
      </w:r>
      <w:r>
        <w:t>old for ADHD</w:t>
      </w:r>
      <w:r w:rsidRPr="00435096">
        <w:t xml:space="preserve">, as this age group would not usually be prescribed clonidine for other diseases/disorders. </w:t>
      </w:r>
      <w:r w:rsidRPr="001D105D">
        <w:t xml:space="preserve"> </w:t>
      </w:r>
      <w:r>
        <w:t xml:space="preserve">The high use of clonidine in the above 44 year old and &gt;65 year old populations is likely due to use for other non-ADHD related conditions, such as hypertension. </w:t>
      </w:r>
    </w:p>
    <w:bookmarkEnd w:id="19"/>
    <w:p w14:paraId="698AA3EB" w14:textId="5B77303C" w:rsidR="002B3CAB" w:rsidRPr="001D105D" w:rsidRDefault="002B3CAB" w:rsidP="002B3CAB">
      <w:r w:rsidRPr="00242991">
        <w:rPr>
          <w:rFonts w:eastAsia="MS Mincho" w:cs="Times New Roman"/>
        </w:rPr>
        <w:lastRenderedPageBreak/>
        <w:t>Figure 7</w:t>
      </w:r>
      <w:r w:rsidR="00FD2500" w:rsidRPr="00242991">
        <w:rPr>
          <w:rFonts w:eastAsia="MS Mincho" w:cs="Times New Roman"/>
        </w:rPr>
        <w:t>a</w:t>
      </w:r>
      <w:r w:rsidRPr="00242991">
        <w:rPr>
          <w:rFonts w:eastAsia="MS Mincho" w:cs="Times New Roman"/>
        </w:rPr>
        <w:t xml:space="preserve"> shows the age distribution for all p</w:t>
      </w:r>
      <w:r w:rsidR="002B6EF9">
        <w:rPr>
          <w:rFonts w:eastAsia="MS Mincho" w:cs="Times New Roman"/>
        </w:rPr>
        <w:t>eople</w:t>
      </w:r>
      <w:r w:rsidRPr="00242991">
        <w:rPr>
          <w:rFonts w:eastAsia="MS Mincho" w:cs="Times New Roman"/>
        </w:rPr>
        <w:t xml:space="preserve"> supplied an ADHD medicine in the 20</w:t>
      </w:r>
      <w:r w:rsidR="00FD2500" w:rsidRPr="00242991">
        <w:rPr>
          <w:rFonts w:eastAsia="MS Mincho" w:cs="Times New Roman"/>
        </w:rPr>
        <w:t>19</w:t>
      </w:r>
      <w:r w:rsidRPr="00242991">
        <w:rPr>
          <w:rFonts w:eastAsia="MS Mincho" w:cs="Times New Roman"/>
        </w:rPr>
        <w:t>-2</w:t>
      </w:r>
      <w:r w:rsidR="00FD2500" w:rsidRPr="00242991">
        <w:rPr>
          <w:rFonts w:eastAsia="MS Mincho" w:cs="Times New Roman"/>
        </w:rPr>
        <w:t>0</w:t>
      </w:r>
      <w:r w:rsidRPr="00242991">
        <w:rPr>
          <w:rFonts w:eastAsia="MS Mincho" w:cs="Times New Roman"/>
        </w:rPr>
        <w:t xml:space="preserve"> financial year by medicine. </w:t>
      </w:r>
    </w:p>
    <w:p w14:paraId="708AC44B" w14:textId="53EE9B7F" w:rsidR="00511D6E" w:rsidRDefault="009106B4" w:rsidP="00215563">
      <w:pPr>
        <w:pStyle w:val="Figuretitle"/>
      </w:pPr>
      <w:r>
        <w:rPr>
          <w:noProof/>
        </w:rPr>
        <w:drawing>
          <wp:inline distT="0" distB="0" distL="0" distR="0" wp14:anchorId="03D03EB1" wp14:editId="335A79E4">
            <wp:extent cx="5832475" cy="3286125"/>
            <wp:effectExtent l="0" t="0" r="15875" b="9525"/>
            <wp:docPr id="8" name="Chart 8">
              <a:extLst xmlns:a="http://schemas.openxmlformats.org/drawingml/2006/main">
                <a:ext uri="{FF2B5EF4-FFF2-40B4-BE49-F238E27FC236}">
                  <a16:creationId xmlns:a16="http://schemas.microsoft.com/office/drawing/2014/main" id="{D2CFD401-8899-4C3B-93B0-52B5E07618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1217F8D" w14:textId="77777777" w:rsidR="002B6EF9" w:rsidRDefault="002B6EF9" w:rsidP="002B6EF9">
      <w:pPr>
        <w:pStyle w:val="Figuretitle"/>
      </w:pPr>
      <w:bookmarkStart w:id="20" w:name="_Hlk143075467"/>
      <w:r w:rsidRPr="00242991">
        <w:t>Figure 7a: Age distribution of prevalent p</w:t>
      </w:r>
      <w:r>
        <w:t>eople</w:t>
      </w:r>
      <w:r w:rsidRPr="00242991">
        <w:t xml:space="preserve"> by ADHD medicine or clonidine in financial year 2019-2020</w:t>
      </w:r>
    </w:p>
    <w:p w14:paraId="5D273CEE" w14:textId="77777777" w:rsidR="002B6EF9" w:rsidRPr="00242991" w:rsidRDefault="002B6EF9" w:rsidP="002B6EF9">
      <w:pPr>
        <w:pStyle w:val="Figuretitle"/>
      </w:pPr>
    </w:p>
    <w:bookmarkEnd w:id="20"/>
    <w:p w14:paraId="45596834" w14:textId="77777777" w:rsidR="002B6EF9" w:rsidRPr="001D105D" w:rsidRDefault="002B6EF9" w:rsidP="002B6EF9">
      <w:pPr>
        <w:ind w:right="-171"/>
      </w:pPr>
      <w:r w:rsidRPr="00242991">
        <w:rPr>
          <w:rFonts w:eastAsia="MS Mincho" w:cs="Times New Roman"/>
        </w:rPr>
        <w:t>Figure 7b shows the age distribution for all p</w:t>
      </w:r>
      <w:r>
        <w:rPr>
          <w:rFonts w:eastAsia="MS Mincho" w:cs="Times New Roman"/>
        </w:rPr>
        <w:t>eople</w:t>
      </w:r>
      <w:r w:rsidRPr="00242991">
        <w:rPr>
          <w:rFonts w:eastAsia="MS Mincho" w:cs="Times New Roman"/>
        </w:rPr>
        <w:t xml:space="preserve"> supplied an ADHD medicine in the 2022-23 financial year by medicine. </w:t>
      </w:r>
    </w:p>
    <w:p w14:paraId="3E3E4EA9" w14:textId="4CB433E7" w:rsidR="002B3CAB" w:rsidRDefault="00FC6747" w:rsidP="00215563">
      <w:pPr>
        <w:rPr>
          <w:rFonts w:eastAsia="MS Mincho" w:cs="Times New Roman"/>
          <w:highlight w:val="yellow"/>
        </w:rPr>
      </w:pPr>
      <w:r>
        <w:rPr>
          <w:noProof/>
        </w:rPr>
        <w:drawing>
          <wp:inline distT="0" distB="0" distL="0" distR="0" wp14:anchorId="38380234" wp14:editId="3102EF7A">
            <wp:extent cx="5832475" cy="3162300"/>
            <wp:effectExtent l="0" t="0" r="15875" b="0"/>
            <wp:docPr id="13" name="Chart 13">
              <a:extLst xmlns:a="http://schemas.openxmlformats.org/drawingml/2006/main">
                <a:ext uri="{FF2B5EF4-FFF2-40B4-BE49-F238E27FC236}">
                  <a16:creationId xmlns:a16="http://schemas.microsoft.com/office/drawing/2014/main" id="{C593C15E-1C61-4335-9389-87AF467905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53A0906" w14:textId="77777777" w:rsidR="002B6EF9" w:rsidRPr="00242991" w:rsidRDefault="002B6EF9" w:rsidP="002B6EF9">
      <w:pPr>
        <w:pStyle w:val="Figuretitle"/>
      </w:pPr>
      <w:r w:rsidRPr="00242991">
        <w:t>Figure 7b: Age distribution of prevalent p</w:t>
      </w:r>
      <w:r>
        <w:t>eople</w:t>
      </w:r>
      <w:r w:rsidRPr="00242991">
        <w:t xml:space="preserve"> by ADHD medicine or clonidine in financial year </w:t>
      </w:r>
      <w:r>
        <w:t>2022-2023</w:t>
      </w:r>
    </w:p>
    <w:p w14:paraId="0E78FE34" w14:textId="77777777" w:rsidR="002B6EF9" w:rsidRPr="00242991" w:rsidRDefault="002B6EF9" w:rsidP="002B6EF9">
      <w:pPr>
        <w:rPr>
          <w:rFonts w:eastAsia="MS Mincho" w:cs="Times New Roman"/>
        </w:rPr>
      </w:pPr>
      <w:r w:rsidRPr="00242991">
        <w:rPr>
          <w:rFonts w:eastAsia="MS Mincho" w:cs="Times New Roman"/>
        </w:rPr>
        <w:lastRenderedPageBreak/>
        <w:t>Similar to Figure 6a and 6b, the rise in use of all ADHD medicines (apart from atomoxetine) in prevalent p</w:t>
      </w:r>
      <w:r>
        <w:rPr>
          <w:rFonts w:eastAsia="MS Mincho" w:cs="Times New Roman"/>
        </w:rPr>
        <w:t>eople</w:t>
      </w:r>
      <w:r w:rsidRPr="00242991">
        <w:rPr>
          <w:rFonts w:eastAsia="MS Mincho" w:cs="Times New Roman"/>
        </w:rPr>
        <w:t xml:space="preserve"> is clear.</w:t>
      </w:r>
    </w:p>
    <w:p w14:paraId="52BCCE42" w14:textId="77777777" w:rsidR="002B6EF9" w:rsidRPr="00242991" w:rsidRDefault="002B6EF9" w:rsidP="002B6EF9">
      <w:pPr>
        <w:rPr>
          <w:rFonts w:eastAsia="MS Mincho" w:cs="Times New Roman"/>
        </w:rPr>
      </w:pPr>
      <w:r w:rsidRPr="00242991">
        <w:rPr>
          <w:rFonts w:eastAsia="MS Mincho" w:cs="Times New Roman"/>
        </w:rPr>
        <w:t>While use of both forms of methylphenidate remains the highest in the younger age groups, lisdexamfetamine use has dramatically increased. Where lisdexamfetamine use previously tapered off after the age of 18 (Figure 7a), after the restriction change (1 February 2021) use has remained high in the adult population.</w:t>
      </w:r>
    </w:p>
    <w:p w14:paraId="30418AC0" w14:textId="77777777" w:rsidR="002B6EF9" w:rsidRPr="00242991" w:rsidRDefault="002B6EF9" w:rsidP="002B6EF9">
      <w:pPr>
        <w:rPr>
          <w:rFonts w:eastAsia="MS Mincho" w:cs="Times New Roman"/>
        </w:rPr>
      </w:pPr>
      <w:r w:rsidRPr="00242991">
        <w:rPr>
          <w:rFonts w:eastAsia="MS Mincho" w:cs="Times New Roman"/>
        </w:rPr>
        <w:t>Similar to initiating p</w:t>
      </w:r>
      <w:r>
        <w:rPr>
          <w:rFonts w:eastAsia="MS Mincho" w:cs="Times New Roman"/>
        </w:rPr>
        <w:t>eople</w:t>
      </w:r>
      <w:r w:rsidRPr="00242991">
        <w:rPr>
          <w:rFonts w:eastAsia="MS Mincho" w:cs="Times New Roman"/>
        </w:rPr>
        <w:t>, clonidine use remains high in continuing p</w:t>
      </w:r>
      <w:r>
        <w:rPr>
          <w:rFonts w:eastAsia="MS Mincho" w:cs="Times New Roman"/>
        </w:rPr>
        <w:t>eople</w:t>
      </w:r>
      <w:r w:rsidRPr="00242991">
        <w:rPr>
          <w:rFonts w:eastAsia="MS Mincho" w:cs="Times New Roman"/>
        </w:rPr>
        <w:t>.</w:t>
      </w:r>
    </w:p>
    <w:p w14:paraId="5D74BA3F" w14:textId="77777777" w:rsidR="002B6EF9" w:rsidRPr="00242991" w:rsidRDefault="002B6EF9" w:rsidP="002B6EF9">
      <w:pPr>
        <w:pStyle w:val="Heading4"/>
        <w:rPr>
          <w:sz w:val="24"/>
          <w:szCs w:val="24"/>
        </w:rPr>
      </w:pPr>
      <w:r w:rsidRPr="00242991">
        <w:rPr>
          <w:sz w:val="24"/>
          <w:szCs w:val="24"/>
        </w:rPr>
        <w:t>Prescribers</w:t>
      </w:r>
    </w:p>
    <w:p w14:paraId="6219DC33" w14:textId="77777777" w:rsidR="002B6EF9" w:rsidRPr="00242991" w:rsidRDefault="002B6EF9" w:rsidP="002B6EF9">
      <w:pPr>
        <w:rPr>
          <w:rFonts w:eastAsia="MS Mincho" w:cs="Times New Roman"/>
        </w:rPr>
      </w:pPr>
      <w:r w:rsidRPr="00242991">
        <w:rPr>
          <w:rFonts w:eastAsia="MS Mincho" w:cs="Times New Roman"/>
        </w:rPr>
        <w:t>Each State and Territory law stipulates the conditions under which medical practitioners are able to prescribe ADHD medicines.</w:t>
      </w:r>
      <w:r w:rsidRPr="00242991">
        <w:rPr>
          <w:rFonts w:eastAsia="MS Mincho" w:cs="Times New Roman"/>
          <w:vertAlign w:val="superscript"/>
        </w:rPr>
        <w:t>1</w:t>
      </w:r>
      <w:r w:rsidRPr="00242991">
        <w:rPr>
          <w:rFonts w:eastAsia="MS Mincho" w:cs="Times New Roman"/>
        </w:rPr>
        <w:t xml:space="preserve"> </w:t>
      </w:r>
    </w:p>
    <w:p w14:paraId="15217E26" w14:textId="77777777" w:rsidR="002B6EF9" w:rsidRPr="001D105D" w:rsidRDefault="002B6EF9" w:rsidP="002B6EF9">
      <w:pPr>
        <w:spacing w:line="276" w:lineRule="auto"/>
        <w:rPr>
          <w:rFonts w:eastAsia="MS Mincho" w:cs="Times New Roman"/>
        </w:rPr>
      </w:pPr>
      <w:r w:rsidRPr="00242991">
        <w:rPr>
          <w:rFonts w:eastAsia="MS Mincho" w:cs="Times New Roman"/>
        </w:rPr>
        <w:t>Figure 8a shows the type of prescribers for the initiating prescription for each R/PBS ADHD medicine or clonidine supplied in 20</w:t>
      </w:r>
      <w:r>
        <w:rPr>
          <w:rFonts w:eastAsia="MS Mincho" w:cs="Times New Roman"/>
        </w:rPr>
        <w:t>19-</w:t>
      </w:r>
      <w:r w:rsidRPr="00242991">
        <w:rPr>
          <w:rFonts w:eastAsia="MS Mincho" w:cs="Times New Roman"/>
        </w:rPr>
        <w:t>20. Figure 8b shows the types of prescribers for the initiating prescription for each R/PBS ADHD medicine or clonidine supplied in the 2022-23 financial year.</w:t>
      </w:r>
    </w:p>
    <w:p w14:paraId="6EFC0ADE" w14:textId="65EC77FC" w:rsidR="00512547" w:rsidRPr="001D105D" w:rsidRDefault="00512547" w:rsidP="00215563">
      <w:pPr>
        <w:pStyle w:val="Tabletitle"/>
        <w:rPr>
          <w:rStyle w:val="FiguretitleChar"/>
          <w:b/>
        </w:rPr>
      </w:pPr>
    </w:p>
    <w:p w14:paraId="2D0DBD61" w14:textId="7F436699" w:rsidR="0052730E" w:rsidRDefault="0052730E" w:rsidP="0052730E">
      <w:pPr>
        <w:pStyle w:val="Tabletitle"/>
        <w:spacing w:before="0"/>
        <w:rPr>
          <w:rStyle w:val="FiguretitleChar"/>
          <w:b/>
        </w:rPr>
      </w:pPr>
      <w:r>
        <w:rPr>
          <w:noProof/>
        </w:rPr>
        <w:drawing>
          <wp:inline distT="0" distB="0" distL="0" distR="0" wp14:anchorId="57C4066C" wp14:editId="58A9F861">
            <wp:extent cx="5832475" cy="4286250"/>
            <wp:effectExtent l="0" t="0" r="15875" b="0"/>
            <wp:docPr id="3" name="Chart 3">
              <a:extLst xmlns:a="http://schemas.openxmlformats.org/drawingml/2006/main">
                <a:ext uri="{FF2B5EF4-FFF2-40B4-BE49-F238E27FC236}">
                  <a16:creationId xmlns:a16="http://schemas.microsoft.com/office/drawing/2014/main" id="{33C1AD59-6A9C-4A1F-9B37-FDEAC0E838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641F7AC" w14:textId="54476B56" w:rsidR="00DE3F60" w:rsidRPr="006F06FB" w:rsidRDefault="00E753CC" w:rsidP="006F06FB">
      <w:pPr>
        <w:pStyle w:val="Figuretitle"/>
        <w:rPr>
          <w:rStyle w:val="FiguretitleChar"/>
          <w:b/>
        </w:rPr>
      </w:pPr>
      <w:r w:rsidRPr="006F06FB">
        <w:rPr>
          <w:rStyle w:val="FiguretitleChar"/>
          <w:b/>
        </w:rPr>
        <w:t>Figure 8</w:t>
      </w:r>
      <w:r w:rsidR="00EF62C2" w:rsidRPr="006F06FB">
        <w:rPr>
          <w:rStyle w:val="FiguretitleChar"/>
          <w:b/>
        </w:rPr>
        <w:t>a</w:t>
      </w:r>
      <w:r w:rsidRPr="006F06FB">
        <w:rPr>
          <w:rStyle w:val="FiguretitleChar"/>
          <w:b/>
        </w:rPr>
        <w:t>: Prescriber type for p</w:t>
      </w:r>
      <w:r w:rsidR="002B6EF9">
        <w:rPr>
          <w:rStyle w:val="FiguretitleChar"/>
          <w:b/>
        </w:rPr>
        <w:t>eople</w:t>
      </w:r>
      <w:r w:rsidRPr="006F06FB">
        <w:rPr>
          <w:rStyle w:val="FiguretitleChar"/>
          <w:b/>
        </w:rPr>
        <w:t xml:space="preserve"> initiating ADHD medicines or clonidine in </w:t>
      </w:r>
      <w:r w:rsidR="0052730E" w:rsidRPr="006F06FB">
        <w:rPr>
          <w:rStyle w:val="FiguretitleChar"/>
          <w:b/>
        </w:rPr>
        <w:t xml:space="preserve">financial year </w:t>
      </w:r>
      <w:r w:rsidRPr="006F06FB">
        <w:rPr>
          <w:rStyle w:val="FiguretitleChar"/>
          <w:b/>
        </w:rPr>
        <w:t>20</w:t>
      </w:r>
      <w:r w:rsidR="0052730E" w:rsidRPr="006F06FB">
        <w:rPr>
          <w:rStyle w:val="FiguretitleChar"/>
          <w:b/>
        </w:rPr>
        <w:t>19-</w:t>
      </w:r>
      <w:r w:rsidRPr="006F06FB">
        <w:rPr>
          <w:rStyle w:val="FiguretitleChar"/>
          <w:b/>
        </w:rPr>
        <w:t xml:space="preserve">20 </w:t>
      </w:r>
    </w:p>
    <w:p w14:paraId="17D2AB43" w14:textId="2D6AD389" w:rsidR="00D94A72" w:rsidRDefault="00E753CC" w:rsidP="00DE3F60">
      <w:pPr>
        <w:pStyle w:val="Tabletitle"/>
        <w:spacing w:before="0"/>
        <w:rPr>
          <w:rStyle w:val="FiguretitleChar"/>
          <w:b/>
        </w:rPr>
      </w:pPr>
      <w:r w:rsidRPr="00242991">
        <w:rPr>
          <w:rStyle w:val="FiguretitleChar"/>
          <w:b/>
        </w:rPr>
        <w:lastRenderedPageBreak/>
        <w:br/>
      </w:r>
      <w:r w:rsidR="00A66DB1">
        <w:rPr>
          <w:noProof/>
        </w:rPr>
        <w:drawing>
          <wp:inline distT="0" distB="0" distL="0" distR="0" wp14:anchorId="7F3887CF" wp14:editId="0BAA9202">
            <wp:extent cx="5832475" cy="4829175"/>
            <wp:effectExtent l="0" t="0" r="15875" b="9525"/>
            <wp:docPr id="2" name="Chart 2">
              <a:extLst xmlns:a="http://schemas.openxmlformats.org/drawingml/2006/main">
                <a:ext uri="{FF2B5EF4-FFF2-40B4-BE49-F238E27FC236}">
                  <a16:creationId xmlns:a16="http://schemas.microsoft.com/office/drawing/2014/main" id="{33C1AD59-6A9C-4A1F-9B37-FDEAC0E838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A44B047" w14:textId="77777777" w:rsidR="002B6EF9" w:rsidRDefault="002B6EF9" w:rsidP="002B6EF9">
      <w:pPr>
        <w:rPr>
          <w:b/>
          <w:lang w:val="en-US"/>
        </w:rPr>
      </w:pPr>
      <w:bookmarkStart w:id="21" w:name="_Hlk143075498"/>
      <w:r w:rsidRPr="00242991">
        <w:rPr>
          <w:rStyle w:val="FiguretitleChar"/>
        </w:rPr>
        <w:t>Figure 8</w:t>
      </w:r>
      <w:r>
        <w:rPr>
          <w:rStyle w:val="FiguretitleChar"/>
        </w:rPr>
        <w:t>b</w:t>
      </w:r>
      <w:r w:rsidRPr="00242991">
        <w:rPr>
          <w:rStyle w:val="FiguretitleChar"/>
        </w:rPr>
        <w:t>: Prescriber type for p</w:t>
      </w:r>
      <w:r>
        <w:rPr>
          <w:rStyle w:val="FiguretitleChar"/>
        </w:rPr>
        <w:t>eople</w:t>
      </w:r>
      <w:r w:rsidRPr="00242991">
        <w:rPr>
          <w:rStyle w:val="FiguretitleChar"/>
        </w:rPr>
        <w:t xml:space="preserve"> initiating ADHD medicines or clonidine in financial year 2022-23 </w:t>
      </w:r>
      <w:r w:rsidRPr="00242991">
        <w:rPr>
          <w:rStyle w:val="FiguretitleChar"/>
        </w:rPr>
        <w:br/>
      </w:r>
    </w:p>
    <w:p w14:paraId="582B5B20" w14:textId="77777777" w:rsidR="002B6EF9" w:rsidRPr="00242991" w:rsidRDefault="002B6EF9" w:rsidP="002B6EF9">
      <w:pPr>
        <w:rPr>
          <w:b/>
        </w:rPr>
      </w:pPr>
      <w:r w:rsidRPr="00242991">
        <w:t>The initial prescriber for commencing an ADHD medicine is influenced by state and territory regulations</w:t>
      </w:r>
      <w:r>
        <w:t xml:space="preserve"> and also by </w:t>
      </w:r>
      <w:r w:rsidRPr="00242991">
        <w:t>the age of the patient.</w:t>
      </w:r>
    </w:p>
    <w:p w14:paraId="1253B178" w14:textId="77777777" w:rsidR="002B6EF9" w:rsidRPr="00242991" w:rsidRDefault="002B6EF9" w:rsidP="002B6EF9">
      <w:pPr>
        <w:pStyle w:val="Tabletitle"/>
        <w:rPr>
          <w:b w:val="0"/>
        </w:rPr>
      </w:pPr>
      <w:r>
        <w:rPr>
          <w:b w:val="0"/>
        </w:rPr>
        <w:t>The change in prescriber type for lisdexamfetamine is interesting when comparing Figure 8a and 8b.</w:t>
      </w:r>
      <w:r w:rsidRPr="00242991">
        <w:rPr>
          <w:b w:val="0"/>
        </w:rPr>
        <w:t xml:space="preserve"> Prior to the restriction change, lisdexamfetamine was usually prescribed by paediatricians</w:t>
      </w:r>
      <w:r>
        <w:rPr>
          <w:b w:val="0"/>
        </w:rPr>
        <w:t xml:space="preserve"> (Figure 8a)</w:t>
      </w:r>
      <w:r w:rsidRPr="00242991">
        <w:rPr>
          <w:b w:val="0"/>
        </w:rPr>
        <w:t>, however since the restriction change initiating use of lisdexamfetamine is more likely to be prescribed by psychiatrists</w:t>
      </w:r>
      <w:r>
        <w:rPr>
          <w:b w:val="0"/>
        </w:rPr>
        <w:t xml:space="preserve"> (Figure 8b)</w:t>
      </w:r>
      <w:r w:rsidRPr="00242991">
        <w:rPr>
          <w:b w:val="0"/>
        </w:rPr>
        <w:t xml:space="preserve">, due to their higher involvement with non-paediatric populations. </w:t>
      </w:r>
    </w:p>
    <w:p w14:paraId="2FCC1014" w14:textId="0C7FBFA6" w:rsidR="002B6EF9" w:rsidRDefault="002B6EF9" w:rsidP="002B6EF9">
      <w:pPr>
        <w:pStyle w:val="Tabletitle"/>
        <w:rPr>
          <w:b w:val="0"/>
        </w:rPr>
      </w:pPr>
      <w:r w:rsidRPr="00242991">
        <w:rPr>
          <w:b w:val="0"/>
        </w:rPr>
        <w:t xml:space="preserve">The initial prescribing of clonidine has also changed over the two different time periods. Use of clonidine has increased (in line with the increase of all ADHD medicines), however proportionally </w:t>
      </w:r>
      <w:r w:rsidR="00B460FA" w:rsidRPr="00242991">
        <w:rPr>
          <w:b w:val="0"/>
        </w:rPr>
        <w:t>fewer</w:t>
      </w:r>
      <w:r w:rsidRPr="00242991">
        <w:rPr>
          <w:b w:val="0"/>
        </w:rPr>
        <w:t xml:space="preserve"> general practitioners (GPs) are prescribing clonidine. </w:t>
      </w:r>
    </w:p>
    <w:bookmarkEnd w:id="21"/>
    <w:p w14:paraId="0AD4BFE2" w14:textId="77777777" w:rsidR="0098572F" w:rsidRPr="00242991" w:rsidRDefault="0098572F" w:rsidP="00215563">
      <w:pPr>
        <w:pStyle w:val="Tabletitle"/>
        <w:rPr>
          <w:b w:val="0"/>
        </w:rPr>
      </w:pPr>
    </w:p>
    <w:p w14:paraId="0F03CC8C" w14:textId="77777777" w:rsidR="00B30762" w:rsidRPr="00242991" w:rsidRDefault="00B30762" w:rsidP="00B30762">
      <w:pPr>
        <w:rPr>
          <w:sz w:val="20"/>
          <w:szCs w:val="20"/>
        </w:rPr>
      </w:pPr>
      <w:r>
        <w:rPr>
          <w:noProof/>
        </w:rPr>
        <w:lastRenderedPageBreak/>
        <w:drawing>
          <wp:inline distT="0" distB="0" distL="0" distR="0" wp14:anchorId="4385D741" wp14:editId="29B0185E">
            <wp:extent cx="5832475" cy="4476750"/>
            <wp:effectExtent l="0" t="0" r="15875" b="0"/>
            <wp:docPr id="9" name="Chart 9">
              <a:extLst xmlns:a="http://schemas.openxmlformats.org/drawingml/2006/main">
                <a:ext uri="{FF2B5EF4-FFF2-40B4-BE49-F238E27FC236}">
                  <a16:creationId xmlns:a16="http://schemas.microsoft.com/office/drawing/2014/main" id="{A3D3EA11-AA39-83AE-4410-DB9C7A3A57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4BA0E57" w14:textId="77777777" w:rsidR="002B6EF9" w:rsidRPr="006E0C66" w:rsidRDefault="002B6EF9" w:rsidP="002B6EF9">
      <w:pPr>
        <w:pStyle w:val="Figuretitle"/>
        <w:rPr>
          <w:rStyle w:val="FiguretitleChar"/>
          <w:b/>
        </w:rPr>
      </w:pPr>
      <w:r w:rsidRPr="006E0C66">
        <w:rPr>
          <w:rStyle w:val="FiguretitleChar"/>
          <w:b/>
        </w:rPr>
        <w:t xml:space="preserve">Figure </w:t>
      </w:r>
      <w:r>
        <w:rPr>
          <w:rStyle w:val="FiguretitleChar"/>
          <w:b/>
        </w:rPr>
        <w:t>9</w:t>
      </w:r>
      <w:r w:rsidRPr="006E0C66">
        <w:rPr>
          <w:rStyle w:val="FiguretitleChar"/>
          <w:b/>
        </w:rPr>
        <w:t xml:space="preserve">: Prescriber type for </w:t>
      </w:r>
      <w:r>
        <w:rPr>
          <w:rStyle w:val="FiguretitleChar"/>
          <w:rFonts w:cstheme="minorHAnsi"/>
          <w:b/>
        </w:rPr>
        <w:t>≤</w:t>
      </w:r>
      <w:r>
        <w:rPr>
          <w:rStyle w:val="FiguretitleChar"/>
          <w:b/>
        </w:rPr>
        <w:t xml:space="preserve">18 year old and &gt;18 year olds </w:t>
      </w:r>
      <w:r w:rsidRPr="006E0C66">
        <w:rPr>
          <w:rStyle w:val="FiguretitleChar"/>
          <w:b/>
        </w:rPr>
        <w:t xml:space="preserve">initiating ADHD therapy on lisdexamfetamine by financial year </w:t>
      </w:r>
    </w:p>
    <w:p w14:paraId="60C4E5BD" w14:textId="77777777" w:rsidR="002B6EF9" w:rsidRDefault="002B6EF9" w:rsidP="002B6EF9"/>
    <w:p w14:paraId="7CAE5E18" w14:textId="77777777" w:rsidR="002B6EF9" w:rsidRDefault="002B6EF9" w:rsidP="002B6EF9">
      <w:r w:rsidRPr="00242991">
        <w:t xml:space="preserve">Figure </w:t>
      </w:r>
      <w:r>
        <w:t>9</w:t>
      </w:r>
      <w:r w:rsidRPr="00242991">
        <w:t xml:space="preserve"> depicts the prescriber type for p</w:t>
      </w:r>
      <w:r>
        <w:t>eople</w:t>
      </w:r>
      <w:r w:rsidRPr="00242991">
        <w:t xml:space="preserve"> initiating ADHD therapy on lisdexamfetamine by financial year. </w:t>
      </w:r>
    </w:p>
    <w:p w14:paraId="485CC823" w14:textId="77777777" w:rsidR="002B6EF9" w:rsidRDefault="002B6EF9" w:rsidP="002B6EF9">
      <w:r>
        <w:t xml:space="preserve">Paediatricians are the most common prescriber type of the </w:t>
      </w:r>
      <w:r w:rsidRPr="001518F0">
        <w:rPr>
          <w:rFonts w:cstheme="minorHAnsi"/>
        </w:rPr>
        <w:t>≤</w:t>
      </w:r>
      <w:r>
        <w:t xml:space="preserve">18 year old population, while psychiatrists are the most common prescriber for the &gt;18 year old population. </w:t>
      </w:r>
    </w:p>
    <w:p w14:paraId="2A76C5A7" w14:textId="77777777" w:rsidR="002B6EF9" w:rsidRPr="00242991" w:rsidRDefault="002B6EF9" w:rsidP="002B6EF9">
      <w:r w:rsidRPr="00242991">
        <w:t xml:space="preserve">The figure shows that utilisation of lisdexamfetamine </w:t>
      </w:r>
      <w:r>
        <w:t xml:space="preserve">in the adult population </w:t>
      </w:r>
      <w:r w:rsidRPr="00242991">
        <w:t xml:space="preserve">has increased rapidly since the </w:t>
      </w:r>
      <w:r>
        <w:t>restriction change on 1 February 2021.</w:t>
      </w:r>
    </w:p>
    <w:p w14:paraId="29895077" w14:textId="77777777" w:rsidR="002B6EF9" w:rsidRPr="00242991" w:rsidRDefault="002B6EF9" w:rsidP="002B6EF9">
      <w:pPr>
        <w:spacing w:line="276" w:lineRule="auto"/>
        <w:rPr>
          <w:b/>
          <w:i/>
          <w:sz w:val="20"/>
        </w:rPr>
      </w:pPr>
      <w:r w:rsidRPr="00242991">
        <w:rPr>
          <w:b/>
          <w:i/>
        </w:rPr>
        <w:t>Utilisation by State/Territory</w:t>
      </w:r>
    </w:p>
    <w:p w14:paraId="13E0B2EF" w14:textId="77777777" w:rsidR="002B6EF9" w:rsidRPr="00242991" w:rsidRDefault="002B6EF9" w:rsidP="002B6EF9">
      <w:r w:rsidRPr="00242991">
        <w:t xml:space="preserve">Figure </w:t>
      </w:r>
      <w:r>
        <w:t>10</w:t>
      </w:r>
      <w:r w:rsidRPr="00242991">
        <w:t xml:space="preserve"> shows the number of people supplied ADHD medicines (excluding clonidine) per 1,000 population by therapy in the 2022-23 financial year, broken down by age and patient state/territory. Figure </w:t>
      </w:r>
      <w:r>
        <w:t>10</w:t>
      </w:r>
      <w:r w:rsidRPr="00242991">
        <w:t xml:space="preserve"> does not double count patients who are on more than one ADHD medication.</w:t>
      </w:r>
    </w:p>
    <w:p w14:paraId="2E3D3C2A" w14:textId="77777777" w:rsidR="002B6EF9" w:rsidRDefault="002B6EF9" w:rsidP="002B6EF9">
      <w:r w:rsidRPr="00242991">
        <w:t xml:space="preserve">Rates of prescribing vary across states and territories, reflecting the different jurisdictional laws about stimulant prescribing. </w:t>
      </w:r>
    </w:p>
    <w:p w14:paraId="04D5ABE9" w14:textId="77777777" w:rsidR="007B18BA" w:rsidRDefault="007B18BA" w:rsidP="002B6EF9"/>
    <w:p w14:paraId="0C481EA4" w14:textId="3A525D65" w:rsidR="002B6EF9" w:rsidRPr="001518F0" w:rsidRDefault="002B6EF9" w:rsidP="002B6EF9">
      <w:r w:rsidRPr="001518F0">
        <w:lastRenderedPageBreak/>
        <w:t xml:space="preserve">2022-23 financial year rates of treatment (Figure 10 and Table 5)  </w:t>
      </w:r>
    </w:p>
    <w:p w14:paraId="45CC43AF" w14:textId="77777777" w:rsidR="002B6EF9" w:rsidRPr="00242991" w:rsidRDefault="002B6EF9" w:rsidP="002B6EF9">
      <w:pPr>
        <w:pStyle w:val="ListParagraph"/>
        <w:numPr>
          <w:ilvl w:val="0"/>
          <w:numId w:val="34"/>
        </w:numPr>
      </w:pPr>
      <w:r w:rsidRPr="00242991">
        <w:t xml:space="preserve">Treatment in </w:t>
      </w:r>
      <w:r>
        <w:t>&lt;</w:t>
      </w:r>
      <w:r w:rsidRPr="00242991">
        <w:t>6 year olds was highest in Tas and QLD and lowest in the NT</w:t>
      </w:r>
    </w:p>
    <w:p w14:paraId="484D5CB4" w14:textId="77777777" w:rsidR="002B6EF9" w:rsidRPr="00242991" w:rsidRDefault="002B6EF9" w:rsidP="002B6EF9">
      <w:pPr>
        <w:pStyle w:val="ListParagraph"/>
        <w:numPr>
          <w:ilvl w:val="0"/>
          <w:numId w:val="34"/>
        </w:numPr>
      </w:pPr>
      <w:r w:rsidRPr="00242991">
        <w:t xml:space="preserve">Treatment in school-aged children (6-12 years old) was highest in Tas, and lowest in SA. </w:t>
      </w:r>
    </w:p>
    <w:p w14:paraId="5AEA2DD8" w14:textId="77777777" w:rsidR="002B6EF9" w:rsidRPr="00242991" w:rsidRDefault="002B6EF9" w:rsidP="002B6EF9">
      <w:pPr>
        <w:pStyle w:val="ListParagraph"/>
        <w:numPr>
          <w:ilvl w:val="0"/>
          <w:numId w:val="34"/>
        </w:numPr>
      </w:pPr>
      <w:r w:rsidRPr="00242991">
        <w:t>Treatment for 13-18 year olds was highest in ACT and lowest in SA</w:t>
      </w:r>
    </w:p>
    <w:p w14:paraId="64EDAA1B" w14:textId="77777777" w:rsidR="002B6EF9" w:rsidRPr="00242991" w:rsidRDefault="002B6EF9" w:rsidP="002B6EF9">
      <w:pPr>
        <w:pStyle w:val="ListParagraph"/>
        <w:numPr>
          <w:ilvl w:val="0"/>
          <w:numId w:val="34"/>
        </w:numPr>
      </w:pPr>
      <w:r w:rsidRPr="00242991">
        <w:t>Treatment in adults (</w:t>
      </w:r>
      <w:r>
        <w:t>&gt;</w:t>
      </w:r>
      <w:r w:rsidRPr="00242991">
        <w:t xml:space="preserve">18 years old) was highest in WA and the ACT, and lowest in Tas and the NT. </w:t>
      </w:r>
    </w:p>
    <w:p w14:paraId="0CA3CA91" w14:textId="77777777" w:rsidR="002B6EF9" w:rsidRPr="00242991" w:rsidRDefault="002B6EF9" w:rsidP="002B6EF9">
      <w:r w:rsidRPr="00242991">
        <w:t>The adult rates of prescribing were significantly higher in WA and the ACT compared to the other States and the NT.</w:t>
      </w:r>
    </w:p>
    <w:p w14:paraId="48924873" w14:textId="5DA638A3" w:rsidR="003B730A" w:rsidRDefault="0069679B" w:rsidP="00215563">
      <w:pPr>
        <w:pStyle w:val="Figuretitle"/>
      </w:pPr>
      <w:r>
        <w:rPr>
          <w:noProof/>
        </w:rPr>
        <w:drawing>
          <wp:inline distT="0" distB="0" distL="0" distR="0" wp14:anchorId="4CD7B336" wp14:editId="63A3861E">
            <wp:extent cx="5832475" cy="5162550"/>
            <wp:effectExtent l="0" t="0" r="15875" b="0"/>
            <wp:docPr id="14" name="Chart 14">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A92006A" w14:textId="5DBB287B" w:rsidR="008C30DC" w:rsidRPr="00242991" w:rsidRDefault="008C30DC" w:rsidP="00215563">
      <w:pPr>
        <w:pStyle w:val="Figuretitle"/>
      </w:pPr>
      <w:bookmarkStart w:id="22" w:name="_Hlk143075508"/>
      <w:r w:rsidRPr="00242991">
        <w:t xml:space="preserve">Figure </w:t>
      </w:r>
      <w:r w:rsidR="00B30762">
        <w:t>10</w:t>
      </w:r>
      <w:r w:rsidRPr="00242991">
        <w:t xml:space="preserve">: Number of people </w:t>
      </w:r>
      <w:r w:rsidR="00066BED" w:rsidRPr="00242991">
        <w:t>supplied an</w:t>
      </w:r>
      <w:r w:rsidRPr="00242991">
        <w:t xml:space="preserve"> ADHD medicine</w:t>
      </w:r>
      <w:r w:rsidR="00BA65CA" w:rsidRPr="00242991">
        <w:t xml:space="preserve"> (excluding clonidine)</w:t>
      </w:r>
      <w:r w:rsidRPr="00242991">
        <w:t xml:space="preserve"> per 1000 population</w:t>
      </w:r>
      <w:r w:rsidR="00FA4698" w:rsidRPr="00242991">
        <w:t xml:space="preserve"> in </w:t>
      </w:r>
      <w:r w:rsidR="003B730A" w:rsidRPr="00242991">
        <w:t xml:space="preserve">the </w:t>
      </w:r>
      <w:r w:rsidR="00FA4698" w:rsidRPr="00242991">
        <w:t>20</w:t>
      </w:r>
      <w:r w:rsidR="00BA65CA" w:rsidRPr="00242991">
        <w:t>2</w:t>
      </w:r>
      <w:r w:rsidR="0069679B" w:rsidRPr="00242991">
        <w:t xml:space="preserve">2-23 financial year </w:t>
      </w:r>
      <w:r w:rsidRPr="00242991">
        <w:t xml:space="preserve">by patient state/territory and </w:t>
      </w:r>
      <w:r w:rsidR="0046731B" w:rsidRPr="00242991">
        <w:t>age group</w:t>
      </w:r>
      <w:r w:rsidR="00121427" w:rsidRPr="00242991">
        <w:t xml:space="preserve"> </w:t>
      </w:r>
      <w:r w:rsidR="001C7F9C" w:rsidRPr="00242991">
        <w:t>(age group specific rate)</w:t>
      </w:r>
    </w:p>
    <w:p w14:paraId="55D12D1F" w14:textId="77777777" w:rsidR="006F06FB" w:rsidRDefault="006F06FB">
      <w:pPr>
        <w:spacing w:line="276" w:lineRule="auto"/>
        <w:rPr>
          <w:b/>
        </w:rPr>
      </w:pPr>
      <w:bookmarkStart w:id="23" w:name="_Hlk143075518"/>
      <w:bookmarkEnd w:id="22"/>
      <w:r>
        <w:br w:type="page"/>
      </w:r>
    </w:p>
    <w:p w14:paraId="2BAEF08B" w14:textId="54E0F984" w:rsidR="007E5D84" w:rsidRPr="001D105D" w:rsidRDefault="007E5D84" w:rsidP="00215563">
      <w:pPr>
        <w:pStyle w:val="Tabletitle"/>
        <w:rPr>
          <w:sz w:val="20"/>
          <w:szCs w:val="20"/>
          <w:lang w:eastAsia="en-US"/>
        </w:rPr>
      </w:pPr>
      <w:r w:rsidRPr="00242991">
        <w:lastRenderedPageBreak/>
        <w:t>Table 5. Number of people supplied an ADHD medicine (excluding clonidine) per 1000 population by state/territory and age group</w:t>
      </w:r>
      <w:r w:rsidR="0069679B" w:rsidRPr="00242991">
        <w:t xml:space="preserve"> in financial years</w:t>
      </w:r>
    </w:p>
    <w:tbl>
      <w:tblPr>
        <w:tblW w:w="8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877"/>
        <w:gridCol w:w="841"/>
        <w:gridCol w:w="841"/>
        <w:gridCol w:w="841"/>
        <w:gridCol w:w="797"/>
        <w:gridCol w:w="841"/>
        <w:gridCol w:w="841"/>
        <w:gridCol w:w="841"/>
        <w:gridCol w:w="841"/>
        <w:gridCol w:w="841"/>
      </w:tblGrid>
      <w:tr w:rsidR="0045686A" w:rsidRPr="00BC4C65" w14:paraId="78E72F94" w14:textId="77777777" w:rsidTr="00BC4C65">
        <w:trPr>
          <w:trHeight w:val="288"/>
        </w:trPr>
        <w:tc>
          <w:tcPr>
            <w:tcW w:w="656" w:type="dxa"/>
            <w:shd w:val="clear" w:color="auto" w:fill="BFBFBF" w:themeFill="background1" w:themeFillShade="BF"/>
            <w:noWrap/>
            <w:vAlign w:val="bottom"/>
            <w:hideMark/>
          </w:tcPr>
          <w:bookmarkEnd w:id="23"/>
          <w:p w14:paraId="7DC745FD" w14:textId="445DDAB7" w:rsidR="0069679B" w:rsidRPr="00BC4C65" w:rsidRDefault="0069679B" w:rsidP="0069679B">
            <w:pPr>
              <w:spacing w:after="0"/>
              <w:rPr>
                <w:rFonts w:ascii="Calibri" w:eastAsia="Times New Roman" w:hAnsi="Calibri" w:cs="Calibri"/>
                <w:b/>
                <w:bCs/>
                <w:color w:val="000000"/>
                <w:sz w:val="18"/>
                <w:szCs w:val="18"/>
              </w:rPr>
            </w:pPr>
            <w:r w:rsidRPr="00BC4C65">
              <w:rPr>
                <w:rFonts w:ascii="Calibri" w:eastAsia="Times New Roman" w:hAnsi="Calibri" w:cs="Calibri"/>
                <w:b/>
                <w:color w:val="000000"/>
                <w:sz w:val="18"/>
                <w:szCs w:val="18"/>
              </w:rPr>
              <w:t>Age group</w:t>
            </w:r>
          </w:p>
        </w:tc>
        <w:tc>
          <w:tcPr>
            <w:tcW w:w="848" w:type="dxa"/>
            <w:shd w:val="clear" w:color="auto" w:fill="BFBFBF" w:themeFill="background1" w:themeFillShade="BF"/>
            <w:noWrap/>
            <w:vAlign w:val="bottom"/>
            <w:hideMark/>
          </w:tcPr>
          <w:p w14:paraId="60D508F9" w14:textId="3B89F018" w:rsidR="0069679B" w:rsidRPr="00BC4C65" w:rsidRDefault="0069679B" w:rsidP="00BC4C65">
            <w:pPr>
              <w:spacing w:after="0"/>
              <w:ind w:right="-61"/>
              <w:rPr>
                <w:rFonts w:ascii="Calibri" w:eastAsia="Times New Roman" w:hAnsi="Calibri" w:cs="Calibri"/>
                <w:b/>
                <w:bCs/>
                <w:color w:val="000000"/>
                <w:sz w:val="18"/>
                <w:szCs w:val="18"/>
              </w:rPr>
            </w:pPr>
            <w:r w:rsidRPr="00BC4C65">
              <w:rPr>
                <w:rFonts w:ascii="Calibri" w:eastAsia="Times New Roman" w:hAnsi="Calibri" w:cs="Calibri"/>
                <w:b/>
                <w:color w:val="000000"/>
                <w:sz w:val="18"/>
                <w:szCs w:val="18"/>
              </w:rPr>
              <w:t>State / Territory</w:t>
            </w:r>
          </w:p>
        </w:tc>
        <w:tc>
          <w:tcPr>
            <w:tcW w:w="814" w:type="dxa"/>
            <w:shd w:val="clear" w:color="auto" w:fill="BFBFBF" w:themeFill="background1" w:themeFillShade="BF"/>
            <w:noWrap/>
            <w:vAlign w:val="bottom"/>
            <w:hideMark/>
          </w:tcPr>
          <w:p w14:paraId="67C62CD2" w14:textId="77777777" w:rsidR="0069679B" w:rsidRPr="00BC4C65" w:rsidRDefault="0069679B" w:rsidP="00BC4C65">
            <w:pPr>
              <w:spacing w:after="0"/>
              <w:ind w:right="-117"/>
              <w:rPr>
                <w:rFonts w:ascii="Calibri" w:eastAsia="Times New Roman" w:hAnsi="Calibri" w:cs="Calibri"/>
                <w:b/>
                <w:bCs/>
                <w:color w:val="000000"/>
                <w:sz w:val="18"/>
                <w:szCs w:val="18"/>
              </w:rPr>
            </w:pPr>
            <w:r w:rsidRPr="00BC4C65">
              <w:rPr>
                <w:rFonts w:ascii="Calibri" w:eastAsia="Times New Roman" w:hAnsi="Calibri" w:cs="Calibri"/>
                <w:b/>
                <w:color w:val="000000"/>
                <w:sz w:val="18"/>
                <w:szCs w:val="18"/>
              </w:rPr>
              <w:t>2014/15</w:t>
            </w:r>
          </w:p>
        </w:tc>
        <w:tc>
          <w:tcPr>
            <w:tcW w:w="814" w:type="dxa"/>
            <w:shd w:val="clear" w:color="auto" w:fill="BFBFBF" w:themeFill="background1" w:themeFillShade="BF"/>
            <w:noWrap/>
            <w:vAlign w:val="bottom"/>
            <w:hideMark/>
          </w:tcPr>
          <w:p w14:paraId="38B25180" w14:textId="77777777" w:rsidR="0069679B" w:rsidRPr="00BC4C65" w:rsidRDefault="0069679B" w:rsidP="00BC4C65">
            <w:pPr>
              <w:spacing w:after="0"/>
              <w:ind w:right="-172"/>
              <w:rPr>
                <w:rFonts w:ascii="Calibri" w:eastAsia="Times New Roman" w:hAnsi="Calibri" w:cs="Calibri"/>
                <w:b/>
                <w:bCs/>
                <w:color w:val="000000"/>
                <w:sz w:val="18"/>
                <w:szCs w:val="18"/>
              </w:rPr>
            </w:pPr>
            <w:r w:rsidRPr="00BC4C65">
              <w:rPr>
                <w:rFonts w:ascii="Calibri" w:eastAsia="Times New Roman" w:hAnsi="Calibri" w:cs="Calibri"/>
                <w:b/>
                <w:color w:val="000000"/>
                <w:sz w:val="18"/>
                <w:szCs w:val="18"/>
              </w:rPr>
              <w:t>2015/16</w:t>
            </w:r>
          </w:p>
        </w:tc>
        <w:tc>
          <w:tcPr>
            <w:tcW w:w="814" w:type="dxa"/>
            <w:shd w:val="clear" w:color="auto" w:fill="BFBFBF" w:themeFill="background1" w:themeFillShade="BF"/>
            <w:noWrap/>
            <w:vAlign w:val="bottom"/>
            <w:hideMark/>
          </w:tcPr>
          <w:p w14:paraId="2BED73D8" w14:textId="77777777" w:rsidR="0069679B" w:rsidRPr="00BC4C65" w:rsidRDefault="0069679B" w:rsidP="00BC4C65">
            <w:pPr>
              <w:spacing w:after="0"/>
              <w:ind w:right="-71"/>
              <w:rPr>
                <w:rFonts w:ascii="Calibri" w:eastAsia="Times New Roman" w:hAnsi="Calibri" w:cs="Calibri"/>
                <w:b/>
                <w:bCs/>
                <w:color w:val="000000"/>
                <w:sz w:val="18"/>
                <w:szCs w:val="18"/>
              </w:rPr>
            </w:pPr>
            <w:r w:rsidRPr="00BC4C65">
              <w:rPr>
                <w:rFonts w:ascii="Calibri" w:eastAsia="Times New Roman" w:hAnsi="Calibri" w:cs="Calibri"/>
                <w:b/>
                <w:color w:val="000000"/>
                <w:sz w:val="18"/>
                <w:szCs w:val="18"/>
              </w:rPr>
              <w:t>2016/17</w:t>
            </w:r>
          </w:p>
        </w:tc>
        <w:tc>
          <w:tcPr>
            <w:tcW w:w="752" w:type="dxa"/>
            <w:shd w:val="clear" w:color="auto" w:fill="BFBFBF" w:themeFill="background1" w:themeFillShade="BF"/>
            <w:noWrap/>
            <w:vAlign w:val="bottom"/>
            <w:hideMark/>
          </w:tcPr>
          <w:p w14:paraId="4F81DEDD" w14:textId="77777777" w:rsidR="0069679B" w:rsidRPr="00BC4C65" w:rsidRDefault="0069679B" w:rsidP="0069679B">
            <w:pPr>
              <w:spacing w:after="0"/>
              <w:ind w:left="-44" w:right="-135"/>
              <w:rPr>
                <w:rFonts w:ascii="Calibri" w:eastAsia="Times New Roman" w:hAnsi="Calibri" w:cs="Calibri"/>
                <w:b/>
                <w:bCs/>
                <w:color w:val="000000"/>
                <w:sz w:val="18"/>
                <w:szCs w:val="18"/>
              </w:rPr>
            </w:pPr>
            <w:r w:rsidRPr="00BC4C65">
              <w:rPr>
                <w:rFonts w:ascii="Calibri" w:eastAsia="Times New Roman" w:hAnsi="Calibri" w:cs="Calibri"/>
                <w:b/>
                <w:color w:val="000000"/>
                <w:sz w:val="18"/>
                <w:szCs w:val="18"/>
              </w:rPr>
              <w:t>2017/18</w:t>
            </w:r>
          </w:p>
        </w:tc>
        <w:tc>
          <w:tcPr>
            <w:tcW w:w="841" w:type="dxa"/>
            <w:shd w:val="clear" w:color="auto" w:fill="BFBFBF" w:themeFill="background1" w:themeFillShade="BF"/>
            <w:noWrap/>
            <w:vAlign w:val="bottom"/>
            <w:hideMark/>
          </w:tcPr>
          <w:p w14:paraId="444FA35F" w14:textId="77777777" w:rsidR="0069679B" w:rsidRPr="00BC4C65" w:rsidRDefault="0069679B" w:rsidP="0069679B">
            <w:pPr>
              <w:spacing w:after="0"/>
              <w:rPr>
                <w:rFonts w:ascii="Calibri" w:eastAsia="Times New Roman" w:hAnsi="Calibri" w:cs="Calibri"/>
                <w:b/>
                <w:bCs/>
                <w:color w:val="000000"/>
                <w:sz w:val="18"/>
                <w:szCs w:val="18"/>
              </w:rPr>
            </w:pPr>
            <w:r w:rsidRPr="00BC4C65">
              <w:rPr>
                <w:rFonts w:ascii="Calibri" w:eastAsia="Times New Roman" w:hAnsi="Calibri" w:cs="Calibri"/>
                <w:b/>
                <w:color w:val="000000"/>
                <w:sz w:val="18"/>
                <w:szCs w:val="18"/>
              </w:rPr>
              <w:t>2018/19</w:t>
            </w:r>
          </w:p>
        </w:tc>
        <w:tc>
          <w:tcPr>
            <w:tcW w:w="841" w:type="dxa"/>
            <w:shd w:val="clear" w:color="auto" w:fill="BFBFBF" w:themeFill="background1" w:themeFillShade="BF"/>
            <w:noWrap/>
            <w:vAlign w:val="bottom"/>
            <w:hideMark/>
          </w:tcPr>
          <w:p w14:paraId="3E3B3A3F" w14:textId="77777777" w:rsidR="0069679B" w:rsidRPr="00BC4C65" w:rsidRDefault="0069679B" w:rsidP="0069679B">
            <w:pPr>
              <w:spacing w:after="0"/>
              <w:rPr>
                <w:rFonts w:ascii="Calibri" w:eastAsia="Times New Roman" w:hAnsi="Calibri" w:cs="Calibri"/>
                <w:b/>
                <w:bCs/>
                <w:color w:val="000000"/>
                <w:sz w:val="18"/>
                <w:szCs w:val="18"/>
              </w:rPr>
            </w:pPr>
            <w:r w:rsidRPr="00BC4C65">
              <w:rPr>
                <w:rFonts w:ascii="Calibri" w:eastAsia="Times New Roman" w:hAnsi="Calibri" w:cs="Calibri"/>
                <w:b/>
                <w:color w:val="000000"/>
                <w:sz w:val="18"/>
                <w:szCs w:val="18"/>
              </w:rPr>
              <w:t>2019/20</w:t>
            </w:r>
          </w:p>
        </w:tc>
        <w:tc>
          <w:tcPr>
            <w:tcW w:w="841" w:type="dxa"/>
            <w:shd w:val="clear" w:color="auto" w:fill="BFBFBF" w:themeFill="background1" w:themeFillShade="BF"/>
            <w:noWrap/>
            <w:vAlign w:val="bottom"/>
            <w:hideMark/>
          </w:tcPr>
          <w:p w14:paraId="01364859" w14:textId="77777777" w:rsidR="0069679B" w:rsidRPr="00BC4C65" w:rsidRDefault="0069679B" w:rsidP="0069679B">
            <w:pPr>
              <w:spacing w:after="0"/>
              <w:rPr>
                <w:rFonts w:ascii="Calibri" w:eastAsia="Times New Roman" w:hAnsi="Calibri" w:cs="Calibri"/>
                <w:b/>
                <w:bCs/>
                <w:color w:val="000000"/>
                <w:sz w:val="18"/>
                <w:szCs w:val="18"/>
              </w:rPr>
            </w:pPr>
            <w:r w:rsidRPr="00BC4C65">
              <w:rPr>
                <w:rFonts w:ascii="Calibri" w:eastAsia="Times New Roman" w:hAnsi="Calibri" w:cs="Calibri"/>
                <w:b/>
                <w:color w:val="000000"/>
                <w:sz w:val="18"/>
                <w:szCs w:val="18"/>
              </w:rPr>
              <w:t>2020/21</w:t>
            </w:r>
          </w:p>
        </w:tc>
        <w:tc>
          <w:tcPr>
            <w:tcW w:w="718" w:type="dxa"/>
            <w:shd w:val="clear" w:color="auto" w:fill="BFBFBF" w:themeFill="background1" w:themeFillShade="BF"/>
            <w:noWrap/>
            <w:vAlign w:val="bottom"/>
            <w:hideMark/>
          </w:tcPr>
          <w:p w14:paraId="1A82406C" w14:textId="77777777" w:rsidR="0069679B" w:rsidRPr="00BC4C65" w:rsidRDefault="0069679B" w:rsidP="0069679B">
            <w:pPr>
              <w:spacing w:after="0"/>
              <w:rPr>
                <w:rFonts w:ascii="Calibri" w:eastAsia="Times New Roman" w:hAnsi="Calibri" w:cs="Calibri"/>
                <w:b/>
                <w:bCs/>
                <w:color w:val="000000"/>
                <w:sz w:val="18"/>
                <w:szCs w:val="18"/>
              </w:rPr>
            </w:pPr>
            <w:r w:rsidRPr="00BC4C65">
              <w:rPr>
                <w:rFonts w:ascii="Calibri" w:eastAsia="Times New Roman" w:hAnsi="Calibri" w:cs="Calibri"/>
                <w:b/>
                <w:color w:val="000000"/>
                <w:sz w:val="18"/>
                <w:szCs w:val="18"/>
              </w:rPr>
              <w:t>2021/22</w:t>
            </w:r>
          </w:p>
        </w:tc>
        <w:tc>
          <w:tcPr>
            <w:tcW w:w="841" w:type="dxa"/>
            <w:shd w:val="clear" w:color="auto" w:fill="BFBFBF" w:themeFill="background1" w:themeFillShade="BF"/>
            <w:noWrap/>
            <w:vAlign w:val="bottom"/>
            <w:hideMark/>
          </w:tcPr>
          <w:p w14:paraId="11EE2AA8" w14:textId="77777777" w:rsidR="0069679B" w:rsidRPr="00BC4C65" w:rsidRDefault="0069679B" w:rsidP="0069679B">
            <w:pPr>
              <w:spacing w:after="0"/>
              <w:rPr>
                <w:rFonts w:ascii="Calibri" w:eastAsia="Times New Roman" w:hAnsi="Calibri" w:cs="Calibri"/>
                <w:b/>
                <w:bCs/>
                <w:color w:val="000000"/>
                <w:sz w:val="18"/>
                <w:szCs w:val="18"/>
              </w:rPr>
            </w:pPr>
            <w:r w:rsidRPr="00BC4C65">
              <w:rPr>
                <w:rFonts w:ascii="Calibri" w:eastAsia="Times New Roman" w:hAnsi="Calibri" w:cs="Calibri"/>
                <w:b/>
                <w:color w:val="000000"/>
                <w:sz w:val="18"/>
                <w:szCs w:val="18"/>
              </w:rPr>
              <w:t>2022/23</w:t>
            </w:r>
          </w:p>
        </w:tc>
      </w:tr>
      <w:tr w:rsidR="00BC4C65" w:rsidRPr="00BC4C65" w14:paraId="2736CDF1" w14:textId="77777777" w:rsidTr="00BC4C65">
        <w:trPr>
          <w:trHeight w:val="288"/>
        </w:trPr>
        <w:tc>
          <w:tcPr>
            <w:tcW w:w="656" w:type="dxa"/>
            <w:vMerge w:val="restart"/>
            <w:shd w:val="clear" w:color="auto" w:fill="auto"/>
            <w:noWrap/>
            <w:vAlign w:val="center"/>
            <w:hideMark/>
          </w:tcPr>
          <w:p w14:paraId="58194054" w14:textId="77777777" w:rsidR="0069679B" w:rsidRPr="00BC4C65" w:rsidRDefault="0069679B" w:rsidP="0069679B">
            <w:pPr>
              <w:spacing w:after="0"/>
              <w:jc w:val="center"/>
              <w:rPr>
                <w:rFonts w:ascii="Calibri" w:eastAsia="Times New Roman" w:hAnsi="Calibri" w:cs="Calibri"/>
                <w:b/>
                <w:bCs/>
                <w:color w:val="000000"/>
                <w:sz w:val="18"/>
                <w:szCs w:val="18"/>
              </w:rPr>
            </w:pPr>
            <w:r w:rsidRPr="00BC4C65">
              <w:rPr>
                <w:rFonts w:ascii="Calibri" w:eastAsia="Times New Roman" w:hAnsi="Calibri" w:cs="Calibri"/>
                <w:b/>
                <w:color w:val="000000"/>
                <w:sz w:val="18"/>
                <w:szCs w:val="18"/>
              </w:rPr>
              <w:t>&lt; 6 years</w:t>
            </w:r>
          </w:p>
        </w:tc>
        <w:tc>
          <w:tcPr>
            <w:tcW w:w="848" w:type="dxa"/>
            <w:shd w:val="clear" w:color="auto" w:fill="auto"/>
            <w:noWrap/>
            <w:vAlign w:val="bottom"/>
            <w:hideMark/>
          </w:tcPr>
          <w:p w14:paraId="5BC5CCFA" w14:textId="77777777" w:rsidR="0069679B" w:rsidRPr="00BC4C65" w:rsidRDefault="0069679B" w:rsidP="0069679B">
            <w:pPr>
              <w:spacing w:after="0"/>
              <w:rPr>
                <w:rFonts w:ascii="Calibri" w:eastAsia="Times New Roman" w:hAnsi="Calibri" w:cs="Calibri"/>
                <w:sz w:val="18"/>
                <w:szCs w:val="18"/>
              </w:rPr>
            </w:pPr>
            <w:r w:rsidRPr="00BC4C65">
              <w:rPr>
                <w:rFonts w:ascii="Calibri" w:eastAsia="Times New Roman" w:hAnsi="Calibri" w:cs="Calibri"/>
                <w:sz w:val="18"/>
                <w:szCs w:val="18"/>
              </w:rPr>
              <w:t>ACT</w:t>
            </w:r>
          </w:p>
        </w:tc>
        <w:tc>
          <w:tcPr>
            <w:tcW w:w="814" w:type="dxa"/>
            <w:shd w:val="clear" w:color="auto" w:fill="auto"/>
            <w:noWrap/>
            <w:vAlign w:val="bottom"/>
            <w:hideMark/>
          </w:tcPr>
          <w:p w14:paraId="4E557354"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1.14</w:t>
            </w:r>
          </w:p>
        </w:tc>
        <w:tc>
          <w:tcPr>
            <w:tcW w:w="814" w:type="dxa"/>
            <w:shd w:val="clear" w:color="auto" w:fill="auto"/>
            <w:noWrap/>
            <w:vAlign w:val="bottom"/>
            <w:hideMark/>
          </w:tcPr>
          <w:p w14:paraId="3F36358F"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0.94</w:t>
            </w:r>
          </w:p>
        </w:tc>
        <w:tc>
          <w:tcPr>
            <w:tcW w:w="814" w:type="dxa"/>
            <w:shd w:val="clear" w:color="auto" w:fill="auto"/>
            <w:noWrap/>
            <w:vAlign w:val="bottom"/>
            <w:hideMark/>
          </w:tcPr>
          <w:p w14:paraId="1DB172D6"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1.04</w:t>
            </w:r>
          </w:p>
        </w:tc>
        <w:tc>
          <w:tcPr>
            <w:tcW w:w="752" w:type="dxa"/>
            <w:shd w:val="clear" w:color="auto" w:fill="auto"/>
            <w:noWrap/>
            <w:vAlign w:val="bottom"/>
            <w:hideMark/>
          </w:tcPr>
          <w:p w14:paraId="3B8F44F3"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0.94</w:t>
            </w:r>
          </w:p>
        </w:tc>
        <w:tc>
          <w:tcPr>
            <w:tcW w:w="841" w:type="dxa"/>
            <w:shd w:val="clear" w:color="auto" w:fill="auto"/>
            <w:noWrap/>
            <w:vAlign w:val="bottom"/>
            <w:hideMark/>
          </w:tcPr>
          <w:p w14:paraId="0254E384"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1.42</w:t>
            </w:r>
          </w:p>
        </w:tc>
        <w:tc>
          <w:tcPr>
            <w:tcW w:w="841" w:type="dxa"/>
            <w:shd w:val="clear" w:color="auto" w:fill="auto"/>
            <w:noWrap/>
            <w:vAlign w:val="bottom"/>
            <w:hideMark/>
          </w:tcPr>
          <w:p w14:paraId="0DA8EC23"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1.66</w:t>
            </w:r>
          </w:p>
        </w:tc>
        <w:tc>
          <w:tcPr>
            <w:tcW w:w="841" w:type="dxa"/>
            <w:shd w:val="clear" w:color="auto" w:fill="auto"/>
            <w:noWrap/>
            <w:vAlign w:val="bottom"/>
            <w:hideMark/>
          </w:tcPr>
          <w:p w14:paraId="2477C280"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1.92</w:t>
            </w:r>
          </w:p>
        </w:tc>
        <w:tc>
          <w:tcPr>
            <w:tcW w:w="718" w:type="dxa"/>
            <w:shd w:val="clear" w:color="auto" w:fill="auto"/>
            <w:noWrap/>
            <w:vAlign w:val="bottom"/>
            <w:hideMark/>
          </w:tcPr>
          <w:p w14:paraId="216D736E"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2.41</w:t>
            </w:r>
          </w:p>
        </w:tc>
        <w:tc>
          <w:tcPr>
            <w:tcW w:w="841" w:type="dxa"/>
            <w:shd w:val="clear" w:color="auto" w:fill="auto"/>
            <w:noWrap/>
            <w:vAlign w:val="bottom"/>
            <w:hideMark/>
          </w:tcPr>
          <w:p w14:paraId="7EF20F02"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3.45</w:t>
            </w:r>
          </w:p>
        </w:tc>
      </w:tr>
      <w:tr w:rsidR="00BC4C65" w:rsidRPr="00BC4C65" w14:paraId="42B90622" w14:textId="77777777" w:rsidTr="00BC4C65">
        <w:trPr>
          <w:trHeight w:val="288"/>
        </w:trPr>
        <w:tc>
          <w:tcPr>
            <w:tcW w:w="656" w:type="dxa"/>
            <w:vMerge/>
            <w:shd w:val="clear" w:color="auto" w:fill="auto"/>
            <w:noWrap/>
            <w:vAlign w:val="bottom"/>
            <w:hideMark/>
          </w:tcPr>
          <w:p w14:paraId="7C876718" w14:textId="77777777" w:rsidR="0069679B" w:rsidRPr="00BC4C65" w:rsidRDefault="0069679B" w:rsidP="0069679B">
            <w:pPr>
              <w:spacing w:after="0"/>
              <w:jc w:val="right"/>
              <w:rPr>
                <w:rFonts w:ascii="Calibri" w:eastAsia="Times New Roman" w:hAnsi="Calibri" w:cs="Calibri"/>
                <w:sz w:val="18"/>
                <w:szCs w:val="18"/>
              </w:rPr>
            </w:pPr>
          </w:p>
        </w:tc>
        <w:tc>
          <w:tcPr>
            <w:tcW w:w="848" w:type="dxa"/>
            <w:shd w:val="clear" w:color="auto" w:fill="auto"/>
            <w:noWrap/>
            <w:vAlign w:val="bottom"/>
            <w:hideMark/>
          </w:tcPr>
          <w:p w14:paraId="718B0E09" w14:textId="77777777" w:rsidR="0069679B" w:rsidRPr="00BC4C65" w:rsidRDefault="0069679B" w:rsidP="0069679B">
            <w:pPr>
              <w:spacing w:after="0"/>
              <w:rPr>
                <w:rFonts w:ascii="Calibri" w:eastAsia="Times New Roman" w:hAnsi="Calibri" w:cs="Calibri"/>
                <w:sz w:val="18"/>
                <w:szCs w:val="18"/>
              </w:rPr>
            </w:pPr>
            <w:r w:rsidRPr="00BC4C65">
              <w:rPr>
                <w:rFonts w:ascii="Calibri" w:eastAsia="Times New Roman" w:hAnsi="Calibri" w:cs="Calibri"/>
                <w:sz w:val="18"/>
                <w:szCs w:val="18"/>
              </w:rPr>
              <w:t>NSW</w:t>
            </w:r>
          </w:p>
        </w:tc>
        <w:tc>
          <w:tcPr>
            <w:tcW w:w="814" w:type="dxa"/>
            <w:shd w:val="clear" w:color="auto" w:fill="auto"/>
            <w:noWrap/>
            <w:vAlign w:val="bottom"/>
            <w:hideMark/>
          </w:tcPr>
          <w:p w14:paraId="7EA65518"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1.97</w:t>
            </w:r>
          </w:p>
        </w:tc>
        <w:tc>
          <w:tcPr>
            <w:tcW w:w="814" w:type="dxa"/>
            <w:shd w:val="clear" w:color="auto" w:fill="auto"/>
            <w:noWrap/>
            <w:vAlign w:val="bottom"/>
            <w:hideMark/>
          </w:tcPr>
          <w:p w14:paraId="4E1B743A"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2.09</w:t>
            </w:r>
          </w:p>
        </w:tc>
        <w:tc>
          <w:tcPr>
            <w:tcW w:w="814" w:type="dxa"/>
            <w:shd w:val="clear" w:color="auto" w:fill="auto"/>
            <w:noWrap/>
            <w:vAlign w:val="bottom"/>
            <w:hideMark/>
          </w:tcPr>
          <w:p w14:paraId="0E46AE50"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2.07</w:t>
            </w:r>
          </w:p>
        </w:tc>
        <w:tc>
          <w:tcPr>
            <w:tcW w:w="752" w:type="dxa"/>
            <w:shd w:val="clear" w:color="auto" w:fill="auto"/>
            <w:noWrap/>
            <w:vAlign w:val="bottom"/>
            <w:hideMark/>
          </w:tcPr>
          <w:p w14:paraId="4899F35A"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2.31</w:t>
            </w:r>
          </w:p>
        </w:tc>
        <w:tc>
          <w:tcPr>
            <w:tcW w:w="841" w:type="dxa"/>
            <w:shd w:val="clear" w:color="auto" w:fill="auto"/>
            <w:noWrap/>
            <w:vAlign w:val="bottom"/>
            <w:hideMark/>
          </w:tcPr>
          <w:p w14:paraId="551997B0"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2.66</w:t>
            </w:r>
          </w:p>
        </w:tc>
        <w:tc>
          <w:tcPr>
            <w:tcW w:w="841" w:type="dxa"/>
            <w:shd w:val="clear" w:color="auto" w:fill="auto"/>
            <w:noWrap/>
            <w:vAlign w:val="bottom"/>
            <w:hideMark/>
          </w:tcPr>
          <w:p w14:paraId="51DD2C87"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3.24</w:t>
            </w:r>
          </w:p>
        </w:tc>
        <w:tc>
          <w:tcPr>
            <w:tcW w:w="841" w:type="dxa"/>
            <w:shd w:val="clear" w:color="auto" w:fill="auto"/>
            <w:noWrap/>
            <w:vAlign w:val="bottom"/>
            <w:hideMark/>
          </w:tcPr>
          <w:p w14:paraId="2D021EF8"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3.65</w:t>
            </w:r>
          </w:p>
        </w:tc>
        <w:tc>
          <w:tcPr>
            <w:tcW w:w="718" w:type="dxa"/>
            <w:shd w:val="clear" w:color="auto" w:fill="auto"/>
            <w:noWrap/>
            <w:vAlign w:val="bottom"/>
            <w:hideMark/>
          </w:tcPr>
          <w:p w14:paraId="456AE776"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3.93</w:t>
            </w:r>
          </w:p>
        </w:tc>
        <w:tc>
          <w:tcPr>
            <w:tcW w:w="841" w:type="dxa"/>
            <w:shd w:val="clear" w:color="auto" w:fill="auto"/>
            <w:noWrap/>
            <w:vAlign w:val="bottom"/>
            <w:hideMark/>
          </w:tcPr>
          <w:p w14:paraId="313E6BC4"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4.76</w:t>
            </w:r>
          </w:p>
        </w:tc>
      </w:tr>
      <w:tr w:rsidR="00BC4C65" w:rsidRPr="00BC4C65" w14:paraId="6B834D05" w14:textId="77777777" w:rsidTr="00BC4C65">
        <w:trPr>
          <w:trHeight w:val="288"/>
        </w:trPr>
        <w:tc>
          <w:tcPr>
            <w:tcW w:w="656" w:type="dxa"/>
            <w:vMerge/>
            <w:shd w:val="clear" w:color="auto" w:fill="auto"/>
            <w:noWrap/>
            <w:vAlign w:val="bottom"/>
            <w:hideMark/>
          </w:tcPr>
          <w:p w14:paraId="4F2D2E94" w14:textId="77777777" w:rsidR="0069679B" w:rsidRPr="00BC4C65" w:rsidRDefault="0069679B" w:rsidP="0069679B">
            <w:pPr>
              <w:spacing w:after="0"/>
              <w:jc w:val="right"/>
              <w:rPr>
                <w:rFonts w:ascii="Calibri" w:eastAsia="Times New Roman" w:hAnsi="Calibri" w:cs="Calibri"/>
                <w:sz w:val="18"/>
                <w:szCs w:val="18"/>
              </w:rPr>
            </w:pPr>
          </w:p>
        </w:tc>
        <w:tc>
          <w:tcPr>
            <w:tcW w:w="848" w:type="dxa"/>
            <w:shd w:val="clear" w:color="auto" w:fill="auto"/>
            <w:noWrap/>
            <w:vAlign w:val="bottom"/>
            <w:hideMark/>
          </w:tcPr>
          <w:p w14:paraId="1360B0A5" w14:textId="77777777" w:rsidR="0069679B" w:rsidRPr="00BC4C65" w:rsidRDefault="0069679B" w:rsidP="0069679B">
            <w:pPr>
              <w:spacing w:after="0"/>
              <w:rPr>
                <w:rFonts w:ascii="Calibri" w:eastAsia="Times New Roman" w:hAnsi="Calibri" w:cs="Calibri"/>
                <w:sz w:val="18"/>
                <w:szCs w:val="18"/>
              </w:rPr>
            </w:pPr>
            <w:r w:rsidRPr="00BC4C65">
              <w:rPr>
                <w:rFonts w:ascii="Calibri" w:eastAsia="Times New Roman" w:hAnsi="Calibri" w:cs="Calibri"/>
                <w:sz w:val="18"/>
                <w:szCs w:val="18"/>
              </w:rPr>
              <w:t>NT</w:t>
            </w:r>
          </w:p>
        </w:tc>
        <w:tc>
          <w:tcPr>
            <w:tcW w:w="814" w:type="dxa"/>
            <w:shd w:val="clear" w:color="auto" w:fill="auto"/>
            <w:noWrap/>
            <w:vAlign w:val="bottom"/>
            <w:hideMark/>
          </w:tcPr>
          <w:p w14:paraId="7F656B5A"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1.23</w:t>
            </w:r>
          </w:p>
        </w:tc>
        <w:tc>
          <w:tcPr>
            <w:tcW w:w="814" w:type="dxa"/>
            <w:shd w:val="clear" w:color="auto" w:fill="auto"/>
            <w:noWrap/>
            <w:vAlign w:val="bottom"/>
            <w:hideMark/>
          </w:tcPr>
          <w:p w14:paraId="70D44B7C"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1.53</w:t>
            </w:r>
          </w:p>
        </w:tc>
        <w:tc>
          <w:tcPr>
            <w:tcW w:w="814" w:type="dxa"/>
            <w:shd w:val="clear" w:color="auto" w:fill="auto"/>
            <w:noWrap/>
            <w:vAlign w:val="bottom"/>
            <w:hideMark/>
          </w:tcPr>
          <w:p w14:paraId="1B60D48D"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1.30</w:t>
            </w:r>
          </w:p>
        </w:tc>
        <w:tc>
          <w:tcPr>
            <w:tcW w:w="752" w:type="dxa"/>
            <w:shd w:val="clear" w:color="auto" w:fill="auto"/>
            <w:noWrap/>
            <w:vAlign w:val="bottom"/>
            <w:hideMark/>
          </w:tcPr>
          <w:p w14:paraId="6CC6EC7A"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1.69</w:t>
            </w:r>
          </w:p>
        </w:tc>
        <w:tc>
          <w:tcPr>
            <w:tcW w:w="841" w:type="dxa"/>
            <w:shd w:val="clear" w:color="auto" w:fill="auto"/>
            <w:noWrap/>
            <w:vAlign w:val="bottom"/>
            <w:hideMark/>
          </w:tcPr>
          <w:p w14:paraId="266AFA8F"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2.71</w:t>
            </w:r>
          </w:p>
        </w:tc>
        <w:tc>
          <w:tcPr>
            <w:tcW w:w="841" w:type="dxa"/>
            <w:shd w:val="clear" w:color="auto" w:fill="auto"/>
            <w:noWrap/>
            <w:vAlign w:val="bottom"/>
            <w:hideMark/>
          </w:tcPr>
          <w:p w14:paraId="711B0BB3"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2.93</w:t>
            </w:r>
          </w:p>
        </w:tc>
        <w:tc>
          <w:tcPr>
            <w:tcW w:w="841" w:type="dxa"/>
            <w:shd w:val="clear" w:color="auto" w:fill="auto"/>
            <w:noWrap/>
            <w:vAlign w:val="bottom"/>
            <w:hideMark/>
          </w:tcPr>
          <w:p w14:paraId="359CC45E"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3.20</w:t>
            </w:r>
          </w:p>
        </w:tc>
        <w:tc>
          <w:tcPr>
            <w:tcW w:w="718" w:type="dxa"/>
            <w:shd w:val="clear" w:color="auto" w:fill="auto"/>
            <w:noWrap/>
            <w:vAlign w:val="bottom"/>
            <w:hideMark/>
          </w:tcPr>
          <w:p w14:paraId="5A262B2E"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2.96</w:t>
            </w:r>
          </w:p>
        </w:tc>
        <w:tc>
          <w:tcPr>
            <w:tcW w:w="841" w:type="dxa"/>
            <w:shd w:val="clear" w:color="auto" w:fill="auto"/>
            <w:noWrap/>
            <w:vAlign w:val="bottom"/>
            <w:hideMark/>
          </w:tcPr>
          <w:p w14:paraId="0553662C"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2.91</w:t>
            </w:r>
          </w:p>
        </w:tc>
      </w:tr>
      <w:tr w:rsidR="00BC4C65" w:rsidRPr="00BC4C65" w14:paraId="030779C0" w14:textId="77777777" w:rsidTr="00BC4C65">
        <w:trPr>
          <w:trHeight w:val="288"/>
        </w:trPr>
        <w:tc>
          <w:tcPr>
            <w:tcW w:w="656" w:type="dxa"/>
            <w:vMerge/>
            <w:shd w:val="clear" w:color="auto" w:fill="auto"/>
            <w:noWrap/>
            <w:vAlign w:val="bottom"/>
            <w:hideMark/>
          </w:tcPr>
          <w:p w14:paraId="272EAB02" w14:textId="77777777" w:rsidR="0069679B" w:rsidRPr="00BC4C65" w:rsidRDefault="0069679B" w:rsidP="0069679B">
            <w:pPr>
              <w:spacing w:after="0"/>
              <w:jc w:val="right"/>
              <w:rPr>
                <w:rFonts w:ascii="Calibri" w:eastAsia="Times New Roman" w:hAnsi="Calibri" w:cs="Calibri"/>
                <w:sz w:val="18"/>
                <w:szCs w:val="18"/>
              </w:rPr>
            </w:pPr>
          </w:p>
        </w:tc>
        <w:tc>
          <w:tcPr>
            <w:tcW w:w="848" w:type="dxa"/>
            <w:shd w:val="clear" w:color="auto" w:fill="auto"/>
            <w:noWrap/>
            <w:vAlign w:val="bottom"/>
            <w:hideMark/>
          </w:tcPr>
          <w:p w14:paraId="44633EAC" w14:textId="77777777" w:rsidR="0069679B" w:rsidRPr="00BC4C65" w:rsidRDefault="0069679B" w:rsidP="0069679B">
            <w:pPr>
              <w:spacing w:after="0"/>
              <w:rPr>
                <w:rFonts w:ascii="Calibri" w:eastAsia="Times New Roman" w:hAnsi="Calibri" w:cs="Calibri"/>
                <w:sz w:val="18"/>
                <w:szCs w:val="18"/>
              </w:rPr>
            </w:pPr>
            <w:r w:rsidRPr="00BC4C65">
              <w:rPr>
                <w:rFonts w:ascii="Calibri" w:eastAsia="Times New Roman" w:hAnsi="Calibri" w:cs="Calibri"/>
                <w:sz w:val="18"/>
                <w:szCs w:val="18"/>
              </w:rPr>
              <w:t>QLD</w:t>
            </w:r>
          </w:p>
        </w:tc>
        <w:tc>
          <w:tcPr>
            <w:tcW w:w="814" w:type="dxa"/>
            <w:shd w:val="clear" w:color="auto" w:fill="auto"/>
            <w:noWrap/>
            <w:vAlign w:val="bottom"/>
            <w:hideMark/>
          </w:tcPr>
          <w:p w14:paraId="2E68293F"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1.83</w:t>
            </w:r>
          </w:p>
        </w:tc>
        <w:tc>
          <w:tcPr>
            <w:tcW w:w="814" w:type="dxa"/>
            <w:shd w:val="clear" w:color="auto" w:fill="auto"/>
            <w:noWrap/>
            <w:vAlign w:val="bottom"/>
            <w:hideMark/>
          </w:tcPr>
          <w:p w14:paraId="6D032AC7"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2.09</w:t>
            </w:r>
          </w:p>
        </w:tc>
        <w:tc>
          <w:tcPr>
            <w:tcW w:w="814" w:type="dxa"/>
            <w:shd w:val="clear" w:color="auto" w:fill="auto"/>
            <w:noWrap/>
            <w:vAlign w:val="bottom"/>
            <w:hideMark/>
          </w:tcPr>
          <w:p w14:paraId="2D8D0CC7"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2.24</w:t>
            </w:r>
          </w:p>
        </w:tc>
        <w:tc>
          <w:tcPr>
            <w:tcW w:w="752" w:type="dxa"/>
            <w:shd w:val="clear" w:color="auto" w:fill="auto"/>
            <w:noWrap/>
            <w:vAlign w:val="bottom"/>
            <w:hideMark/>
          </w:tcPr>
          <w:p w14:paraId="17300B22"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2.46</w:t>
            </w:r>
          </w:p>
        </w:tc>
        <w:tc>
          <w:tcPr>
            <w:tcW w:w="841" w:type="dxa"/>
            <w:shd w:val="clear" w:color="auto" w:fill="auto"/>
            <w:noWrap/>
            <w:vAlign w:val="bottom"/>
            <w:hideMark/>
          </w:tcPr>
          <w:p w14:paraId="2927CCDA"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2.80</w:t>
            </w:r>
          </w:p>
        </w:tc>
        <w:tc>
          <w:tcPr>
            <w:tcW w:w="841" w:type="dxa"/>
            <w:shd w:val="clear" w:color="auto" w:fill="auto"/>
            <w:noWrap/>
            <w:vAlign w:val="bottom"/>
            <w:hideMark/>
          </w:tcPr>
          <w:p w14:paraId="76EA9531"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3.13</w:t>
            </w:r>
          </w:p>
        </w:tc>
        <w:tc>
          <w:tcPr>
            <w:tcW w:w="841" w:type="dxa"/>
            <w:shd w:val="clear" w:color="auto" w:fill="auto"/>
            <w:noWrap/>
            <w:vAlign w:val="bottom"/>
            <w:hideMark/>
          </w:tcPr>
          <w:p w14:paraId="206A7C61"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4.01</w:t>
            </w:r>
          </w:p>
        </w:tc>
        <w:tc>
          <w:tcPr>
            <w:tcW w:w="718" w:type="dxa"/>
            <w:shd w:val="clear" w:color="auto" w:fill="auto"/>
            <w:noWrap/>
            <w:vAlign w:val="bottom"/>
            <w:hideMark/>
          </w:tcPr>
          <w:p w14:paraId="30324737"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4.56</w:t>
            </w:r>
          </w:p>
        </w:tc>
        <w:tc>
          <w:tcPr>
            <w:tcW w:w="841" w:type="dxa"/>
            <w:shd w:val="clear" w:color="auto" w:fill="auto"/>
            <w:noWrap/>
            <w:vAlign w:val="bottom"/>
            <w:hideMark/>
          </w:tcPr>
          <w:p w14:paraId="13E2E8BE"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5.45</w:t>
            </w:r>
          </w:p>
        </w:tc>
      </w:tr>
      <w:tr w:rsidR="00BC4C65" w:rsidRPr="00BC4C65" w14:paraId="71F9E5C7" w14:textId="77777777" w:rsidTr="00BC4C65">
        <w:trPr>
          <w:trHeight w:val="288"/>
        </w:trPr>
        <w:tc>
          <w:tcPr>
            <w:tcW w:w="656" w:type="dxa"/>
            <w:vMerge/>
            <w:shd w:val="clear" w:color="auto" w:fill="auto"/>
            <w:noWrap/>
            <w:vAlign w:val="bottom"/>
            <w:hideMark/>
          </w:tcPr>
          <w:p w14:paraId="50D65B1E" w14:textId="77777777" w:rsidR="0069679B" w:rsidRPr="00BC4C65" w:rsidRDefault="0069679B" w:rsidP="0069679B">
            <w:pPr>
              <w:spacing w:after="0"/>
              <w:jc w:val="right"/>
              <w:rPr>
                <w:rFonts w:ascii="Calibri" w:eastAsia="Times New Roman" w:hAnsi="Calibri" w:cs="Calibri"/>
                <w:sz w:val="18"/>
                <w:szCs w:val="18"/>
              </w:rPr>
            </w:pPr>
          </w:p>
        </w:tc>
        <w:tc>
          <w:tcPr>
            <w:tcW w:w="848" w:type="dxa"/>
            <w:shd w:val="clear" w:color="auto" w:fill="auto"/>
            <w:noWrap/>
            <w:vAlign w:val="bottom"/>
            <w:hideMark/>
          </w:tcPr>
          <w:p w14:paraId="4A7279B9" w14:textId="77777777" w:rsidR="0069679B" w:rsidRPr="00BC4C65" w:rsidRDefault="0069679B" w:rsidP="0069679B">
            <w:pPr>
              <w:spacing w:after="0"/>
              <w:rPr>
                <w:rFonts w:ascii="Calibri" w:eastAsia="Times New Roman" w:hAnsi="Calibri" w:cs="Calibri"/>
                <w:sz w:val="18"/>
                <w:szCs w:val="18"/>
              </w:rPr>
            </w:pPr>
            <w:r w:rsidRPr="00BC4C65">
              <w:rPr>
                <w:rFonts w:ascii="Calibri" w:eastAsia="Times New Roman" w:hAnsi="Calibri" w:cs="Calibri"/>
                <w:sz w:val="18"/>
                <w:szCs w:val="18"/>
              </w:rPr>
              <w:t>SA</w:t>
            </w:r>
          </w:p>
        </w:tc>
        <w:tc>
          <w:tcPr>
            <w:tcW w:w="814" w:type="dxa"/>
            <w:shd w:val="clear" w:color="auto" w:fill="auto"/>
            <w:noWrap/>
            <w:vAlign w:val="bottom"/>
            <w:hideMark/>
          </w:tcPr>
          <w:p w14:paraId="24B4874C"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1.11</w:t>
            </w:r>
          </w:p>
        </w:tc>
        <w:tc>
          <w:tcPr>
            <w:tcW w:w="814" w:type="dxa"/>
            <w:shd w:val="clear" w:color="auto" w:fill="auto"/>
            <w:noWrap/>
            <w:vAlign w:val="bottom"/>
            <w:hideMark/>
          </w:tcPr>
          <w:p w14:paraId="3CB74753"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1.05</w:t>
            </w:r>
          </w:p>
        </w:tc>
        <w:tc>
          <w:tcPr>
            <w:tcW w:w="814" w:type="dxa"/>
            <w:shd w:val="clear" w:color="auto" w:fill="auto"/>
            <w:noWrap/>
            <w:vAlign w:val="bottom"/>
            <w:hideMark/>
          </w:tcPr>
          <w:p w14:paraId="5E381763"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1.05</w:t>
            </w:r>
          </w:p>
        </w:tc>
        <w:tc>
          <w:tcPr>
            <w:tcW w:w="752" w:type="dxa"/>
            <w:shd w:val="clear" w:color="auto" w:fill="auto"/>
            <w:noWrap/>
            <w:vAlign w:val="bottom"/>
            <w:hideMark/>
          </w:tcPr>
          <w:p w14:paraId="28E621CF"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1.31</w:t>
            </w:r>
          </w:p>
        </w:tc>
        <w:tc>
          <w:tcPr>
            <w:tcW w:w="841" w:type="dxa"/>
            <w:shd w:val="clear" w:color="auto" w:fill="auto"/>
            <w:noWrap/>
            <w:vAlign w:val="bottom"/>
            <w:hideMark/>
          </w:tcPr>
          <w:p w14:paraId="1FABCACF"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1.55</w:t>
            </w:r>
          </w:p>
        </w:tc>
        <w:tc>
          <w:tcPr>
            <w:tcW w:w="841" w:type="dxa"/>
            <w:shd w:val="clear" w:color="auto" w:fill="auto"/>
            <w:noWrap/>
            <w:vAlign w:val="bottom"/>
            <w:hideMark/>
          </w:tcPr>
          <w:p w14:paraId="1C901B0D"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2.26</w:t>
            </w:r>
          </w:p>
        </w:tc>
        <w:tc>
          <w:tcPr>
            <w:tcW w:w="841" w:type="dxa"/>
            <w:shd w:val="clear" w:color="auto" w:fill="auto"/>
            <w:noWrap/>
            <w:vAlign w:val="bottom"/>
            <w:hideMark/>
          </w:tcPr>
          <w:p w14:paraId="5F6A8FDF"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2.61</w:t>
            </w:r>
          </w:p>
        </w:tc>
        <w:tc>
          <w:tcPr>
            <w:tcW w:w="718" w:type="dxa"/>
            <w:shd w:val="clear" w:color="auto" w:fill="auto"/>
            <w:noWrap/>
            <w:vAlign w:val="bottom"/>
            <w:hideMark/>
          </w:tcPr>
          <w:p w14:paraId="161E4929"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3.42</w:t>
            </w:r>
          </w:p>
        </w:tc>
        <w:tc>
          <w:tcPr>
            <w:tcW w:w="841" w:type="dxa"/>
            <w:shd w:val="clear" w:color="auto" w:fill="auto"/>
            <w:noWrap/>
            <w:vAlign w:val="bottom"/>
            <w:hideMark/>
          </w:tcPr>
          <w:p w14:paraId="22E979FF"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3.95</w:t>
            </w:r>
          </w:p>
        </w:tc>
      </w:tr>
      <w:tr w:rsidR="00BC4C65" w:rsidRPr="00BC4C65" w14:paraId="32168B19" w14:textId="77777777" w:rsidTr="00BC4C65">
        <w:trPr>
          <w:trHeight w:val="288"/>
        </w:trPr>
        <w:tc>
          <w:tcPr>
            <w:tcW w:w="656" w:type="dxa"/>
            <w:vMerge/>
            <w:shd w:val="clear" w:color="auto" w:fill="auto"/>
            <w:noWrap/>
            <w:vAlign w:val="bottom"/>
            <w:hideMark/>
          </w:tcPr>
          <w:p w14:paraId="1AF101B3" w14:textId="77777777" w:rsidR="0069679B" w:rsidRPr="00BC4C65" w:rsidRDefault="0069679B" w:rsidP="0069679B">
            <w:pPr>
              <w:spacing w:after="0"/>
              <w:jc w:val="right"/>
              <w:rPr>
                <w:rFonts w:ascii="Calibri" w:eastAsia="Times New Roman" w:hAnsi="Calibri" w:cs="Calibri"/>
                <w:sz w:val="18"/>
                <w:szCs w:val="18"/>
              </w:rPr>
            </w:pPr>
          </w:p>
        </w:tc>
        <w:tc>
          <w:tcPr>
            <w:tcW w:w="848" w:type="dxa"/>
            <w:shd w:val="clear" w:color="auto" w:fill="auto"/>
            <w:noWrap/>
            <w:vAlign w:val="bottom"/>
            <w:hideMark/>
          </w:tcPr>
          <w:p w14:paraId="2ADAF3FD" w14:textId="77777777" w:rsidR="0069679B" w:rsidRPr="00BC4C65" w:rsidRDefault="0069679B" w:rsidP="0069679B">
            <w:pPr>
              <w:spacing w:after="0"/>
              <w:rPr>
                <w:rFonts w:ascii="Calibri" w:eastAsia="Times New Roman" w:hAnsi="Calibri" w:cs="Calibri"/>
                <w:sz w:val="18"/>
                <w:szCs w:val="18"/>
              </w:rPr>
            </w:pPr>
            <w:r w:rsidRPr="00BC4C65">
              <w:rPr>
                <w:rFonts w:ascii="Calibri" w:eastAsia="Times New Roman" w:hAnsi="Calibri" w:cs="Calibri"/>
                <w:sz w:val="18"/>
                <w:szCs w:val="18"/>
              </w:rPr>
              <w:t>TAS</w:t>
            </w:r>
          </w:p>
        </w:tc>
        <w:tc>
          <w:tcPr>
            <w:tcW w:w="814" w:type="dxa"/>
            <w:shd w:val="clear" w:color="auto" w:fill="auto"/>
            <w:noWrap/>
            <w:vAlign w:val="bottom"/>
            <w:hideMark/>
          </w:tcPr>
          <w:p w14:paraId="2CCF0116"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1.92</w:t>
            </w:r>
          </w:p>
        </w:tc>
        <w:tc>
          <w:tcPr>
            <w:tcW w:w="814" w:type="dxa"/>
            <w:shd w:val="clear" w:color="auto" w:fill="auto"/>
            <w:noWrap/>
            <w:vAlign w:val="bottom"/>
            <w:hideMark/>
          </w:tcPr>
          <w:p w14:paraId="1C696A1B"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1.87</w:t>
            </w:r>
          </w:p>
        </w:tc>
        <w:tc>
          <w:tcPr>
            <w:tcW w:w="814" w:type="dxa"/>
            <w:shd w:val="clear" w:color="auto" w:fill="auto"/>
            <w:noWrap/>
            <w:vAlign w:val="bottom"/>
            <w:hideMark/>
          </w:tcPr>
          <w:p w14:paraId="131861BB"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2.43</w:t>
            </w:r>
          </w:p>
        </w:tc>
        <w:tc>
          <w:tcPr>
            <w:tcW w:w="752" w:type="dxa"/>
            <w:shd w:val="clear" w:color="auto" w:fill="auto"/>
            <w:noWrap/>
            <w:vAlign w:val="bottom"/>
            <w:hideMark/>
          </w:tcPr>
          <w:p w14:paraId="296A0732"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3.32</w:t>
            </w:r>
          </w:p>
        </w:tc>
        <w:tc>
          <w:tcPr>
            <w:tcW w:w="841" w:type="dxa"/>
            <w:shd w:val="clear" w:color="auto" w:fill="auto"/>
            <w:noWrap/>
            <w:vAlign w:val="bottom"/>
            <w:hideMark/>
          </w:tcPr>
          <w:p w14:paraId="63A2CED8"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3.48</w:t>
            </w:r>
          </w:p>
        </w:tc>
        <w:tc>
          <w:tcPr>
            <w:tcW w:w="841" w:type="dxa"/>
            <w:shd w:val="clear" w:color="auto" w:fill="auto"/>
            <w:noWrap/>
            <w:vAlign w:val="bottom"/>
            <w:hideMark/>
          </w:tcPr>
          <w:p w14:paraId="77E631D2"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4.08</w:t>
            </w:r>
          </w:p>
        </w:tc>
        <w:tc>
          <w:tcPr>
            <w:tcW w:w="841" w:type="dxa"/>
            <w:shd w:val="clear" w:color="auto" w:fill="auto"/>
            <w:noWrap/>
            <w:vAlign w:val="bottom"/>
            <w:hideMark/>
          </w:tcPr>
          <w:p w14:paraId="55124112"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5.10</w:t>
            </w:r>
          </w:p>
        </w:tc>
        <w:tc>
          <w:tcPr>
            <w:tcW w:w="718" w:type="dxa"/>
            <w:shd w:val="clear" w:color="auto" w:fill="auto"/>
            <w:noWrap/>
            <w:vAlign w:val="bottom"/>
            <w:hideMark/>
          </w:tcPr>
          <w:p w14:paraId="38572C14"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5.94</w:t>
            </w:r>
          </w:p>
        </w:tc>
        <w:tc>
          <w:tcPr>
            <w:tcW w:w="841" w:type="dxa"/>
            <w:shd w:val="clear" w:color="auto" w:fill="auto"/>
            <w:noWrap/>
            <w:vAlign w:val="bottom"/>
            <w:hideMark/>
          </w:tcPr>
          <w:p w14:paraId="0342BB42"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5.47</w:t>
            </w:r>
          </w:p>
        </w:tc>
      </w:tr>
      <w:tr w:rsidR="00BC4C65" w:rsidRPr="00BC4C65" w14:paraId="60E3FA47" w14:textId="77777777" w:rsidTr="00BC4C65">
        <w:trPr>
          <w:trHeight w:val="288"/>
        </w:trPr>
        <w:tc>
          <w:tcPr>
            <w:tcW w:w="656" w:type="dxa"/>
            <w:vMerge/>
            <w:shd w:val="clear" w:color="auto" w:fill="auto"/>
            <w:noWrap/>
            <w:vAlign w:val="bottom"/>
            <w:hideMark/>
          </w:tcPr>
          <w:p w14:paraId="25E319CC" w14:textId="77777777" w:rsidR="0069679B" w:rsidRPr="00BC4C65" w:rsidRDefault="0069679B" w:rsidP="0069679B">
            <w:pPr>
              <w:spacing w:after="0"/>
              <w:jc w:val="right"/>
              <w:rPr>
                <w:rFonts w:ascii="Calibri" w:eastAsia="Times New Roman" w:hAnsi="Calibri" w:cs="Calibri"/>
                <w:sz w:val="18"/>
                <w:szCs w:val="18"/>
              </w:rPr>
            </w:pPr>
          </w:p>
        </w:tc>
        <w:tc>
          <w:tcPr>
            <w:tcW w:w="848" w:type="dxa"/>
            <w:shd w:val="clear" w:color="auto" w:fill="auto"/>
            <w:noWrap/>
            <w:vAlign w:val="bottom"/>
            <w:hideMark/>
          </w:tcPr>
          <w:p w14:paraId="14617E2E" w14:textId="77777777" w:rsidR="0069679B" w:rsidRPr="00BC4C65" w:rsidRDefault="0069679B" w:rsidP="0069679B">
            <w:pPr>
              <w:spacing w:after="0"/>
              <w:rPr>
                <w:rFonts w:ascii="Calibri" w:eastAsia="Times New Roman" w:hAnsi="Calibri" w:cs="Calibri"/>
                <w:sz w:val="18"/>
                <w:szCs w:val="18"/>
              </w:rPr>
            </w:pPr>
            <w:r w:rsidRPr="00BC4C65">
              <w:rPr>
                <w:rFonts w:ascii="Calibri" w:eastAsia="Times New Roman" w:hAnsi="Calibri" w:cs="Calibri"/>
                <w:sz w:val="18"/>
                <w:szCs w:val="18"/>
              </w:rPr>
              <w:t>VIC</w:t>
            </w:r>
          </w:p>
        </w:tc>
        <w:tc>
          <w:tcPr>
            <w:tcW w:w="814" w:type="dxa"/>
            <w:shd w:val="clear" w:color="auto" w:fill="auto"/>
            <w:noWrap/>
            <w:vAlign w:val="bottom"/>
            <w:hideMark/>
          </w:tcPr>
          <w:p w14:paraId="7B3260BB"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1.09</w:t>
            </w:r>
          </w:p>
        </w:tc>
        <w:tc>
          <w:tcPr>
            <w:tcW w:w="814" w:type="dxa"/>
            <w:shd w:val="clear" w:color="auto" w:fill="auto"/>
            <w:noWrap/>
            <w:vAlign w:val="bottom"/>
            <w:hideMark/>
          </w:tcPr>
          <w:p w14:paraId="56B5E4B6"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1.20</w:t>
            </w:r>
          </w:p>
        </w:tc>
        <w:tc>
          <w:tcPr>
            <w:tcW w:w="814" w:type="dxa"/>
            <w:shd w:val="clear" w:color="auto" w:fill="auto"/>
            <w:noWrap/>
            <w:vAlign w:val="bottom"/>
            <w:hideMark/>
          </w:tcPr>
          <w:p w14:paraId="1B1400D9"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1.29</w:t>
            </w:r>
          </w:p>
        </w:tc>
        <w:tc>
          <w:tcPr>
            <w:tcW w:w="752" w:type="dxa"/>
            <w:shd w:val="clear" w:color="auto" w:fill="auto"/>
            <w:noWrap/>
            <w:vAlign w:val="bottom"/>
            <w:hideMark/>
          </w:tcPr>
          <w:p w14:paraId="6971396E"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1.50</w:t>
            </w:r>
          </w:p>
        </w:tc>
        <w:tc>
          <w:tcPr>
            <w:tcW w:w="841" w:type="dxa"/>
            <w:shd w:val="clear" w:color="auto" w:fill="auto"/>
            <w:noWrap/>
            <w:vAlign w:val="bottom"/>
            <w:hideMark/>
          </w:tcPr>
          <w:p w14:paraId="37B51E6F"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1.98</w:t>
            </w:r>
          </w:p>
        </w:tc>
        <w:tc>
          <w:tcPr>
            <w:tcW w:w="841" w:type="dxa"/>
            <w:shd w:val="clear" w:color="auto" w:fill="auto"/>
            <w:noWrap/>
            <w:vAlign w:val="bottom"/>
            <w:hideMark/>
          </w:tcPr>
          <w:p w14:paraId="3A5D4A43"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2.22</w:t>
            </w:r>
          </w:p>
        </w:tc>
        <w:tc>
          <w:tcPr>
            <w:tcW w:w="841" w:type="dxa"/>
            <w:shd w:val="clear" w:color="auto" w:fill="auto"/>
            <w:noWrap/>
            <w:vAlign w:val="bottom"/>
            <w:hideMark/>
          </w:tcPr>
          <w:p w14:paraId="27F6C030"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2.34</w:t>
            </w:r>
          </w:p>
        </w:tc>
        <w:tc>
          <w:tcPr>
            <w:tcW w:w="718" w:type="dxa"/>
            <w:shd w:val="clear" w:color="auto" w:fill="auto"/>
            <w:noWrap/>
            <w:vAlign w:val="bottom"/>
            <w:hideMark/>
          </w:tcPr>
          <w:p w14:paraId="4037AEBB"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2.63</w:t>
            </w:r>
          </w:p>
        </w:tc>
        <w:tc>
          <w:tcPr>
            <w:tcW w:w="841" w:type="dxa"/>
            <w:shd w:val="clear" w:color="auto" w:fill="auto"/>
            <w:noWrap/>
            <w:vAlign w:val="bottom"/>
            <w:hideMark/>
          </w:tcPr>
          <w:p w14:paraId="333705BD"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3.05</w:t>
            </w:r>
          </w:p>
        </w:tc>
      </w:tr>
      <w:tr w:rsidR="00BC4C65" w:rsidRPr="00BC4C65" w14:paraId="796F6C07" w14:textId="77777777" w:rsidTr="00BC4C65">
        <w:trPr>
          <w:trHeight w:val="288"/>
        </w:trPr>
        <w:tc>
          <w:tcPr>
            <w:tcW w:w="656" w:type="dxa"/>
            <w:vMerge/>
            <w:shd w:val="clear" w:color="auto" w:fill="auto"/>
            <w:noWrap/>
            <w:vAlign w:val="bottom"/>
            <w:hideMark/>
          </w:tcPr>
          <w:p w14:paraId="25054EBC" w14:textId="77777777" w:rsidR="0069679B" w:rsidRPr="00BC4C65" w:rsidRDefault="0069679B" w:rsidP="0069679B">
            <w:pPr>
              <w:spacing w:after="0"/>
              <w:jc w:val="right"/>
              <w:rPr>
                <w:rFonts w:ascii="Calibri" w:eastAsia="Times New Roman" w:hAnsi="Calibri" w:cs="Calibri"/>
                <w:sz w:val="18"/>
                <w:szCs w:val="18"/>
              </w:rPr>
            </w:pPr>
          </w:p>
        </w:tc>
        <w:tc>
          <w:tcPr>
            <w:tcW w:w="848" w:type="dxa"/>
            <w:shd w:val="clear" w:color="auto" w:fill="auto"/>
            <w:noWrap/>
            <w:vAlign w:val="bottom"/>
            <w:hideMark/>
          </w:tcPr>
          <w:p w14:paraId="57AA4D13" w14:textId="77777777" w:rsidR="0069679B" w:rsidRPr="00BC4C65" w:rsidRDefault="0069679B" w:rsidP="0069679B">
            <w:pPr>
              <w:spacing w:after="0"/>
              <w:rPr>
                <w:rFonts w:ascii="Calibri" w:eastAsia="Times New Roman" w:hAnsi="Calibri" w:cs="Calibri"/>
                <w:sz w:val="18"/>
                <w:szCs w:val="18"/>
              </w:rPr>
            </w:pPr>
            <w:r w:rsidRPr="00BC4C65">
              <w:rPr>
                <w:rFonts w:ascii="Calibri" w:eastAsia="Times New Roman" w:hAnsi="Calibri" w:cs="Calibri"/>
                <w:sz w:val="18"/>
                <w:szCs w:val="18"/>
              </w:rPr>
              <w:t>WA</w:t>
            </w:r>
          </w:p>
        </w:tc>
        <w:tc>
          <w:tcPr>
            <w:tcW w:w="814" w:type="dxa"/>
            <w:shd w:val="clear" w:color="auto" w:fill="auto"/>
            <w:noWrap/>
            <w:vAlign w:val="bottom"/>
            <w:hideMark/>
          </w:tcPr>
          <w:p w14:paraId="3B5BB662"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1.13</w:t>
            </w:r>
          </w:p>
        </w:tc>
        <w:tc>
          <w:tcPr>
            <w:tcW w:w="814" w:type="dxa"/>
            <w:shd w:val="clear" w:color="auto" w:fill="auto"/>
            <w:noWrap/>
            <w:vAlign w:val="bottom"/>
            <w:hideMark/>
          </w:tcPr>
          <w:p w14:paraId="48709755"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1.26</w:t>
            </w:r>
          </w:p>
        </w:tc>
        <w:tc>
          <w:tcPr>
            <w:tcW w:w="814" w:type="dxa"/>
            <w:shd w:val="clear" w:color="auto" w:fill="auto"/>
            <w:noWrap/>
            <w:vAlign w:val="bottom"/>
            <w:hideMark/>
          </w:tcPr>
          <w:p w14:paraId="226A6788"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1.47</w:t>
            </w:r>
          </w:p>
        </w:tc>
        <w:tc>
          <w:tcPr>
            <w:tcW w:w="752" w:type="dxa"/>
            <w:shd w:val="clear" w:color="auto" w:fill="auto"/>
            <w:noWrap/>
            <w:vAlign w:val="bottom"/>
            <w:hideMark/>
          </w:tcPr>
          <w:p w14:paraId="6712831A"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1.52</w:t>
            </w:r>
          </w:p>
        </w:tc>
        <w:tc>
          <w:tcPr>
            <w:tcW w:w="841" w:type="dxa"/>
            <w:shd w:val="clear" w:color="auto" w:fill="auto"/>
            <w:noWrap/>
            <w:vAlign w:val="bottom"/>
            <w:hideMark/>
          </w:tcPr>
          <w:p w14:paraId="4C3C6D36"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1.78</w:t>
            </w:r>
          </w:p>
        </w:tc>
        <w:tc>
          <w:tcPr>
            <w:tcW w:w="841" w:type="dxa"/>
            <w:shd w:val="clear" w:color="auto" w:fill="auto"/>
            <w:noWrap/>
            <w:vAlign w:val="bottom"/>
            <w:hideMark/>
          </w:tcPr>
          <w:p w14:paraId="4536989E"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2.15</w:t>
            </w:r>
          </w:p>
        </w:tc>
        <w:tc>
          <w:tcPr>
            <w:tcW w:w="841" w:type="dxa"/>
            <w:shd w:val="clear" w:color="auto" w:fill="auto"/>
            <w:noWrap/>
            <w:vAlign w:val="bottom"/>
            <w:hideMark/>
          </w:tcPr>
          <w:p w14:paraId="5A89C3BB"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2.58</w:t>
            </w:r>
          </w:p>
        </w:tc>
        <w:tc>
          <w:tcPr>
            <w:tcW w:w="718" w:type="dxa"/>
            <w:shd w:val="clear" w:color="auto" w:fill="auto"/>
            <w:noWrap/>
            <w:vAlign w:val="bottom"/>
            <w:hideMark/>
          </w:tcPr>
          <w:p w14:paraId="7226D112"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3.03</w:t>
            </w:r>
          </w:p>
        </w:tc>
        <w:tc>
          <w:tcPr>
            <w:tcW w:w="841" w:type="dxa"/>
            <w:shd w:val="clear" w:color="auto" w:fill="auto"/>
            <w:noWrap/>
            <w:vAlign w:val="bottom"/>
            <w:hideMark/>
          </w:tcPr>
          <w:p w14:paraId="562F8E35"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3.63</w:t>
            </w:r>
          </w:p>
        </w:tc>
      </w:tr>
      <w:tr w:rsidR="00BC4C65" w:rsidRPr="00BC4C65" w14:paraId="3A45F5AD" w14:textId="77777777" w:rsidTr="00BC4C65">
        <w:trPr>
          <w:trHeight w:val="288"/>
        </w:trPr>
        <w:tc>
          <w:tcPr>
            <w:tcW w:w="656" w:type="dxa"/>
            <w:vMerge w:val="restart"/>
            <w:shd w:val="clear" w:color="auto" w:fill="auto"/>
            <w:noWrap/>
            <w:vAlign w:val="center"/>
            <w:hideMark/>
          </w:tcPr>
          <w:p w14:paraId="42905482" w14:textId="77777777" w:rsidR="0069679B" w:rsidRPr="00BC4C65" w:rsidRDefault="0069679B" w:rsidP="00BC4C65">
            <w:pPr>
              <w:spacing w:after="0"/>
              <w:rPr>
                <w:rFonts w:ascii="Calibri" w:eastAsia="Times New Roman" w:hAnsi="Calibri" w:cs="Calibri"/>
                <w:b/>
                <w:bCs/>
                <w:color w:val="000000"/>
                <w:sz w:val="18"/>
                <w:szCs w:val="18"/>
              </w:rPr>
            </w:pPr>
            <w:r w:rsidRPr="00BC4C65">
              <w:rPr>
                <w:rFonts w:ascii="Calibri" w:eastAsia="Times New Roman" w:hAnsi="Calibri" w:cs="Calibri"/>
                <w:b/>
                <w:color w:val="000000"/>
                <w:sz w:val="18"/>
                <w:szCs w:val="18"/>
              </w:rPr>
              <w:t xml:space="preserve"> 6-12 years</w:t>
            </w:r>
          </w:p>
        </w:tc>
        <w:tc>
          <w:tcPr>
            <w:tcW w:w="848" w:type="dxa"/>
            <w:shd w:val="clear" w:color="auto" w:fill="auto"/>
            <w:noWrap/>
            <w:vAlign w:val="bottom"/>
            <w:hideMark/>
          </w:tcPr>
          <w:p w14:paraId="3606E4C1" w14:textId="77777777" w:rsidR="0069679B" w:rsidRPr="00BC4C65" w:rsidRDefault="0069679B" w:rsidP="0069679B">
            <w:pPr>
              <w:spacing w:after="0"/>
              <w:rPr>
                <w:rFonts w:ascii="Calibri" w:eastAsia="Times New Roman" w:hAnsi="Calibri" w:cs="Calibri"/>
                <w:sz w:val="18"/>
                <w:szCs w:val="18"/>
              </w:rPr>
            </w:pPr>
            <w:r w:rsidRPr="00BC4C65">
              <w:rPr>
                <w:rFonts w:ascii="Calibri" w:eastAsia="Times New Roman" w:hAnsi="Calibri" w:cs="Calibri"/>
                <w:sz w:val="18"/>
                <w:szCs w:val="18"/>
              </w:rPr>
              <w:t>ACT</w:t>
            </w:r>
          </w:p>
        </w:tc>
        <w:tc>
          <w:tcPr>
            <w:tcW w:w="814" w:type="dxa"/>
            <w:shd w:val="clear" w:color="auto" w:fill="auto"/>
            <w:noWrap/>
            <w:vAlign w:val="bottom"/>
            <w:hideMark/>
          </w:tcPr>
          <w:p w14:paraId="41829EAC"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27.17</w:t>
            </w:r>
          </w:p>
        </w:tc>
        <w:tc>
          <w:tcPr>
            <w:tcW w:w="814" w:type="dxa"/>
            <w:shd w:val="clear" w:color="auto" w:fill="auto"/>
            <w:noWrap/>
            <w:vAlign w:val="bottom"/>
            <w:hideMark/>
          </w:tcPr>
          <w:p w14:paraId="4B0E0F2A"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30.36</w:t>
            </w:r>
          </w:p>
        </w:tc>
        <w:tc>
          <w:tcPr>
            <w:tcW w:w="814" w:type="dxa"/>
            <w:shd w:val="clear" w:color="auto" w:fill="auto"/>
            <w:noWrap/>
            <w:vAlign w:val="bottom"/>
            <w:hideMark/>
          </w:tcPr>
          <w:p w14:paraId="7568A090"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33.73</w:t>
            </w:r>
          </w:p>
        </w:tc>
        <w:tc>
          <w:tcPr>
            <w:tcW w:w="752" w:type="dxa"/>
            <w:shd w:val="clear" w:color="auto" w:fill="auto"/>
            <w:noWrap/>
            <w:vAlign w:val="bottom"/>
            <w:hideMark/>
          </w:tcPr>
          <w:p w14:paraId="49E49A24"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36.83</w:t>
            </w:r>
          </w:p>
        </w:tc>
        <w:tc>
          <w:tcPr>
            <w:tcW w:w="841" w:type="dxa"/>
            <w:shd w:val="clear" w:color="auto" w:fill="auto"/>
            <w:noWrap/>
            <w:vAlign w:val="bottom"/>
            <w:hideMark/>
          </w:tcPr>
          <w:p w14:paraId="61FA2B39"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43.04</w:t>
            </w:r>
          </w:p>
        </w:tc>
        <w:tc>
          <w:tcPr>
            <w:tcW w:w="841" w:type="dxa"/>
            <w:shd w:val="clear" w:color="auto" w:fill="auto"/>
            <w:noWrap/>
            <w:vAlign w:val="bottom"/>
            <w:hideMark/>
          </w:tcPr>
          <w:p w14:paraId="555902DF"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49.49</w:t>
            </w:r>
          </w:p>
        </w:tc>
        <w:tc>
          <w:tcPr>
            <w:tcW w:w="841" w:type="dxa"/>
            <w:shd w:val="clear" w:color="auto" w:fill="auto"/>
            <w:noWrap/>
            <w:vAlign w:val="bottom"/>
            <w:hideMark/>
          </w:tcPr>
          <w:p w14:paraId="52D004B2"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56.75</w:t>
            </w:r>
          </w:p>
        </w:tc>
        <w:tc>
          <w:tcPr>
            <w:tcW w:w="718" w:type="dxa"/>
            <w:shd w:val="clear" w:color="auto" w:fill="auto"/>
            <w:noWrap/>
            <w:vAlign w:val="bottom"/>
            <w:hideMark/>
          </w:tcPr>
          <w:p w14:paraId="1150F8C8"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66.07</w:t>
            </w:r>
          </w:p>
        </w:tc>
        <w:tc>
          <w:tcPr>
            <w:tcW w:w="841" w:type="dxa"/>
            <w:shd w:val="clear" w:color="auto" w:fill="auto"/>
            <w:noWrap/>
            <w:vAlign w:val="bottom"/>
            <w:hideMark/>
          </w:tcPr>
          <w:p w14:paraId="6A64DB82"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77.48</w:t>
            </w:r>
          </w:p>
        </w:tc>
      </w:tr>
      <w:tr w:rsidR="00BC4C65" w:rsidRPr="00BC4C65" w14:paraId="3D057C20" w14:textId="77777777" w:rsidTr="00BC4C65">
        <w:trPr>
          <w:trHeight w:val="288"/>
        </w:trPr>
        <w:tc>
          <w:tcPr>
            <w:tcW w:w="656" w:type="dxa"/>
            <w:vMerge/>
            <w:shd w:val="clear" w:color="auto" w:fill="auto"/>
            <w:noWrap/>
            <w:vAlign w:val="bottom"/>
            <w:hideMark/>
          </w:tcPr>
          <w:p w14:paraId="28EEB375" w14:textId="77777777" w:rsidR="0069679B" w:rsidRPr="00BC4C65" w:rsidRDefault="0069679B" w:rsidP="0069679B">
            <w:pPr>
              <w:spacing w:after="0"/>
              <w:jc w:val="right"/>
              <w:rPr>
                <w:rFonts w:ascii="Calibri" w:eastAsia="Times New Roman" w:hAnsi="Calibri" w:cs="Calibri"/>
                <w:sz w:val="18"/>
                <w:szCs w:val="18"/>
              </w:rPr>
            </w:pPr>
          </w:p>
        </w:tc>
        <w:tc>
          <w:tcPr>
            <w:tcW w:w="848" w:type="dxa"/>
            <w:shd w:val="clear" w:color="auto" w:fill="auto"/>
            <w:noWrap/>
            <w:vAlign w:val="bottom"/>
            <w:hideMark/>
          </w:tcPr>
          <w:p w14:paraId="68675F86" w14:textId="77777777" w:rsidR="0069679B" w:rsidRPr="00BC4C65" w:rsidRDefault="0069679B" w:rsidP="0069679B">
            <w:pPr>
              <w:spacing w:after="0"/>
              <w:rPr>
                <w:rFonts w:ascii="Calibri" w:eastAsia="Times New Roman" w:hAnsi="Calibri" w:cs="Calibri"/>
                <w:sz w:val="18"/>
                <w:szCs w:val="18"/>
              </w:rPr>
            </w:pPr>
            <w:r w:rsidRPr="00BC4C65">
              <w:rPr>
                <w:rFonts w:ascii="Calibri" w:eastAsia="Times New Roman" w:hAnsi="Calibri" w:cs="Calibri"/>
                <w:sz w:val="18"/>
                <w:szCs w:val="18"/>
              </w:rPr>
              <w:t>NSW</w:t>
            </w:r>
          </w:p>
        </w:tc>
        <w:tc>
          <w:tcPr>
            <w:tcW w:w="814" w:type="dxa"/>
            <w:shd w:val="clear" w:color="auto" w:fill="auto"/>
            <w:noWrap/>
            <w:vAlign w:val="bottom"/>
            <w:hideMark/>
          </w:tcPr>
          <w:p w14:paraId="60C89795"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31.22</w:t>
            </w:r>
          </w:p>
        </w:tc>
        <w:tc>
          <w:tcPr>
            <w:tcW w:w="814" w:type="dxa"/>
            <w:shd w:val="clear" w:color="auto" w:fill="auto"/>
            <w:noWrap/>
            <w:vAlign w:val="bottom"/>
            <w:hideMark/>
          </w:tcPr>
          <w:p w14:paraId="0A6C0B4B"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33.97</w:t>
            </w:r>
          </w:p>
        </w:tc>
        <w:tc>
          <w:tcPr>
            <w:tcW w:w="814" w:type="dxa"/>
            <w:shd w:val="clear" w:color="auto" w:fill="auto"/>
            <w:noWrap/>
            <w:vAlign w:val="bottom"/>
            <w:hideMark/>
          </w:tcPr>
          <w:p w14:paraId="6DF9FFC1"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35.74</w:t>
            </w:r>
          </w:p>
        </w:tc>
        <w:tc>
          <w:tcPr>
            <w:tcW w:w="752" w:type="dxa"/>
            <w:shd w:val="clear" w:color="auto" w:fill="auto"/>
            <w:noWrap/>
            <w:vAlign w:val="bottom"/>
            <w:hideMark/>
          </w:tcPr>
          <w:p w14:paraId="2AD58234"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38.49</w:t>
            </w:r>
          </w:p>
        </w:tc>
        <w:tc>
          <w:tcPr>
            <w:tcW w:w="841" w:type="dxa"/>
            <w:shd w:val="clear" w:color="auto" w:fill="auto"/>
            <w:noWrap/>
            <w:vAlign w:val="bottom"/>
            <w:hideMark/>
          </w:tcPr>
          <w:p w14:paraId="5BF0DEBA"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42.41</w:t>
            </w:r>
          </w:p>
        </w:tc>
        <w:tc>
          <w:tcPr>
            <w:tcW w:w="841" w:type="dxa"/>
            <w:shd w:val="clear" w:color="auto" w:fill="auto"/>
            <w:noWrap/>
            <w:vAlign w:val="bottom"/>
            <w:hideMark/>
          </w:tcPr>
          <w:p w14:paraId="429D7D9B"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47.04</w:t>
            </w:r>
          </w:p>
        </w:tc>
        <w:tc>
          <w:tcPr>
            <w:tcW w:w="841" w:type="dxa"/>
            <w:shd w:val="clear" w:color="auto" w:fill="auto"/>
            <w:noWrap/>
            <w:vAlign w:val="bottom"/>
            <w:hideMark/>
          </w:tcPr>
          <w:p w14:paraId="2EE87CB3"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53.58</w:t>
            </w:r>
          </w:p>
        </w:tc>
        <w:tc>
          <w:tcPr>
            <w:tcW w:w="718" w:type="dxa"/>
            <w:shd w:val="clear" w:color="auto" w:fill="auto"/>
            <w:noWrap/>
            <w:vAlign w:val="bottom"/>
            <w:hideMark/>
          </w:tcPr>
          <w:p w14:paraId="2804AD41"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59.56</w:t>
            </w:r>
          </w:p>
        </w:tc>
        <w:tc>
          <w:tcPr>
            <w:tcW w:w="841" w:type="dxa"/>
            <w:shd w:val="clear" w:color="auto" w:fill="auto"/>
            <w:noWrap/>
            <w:vAlign w:val="bottom"/>
            <w:hideMark/>
          </w:tcPr>
          <w:p w14:paraId="5677625D"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69.00</w:t>
            </w:r>
          </w:p>
        </w:tc>
      </w:tr>
      <w:tr w:rsidR="00BC4C65" w:rsidRPr="00BC4C65" w14:paraId="7122E585" w14:textId="77777777" w:rsidTr="00BC4C65">
        <w:trPr>
          <w:trHeight w:val="288"/>
        </w:trPr>
        <w:tc>
          <w:tcPr>
            <w:tcW w:w="656" w:type="dxa"/>
            <w:vMerge/>
            <w:shd w:val="clear" w:color="auto" w:fill="auto"/>
            <w:noWrap/>
            <w:vAlign w:val="bottom"/>
            <w:hideMark/>
          </w:tcPr>
          <w:p w14:paraId="1677B883" w14:textId="77777777" w:rsidR="0069679B" w:rsidRPr="00BC4C65" w:rsidRDefault="0069679B" w:rsidP="0069679B">
            <w:pPr>
              <w:spacing w:after="0"/>
              <w:jc w:val="right"/>
              <w:rPr>
                <w:rFonts w:ascii="Calibri" w:eastAsia="Times New Roman" w:hAnsi="Calibri" w:cs="Calibri"/>
                <w:sz w:val="18"/>
                <w:szCs w:val="18"/>
              </w:rPr>
            </w:pPr>
          </w:p>
        </w:tc>
        <w:tc>
          <w:tcPr>
            <w:tcW w:w="848" w:type="dxa"/>
            <w:shd w:val="clear" w:color="auto" w:fill="auto"/>
            <w:noWrap/>
            <w:vAlign w:val="bottom"/>
            <w:hideMark/>
          </w:tcPr>
          <w:p w14:paraId="09EE27C0" w14:textId="77777777" w:rsidR="0069679B" w:rsidRPr="00BC4C65" w:rsidRDefault="0069679B" w:rsidP="0069679B">
            <w:pPr>
              <w:spacing w:after="0"/>
              <w:rPr>
                <w:rFonts w:ascii="Calibri" w:eastAsia="Times New Roman" w:hAnsi="Calibri" w:cs="Calibri"/>
                <w:sz w:val="18"/>
                <w:szCs w:val="18"/>
              </w:rPr>
            </w:pPr>
            <w:r w:rsidRPr="00BC4C65">
              <w:rPr>
                <w:rFonts w:ascii="Calibri" w:eastAsia="Times New Roman" w:hAnsi="Calibri" w:cs="Calibri"/>
                <w:sz w:val="18"/>
                <w:szCs w:val="18"/>
              </w:rPr>
              <w:t>NT</w:t>
            </w:r>
          </w:p>
        </w:tc>
        <w:tc>
          <w:tcPr>
            <w:tcW w:w="814" w:type="dxa"/>
            <w:shd w:val="clear" w:color="auto" w:fill="auto"/>
            <w:noWrap/>
            <w:vAlign w:val="bottom"/>
            <w:hideMark/>
          </w:tcPr>
          <w:p w14:paraId="1077A008"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17.02</w:t>
            </w:r>
          </w:p>
        </w:tc>
        <w:tc>
          <w:tcPr>
            <w:tcW w:w="814" w:type="dxa"/>
            <w:shd w:val="clear" w:color="auto" w:fill="auto"/>
            <w:noWrap/>
            <w:vAlign w:val="bottom"/>
            <w:hideMark/>
          </w:tcPr>
          <w:p w14:paraId="58431DFC"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21.13</w:t>
            </w:r>
          </w:p>
        </w:tc>
        <w:tc>
          <w:tcPr>
            <w:tcW w:w="814" w:type="dxa"/>
            <w:shd w:val="clear" w:color="auto" w:fill="auto"/>
            <w:noWrap/>
            <w:vAlign w:val="bottom"/>
            <w:hideMark/>
          </w:tcPr>
          <w:p w14:paraId="21E2268A"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26.61</w:t>
            </w:r>
          </w:p>
        </w:tc>
        <w:tc>
          <w:tcPr>
            <w:tcW w:w="752" w:type="dxa"/>
            <w:shd w:val="clear" w:color="auto" w:fill="auto"/>
            <w:noWrap/>
            <w:vAlign w:val="bottom"/>
            <w:hideMark/>
          </w:tcPr>
          <w:p w14:paraId="7BED3560"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34.35</w:t>
            </w:r>
          </w:p>
        </w:tc>
        <w:tc>
          <w:tcPr>
            <w:tcW w:w="841" w:type="dxa"/>
            <w:shd w:val="clear" w:color="auto" w:fill="auto"/>
            <w:noWrap/>
            <w:vAlign w:val="bottom"/>
            <w:hideMark/>
          </w:tcPr>
          <w:p w14:paraId="56259B62"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39.00</w:t>
            </w:r>
          </w:p>
        </w:tc>
        <w:tc>
          <w:tcPr>
            <w:tcW w:w="841" w:type="dxa"/>
            <w:shd w:val="clear" w:color="auto" w:fill="auto"/>
            <w:noWrap/>
            <w:vAlign w:val="bottom"/>
            <w:hideMark/>
          </w:tcPr>
          <w:p w14:paraId="7BC6F403"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47.06</w:t>
            </w:r>
          </w:p>
        </w:tc>
        <w:tc>
          <w:tcPr>
            <w:tcW w:w="841" w:type="dxa"/>
            <w:shd w:val="clear" w:color="auto" w:fill="auto"/>
            <w:noWrap/>
            <w:vAlign w:val="bottom"/>
            <w:hideMark/>
          </w:tcPr>
          <w:p w14:paraId="1A8C0922"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55.85</w:t>
            </w:r>
          </w:p>
        </w:tc>
        <w:tc>
          <w:tcPr>
            <w:tcW w:w="718" w:type="dxa"/>
            <w:shd w:val="clear" w:color="auto" w:fill="auto"/>
            <w:noWrap/>
            <w:vAlign w:val="bottom"/>
            <w:hideMark/>
          </w:tcPr>
          <w:p w14:paraId="09472284"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61.20</w:t>
            </w:r>
          </w:p>
        </w:tc>
        <w:tc>
          <w:tcPr>
            <w:tcW w:w="841" w:type="dxa"/>
            <w:shd w:val="clear" w:color="auto" w:fill="auto"/>
            <w:noWrap/>
            <w:vAlign w:val="bottom"/>
            <w:hideMark/>
          </w:tcPr>
          <w:p w14:paraId="0903C82C"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65.53</w:t>
            </w:r>
          </w:p>
        </w:tc>
      </w:tr>
      <w:tr w:rsidR="00BC4C65" w:rsidRPr="00BC4C65" w14:paraId="2F283E11" w14:textId="77777777" w:rsidTr="00BC4C65">
        <w:trPr>
          <w:trHeight w:val="288"/>
        </w:trPr>
        <w:tc>
          <w:tcPr>
            <w:tcW w:w="656" w:type="dxa"/>
            <w:vMerge/>
            <w:shd w:val="clear" w:color="auto" w:fill="auto"/>
            <w:noWrap/>
            <w:vAlign w:val="bottom"/>
            <w:hideMark/>
          </w:tcPr>
          <w:p w14:paraId="62CC1F98" w14:textId="77777777" w:rsidR="0069679B" w:rsidRPr="00BC4C65" w:rsidRDefault="0069679B" w:rsidP="0069679B">
            <w:pPr>
              <w:spacing w:after="0"/>
              <w:jc w:val="right"/>
              <w:rPr>
                <w:rFonts w:ascii="Calibri" w:eastAsia="Times New Roman" w:hAnsi="Calibri" w:cs="Calibri"/>
                <w:sz w:val="18"/>
                <w:szCs w:val="18"/>
              </w:rPr>
            </w:pPr>
          </w:p>
        </w:tc>
        <w:tc>
          <w:tcPr>
            <w:tcW w:w="848" w:type="dxa"/>
            <w:shd w:val="clear" w:color="auto" w:fill="auto"/>
            <w:noWrap/>
            <w:vAlign w:val="bottom"/>
            <w:hideMark/>
          </w:tcPr>
          <w:p w14:paraId="4BE4E2DC" w14:textId="77777777" w:rsidR="0069679B" w:rsidRPr="00BC4C65" w:rsidRDefault="0069679B" w:rsidP="0069679B">
            <w:pPr>
              <w:spacing w:after="0"/>
              <w:rPr>
                <w:rFonts w:ascii="Calibri" w:eastAsia="Times New Roman" w:hAnsi="Calibri" w:cs="Calibri"/>
                <w:sz w:val="18"/>
                <w:szCs w:val="18"/>
              </w:rPr>
            </w:pPr>
            <w:r w:rsidRPr="00BC4C65">
              <w:rPr>
                <w:rFonts w:ascii="Calibri" w:eastAsia="Times New Roman" w:hAnsi="Calibri" w:cs="Calibri"/>
                <w:sz w:val="18"/>
                <w:szCs w:val="18"/>
              </w:rPr>
              <w:t>QLD</w:t>
            </w:r>
          </w:p>
        </w:tc>
        <w:tc>
          <w:tcPr>
            <w:tcW w:w="814" w:type="dxa"/>
            <w:shd w:val="clear" w:color="auto" w:fill="auto"/>
            <w:noWrap/>
            <w:vAlign w:val="bottom"/>
            <w:hideMark/>
          </w:tcPr>
          <w:p w14:paraId="26DFE731"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33.76</w:t>
            </w:r>
          </w:p>
        </w:tc>
        <w:tc>
          <w:tcPr>
            <w:tcW w:w="814" w:type="dxa"/>
            <w:shd w:val="clear" w:color="auto" w:fill="auto"/>
            <w:noWrap/>
            <w:vAlign w:val="bottom"/>
            <w:hideMark/>
          </w:tcPr>
          <w:p w14:paraId="76B51166"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36.96</w:t>
            </w:r>
          </w:p>
        </w:tc>
        <w:tc>
          <w:tcPr>
            <w:tcW w:w="814" w:type="dxa"/>
            <w:shd w:val="clear" w:color="auto" w:fill="auto"/>
            <w:noWrap/>
            <w:vAlign w:val="bottom"/>
            <w:hideMark/>
          </w:tcPr>
          <w:p w14:paraId="1B6964A7"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39.90</w:t>
            </w:r>
          </w:p>
        </w:tc>
        <w:tc>
          <w:tcPr>
            <w:tcW w:w="752" w:type="dxa"/>
            <w:shd w:val="clear" w:color="auto" w:fill="auto"/>
            <w:noWrap/>
            <w:vAlign w:val="bottom"/>
            <w:hideMark/>
          </w:tcPr>
          <w:p w14:paraId="3547120A"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43.85</w:t>
            </w:r>
          </w:p>
        </w:tc>
        <w:tc>
          <w:tcPr>
            <w:tcW w:w="841" w:type="dxa"/>
            <w:shd w:val="clear" w:color="auto" w:fill="auto"/>
            <w:noWrap/>
            <w:vAlign w:val="bottom"/>
            <w:hideMark/>
          </w:tcPr>
          <w:p w14:paraId="028BEC64"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49.12</w:t>
            </w:r>
          </w:p>
        </w:tc>
        <w:tc>
          <w:tcPr>
            <w:tcW w:w="841" w:type="dxa"/>
            <w:shd w:val="clear" w:color="auto" w:fill="auto"/>
            <w:noWrap/>
            <w:vAlign w:val="bottom"/>
            <w:hideMark/>
          </w:tcPr>
          <w:p w14:paraId="4CF87B3D"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54.57</w:t>
            </w:r>
          </w:p>
        </w:tc>
        <w:tc>
          <w:tcPr>
            <w:tcW w:w="841" w:type="dxa"/>
            <w:shd w:val="clear" w:color="auto" w:fill="auto"/>
            <w:noWrap/>
            <w:vAlign w:val="bottom"/>
            <w:hideMark/>
          </w:tcPr>
          <w:p w14:paraId="739CB4DE"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62.64</w:t>
            </w:r>
          </w:p>
        </w:tc>
        <w:tc>
          <w:tcPr>
            <w:tcW w:w="718" w:type="dxa"/>
            <w:shd w:val="clear" w:color="auto" w:fill="auto"/>
            <w:noWrap/>
            <w:vAlign w:val="bottom"/>
            <w:hideMark/>
          </w:tcPr>
          <w:p w14:paraId="5DD39418"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73.36</w:t>
            </w:r>
          </w:p>
        </w:tc>
        <w:tc>
          <w:tcPr>
            <w:tcW w:w="841" w:type="dxa"/>
            <w:shd w:val="clear" w:color="auto" w:fill="auto"/>
            <w:noWrap/>
            <w:vAlign w:val="bottom"/>
            <w:hideMark/>
          </w:tcPr>
          <w:p w14:paraId="18E548D8"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84.23</w:t>
            </w:r>
          </w:p>
        </w:tc>
      </w:tr>
      <w:tr w:rsidR="00BC4C65" w:rsidRPr="00BC4C65" w14:paraId="6DEF256B" w14:textId="77777777" w:rsidTr="00BC4C65">
        <w:trPr>
          <w:trHeight w:val="288"/>
        </w:trPr>
        <w:tc>
          <w:tcPr>
            <w:tcW w:w="656" w:type="dxa"/>
            <w:vMerge/>
            <w:shd w:val="clear" w:color="auto" w:fill="auto"/>
            <w:noWrap/>
            <w:vAlign w:val="bottom"/>
            <w:hideMark/>
          </w:tcPr>
          <w:p w14:paraId="35E1E379" w14:textId="77777777" w:rsidR="0069679B" w:rsidRPr="00BC4C65" w:rsidRDefault="0069679B" w:rsidP="0069679B">
            <w:pPr>
              <w:spacing w:after="0"/>
              <w:jc w:val="right"/>
              <w:rPr>
                <w:rFonts w:ascii="Calibri" w:eastAsia="Times New Roman" w:hAnsi="Calibri" w:cs="Calibri"/>
                <w:sz w:val="18"/>
                <w:szCs w:val="18"/>
              </w:rPr>
            </w:pPr>
          </w:p>
        </w:tc>
        <w:tc>
          <w:tcPr>
            <w:tcW w:w="848" w:type="dxa"/>
            <w:shd w:val="clear" w:color="auto" w:fill="auto"/>
            <w:noWrap/>
            <w:vAlign w:val="bottom"/>
            <w:hideMark/>
          </w:tcPr>
          <w:p w14:paraId="35E075DE" w14:textId="77777777" w:rsidR="0069679B" w:rsidRPr="00BC4C65" w:rsidRDefault="0069679B" w:rsidP="0069679B">
            <w:pPr>
              <w:spacing w:after="0"/>
              <w:rPr>
                <w:rFonts w:ascii="Calibri" w:eastAsia="Times New Roman" w:hAnsi="Calibri" w:cs="Calibri"/>
                <w:sz w:val="18"/>
                <w:szCs w:val="18"/>
              </w:rPr>
            </w:pPr>
            <w:r w:rsidRPr="00BC4C65">
              <w:rPr>
                <w:rFonts w:ascii="Calibri" w:eastAsia="Times New Roman" w:hAnsi="Calibri" w:cs="Calibri"/>
                <w:sz w:val="18"/>
                <w:szCs w:val="18"/>
              </w:rPr>
              <w:t>SA</w:t>
            </w:r>
          </w:p>
        </w:tc>
        <w:tc>
          <w:tcPr>
            <w:tcW w:w="814" w:type="dxa"/>
            <w:shd w:val="clear" w:color="auto" w:fill="auto"/>
            <w:noWrap/>
            <w:vAlign w:val="bottom"/>
            <w:hideMark/>
          </w:tcPr>
          <w:p w14:paraId="7F16A87A"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14.30</w:t>
            </w:r>
          </w:p>
        </w:tc>
        <w:tc>
          <w:tcPr>
            <w:tcW w:w="814" w:type="dxa"/>
            <w:shd w:val="clear" w:color="auto" w:fill="auto"/>
            <w:noWrap/>
            <w:vAlign w:val="bottom"/>
            <w:hideMark/>
          </w:tcPr>
          <w:p w14:paraId="234A4091"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15.34</w:t>
            </w:r>
          </w:p>
        </w:tc>
        <w:tc>
          <w:tcPr>
            <w:tcW w:w="814" w:type="dxa"/>
            <w:shd w:val="clear" w:color="auto" w:fill="auto"/>
            <w:noWrap/>
            <w:vAlign w:val="bottom"/>
            <w:hideMark/>
          </w:tcPr>
          <w:p w14:paraId="729BB20C"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16.74</w:t>
            </w:r>
          </w:p>
        </w:tc>
        <w:tc>
          <w:tcPr>
            <w:tcW w:w="752" w:type="dxa"/>
            <w:shd w:val="clear" w:color="auto" w:fill="auto"/>
            <w:noWrap/>
            <w:vAlign w:val="bottom"/>
            <w:hideMark/>
          </w:tcPr>
          <w:p w14:paraId="5A0A591D"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19.30</w:t>
            </w:r>
          </w:p>
        </w:tc>
        <w:tc>
          <w:tcPr>
            <w:tcW w:w="841" w:type="dxa"/>
            <w:shd w:val="clear" w:color="auto" w:fill="auto"/>
            <w:noWrap/>
            <w:vAlign w:val="bottom"/>
            <w:hideMark/>
          </w:tcPr>
          <w:p w14:paraId="5A0996F5"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22.48</w:t>
            </w:r>
          </w:p>
        </w:tc>
        <w:tc>
          <w:tcPr>
            <w:tcW w:w="841" w:type="dxa"/>
            <w:shd w:val="clear" w:color="auto" w:fill="auto"/>
            <w:noWrap/>
            <w:vAlign w:val="bottom"/>
            <w:hideMark/>
          </w:tcPr>
          <w:p w14:paraId="3CF124A6"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26.45</w:t>
            </w:r>
          </w:p>
        </w:tc>
        <w:tc>
          <w:tcPr>
            <w:tcW w:w="841" w:type="dxa"/>
            <w:shd w:val="clear" w:color="auto" w:fill="auto"/>
            <w:noWrap/>
            <w:vAlign w:val="bottom"/>
            <w:hideMark/>
          </w:tcPr>
          <w:p w14:paraId="0A17C083"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32.63</w:t>
            </w:r>
          </w:p>
        </w:tc>
        <w:tc>
          <w:tcPr>
            <w:tcW w:w="718" w:type="dxa"/>
            <w:shd w:val="clear" w:color="auto" w:fill="auto"/>
            <w:noWrap/>
            <w:vAlign w:val="bottom"/>
            <w:hideMark/>
          </w:tcPr>
          <w:p w14:paraId="4C410AA6"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40.32</w:t>
            </w:r>
          </w:p>
        </w:tc>
        <w:tc>
          <w:tcPr>
            <w:tcW w:w="841" w:type="dxa"/>
            <w:shd w:val="clear" w:color="auto" w:fill="auto"/>
            <w:noWrap/>
            <w:vAlign w:val="bottom"/>
            <w:hideMark/>
          </w:tcPr>
          <w:p w14:paraId="764270D2"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50.16</w:t>
            </w:r>
          </w:p>
        </w:tc>
      </w:tr>
      <w:tr w:rsidR="00BC4C65" w:rsidRPr="00BC4C65" w14:paraId="786BFC7F" w14:textId="77777777" w:rsidTr="00BC4C65">
        <w:trPr>
          <w:trHeight w:val="288"/>
        </w:trPr>
        <w:tc>
          <w:tcPr>
            <w:tcW w:w="656" w:type="dxa"/>
            <w:vMerge/>
            <w:shd w:val="clear" w:color="auto" w:fill="auto"/>
            <w:noWrap/>
            <w:vAlign w:val="bottom"/>
            <w:hideMark/>
          </w:tcPr>
          <w:p w14:paraId="0A7B60E7" w14:textId="77777777" w:rsidR="0069679B" w:rsidRPr="00BC4C65" w:rsidRDefault="0069679B" w:rsidP="0069679B">
            <w:pPr>
              <w:spacing w:after="0"/>
              <w:jc w:val="right"/>
              <w:rPr>
                <w:rFonts w:ascii="Calibri" w:eastAsia="Times New Roman" w:hAnsi="Calibri" w:cs="Calibri"/>
                <w:sz w:val="18"/>
                <w:szCs w:val="18"/>
              </w:rPr>
            </w:pPr>
          </w:p>
        </w:tc>
        <w:tc>
          <w:tcPr>
            <w:tcW w:w="848" w:type="dxa"/>
            <w:shd w:val="clear" w:color="auto" w:fill="auto"/>
            <w:noWrap/>
            <w:vAlign w:val="bottom"/>
            <w:hideMark/>
          </w:tcPr>
          <w:p w14:paraId="3A41281A" w14:textId="77777777" w:rsidR="0069679B" w:rsidRPr="00BC4C65" w:rsidRDefault="0069679B" w:rsidP="0069679B">
            <w:pPr>
              <w:spacing w:after="0"/>
              <w:rPr>
                <w:rFonts w:ascii="Calibri" w:eastAsia="Times New Roman" w:hAnsi="Calibri" w:cs="Calibri"/>
                <w:sz w:val="18"/>
                <w:szCs w:val="18"/>
              </w:rPr>
            </w:pPr>
            <w:r w:rsidRPr="00BC4C65">
              <w:rPr>
                <w:rFonts w:ascii="Calibri" w:eastAsia="Times New Roman" w:hAnsi="Calibri" w:cs="Calibri"/>
                <w:sz w:val="18"/>
                <w:szCs w:val="18"/>
              </w:rPr>
              <w:t>TAS</w:t>
            </w:r>
          </w:p>
        </w:tc>
        <w:tc>
          <w:tcPr>
            <w:tcW w:w="814" w:type="dxa"/>
            <w:shd w:val="clear" w:color="auto" w:fill="auto"/>
            <w:noWrap/>
            <w:vAlign w:val="bottom"/>
            <w:hideMark/>
          </w:tcPr>
          <w:p w14:paraId="70AC5166"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26.66</w:t>
            </w:r>
          </w:p>
        </w:tc>
        <w:tc>
          <w:tcPr>
            <w:tcW w:w="814" w:type="dxa"/>
            <w:shd w:val="clear" w:color="auto" w:fill="auto"/>
            <w:noWrap/>
            <w:vAlign w:val="bottom"/>
            <w:hideMark/>
          </w:tcPr>
          <w:p w14:paraId="1DBB9BBC"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28.82</w:t>
            </w:r>
          </w:p>
        </w:tc>
        <w:tc>
          <w:tcPr>
            <w:tcW w:w="814" w:type="dxa"/>
            <w:shd w:val="clear" w:color="auto" w:fill="auto"/>
            <w:noWrap/>
            <w:vAlign w:val="bottom"/>
            <w:hideMark/>
          </w:tcPr>
          <w:p w14:paraId="41524181"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32.30</w:t>
            </w:r>
          </w:p>
        </w:tc>
        <w:tc>
          <w:tcPr>
            <w:tcW w:w="752" w:type="dxa"/>
            <w:shd w:val="clear" w:color="auto" w:fill="auto"/>
            <w:noWrap/>
            <w:vAlign w:val="bottom"/>
            <w:hideMark/>
          </w:tcPr>
          <w:p w14:paraId="0BA7D346"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36.72</w:t>
            </w:r>
          </w:p>
        </w:tc>
        <w:tc>
          <w:tcPr>
            <w:tcW w:w="841" w:type="dxa"/>
            <w:shd w:val="clear" w:color="auto" w:fill="auto"/>
            <w:noWrap/>
            <w:vAlign w:val="bottom"/>
            <w:hideMark/>
          </w:tcPr>
          <w:p w14:paraId="4060DD00"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42.65</w:t>
            </w:r>
          </w:p>
        </w:tc>
        <w:tc>
          <w:tcPr>
            <w:tcW w:w="841" w:type="dxa"/>
            <w:shd w:val="clear" w:color="auto" w:fill="auto"/>
            <w:noWrap/>
            <w:vAlign w:val="bottom"/>
            <w:hideMark/>
          </w:tcPr>
          <w:p w14:paraId="5F0B2828"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51.31</w:t>
            </w:r>
          </w:p>
        </w:tc>
        <w:tc>
          <w:tcPr>
            <w:tcW w:w="841" w:type="dxa"/>
            <w:shd w:val="clear" w:color="auto" w:fill="auto"/>
            <w:noWrap/>
            <w:vAlign w:val="bottom"/>
            <w:hideMark/>
          </w:tcPr>
          <w:p w14:paraId="4A107A98"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59.94</w:t>
            </w:r>
          </w:p>
        </w:tc>
        <w:tc>
          <w:tcPr>
            <w:tcW w:w="718" w:type="dxa"/>
            <w:shd w:val="clear" w:color="auto" w:fill="auto"/>
            <w:noWrap/>
            <w:vAlign w:val="bottom"/>
            <w:hideMark/>
          </w:tcPr>
          <w:p w14:paraId="753C00EB"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72.29</w:t>
            </w:r>
          </w:p>
        </w:tc>
        <w:tc>
          <w:tcPr>
            <w:tcW w:w="841" w:type="dxa"/>
            <w:shd w:val="clear" w:color="auto" w:fill="auto"/>
            <w:noWrap/>
            <w:vAlign w:val="bottom"/>
            <w:hideMark/>
          </w:tcPr>
          <w:p w14:paraId="19FC2033"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87.11</w:t>
            </w:r>
          </w:p>
        </w:tc>
      </w:tr>
      <w:tr w:rsidR="00BC4C65" w:rsidRPr="00BC4C65" w14:paraId="1709651A" w14:textId="77777777" w:rsidTr="00BC4C65">
        <w:trPr>
          <w:trHeight w:val="288"/>
        </w:trPr>
        <w:tc>
          <w:tcPr>
            <w:tcW w:w="656" w:type="dxa"/>
            <w:vMerge/>
            <w:shd w:val="clear" w:color="auto" w:fill="auto"/>
            <w:noWrap/>
            <w:vAlign w:val="bottom"/>
            <w:hideMark/>
          </w:tcPr>
          <w:p w14:paraId="61C28846" w14:textId="77777777" w:rsidR="0069679B" w:rsidRPr="00BC4C65" w:rsidRDefault="0069679B" w:rsidP="0069679B">
            <w:pPr>
              <w:spacing w:after="0"/>
              <w:jc w:val="right"/>
              <w:rPr>
                <w:rFonts w:ascii="Calibri" w:eastAsia="Times New Roman" w:hAnsi="Calibri" w:cs="Calibri"/>
                <w:sz w:val="18"/>
                <w:szCs w:val="18"/>
              </w:rPr>
            </w:pPr>
          </w:p>
        </w:tc>
        <w:tc>
          <w:tcPr>
            <w:tcW w:w="848" w:type="dxa"/>
            <w:shd w:val="clear" w:color="auto" w:fill="auto"/>
            <w:noWrap/>
            <w:vAlign w:val="bottom"/>
            <w:hideMark/>
          </w:tcPr>
          <w:p w14:paraId="7EF2D43F" w14:textId="77777777" w:rsidR="0069679B" w:rsidRPr="00BC4C65" w:rsidRDefault="0069679B" w:rsidP="0069679B">
            <w:pPr>
              <w:spacing w:after="0"/>
              <w:rPr>
                <w:rFonts w:ascii="Calibri" w:eastAsia="Times New Roman" w:hAnsi="Calibri" w:cs="Calibri"/>
                <w:sz w:val="18"/>
                <w:szCs w:val="18"/>
              </w:rPr>
            </w:pPr>
            <w:r w:rsidRPr="00BC4C65">
              <w:rPr>
                <w:rFonts w:ascii="Calibri" w:eastAsia="Times New Roman" w:hAnsi="Calibri" w:cs="Calibri"/>
                <w:sz w:val="18"/>
                <w:szCs w:val="18"/>
              </w:rPr>
              <w:t>VIC</w:t>
            </w:r>
          </w:p>
        </w:tc>
        <w:tc>
          <w:tcPr>
            <w:tcW w:w="814" w:type="dxa"/>
            <w:shd w:val="clear" w:color="auto" w:fill="auto"/>
            <w:noWrap/>
            <w:vAlign w:val="bottom"/>
            <w:hideMark/>
          </w:tcPr>
          <w:p w14:paraId="44C56787"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17.86</w:t>
            </w:r>
          </w:p>
        </w:tc>
        <w:tc>
          <w:tcPr>
            <w:tcW w:w="814" w:type="dxa"/>
            <w:shd w:val="clear" w:color="auto" w:fill="auto"/>
            <w:noWrap/>
            <w:vAlign w:val="bottom"/>
            <w:hideMark/>
          </w:tcPr>
          <w:p w14:paraId="64217C95"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19.98</w:t>
            </w:r>
          </w:p>
        </w:tc>
        <w:tc>
          <w:tcPr>
            <w:tcW w:w="814" w:type="dxa"/>
            <w:shd w:val="clear" w:color="auto" w:fill="auto"/>
            <w:noWrap/>
            <w:vAlign w:val="bottom"/>
            <w:hideMark/>
          </w:tcPr>
          <w:p w14:paraId="73B55876"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22.20</w:t>
            </w:r>
          </w:p>
        </w:tc>
        <w:tc>
          <w:tcPr>
            <w:tcW w:w="752" w:type="dxa"/>
            <w:shd w:val="clear" w:color="auto" w:fill="auto"/>
            <w:noWrap/>
            <w:vAlign w:val="bottom"/>
            <w:hideMark/>
          </w:tcPr>
          <w:p w14:paraId="0F0F9C22"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24.75</w:t>
            </w:r>
          </w:p>
        </w:tc>
        <w:tc>
          <w:tcPr>
            <w:tcW w:w="841" w:type="dxa"/>
            <w:shd w:val="clear" w:color="auto" w:fill="auto"/>
            <w:noWrap/>
            <w:vAlign w:val="bottom"/>
            <w:hideMark/>
          </w:tcPr>
          <w:p w14:paraId="64E5822A"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28.57</w:t>
            </w:r>
          </w:p>
        </w:tc>
        <w:tc>
          <w:tcPr>
            <w:tcW w:w="841" w:type="dxa"/>
            <w:shd w:val="clear" w:color="auto" w:fill="auto"/>
            <w:noWrap/>
            <w:vAlign w:val="bottom"/>
            <w:hideMark/>
          </w:tcPr>
          <w:p w14:paraId="53BF7FD7"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32.74</w:t>
            </w:r>
          </w:p>
        </w:tc>
        <w:tc>
          <w:tcPr>
            <w:tcW w:w="841" w:type="dxa"/>
            <w:shd w:val="clear" w:color="auto" w:fill="auto"/>
            <w:noWrap/>
            <w:vAlign w:val="bottom"/>
            <w:hideMark/>
          </w:tcPr>
          <w:p w14:paraId="74983B3C"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37.25</w:t>
            </w:r>
          </w:p>
        </w:tc>
        <w:tc>
          <w:tcPr>
            <w:tcW w:w="718" w:type="dxa"/>
            <w:shd w:val="clear" w:color="auto" w:fill="auto"/>
            <w:noWrap/>
            <w:vAlign w:val="bottom"/>
            <w:hideMark/>
          </w:tcPr>
          <w:p w14:paraId="0F256EBA"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43.81</w:t>
            </w:r>
          </w:p>
        </w:tc>
        <w:tc>
          <w:tcPr>
            <w:tcW w:w="841" w:type="dxa"/>
            <w:shd w:val="clear" w:color="auto" w:fill="auto"/>
            <w:noWrap/>
            <w:vAlign w:val="bottom"/>
            <w:hideMark/>
          </w:tcPr>
          <w:p w14:paraId="2A1587D9"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52.25</w:t>
            </w:r>
          </w:p>
        </w:tc>
      </w:tr>
      <w:tr w:rsidR="00BC4C65" w:rsidRPr="00BC4C65" w14:paraId="4F22C350" w14:textId="77777777" w:rsidTr="00BC4C65">
        <w:trPr>
          <w:trHeight w:val="288"/>
        </w:trPr>
        <w:tc>
          <w:tcPr>
            <w:tcW w:w="656" w:type="dxa"/>
            <w:vMerge/>
            <w:shd w:val="clear" w:color="auto" w:fill="auto"/>
            <w:noWrap/>
            <w:vAlign w:val="bottom"/>
            <w:hideMark/>
          </w:tcPr>
          <w:p w14:paraId="5E78650B" w14:textId="77777777" w:rsidR="0069679B" w:rsidRPr="00BC4C65" w:rsidRDefault="0069679B" w:rsidP="0069679B">
            <w:pPr>
              <w:spacing w:after="0"/>
              <w:jc w:val="right"/>
              <w:rPr>
                <w:rFonts w:ascii="Calibri" w:eastAsia="Times New Roman" w:hAnsi="Calibri" w:cs="Calibri"/>
                <w:sz w:val="18"/>
                <w:szCs w:val="18"/>
              </w:rPr>
            </w:pPr>
          </w:p>
        </w:tc>
        <w:tc>
          <w:tcPr>
            <w:tcW w:w="848" w:type="dxa"/>
            <w:shd w:val="clear" w:color="auto" w:fill="auto"/>
            <w:noWrap/>
            <w:vAlign w:val="bottom"/>
            <w:hideMark/>
          </w:tcPr>
          <w:p w14:paraId="4BC94597" w14:textId="77777777" w:rsidR="0069679B" w:rsidRPr="00BC4C65" w:rsidRDefault="0069679B" w:rsidP="0069679B">
            <w:pPr>
              <w:spacing w:after="0"/>
              <w:rPr>
                <w:rFonts w:ascii="Calibri" w:eastAsia="Times New Roman" w:hAnsi="Calibri" w:cs="Calibri"/>
                <w:sz w:val="18"/>
                <w:szCs w:val="18"/>
              </w:rPr>
            </w:pPr>
            <w:r w:rsidRPr="00BC4C65">
              <w:rPr>
                <w:rFonts w:ascii="Calibri" w:eastAsia="Times New Roman" w:hAnsi="Calibri" w:cs="Calibri"/>
                <w:sz w:val="18"/>
                <w:szCs w:val="18"/>
              </w:rPr>
              <w:t>WA</w:t>
            </w:r>
          </w:p>
        </w:tc>
        <w:tc>
          <w:tcPr>
            <w:tcW w:w="814" w:type="dxa"/>
            <w:shd w:val="clear" w:color="auto" w:fill="auto"/>
            <w:noWrap/>
            <w:vAlign w:val="bottom"/>
            <w:hideMark/>
          </w:tcPr>
          <w:p w14:paraId="037F8F98"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23.27</w:t>
            </w:r>
          </w:p>
        </w:tc>
        <w:tc>
          <w:tcPr>
            <w:tcW w:w="814" w:type="dxa"/>
            <w:shd w:val="clear" w:color="auto" w:fill="auto"/>
            <w:noWrap/>
            <w:vAlign w:val="bottom"/>
            <w:hideMark/>
          </w:tcPr>
          <w:p w14:paraId="4FB4769C"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27.05</w:t>
            </w:r>
          </w:p>
        </w:tc>
        <w:tc>
          <w:tcPr>
            <w:tcW w:w="814" w:type="dxa"/>
            <w:shd w:val="clear" w:color="auto" w:fill="auto"/>
            <w:noWrap/>
            <w:vAlign w:val="bottom"/>
            <w:hideMark/>
          </w:tcPr>
          <w:p w14:paraId="593727F2"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29.86</w:t>
            </w:r>
          </w:p>
        </w:tc>
        <w:tc>
          <w:tcPr>
            <w:tcW w:w="752" w:type="dxa"/>
            <w:shd w:val="clear" w:color="auto" w:fill="auto"/>
            <w:noWrap/>
            <w:vAlign w:val="bottom"/>
            <w:hideMark/>
          </w:tcPr>
          <w:p w14:paraId="3404509F"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33.86</w:t>
            </w:r>
          </w:p>
        </w:tc>
        <w:tc>
          <w:tcPr>
            <w:tcW w:w="841" w:type="dxa"/>
            <w:shd w:val="clear" w:color="auto" w:fill="auto"/>
            <w:noWrap/>
            <w:vAlign w:val="bottom"/>
            <w:hideMark/>
          </w:tcPr>
          <w:p w14:paraId="2495B835"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38.88</w:t>
            </w:r>
          </w:p>
        </w:tc>
        <w:tc>
          <w:tcPr>
            <w:tcW w:w="841" w:type="dxa"/>
            <w:shd w:val="clear" w:color="auto" w:fill="auto"/>
            <w:noWrap/>
            <w:vAlign w:val="bottom"/>
            <w:hideMark/>
          </w:tcPr>
          <w:p w14:paraId="1EC897EE"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43.71</w:t>
            </w:r>
          </w:p>
        </w:tc>
        <w:tc>
          <w:tcPr>
            <w:tcW w:w="841" w:type="dxa"/>
            <w:shd w:val="clear" w:color="auto" w:fill="auto"/>
            <w:noWrap/>
            <w:vAlign w:val="bottom"/>
            <w:hideMark/>
          </w:tcPr>
          <w:p w14:paraId="107954AA"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49.38</w:t>
            </w:r>
          </w:p>
        </w:tc>
        <w:tc>
          <w:tcPr>
            <w:tcW w:w="718" w:type="dxa"/>
            <w:shd w:val="clear" w:color="auto" w:fill="auto"/>
            <w:noWrap/>
            <w:vAlign w:val="bottom"/>
            <w:hideMark/>
          </w:tcPr>
          <w:p w14:paraId="19B1B103"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58.50</w:t>
            </w:r>
          </w:p>
        </w:tc>
        <w:tc>
          <w:tcPr>
            <w:tcW w:w="841" w:type="dxa"/>
            <w:shd w:val="clear" w:color="auto" w:fill="auto"/>
            <w:noWrap/>
            <w:vAlign w:val="bottom"/>
            <w:hideMark/>
          </w:tcPr>
          <w:p w14:paraId="50E07CDB"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69.40</w:t>
            </w:r>
          </w:p>
        </w:tc>
      </w:tr>
      <w:tr w:rsidR="00BC4C65" w:rsidRPr="00BC4C65" w14:paraId="0A63D7BC" w14:textId="77777777" w:rsidTr="00BC4C65">
        <w:trPr>
          <w:trHeight w:val="288"/>
        </w:trPr>
        <w:tc>
          <w:tcPr>
            <w:tcW w:w="656" w:type="dxa"/>
            <w:vMerge w:val="restart"/>
            <w:shd w:val="clear" w:color="auto" w:fill="auto"/>
            <w:noWrap/>
            <w:vAlign w:val="center"/>
            <w:hideMark/>
          </w:tcPr>
          <w:p w14:paraId="03ABA12B" w14:textId="77777777" w:rsidR="0069679B" w:rsidRPr="00BC4C65" w:rsidRDefault="0069679B" w:rsidP="0069679B">
            <w:pPr>
              <w:spacing w:after="0"/>
              <w:rPr>
                <w:rFonts w:ascii="Calibri" w:eastAsia="Times New Roman" w:hAnsi="Calibri" w:cs="Calibri"/>
                <w:b/>
                <w:bCs/>
                <w:color w:val="000000"/>
                <w:sz w:val="18"/>
                <w:szCs w:val="18"/>
              </w:rPr>
            </w:pPr>
            <w:r w:rsidRPr="00BC4C65">
              <w:rPr>
                <w:rFonts w:ascii="Calibri" w:eastAsia="Times New Roman" w:hAnsi="Calibri" w:cs="Calibri"/>
                <w:b/>
                <w:color w:val="000000"/>
                <w:sz w:val="18"/>
                <w:szCs w:val="18"/>
              </w:rPr>
              <w:t>13-18 years</w:t>
            </w:r>
          </w:p>
        </w:tc>
        <w:tc>
          <w:tcPr>
            <w:tcW w:w="848" w:type="dxa"/>
            <w:shd w:val="clear" w:color="auto" w:fill="auto"/>
            <w:noWrap/>
            <w:vAlign w:val="bottom"/>
            <w:hideMark/>
          </w:tcPr>
          <w:p w14:paraId="6A529E93" w14:textId="77777777" w:rsidR="0069679B" w:rsidRPr="00BC4C65" w:rsidRDefault="0069679B" w:rsidP="0069679B">
            <w:pPr>
              <w:spacing w:after="0"/>
              <w:rPr>
                <w:rFonts w:ascii="Calibri" w:eastAsia="Times New Roman" w:hAnsi="Calibri" w:cs="Calibri"/>
                <w:sz w:val="18"/>
                <w:szCs w:val="18"/>
              </w:rPr>
            </w:pPr>
            <w:r w:rsidRPr="00BC4C65">
              <w:rPr>
                <w:rFonts w:ascii="Calibri" w:eastAsia="Times New Roman" w:hAnsi="Calibri" w:cs="Calibri"/>
                <w:sz w:val="18"/>
                <w:szCs w:val="18"/>
              </w:rPr>
              <w:t>ACT</w:t>
            </w:r>
          </w:p>
        </w:tc>
        <w:tc>
          <w:tcPr>
            <w:tcW w:w="814" w:type="dxa"/>
            <w:shd w:val="clear" w:color="auto" w:fill="auto"/>
            <w:noWrap/>
            <w:vAlign w:val="bottom"/>
            <w:hideMark/>
          </w:tcPr>
          <w:p w14:paraId="7E9A50D4"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16.70</w:t>
            </w:r>
          </w:p>
        </w:tc>
        <w:tc>
          <w:tcPr>
            <w:tcW w:w="814" w:type="dxa"/>
            <w:shd w:val="clear" w:color="auto" w:fill="auto"/>
            <w:noWrap/>
            <w:vAlign w:val="bottom"/>
            <w:hideMark/>
          </w:tcPr>
          <w:p w14:paraId="011BD6A5"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18.30</w:t>
            </w:r>
          </w:p>
        </w:tc>
        <w:tc>
          <w:tcPr>
            <w:tcW w:w="814" w:type="dxa"/>
            <w:shd w:val="clear" w:color="auto" w:fill="auto"/>
            <w:noWrap/>
            <w:vAlign w:val="bottom"/>
            <w:hideMark/>
          </w:tcPr>
          <w:p w14:paraId="240634B6"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21.02</w:t>
            </w:r>
          </w:p>
        </w:tc>
        <w:tc>
          <w:tcPr>
            <w:tcW w:w="752" w:type="dxa"/>
            <w:shd w:val="clear" w:color="auto" w:fill="auto"/>
            <w:noWrap/>
            <w:vAlign w:val="bottom"/>
            <w:hideMark/>
          </w:tcPr>
          <w:p w14:paraId="1D20E983"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24.80</w:t>
            </w:r>
          </w:p>
        </w:tc>
        <w:tc>
          <w:tcPr>
            <w:tcW w:w="841" w:type="dxa"/>
            <w:shd w:val="clear" w:color="auto" w:fill="auto"/>
            <w:noWrap/>
            <w:vAlign w:val="bottom"/>
            <w:hideMark/>
          </w:tcPr>
          <w:p w14:paraId="12AAF8D5"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29.80</w:t>
            </w:r>
          </w:p>
        </w:tc>
        <w:tc>
          <w:tcPr>
            <w:tcW w:w="841" w:type="dxa"/>
            <w:shd w:val="clear" w:color="auto" w:fill="auto"/>
            <w:noWrap/>
            <w:vAlign w:val="bottom"/>
            <w:hideMark/>
          </w:tcPr>
          <w:p w14:paraId="4418C1FB"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37.20</w:t>
            </w:r>
          </w:p>
        </w:tc>
        <w:tc>
          <w:tcPr>
            <w:tcW w:w="841" w:type="dxa"/>
            <w:shd w:val="clear" w:color="auto" w:fill="auto"/>
            <w:noWrap/>
            <w:vAlign w:val="bottom"/>
            <w:hideMark/>
          </w:tcPr>
          <w:p w14:paraId="04D69E08"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44.31</w:t>
            </w:r>
          </w:p>
        </w:tc>
        <w:tc>
          <w:tcPr>
            <w:tcW w:w="718" w:type="dxa"/>
            <w:shd w:val="clear" w:color="auto" w:fill="auto"/>
            <w:noWrap/>
            <w:vAlign w:val="bottom"/>
            <w:hideMark/>
          </w:tcPr>
          <w:p w14:paraId="38793AA0"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56.78</w:t>
            </w:r>
          </w:p>
        </w:tc>
        <w:tc>
          <w:tcPr>
            <w:tcW w:w="841" w:type="dxa"/>
            <w:shd w:val="clear" w:color="auto" w:fill="auto"/>
            <w:noWrap/>
            <w:vAlign w:val="bottom"/>
            <w:hideMark/>
          </w:tcPr>
          <w:p w14:paraId="1DCADBED"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68.53</w:t>
            </w:r>
          </w:p>
        </w:tc>
      </w:tr>
      <w:tr w:rsidR="00BC4C65" w:rsidRPr="00BC4C65" w14:paraId="4E71A627" w14:textId="77777777" w:rsidTr="00BC4C65">
        <w:trPr>
          <w:trHeight w:val="288"/>
        </w:trPr>
        <w:tc>
          <w:tcPr>
            <w:tcW w:w="656" w:type="dxa"/>
            <w:vMerge/>
            <w:shd w:val="clear" w:color="auto" w:fill="auto"/>
            <w:noWrap/>
            <w:vAlign w:val="bottom"/>
            <w:hideMark/>
          </w:tcPr>
          <w:p w14:paraId="33580976" w14:textId="77777777" w:rsidR="0069679B" w:rsidRPr="00BC4C65" w:rsidRDefault="0069679B" w:rsidP="0069679B">
            <w:pPr>
              <w:spacing w:after="0"/>
              <w:jc w:val="right"/>
              <w:rPr>
                <w:rFonts w:ascii="Calibri" w:eastAsia="Times New Roman" w:hAnsi="Calibri" w:cs="Calibri"/>
                <w:sz w:val="18"/>
                <w:szCs w:val="18"/>
              </w:rPr>
            </w:pPr>
          </w:p>
        </w:tc>
        <w:tc>
          <w:tcPr>
            <w:tcW w:w="848" w:type="dxa"/>
            <w:shd w:val="clear" w:color="auto" w:fill="auto"/>
            <w:noWrap/>
            <w:vAlign w:val="bottom"/>
            <w:hideMark/>
          </w:tcPr>
          <w:p w14:paraId="536FB641" w14:textId="77777777" w:rsidR="0069679B" w:rsidRPr="00BC4C65" w:rsidRDefault="0069679B" w:rsidP="0069679B">
            <w:pPr>
              <w:spacing w:after="0"/>
              <w:rPr>
                <w:rFonts w:ascii="Calibri" w:eastAsia="Times New Roman" w:hAnsi="Calibri" w:cs="Calibri"/>
                <w:sz w:val="18"/>
                <w:szCs w:val="18"/>
              </w:rPr>
            </w:pPr>
            <w:r w:rsidRPr="00BC4C65">
              <w:rPr>
                <w:rFonts w:ascii="Calibri" w:eastAsia="Times New Roman" w:hAnsi="Calibri" w:cs="Calibri"/>
                <w:sz w:val="18"/>
                <w:szCs w:val="18"/>
              </w:rPr>
              <w:t>NSW</w:t>
            </w:r>
          </w:p>
        </w:tc>
        <w:tc>
          <w:tcPr>
            <w:tcW w:w="814" w:type="dxa"/>
            <w:shd w:val="clear" w:color="auto" w:fill="auto"/>
            <w:noWrap/>
            <w:vAlign w:val="bottom"/>
            <w:hideMark/>
          </w:tcPr>
          <w:p w14:paraId="7FAFB2E7"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22.07</w:t>
            </w:r>
          </w:p>
        </w:tc>
        <w:tc>
          <w:tcPr>
            <w:tcW w:w="814" w:type="dxa"/>
            <w:shd w:val="clear" w:color="auto" w:fill="auto"/>
            <w:noWrap/>
            <w:vAlign w:val="bottom"/>
            <w:hideMark/>
          </w:tcPr>
          <w:p w14:paraId="126F3936"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23.84</w:t>
            </w:r>
          </w:p>
        </w:tc>
        <w:tc>
          <w:tcPr>
            <w:tcW w:w="814" w:type="dxa"/>
            <w:shd w:val="clear" w:color="auto" w:fill="auto"/>
            <w:noWrap/>
            <w:vAlign w:val="bottom"/>
            <w:hideMark/>
          </w:tcPr>
          <w:p w14:paraId="4FF298AB"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24.96</w:t>
            </w:r>
          </w:p>
        </w:tc>
        <w:tc>
          <w:tcPr>
            <w:tcW w:w="752" w:type="dxa"/>
            <w:shd w:val="clear" w:color="auto" w:fill="auto"/>
            <w:noWrap/>
            <w:vAlign w:val="bottom"/>
            <w:hideMark/>
          </w:tcPr>
          <w:p w14:paraId="28D7BFF9"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26.93</w:t>
            </w:r>
          </w:p>
        </w:tc>
        <w:tc>
          <w:tcPr>
            <w:tcW w:w="841" w:type="dxa"/>
            <w:shd w:val="clear" w:color="auto" w:fill="auto"/>
            <w:noWrap/>
            <w:vAlign w:val="bottom"/>
            <w:hideMark/>
          </w:tcPr>
          <w:p w14:paraId="77EC83DA"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29.87</w:t>
            </w:r>
          </w:p>
        </w:tc>
        <w:tc>
          <w:tcPr>
            <w:tcW w:w="841" w:type="dxa"/>
            <w:shd w:val="clear" w:color="auto" w:fill="auto"/>
            <w:noWrap/>
            <w:vAlign w:val="bottom"/>
            <w:hideMark/>
          </w:tcPr>
          <w:p w14:paraId="478B3E93"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34.46</w:t>
            </w:r>
          </w:p>
        </w:tc>
        <w:tc>
          <w:tcPr>
            <w:tcW w:w="841" w:type="dxa"/>
            <w:shd w:val="clear" w:color="auto" w:fill="auto"/>
            <w:noWrap/>
            <w:vAlign w:val="bottom"/>
            <w:hideMark/>
          </w:tcPr>
          <w:p w14:paraId="43EC7B52"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40.95</w:t>
            </w:r>
          </w:p>
        </w:tc>
        <w:tc>
          <w:tcPr>
            <w:tcW w:w="718" w:type="dxa"/>
            <w:shd w:val="clear" w:color="auto" w:fill="auto"/>
            <w:noWrap/>
            <w:vAlign w:val="bottom"/>
            <w:hideMark/>
          </w:tcPr>
          <w:p w14:paraId="6243E489"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48.14</w:t>
            </w:r>
          </w:p>
        </w:tc>
        <w:tc>
          <w:tcPr>
            <w:tcW w:w="841" w:type="dxa"/>
            <w:shd w:val="clear" w:color="auto" w:fill="auto"/>
            <w:noWrap/>
            <w:vAlign w:val="bottom"/>
            <w:hideMark/>
          </w:tcPr>
          <w:p w14:paraId="61A33D40"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55.90</w:t>
            </w:r>
          </w:p>
        </w:tc>
      </w:tr>
      <w:tr w:rsidR="00BC4C65" w:rsidRPr="00BC4C65" w14:paraId="248D845B" w14:textId="77777777" w:rsidTr="00BC4C65">
        <w:trPr>
          <w:trHeight w:val="288"/>
        </w:trPr>
        <w:tc>
          <w:tcPr>
            <w:tcW w:w="656" w:type="dxa"/>
            <w:vMerge/>
            <w:shd w:val="clear" w:color="auto" w:fill="auto"/>
            <w:noWrap/>
            <w:vAlign w:val="bottom"/>
            <w:hideMark/>
          </w:tcPr>
          <w:p w14:paraId="79000134" w14:textId="77777777" w:rsidR="0069679B" w:rsidRPr="00BC4C65" w:rsidRDefault="0069679B" w:rsidP="0069679B">
            <w:pPr>
              <w:spacing w:after="0"/>
              <w:jc w:val="right"/>
              <w:rPr>
                <w:rFonts w:ascii="Calibri" w:eastAsia="Times New Roman" w:hAnsi="Calibri" w:cs="Calibri"/>
                <w:sz w:val="18"/>
                <w:szCs w:val="18"/>
              </w:rPr>
            </w:pPr>
          </w:p>
        </w:tc>
        <w:tc>
          <w:tcPr>
            <w:tcW w:w="848" w:type="dxa"/>
            <w:shd w:val="clear" w:color="auto" w:fill="auto"/>
            <w:noWrap/>
            <w:vAlign w:val="bottom"/>
            <w:hideMark/>
          </w:tcPr>
          <w:p w14:paraId="103B1C55" w14:textId="77777777" w:rsidR="0069679B" w:rsidRPr="00BC4C65" w:rsidRDefault="0069679B" w:rsidP="0069679B">
            <w:pPr>
              <w:spacing w:after="0"/>
              <w:rPr>
                <w:rFonts w:ascii="Calibri" w:eastAsia="Times New Roman" w:hAnsi="Calibri" w:cs="Calibri"/>
                <w:sz w:val="18"/>
                <w:szCs w:val="18"/>
              </w:rPr>
            </w:pPr>
            <w:r w:rsidRPr="00BC4C65">
              <w:rPr>
                <w:rFonts w:ascii="Calibri" w:eastAsia="Times New Roman" w:hAnsi="Calibri" w:cs="Calibri"/>
                <w:sz w:val="18"/>
                <w:szCs w:val="18"/>
              </w:rPr>
              <w:t>NT</w:t>
            </w:r>
          </w:p>
        </w:tc>
        <w:tc>
          <w:tcPr>
            <w:tcW w:w="814" w:type="dxa"/>
            <w:shd w:val="clear" w:color="auto" w:fill="auto"/>
            <w:noWrap/>
            <w:vAlign w:val="bottom"/>
            <w:hideMark/>
          </w:tcPr>
          <w:p w14:paraId="46BAA6D8"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8.84</w:t>
            </w:r>
          </w:p>
        </w:tc>
        <w:tc>
          <w:tcPr>
            <w:tcW w:w="814" w:type="dxa"/>
            <w:shd w:val="clear" w:color="auto" w:fill="auto"/>
            <w:noWrap/>
            <w:vAlign w:val="bottom"/>
            <w:hideMark/>
          </w:tcPr>
          <w:p w14:paraId="019F8EA1"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9.96</w:t>
            </w:r>
          </w:p>
        </w:tc>
        <w:tc>
          <w:tcPr>
            <w:tcW w:w="814" w:type="dxa"/>
            <w:shd w:val="clear" w:color="auto" w:fill="auto"/>
            <w:noWrap/>
            <w:vAlign w:val="bottom"/>
            <w:hideMark/>
          </w:tcPr>
          <w:p w14:paraId="612F6804"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10.80</w:t>
            </w:r>
          </w:p>
        </w:tc>
        <w:tc>
          <w:tcPr>
            <w:tcW w:w="752" w:type="dxa"/>
            <w:shd w:val="clear" w:color="auto" w:fill="auto"/>
            <w:noWrap/>
            <w:vAlign w:val="bottom"/>
            <w:hideMark/>
          </w:tcPr>
          <w:p w14:paraId="72B63DC3"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11.84</w:t>
            </w:r>
          </w:p>
        </w:tc>
        <w:tc>
          <w:tcPr>
            <w:tcW w:w="841" w:type="dxa"/>
            <w:shd w:val="clear" w:color="auto" w:fill="auto"/>
            <w:noWrap/>
            <w:vAlign w:val="bottom"/>
            <w:hideMark/>
          </w:tcPr>
          <w:p w14:paraId="546C651D"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16.25</w:t>
            </w:r>
          </w:p>
        </w:tc>
        <w:tc>
          <w:tcPr>
            <w:tcW w:w="841" w:type="dxa"/>
            <w:shd w:val="clear" w:color="auto" w:fill="auto"/>
            <w:noWrap/>
            <w:vAlign w:val="bottom"/>
            <w:hideMark/>
          </w:tcPr>
          <w:p w14:paraId="5D6FEC5D"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17.67</w:t>
            </w:r>
          </w:p>
        </w:tc>
        <w:tc>
          <w:tcPr>
            <w:tcW w:w="841" w:type="dxa"/>
            <w:shd w:val="clear" w:color="auto" w:fill="auto"/>
            <w:noWrap/>
            <w:vAlign w:val="bottom"/>
            <w:hideMark/>
          </w:tcPr>
          <w:p w14:paraId="29CB9C08"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21.97</w:t>
            </w:r>
          </w:p>
        </w:tc>
        <w:tc>
          <w:tcPr>
            <w:tcW w:w="718" w:type="dxa"/>
            <w:shd w:val="clear" w:color="auto" w:fill="auto"/>
            <w:noWrap/>
            <w:vAlign w:val="bottom"/>
            <w:hideMark/>
          </w:tcPr>
          <w:p w14:paraId="032D9622"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27.94</w:t>
            </w:r>
          </w:p>
        </w:tc>
        <w:tc>
          <w:tcPr>
            <w:tcW w:w="841" w:type="dxa"/>
            <w:shd w:val="clear" w:color="auto" w:fill="auto"/>
            <w:noWrap/>
            <w:vAlign w:val="bottom"/>
            <w:hideMark/>
          </w:tcPr>
          <w:p w14:paraId="06E544D0"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35.87</w:t>
            </w:r>
          </w:p>
        </w:tc>
      </w:tr>
      <w:tr w:rsidR="00BC4C65" w:rsidRPr="00BC4C65" w14:paraId="2CC4B1D1" w14:textId="77777777" w:rsidTr="00BC4C65">
        <w:trPr>
          <w:trHeight w:val="288"/>
        </w:trPr>
        <w:tc>
          <w:tcPr>
            <w:tcW w:w="656" w:type="dxa"/>
            <w:vMerge/>
            <w:shd w:val="clear" w:color="auto" w:fill="auto"/>
            <w:noWrap/>
            <w:vAlign w:val="bottom"/>
            <w:hideMark/>
          </w:tcPr>
          <w:p w14:paraId="641B68A5" w14:textId="77777777" w:rsidR="0069679B" w:rsidRPr="00BC4C65" w:rsidRDefault="0069679B" w:rsidP="0069679B">
            <w:pPr>
              <w:spacing w:after="0"/>
              <w:jc w:val="right"/>
              <w:rPr>
                <w:rFonts w:ascii="Calibri" w:eastAsia="Times New Roman" w:hAnsi="Calibri" w:cs="Calibri"/>
                <w:sz w:val="18"/>
                <w:szCs w:val="18"/>
              </w:rPr>
            </w:pPr>
          </w:p>
        </w:tc>
        <w:tc>
          <w:tcPr>
            <w:tcW w:w="848" w:type="dxa"/>
            <w:shd w:val="clear" w:color="auto" w:fill="auto"/>
            <w:noWrap/>
            <w:vAlign w:val="bottom"/>
            <w:hideMark/>
          </w:tcPr>
          <w:p w14:paraId="0A8A6B7B" w14:textId="77777777" w:rsidR="0069679B" w:rsidRPr="00BC4C65" w:rsidRDefault="0069679B" w:rsidP="0069679B">
            <w:pPr>
              <w:spacing w:after="0"/>
              <w:rPr>
                <w:rFonts w:ascii="Calibri" w:eastAsia="Times New Roman" w:hAnsi="Calibri" w:cs="Calibri"/>
                <w:sz w:val="18"/>
                <w:szCs w:val="18"/>
              </w:rPr>
            </w:pPr>
            <w:r w:rsidRPr="00BC4C65">
              <w:rPr>
                <w:rFonts w:ascii="Calibri" w:eastAsia="Times New Roman" w:hAnsi="Calibri" w:cs="Calibri"/>
                <w:sz w:val="18"/>
                <w:szCs w:val="18"/>
              </w:rPr>
              <w:t>QLD</w:t>
            </w:r>
          </w:p>
        </w:tc>
        <w:tc>
          <w:tcPr>
            <w:tcW w:w="814" w:type="dxa"/>
            <w:shd w:val="clear" w:color="auto" w:fill="auto"/>
            <w:noWrap/>
            <w:vAlign w:val="bottom"/>
            <w:hideMark/>
          </w:tcPr>
          <w:p w14:paraId="7B4A0E45"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18.27</w:t>
            </w:r>
          </w:p>
        </w:tc>
        <w:tc>
          <w:tcPr>
            <w:tcW w:w="814" w:type="dxa"/>
            <w:shd w:val="clear" w:color="auto" w:fill="auto"/>
            <w:noWrap/>
            <w:vAlign w:val="bottom"/>
            <w:hideMark/>
          </w:tcPr>
          <w:p w14:paraId="63125CEF"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19.85</w:t>
            </w:r>
          </w:p>
        </w:tc>
        <w:tc>
          <w:tcPr>
            <w:tcW w:w="814" w:type="dxa"/>
            <w:shd w:val="clear" w:color="auto" w:fill="auto"/>
            <w:noWrap/>
            <w:vAlign w:val="bottom"/>
            <w:hideMark/>
          </w:tcPr>
          <w:p w14:paraId="52841E01"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21.58</w:t>
            </w:r>
          </w:p>
        </w:tc>
        <w:tc>
          <w:tcPr>
            <w:tcW w:w="752" w:type="dxa"/>
            <w:shd w:val="clear" w:color="auto" w:fill="auto"/>
            <w:noWrap/>
            <w:vAlign w:val="bottom"/>
            <w:hideMark/>
          </w:tcPr>
          <w:p w14:paraId="317FFCC2"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23.81</w:t>
            </w:r>
          </w:p>
        </w:tc>
        <w:tc>
          <w:tcPr>
            <w:tcW w:w="841" w:type="dxa"/>
            <w:shd w:val="clear" w:color="auto" w:fill="auto"/>
            <w:noWrap/>
            <w:vAlign w:val="bottom"/>
            <w:hideMark/>
          </w:tcPr>
          <w:p w14:paraId="161063A3"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26.96</w:t>
            </w:r>
          </w:p>
        </w:tc>
        <w:tc>
          <w:tcPr>
            <w:tcW w:w="841" w:type="dxa"/>
            <w:shd w:val="clear" w:color="auto" w:fill="auto"/>
            <w:noWrap/>
            <w:vAlign w:val="bottom"/>
            <w:hideMark/>
          </w:tcPr>
          <w:p w14:paraId="0DCB30CC"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31.72</w:t>
            </w:r>
          </w:p>
        </w:tc>
        <w:tc>
          <w:tcPr>
            <w:tcW w:w="841" w:type="dxa"/>
            <w:shd w:val="clear" w:color="auto" w:fill="auto"/>
            <w:noWrap/>
            <w:vAlign w:val="bottom"/>
            <w:hideMark/>
          </w:tcPr>
          <w:p w14:paraId="471BA7A6"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38.99</w:t>
            </w:r>
          </w:p>
        </w:tc>
        <w:tc>
          <w:tcPr>
            <w:tcW w:w="718" w:type="dxa"/>
            <w:shd w:val="clear" w:color="auto" w:fill="auto"/>
            <w:noWrap/>
            <w:vAlign w:val="bottom"/>
            <w:hideMark/>
          </w:tcPr>
          <w:p w14:paraId="0AFB6539"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48.04</w:t>
            </w:r>
          </w:p>
        </w:tc>
        <w:tc>
          <w:tcPr>
            <w:tcW w:w="841" w:type="dxa"/>
            <w:shd w:val="clear" w:color="auto" w:fill="auto"/>
            <w:noWrap/>
            <w:vAlign w:val="bottom"/>
            <w:hideMark/>
          </w:tcPr>
          <w:p w14:paraId="6966EDFB"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56.43</w:t>
            </w:r>
          </w:p>
        </w:tc>
      </w:tr>
      <w:tr w:rsidR="00BC4C65" w:rsidRPr="00BC4C65" w14:paraId="630653E2" w14:textId="77777777" w:rsidTr="00BC4C65">
        <w:trPr>
          <w:trHeight w:val="288"/>
        </w:trPr>
        <w:tc>
          <w:tcPr>
            <w:tcW w:w="656" w:type="dxa"/>
            <w:vMerge/>
            <w:shd w:val="clear" w:color="auto" w:fill="auto"/>
            <w:noWrap/>
            <w:vAlign w:val="bottom"/>
            <w:hideMark/>
          </w:tcPr>
          <w:p w14:paraId="10E66D87" w14:textId="77777777" w:rsidR="0069679B" w:rsidRPr="00BC4C65" w:rsidRDefault="0069679B" w:rsidP="0069679B">
            <w:pPr>
              <w:spacing w:after="0"/>
              <w:jc w:val="right"/>
              <w:rPr>
                <w:rFonts w:ascii="Calibri" w:eastAsia="Times New Roman" w:hAnsi="Calibri" w:cs="Calibri"/>
                <w:sz w:val="18"/>
                <w:szCs w:val="18"/>
              </w:rPr>
            </w:pPr>
          </w:p>
        </w:tc>
        <w:tc>
          <w:tcPr>
            <w:tcW w:w="848" w:type="dxa"/>
            <w:shd w:val="clear" w:color="auto" w:fill="auto"/>
            <w:noWrap/>
            <w:vAlign w:val="bottom"/>
            <w:hideMark/>
          </w:tcPr>
          <w:p w14:paraId="73049C45" w14:textId="77777777" w:rsidR="0069679B" w:rsidRPr="00BC4C65" w:rsidRDefault="0069679B" w:rsidP="0069679B">
            <w:pPr>
              <w:spacing w:after="0"/>
              <w:rPr>
                <w:rFonts w:ascii="Calibri" w:eastAsia="Times New Roman" w:hAnsi="Calibri" w:cs="Calibri"/>
                <w:sz w:val="18"/>
                <w:szCs w:val="18"/>
              </w:rPr>
            </w:pPr>
            <w:r w:rsidRPr="00BC4C65">
              <w:rPr>
                <w:rFonts w:ascii="Calibri" w:eastAsia="Times New Roman" w:hAnsi="Calibri" w:cs="Calibri"/>
                <w:sz w:val="18"/>
                <w:szCs w:val="18"/>
              </w:rPr>
              <w:t>SA</w:t>
            </w:r>
          </w:p>
        </w:tc>
        <w:tc>
          <w:tcPr>
            <w:tcW w:w="814" w:type="dxa"/>
            <w:shd w:val="clear" w:color="auto" w:fill="auto"/>
            <w:noWrap/>
            <w:vAlign w:val="bottom"/>
            <w:hideMark/>
          </w:tcPr>
          <w:p w14:paraId="12EC072B"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7.14</w:t>
            </w:r>
          </w:p>
        </w:tc>
        <w:tc>
          <w:tcPr>
            <w:tcW w:w="814" w:type="dxa"/>
            <w:shd w:val="clear" w:color="auto" w:fill="auto"/>
            <w:noWrap/>
            <w:vAlign w:val="bottom"/>
            <w:hideMark/>
          </w:tcPr>
          <w:p w14:paraId="03DBB918"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7.74</w:t>
            </w:r>
          </w:p>
        </w:tc>
        <w:tc>
          <w:tcPr>
            <w:tcW w:w="814" w:type="dxa"/>
            <w:shd w:val="clear" w:color="auto" w:fill="auto"/>
            <w:noWrap/>
            <w:vAlign w:val="bottom"/>
            <w:hideMark/>
          </w:tcPr>
          <w:p w14:paraId="1F58713D"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8.67</w:t>
            </w:r>
          </w:p>
        </w:tc>
        <w:tc>
          <w:tcPr>
            <w:tcW w:w="752" w:type="dxa"/>
            <w:shd w:val="clear" w:color="auto" w:fill="auto"/>
            <w:noWrap/>
            <w:vAlign w:val="bottom"/>
            <w:hideMark/>
          </w:tcPr>
          <w:p w14:paraId="1EFCE862"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9.55</w:t>
            </w:r>
          </w:p>
        </w:tc>
        <w:tc>
          <w:tcPr>
            <w:tcW w:w="841" w:type="dxa"/>
            <w:shd w:val="clear" w:color="auto" w:fill="auto"/>
            <w:noWrap/>
            <w:vAlign w:val="bottom"/>
            <w:hideMark/>
          </w:tcPr>
          <w:p w14:paraId="676BCC6B"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10.57</w:t>
            </w:r>
          </w:p>
        </w:tc>
        <w:tc>
          <w:tcPr>
            <w:tcW w:w="841" w:type="dxa"/>
            <w:shd w:val="clear" w:color="auto" w:fill="auto"/>
            <w:noWrap/>
            <w:vAlign w:val="bottom"/>
            <w:hideMark/>
          </w:tcPr>
          <w:p w14:paraId="2D8E1664"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12.71</w:t>
            </w:r>
          </w:p>
        </w:tc>
        <w:tc>
          <w:tcPr>
            <w:tcW w:w="841" w:type="dxa"/>
            <w:shd w:val="clear" w:color="auto" w:fill="auto"/>
            <w:noWrap/>
            <w:vAlign w:val="bottom"/>
            <w:hideMark/>
          </w:tcPr>
          <w:p w14:paraId="3EFDB4EC"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17.49</w:t>
            </w:r>
          </w:p>
        </w:tc>
        <w:tc>
          <w:tcPr>
            <w:tcW w:w="718" w:type="dxa"/>
            <w:shd w:val="clear" w:color="auto" w:fill="auto"/>
            <w:noWrap/>
            <w:vAlign w:val="bottom"/>
            <w:hideMark/>
          </w:tcPr>
          <w:p w14:paraId="26129D39"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24.16</w:t>
            </w:r>
          </w:p>
        </w:tc>
        <w:tc>
          <w:tcPr>
            <w:tcW w:w="841" w:type="dxa"/>
            <w:shd w:val="clear" w:color="auto" w:fill="auto"/>
            <w:noWrap/>
            <w:vAlign w:val="bottom"/>
            <w:hideMark/>
          </w:tcPr>
          <w:p w14:paraId="3326653B"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31.39</w:t>
            </w:r>
          </w:p>
        </w:tc>
      </w:tr>
      <w:tr w:rsidR="00BC4C65" w:rsidRPr="00BC4C65" w14:paraId="4022A325" w14:textId="77777777" w:rsidTr="00BC4C65">
        <w:trPr>
          <w:trHeight w:val="288"/>
        </w:trPr>
        <w:tc>
          <w:tcPr>
            <w:tcW w:w="656" w:type="dxa"/>
            <w:vMerge/>
            <w:shd w:val="clear" w:color="auto" w:fill="auto"/>
            <w:noWrap/>
            <w:vAlign w:val="bottom"/>
            <w:hideMark/>
          </w:tcPr>
          <w:p w14:paraId="04CD01F0" w14:textId="77777777" w:rsidR="0069679B" w:rsidRPr="00BC4C65" w:rsidRDefault="0069679B" w:rsidP="0069679B">
            <w:pPr>
              <w:spacing w:after="0"/>
              <w:jc w:val="right"/>
              <w:rPr>
                <w:rFonts w:ascii="Calibri" w:eastAsia="Times New Roman" w:hAnsi="Calibri" w:cs="Calibri"/>
                <w:sz w:val="18"/>
                <w:szCs w:val="18"/>
              </w:rPr>
            </w:pPr>
          </w:p>
        </w:tc>
        <w:tc>
          <w:tcPr>
            <w:tcW w:w="848" w:type="dxa"/>
            <w:shd w:val="clear" w:color="auto" w:fill="auto"/>
            <w:noWrap/>
            <w:vAlign w:val="bottom"/>
            <w:hideMark/>
          </w:tcPr>
          <w:p w14:paraId="47CFF8D4" w14:textId="77777777" w:rsidR="0069679B" w:rsidRPr="00BC4C65" w:rsidRDefault="0069679B" w:rsidP="0069679B">
            <w:pPr>
              <w:spacing w:after="0"/>
              <w:rPr>
                <w:rFonts w:ascii="Calibri" w:eastAsia="Times New Roman" w:hAnsi="Calibri" w:cs="Calibri"/>
                <w:sz w:val="18"/>
                <w:szCs w:val="18"/>
              </w:rPr>
            </w:pPr>
            <w:r w:rsidRPr="00BC4C65">
              <w:rPr>
                <w:rFonts w:ascii="Calibri" w:eastAsia="Times New Roman" w:hAnsi="Calibri" w:cs="Calibri"/>
                <w:sz w:val="18"/>
                <w:szCs w:val="18"/>
              </w:rPr>
              <w:t>TAS</w:t>
            </w:r>
          </w:p>
        </w:tc>
        <w:tc>
          <w:tcPr>
            <w:tcW w:w="814" w:type="dxa"/>
            <w:shd w:val="clear" w:color="auto" w:fill="auto"/>
            <w:noWrap/>
            <w:vAlign w:val="bottom"/>
            <w:hideMark/>
          </w:tcPr>
          <w:p w14:paraId="1089B00A"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17.46</w:t>
            </w:r>
          </w:p>
        </w:tc>
        <w:tc>
          <w:tcPr>
            <w:tcW w:w="814" w:type="dxa"/>
            <w:shd w:val="clear" w:color="auto" w:fill="auto"/>
            <w:noWrap/>
            <w:vAlign w:val="bottom"/>
            <w:hideMark/>
          </w:tcPr>
          <w:p w14:paraId="0D332D01"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18.94</w:t>
            </w:r>
          </w:p>
        </w:tc>
        <w:tc>
          <w:tcPr>
            <w:tcW w:w="814" w:type="dxa"/>
            <w:shd w:val="clear" w:color="auto" w:fill="auto"/>
            <w:noWrap/>
            <w:vAlign w:val="bottom"/>
            <w:hideMark/>
          </w:tcPr>
          <w:p w14:paraId="7F5229C5"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21.09</w:t>
            </w:r>
          </w:p>
        </w:tc>
        <w:tc>
          <w:tcPr>
            <w:tcW w:w="752" w:type="dxa"/>
            <w:shd w:val="clear" w:color="auto" w:fill="auto"/>
            <w:noWrap/>
            <w:vAlign w:val="bottom"/>
            <w:hideMark/>
          </w:tcPr>
          <w:p w14:paraId="0E19636E"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23.25</w:t>
            </w:r>
          </w:p>
        </w:tc>
        <w:tc>
          <w:tcPr>
            <w:tcW w:w="841" w:type="dxa"/>
            <w:shd w:val="clear" w:color="auto" w:fill="auto"/>
            <w:noWrap/>
            <w:vAlign w:val="bottom"/>
            <w:hideMark/>
          </w:tcPr>
          <w:p w14:paraId="7F0825FC"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25.86</w:t>
            </w:r>
          </w:p>
        </w:tc>
        <w:tc>
          <w:tcPr>
            <w:tcW w:w="841" w:type="dxa"/>
            <w:shd w:val="clear" w:color="auto" w:fill="auto"/>
            <w:noWrap/>
            <w:vAlign w:val="bottom"/>
            <w:hideMark/>
          </w:tcPr>
          <w:p w14:paraId="76A62922"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30.64</w:t>
            </w:r>
          </w:p>
        </w:tc>
        <w:tc>
          <w:tcPr>
            <w:tcW w:w="841" w:type="dxa"/>
            <w:shd w:val="clear" w:color="auto" w:fill="auto"/>
            <w:noWrap/>
            <w:vAlign w:val="bottom"/>
            <w:hideMark/>
          </w:tcPr>
          <w:p w14:paraId="5F84EF77"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37.87</w:t>
            </w:r>
          </w:p>
        </w:tc>
        <w:tc>
          <w:tcPr>
            <w:tcW w:w="718" w:type="dxa"/>
            <w:shd w:val="clear" w:color="auto" w:fill="auto"/>
            <w:noWrap/>
            <w:vAlign w:val="bottom"/>
            <w:hideMark/>
          </w:tcPr>
          <w:p w14:paraId="09E39AA6"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47.78</w:t>
            </w:r>
          </w:p>
        </w:tc>
        <w:tc>
          <w:tcPr>
            <w:tcW w:w="841" w:type="dxa"/>
            <w:shd w:val="clear" w:color="auto" w:fill="auto"/>
            <w:noWrap/>
            <w:vAlign w:val="bottom"/>
            <w:hideMark/>
          </w:tcPr>
          <w:p w14:paraId="7BB093CA"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58.45</w:t>
            </w:r>
          </w:p>
        </w:tc>
      </w:tr>
      <w:tr w:rsidR="00BC4C65" w:rsidRPr="00BC4C65" w14:paraId="593895DA" w14:textId="77777777" w:rsidTr="00BC4C65">
        <w:trPr>
          <w:trHeight w:val="288"/>
        </w:trPr>
        <w:tc>
          <w:tcPr>
            <w:tcW w:w="656" w:type="dxa"/>
            <w:vMerge/>
            <w:shd w:val="clear" w:color="auto" w:fill="auto"/>
            <w:noWrap/>
            <w:vAlign w:val="bottom"/>
            <w:hideMark/>
          </w:tcPr>
          <w:p w14:paraId="0BD9988A" w14:textId="77777777" w:rsidR="0069679B" w:rsidRPr="00BC4C65" w:rsidRDefault="0069679B" w:rsidP="0069679B">
            <w:pPr>
              <w:spacing w:after="0"/>
              <w:jc w:val="right"/>
              <w:rPr>
                <w:rFonts w:ascii="Calibri" w:eastAsia="Times New Roman" w:hAnsi="Calibri" w:cs="Calibri"/>
                <w:sz w:val="18"/>
                <w:szCs w:val="18"/>
              </w:rPr>
            </w:pPr>
          </w:p>
        </w:tc>
        <w:tc>
          <w:tcPr>
            <w:tcW w:w="848" w:type="dxa"/>
            <w:shd w:val="clear" w:color="auto" w:fill="auto"/>
            <w:noWrap/>
            <w:vAlign w:val="bottom"/>
            <w:hideMark/>
          </w:tcPr>
          <w:p w14:paraId="35BD8E4C" w14:textId="77777777" w:rsidR="0069679B" w:rsidRPr="00BC4C65" w:rsidRDefault="0069679B" w:rsidP="0069679B">
            <w:pPr>
              <w:spacing w:after="0"/>
              <w:rPr>
                <w:rFonts w:ascii="Calibri" w:eastAsia="Times New Roman" w:hAnsi="Calibri" w:cs="Calibri"/>
                <w:sz w:val="18"/>
                <w:szCs w:val="18"/>
              </w:rPr>
            </w:pPr>
            <w:r w:rsidRPr="00BC4C65">
              <w:rPr>
                <w:rFonts w:ascii="Calibri" w:eastAsia="Times New Roman" w:hAnsi="Calibri" w:cs="Calibri"/>
                <w:sz w:val="18"/>
                <w:szCs w:val="18"/>
              </w:rPr>
              <w:t>VIC</w:t>
            </w:r>
          </w:p>
        </w:tc>
        <w:tc>
          <w:tcPr>
            <w:tcW w:w="814" w:type="dxa"/>
            <w:shd w:val="clear" w:color="auto" w:fill="auto"/>
            <w:noWrap/>
            <w:vAlign w:val="bottom"/>
            <w:hideMark/>
          </w:tcPr>
          <w:p w14:paraId="4408BADF"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11.13</w:t>
            </w:r>
          </w:p>
        </w:tc>
        <w:tc>
          <w:tcPr>
            <w:tcW w:w="814" w:type="dxa"/>
            <w:shd w:val="clear" w:color="auto" w:fill="auto"/>
            <w:noWrap/>
            <w:vAlign w:val="bottom"/>
            <w:hideMark/>
          </w:tcPr>
          <w:p w14:paraId="1DF5DEDF"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12.59</w:t>
            </w:r>
          </w:p>
        </w:tc>
        <w:tc>
          <w:tcPr>
            <w:tcW w:w="814" w:type="dxa"/>
            <w:shd w:val="clear" w:color="auto" w:fill="auto"/>
            <w:noWrap/>
            <w:vAlign w:val="bottom"/>
            <w:hideMark/>
          </w:tcPr>
          <w:p w14:paraId="7C73CD07"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13.85</w:t>
            </w:r>
          </w:p>
        </w:tc>
        <w:tc>
          <w:tcPr>
            <w:tcW w:w="752" w:type="dxa"/>
            <w:shd w:val="clear" w:color="auto" w:fill="auto"/>
            <w:noWrap/>
            <w:vAlign w:val="bottom"/>
            <w:hideMark/>
          </w:tcPr>
          <w:p w14:paraId="018D7258"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15.47</w:t>
            </w:r>
          </w:p>
        </w:tc>
        <w:tc>
          <w:tcPr>
            <w:tcW w:w="841" w:type="dxa"/>
            <w:shd w:val="clear" w:color="auto" w:fill="auto"/>
            <w:noWrap/>
            <w:vAlign w:val="bottom"/>
            <w:hideMark/>
          </w:tcPr>
          <w:p w14:paraId="2A68438E"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17.86</w:t>
            </w:r>
          </w:p>
        </w:tc>
        <w:tc>
          <w:tcPr>
            <w:tcW w:w="841" w:type="dxa"/>
            <w:shd w:val="clear" w:color="auto" w:fill="auto"/>
            <w:noWrap/>
            <w:vAlign w:val="bottom"/>
            <w:hideMark/>
          </w:tcPr>
          <w:p w14:paraId="7CF47128"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21.37</w:t>
            </w:r>
          </w:p>
        </w:tc>
        <w:tc>
          <w:tcPr>
            <w:tcW w:w="841" w:type="dxa"/>
            <w:shd w:val="clear" w:color="auto" w:fill="auto"/>
            <w:noWrap/>
            <w:vAlign w:val="bottom"/>
            <w:hideMark/>
          </w:tcPr>
          <w:p w14:paraId="48A5F751"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26.67</w:t>
            </w:r>
          </w:p>
        </w:tc>
        <w:tc>
          <w:tcPr>
            <w:tcW w:w="718" w:type="dxa"/>
            <w:shd w:val="clear" w:color="auto" w:fill="auto"/>
            <w:noWrap/>
            <w:vAlign w:val="bottom"/>
            <w:hideMark/>
          </w:tcPr>
          <w:p w14:paraId="220DB053"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34.31</w:t>
            </w:r>
          </w:p>
        </w:tc>
        <w:tc>
          <w:tcPr>
            <w:tcW w:w="841" w:type="dxa"/>
            <w:shd w:val="clear" w:color="auto" w:fill="auto"/>
            <w:noWrap/>
            <w:vAlign w:val="bottom"/>
            <w:hideMark/>
          </w:tcPr>
          <w:p w14:paraId="02322816"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43.34</w:t>
            </w:r>
          </w:p>
        </w:tc>
      </w:tr>
      <w:tr w:rsidR="00BC4C65" w:rsidRPr="00BC4C65" w14:paraId="1C018883" w14:textId="77777777" w:rsidTr="00BC4C65">
        <w:trPr>
          <w:trHeight w:val="288"/>
        </w:trPr>
        <w:tc>
          <w:tcPr>
            <w:tcW w:w="656" w:type="dxa"/>
            <w:vMerge/>
            <w:shd w:val="clear" w:color="auto" w:fill="auto"/>
            <w:noWrap/>
            <w:vAlign w:val="bottom"/>
            <w:hideMark/>
          </w:tcPr>
          <w:p w14:paraId="6AD9BF6F" w14:textId="77777777" w:rsidR="0069679B" w:rsidRPr="00BC4C65" w:rsidRDefault="0069679B" w:rsidP="0069679B">
            <w:pPr>
              <w:spacing w:after="0"/>
              <w:jc w:val="right"/>
              <w:rPr>
                <w:rFonts w:ascii="Calibri" w:eastAsia="Times New Roman" w:hAnsi="Calibri" w:cs="Calibri"/>
                <w:sz w:val="18"/>
                <w:szCs w:val="18"/>
              </w:rPr>
            </w:pPr>
          </w:p>
        </w:tc>
        <w:tc>
          <w:tcPr>
            <w:tcW w:w="848" w:type="dxa"/>
            <w:shd w:val="clear" w:color="auto" w:fill="auto"/>
            <w:noWrap/>
            <w:vAlign w:val="bottom"/>
            <w:hideMark/>
          </w:tcPr>
          <w:p w14:paraId="3E92041A" w14:textId="77777777" w:rsidR="0069679B" w:rsidRPr="00BC4C65" w:rsidRDefault="0069679B" w:rsidP="0069679B">
            <w:pPr>
              <w:spacing w:after="0"/>
              <w:rPr>
                <w:rFonts w:ascii="Calibri" w:eastAsia="Times New Roman" w:hAnsi="Calibri" w:cs="Calibri"/>
                <w:sz w:val="18"/>
                <w:szCs w:val="18"/>
              </w:rPr>
            </w:pPr>
            <w:r w:rsidRPr="00BC4C65">
              <w:rPr>
                <w:rFonts w:ascii="Calibri" w:eastAsia="Times New Roman" w:hAnsi="Calibri" w:cs="Calibri"/>
                <w:sz w:val="18"/>
                <w:szCs w:val="18"/>
              </w:rPr>
              <w:t>WA</w:t>
            </w:r>
          </w:p>
        </w:tc>
        <w:tc>
          <w:tcPr>
            <w:tcW w:w="814" w:type="dxa"/>
            <w:shd w:val="clear" w:color="auto" w:fill="auto"/>
            <w:noWrap/>
            <w:vAlign w:val="bottom"/>
            <w:hideMark/>
          </w:tcPr>
          <w:p w14:paraId="02B4402D"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17.42</w:t>
            </w:r>
          </w:p>
        </w:tc>
        <w:tc>
          <w:tcPr>
            <w:tcW w:w="814" w:type="dxa"/>
            <w:shd w:val="clear" w:color="auto" w:fill="auto"/>
            <w:noWrap/>
            <w:vAlign w:val="bottom"/>
            <w:hideMark/>
          </w:tcPr>
          <w:p w14:paraId="580EB2F2"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19.18</w:t>
            </w:r>
          </w:p>
        </w:tc>
        <w:tc>
          <w:tcPr>
            <w:tcW w:w="814" w:type="dxa"/>
            <w:shd w:val="clear" w:color="auto" w:fill="auto"/>
            <w:noWrap/>
            <w:vAlign w:val="bottom"/>
            <w:hideMark/>
          </w:tcPr>
          <w:p w14:paraId="46F3DB63"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20.92</w:t>
            </w:r>
          </w:p>
        </w:tc>
        <w:tc>
          <w:tcPr>
            <w:tcW w:w="752" w:type="dxa"/>
            <w:shd w:val="clear" w:color="auto" w:fill="auto"/>
            <w:noWrap/>
            <w:vAlign w:val="bottom"/>
            <w:hideMark/>
          </w:tcPr>
          <w:p w14:paraId="14343DE8"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23.47</w:t>
            </w:r>
          </w:p>
        </w:tc>
        <w:tc>
          <w:tcPr>
            <w:tcW w:w="841" w:type="dxa"/>
            <w:shd w:val="clear" w:color="auto" w:fill="auto"/>
            <w:noWrap/>
            <w:vAlign w:val="bottom"/>
            <w:hideMark/>
          </w:tcPr>
          <w:p w14:paraId="3337B810"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27.42</w:t>
            </w:r>
          </w:p>
        </w:tc>
        <w:tc>
          <w:tcPr>
            <w:tcW w:w="841" w:type="dxa"/>
            <w:shd w:val="clear" w:color="auto" w:fill="auto"/>
            <w:noWrap/>
            <w:vAlign w:val="bottom"/>
            <w:hideMark/>
          </w:tcPr>
          <w:p w14:paraId="7B9CFBED"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32.06</w:t>
            </w:r>
          </w:p>
        </w:tc>
        <w:tc>
          <w:tcPr>
            <w:tcW w:w="841" w:type="dxa"/>
            <w:shd w:val="clear" w:color="auto" w:fill="auto"/>
            <w:noWrap/>
            <w:vAlign w:val="bottom"/>
            <w:hideMark/>
          </w:tcPr>
          <w:p w14:paraId="5079A331"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39.16</w:t>
            </w:r>
          </w:p>
        </w:tc>
        <w:tc>
          <w:tcPr>
            <w:tcW w:w="718" w:type="dxa"/>
            <w:shd w:val="clear" w:color="auto" w:fill="auto"/>
            <w:noWrap/>
            <w:vAlign w:val="bottom"/>
            <w:hideMark/>
          </w:tcPr>
          <w:p w14:paraId="65765E73"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49.83</w:t>
            </w:r>
          </w:p>
        </w:tc>
        <w:tc>
          <w:tcPr>
            <w:tcW w:w="841" w:type="dxa"/>
            <w:shd w:val="clear" w:color="auto" w:fill="auto"/>
            <w:noWrap/>
            <w:vAlign w:val="bottom"/>
            <w:hideMark/>
          </w:tcPr>
          <w:p w14:paraId="09123ED8"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59.19</w:t>
            </w:r>
          </w:p>
        </w:tc>
      </w:tr>
      <w:tr w:rsidR="00BC4C65" w:rsidRPr="00BC4C65" w14:paraId="2DC4DA2C" w14:textId="77777777" w:rsidTr="00BC4C65">
        <w:trPr>
          <w:trHeight w:val="288"/>
        </w:trPr>
        <w:tc>
          <w:tcPr>
            <w:tcW w:w="656" w:type="dxa"/>
            <w:vMerge w:val="restart"/>
            <w:shd w:val="clear" w:color="auto" w:fill="auto"/>
            <w:noWrap/>
            <w:vAlign w:val="center"/>
            <w:hideMark/>
          </w:tcPr>
          <w:p w14:paraId="01DECB3B" w14:textId="77777777" w:rsidR="0069679B" w:rsidRPr="00BC4C65" w:rsidRDefault="0069679B" w:rsidP="0069679B">
            <w:pPr>
              <w:spacing w:after="0"/>
              <w:jc w:val="center"/>
              <w:rPr>
                <w:rFonts w:ascii="Calibri" w:eastAsia="Times New Roman" w:hAnsi="Calibri" w:cs="Calibri"/>
                <w:b/>
                <w:bCs/>
                <w:color w:val="000000"/>
                <w:sz w:val="18"/>
                <w:szCs w:val="18"/>
              </w:rPr>
            </w:pPr>
            <w:r w:rsidRPr="00BC4C65">
              <w:rPr>
                <w:rFonts w:ascii="Calibri" w:eastAsia="Times New Roman" w:hAnsi="Calibri" w:cs="Calibri"/>
                <w:b/>
                <w:color w:val="000000"/>
                <w:sz w:val="18"/>
                <w:szCs w:val="18"/>
              </w:rPr>
              <w:t>&gt;18 years</w:t>
            </w:r>
          </w:p>
        </w:tc>
        <w:tc>
          <w:tcPr>
            <w:tcW w:w="848" w:type="dxa"/>
            <w:shd w:val="clear" w:color="auto" w:fill="auto"/>
            <w:noWrap/>
            <w:vAlign w:val="bottom"/>
            <w:hideMark/>
          </w:tcPr>
          <w:p w14:paraId="5B274E67" w14:textId="77777777" w:rsidR="0069679B" w:rsidRPr="00BC4C65" w:rsidRDefault="0069679B" w:rsidP="0069679B">
            <w:pPr>
              <w:spacing w:after="0"/>
              <w:rPr>
                <w:rFonts w:ascii="Calibri" w:eastAsia="Times New Roman" w:hAnsi="Calibri" w:cs="Calibri"/>
                <w:sz w:val="18"/>
                <w:szCs w:val="18"/>
              </w:rPr>
            </w:pPr>
            <w:r w:rsidRPr="00BC4C65">
              <w:rPr>
                <w:rFonts w:ascii="Calibri" w:eastAsia="Times New Roman" w:hAnsi="Calibri" w:cs="Calibri"/>
                <w:sz w:val="18"/>
                <w:szCs w:val="18"/>
              </w:rPr>
              <w:t>ACT</w:t>
            </w:r>
          </w:p>
        </w:tc>
        <w:tc>
          <w:tcPr>
            <w:tcW w:w="814" w:type="dxa"/>
            <w:shd w:val="clear" w:color="auto" w:fill="auto"/>
            <w:noWrap/>
            <w:vAlign w:val="bottom"/>
            <w:hideMark/>
          </w:tcPr>
          <w:p w14:paraId="0DF7B990"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2.73</w:t>
            </w:r>
          </w:p>
        </w:tc>
        <w:tc>
          <w:tcPr>
            <w:tcW w:w="814" w:type="dxa"/>
            <w:shd w:val="clear" w:color="auto" w:fill="auto"/>
            <w:noWrap/>
            <w:vAlign w:val="bottom"/>
            <w:hideMark/>
          </w:tcPr>
          <w:p w14:paraId="73968241"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2.96</w:t>
            </w:r>
          </w:p>
        </w:tc>
        <w:tc>
          <w:tcPr>
            <w:tcW w:w="814" w:type="dxa"/>
            <w:shd w:val="clear" w:color="auto" w:fill="auto"/>
            <w:noWrap/>
            <w:vAlign w:val="bottom"/>
            <w:hideMark/>
          </w:tcPr>
          <w:p w14:paraId="700FF99C"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3.31</w:t>
            </w:r>
          </w:p>
        </w:tc>
        <w:tc>
          <w:tcPr>
            <w:tcW w:w="752" w:type="dxa"/>
            <w:shd w:val="clear" w:color="auto" w:fill="auto"/>
            <w:noWrap/>
            <w:vAlign w:val="bottom"/>
            <w:hideMark/>
          </w:tcPr>
          <w:p w14:paraId="2FE7DB92"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3.75</w:t>
            </w:r>
          </w:p>
        </w:tc>
        <w:tc>
          <w:tcPr>
            <w:tcW w:w="841" w:type="dxa"/>
            <w:shd w:val="clear" w:color="auto" w:fill="auto"/>
            <w:noWrap/>
            <w:vAlign w:val="bottom"/>
            <w:hideMark/>
          </w:tcPr>
          <w:p w14:paraId="6CDF3A4A"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4.42</w:t>
            </w:r>
          </w:p>
        </w:tc>
        <w:tc>
          <w:tcPr>
            <w:tcW w:w="841" w:type="dxa"/>
            <w:shd w:val="clear" w:color="auto" w:fill="auto"/>
            <w:noWrap/>
            <w:vAlign w:val="bottom"/>
            <w:hideMark/>
          </w:tcPr>
          <w:p w14:paraId="4ACC294F"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5.62</w:t>
            </w:r>
          </w:p>
        </w:tc>
        <w:tc>
          <w:tcPr>
            <w:tcW w:w="841" w:type="dxa"/>
            <w:shd w:val="clear" w:color="auto" w:fill="auto"/>
            <w:noWrap/>
            <w:vAlign w:val="bottom"/>
            <w:hideMark/>
          </w:tcPr>
          <w:p w14:paraId="1559A26E"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7.65</w:t>
            </w:r>
          </w:p>
        </w:tc>
        <w:tc>
          <w:tcPr>
            <w:tcW w:w="718" w:type="dxa"/>
            <w:shd w:val="clear" w:color="auto" w:fill="auto"/>
            <w:noWrap/>
            <w:vAlign w:val="bottom"/>
            <w:hideMark/>
          </w:tcPr>
          <w:p w14:paraId="2AB90A90"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11.32</w:t>
            </w:r>
          </w:p>
        </w:tc>
        <w:tc>
          <w:tcPr>
            <w:tcW w:w="841" w:type="dxa"/>
            <w:shd w:val="clear" w:color="auto" w:fill="auto"/>
            <w:noWrap/>
            <w:vAlign w:val="bottom"/>
            <w:hideMark/>
          </w:tcPr>
          <w:p w14:paraId="17D6FD6C"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15.71</w:t>
            </w:r>
          </w:p>
        </w:tc>
      </w:tr>
      <w:tr w:rsidR="00BC4C65" w:rsidRPr="00BC4C65" w14:paraId="5D468990" w14:textId="77777777" w:rsidTr="00BC4C65">
        <w:trPr>
          <w:trHeight w:val="288"/>
        </w:trPr>
        <w:tc>
          <w:tcPr>
            <w:tcW w:w="656" w:type="dxa"/>
            <w:vMerge/>
            <w:shd w:val="clear" w:color="auto" w:fill="auto"/>
            <w:noWrap/>
            <w:vAlign w:val="bottom"/>
            <w:hideMark/>
          </w:tcPr>
          <w:p w14:paraId="73F29DD4" w14:textId="77777777" w:rsidR="0069679B" w:rsidRPr="00BC4C65" w:rsidRDefault="0069679B" w:rsidP="0069679B">
            <w:pPr>
              <w:spacing w:after="0"/>
              <w:jc w:val="right"/>
              <w:rPr>
                <w:rFonts w:ascii="Calibri" w:eastAsia="Times New Roman" w:hAnsi="Calibri" w:cs="Calibri"/>
                <w:sz w:val="18"/>
                <w:szCs w:val="18"/>
              </w:rPr>
            </w:pPr>
          </w:p>
        </w:tc>
        <w:tc>
          <w:tcPr>
            <w:tcW w:w="848" w:type="dxa"/>
            <w:shd w:val="clear" w:color="auto" w:fill="auto"/>
            <w:noWrap/>
            <w:vAlign w:val="bottom"/>
            <w:hideMark/>
          </w:tcPr>
          <w:p w14:paraId="3D9DB1AC" w14:textId="77777777" w:rsidR="0069679B" w:rsidRPr="00BC4C65" w:rsidRDefault="0069679B" w:rsidP="0069679B">
            <w:pPr>
              <w:spacing w:after="0"/>
              <w:rPr>
                <w:rFonts w:ascii="Calibri" w:eastAsia="Times New Roman" w:hAnsi="Calibri" w:cs="Calibri"/>
                <w:sz w:val="18"/>
                <w:szCs w:val="18"/>
              </w:rPr>
            </w:pPr>
            <w:r w:rsidRPr="00BC4C65">
              <w:rPr>
                <w:rFonts w:ascii="Calibri" w:eastAsia="Times New Roman" w:hAnsi="Calibri" w:cs="Calibri"/>
                <w:sz w:val="18"/>
                <w:szCs w:val="18"/>
              </w:rPr>
              <w:t>NSW</w:t>
            </w:r>
          </w:p>
        </w:tc>
        <w:tc>
          <w:tcPr>
            <w:tcW w:w="814" w:type="dxa"/>
            <w:shd w:val="clear" w:color="auto" w:fill="auto"/>
            <w:noWrap/>
            <w:vAlign w:val="bottom"/>
            <w:hideMark/>
          </w:tcPr>
          <w:p w14:paraId="65B5DD70"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2.17</w:t>
            </w:r>
          </w:p>
        </w:tc>
        <w:tc>
          <w:tcPr>
            <w:tcW w:w="814" w:type="dxa"/>
            <w:shd w:val="clear" w:color="auto" w:fill="auto"/>
            <w:noWrap/>
            <w:vAlign w:val="bottom"/>
            <w:hideMark/>
          </w:tcPr>
          <w:p w14:paraId="0CFCF63F"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2.42</w:t>
            </w:r>
          </w:p>
        </w:tc>
        <w:tc>
          <w:tcPr>
            <w:tcW w:w="814" w:type="dxa"/>
            <w:shd w:val="clear" w:color="auto" w:fill="auto"/>
            <w:noWrap/>
            <w:vAlign w:val="bottom"/>
            <w:hideMark/>
          </w:tcPr>
          <w:p w14:paraId="5F7F7938"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2.69</w:t>
            </w:r>
          </w:p>
        </w:tc>
        <w:tc>
          <w:tcPr>
            <w:tcW w:w="752" w:type="dxa"/>
            <w:shd w:val="clear" w:color="auto" w:fill="auto"/>
            <w:noWrap/>
            <w:vAlign w:val="bottom"/>
            <w:hideMark/>
          </w:tcPr>
          <w:p w14:paraId="385A4B3C"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3.02</w:t>
            </w:r>
          </w:p>
        </w:tc>
        <w:tc>
          <w:tcPr>
            <w:tcW w:w="841" w:type="dxa"/>
            <w:shd w:val="clear" w:color="auto" w:fill="auto"/>
            <w:noWrap/>
            <w:vAlign w:val="bottom"/>
            <w:hideMark/>
          </w:tcPr>
          <w:p w14:paraId="7B051A3B"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3.44</w:t>
            </w:r>
          </w:p>
        </w:tc>
        <w:tc>
          <w:tcPr>
            <w:tcW w:w="841" w:type="dxa"/>
            <w:shd w:val="clear" w:color="auto" w:fill="auto"/>
            <w:noWrap/>
            <w:vAlign w:val="bottom"/>
            <w:hideMark/>
          </w:tcPr>
          <w:p w14:paraId="0DCC36AF"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4.04</w:t>
            </w:r>
          </w:p>
        </w:tc>
        <w:tc>
          <w:tcPr>
            <w:tcW w:w="841" w:type="dxa"/>
            <w:shd w:val="clear" w:color="auto" w:fill="auto"/>
            <w:noWrap/>
            <w:vAlign w:val="bottom"/>
            <w:hideMark/>
          </w:tcPr>
          <w:p w14:paraId="6E5A84C1"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5.19</w:t>
            </w:r>
          </w:p>
        </w:tc>
        <w:tc>
          <w:tcPr>
            <w:tcW w:w="718" w:type="dxa"/>
            <w:shd w:val="clear" w:color="auto" w:fill="auto"/>
            <w:noWrap/>
            <w:vAlign w:val="bottom"/>
            <w:hideMark/>
          </w:tcPr>
          <w:p w14:paraId="21A3CE43"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7.09</w:t>
            </w:r>
          </w:p>
        </w:tc>
        <w:tc>
          <w:tcPr>
            <w:tcW w:w="841" w:type="dxa"/>
            <w:shd w:val="clear" w:color="auto" w:fill="auto"/>
            <w:noWrap/>
            <w:vAlign w:val="bottom"/>
            <w:hideMark/>
          </w:tcPr>
          <w:p w14:paraId="242C946B"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9.46</w:t>
            </w:r>
          </w:p>
        </w:tc>
      </w:tr>
      <w:tr w:rsidR="00BC4C65" w:rsidRPr="00BC4C65" w14:paraId="65D123ED" w14:textId="77777777" w:rsidTr="00BC4C65">
        <w:trPr>
          <w:trHeight w:val="288"/>
        </w:trPr>
        <w:tc>
          <w:tcPr>
            <w:tcW w:w="656" w:type="dxa"/>
            <w:vMerge/>
            <w:shd w:val="clear" w:color="auto" w:fill="auto"/>
            <w:noWrap/>
            <w:vAlign w:val="bottom"/>
            <w:hideMark/>
          </w:tcPr>
          <w:p w14:paraId="76183818" w14:textId="77777777" w:rsidR="0069679B" w:rsidRPr="00BC4C65" w:rsidRDefault="0069679B" w:rsidP="0069679B">
            <w:pPr>
              <w:spacing w:after="0"/>
              <w:jc w:val="right"/>
              <w:rPr>
                <w:rFonts w:ascii="Calibri" w:eastAsia="Times New Roman" w:hAnsi="Calibri" w:cs="Calibri"/>
                <w:sz w:val="18"/>
                <w:szCs w:val="18"/>
              </w:rPr>
            </w:pPr>
          </w:p>
        </w:tc>
        <w:tc>
          <w:tcPr>
            <w:tcW w:w="848" w:type="dxa"/>
            <w:shd w:val="clear" w:color="auto" w:fill="auto"/>
            <w:noWrap/>
            <w:vAlign w:val="bottom"/>
            <w:hideMark/>
          </w:tcPr>
          <w:p w14:paraId="1A2CE84F" w14:textId="77777777" w:rsidR="0069679B" w:rsidRPr="00BC4C65" w:rsidRDefault="0069679B" w:rsidP="0069679B">
            <w:pPr>
              <w:spacing w:after="0"/>
              <w:rPr>
                <w:rFonts w:ascii="Calibri" w:eastAsia="Times New Roman" w:hAnsi="Calibri" w:cs="Calibri"/>
                <w:sz w:val="18"/>
                <w:szCs w:val="18"/>
              </w:rPr>
            </w:pPr>
            <w:r w:rsidRPr="00BC4C65">
              <w:rPr>
                <w:rFonts w:ascii="Calibri" w:eastAsia="Times New Roman" w:hAnsi="Calibri" w:cs="Calibri"/>
                <w:sz w:val="18"/>
                <w:szCs w:val="18"/>
              </w:rPr>
              <w:t>NT</w:t>
            </w:r>
          </w:p>
        </w:tc>
        <w:tc>
          <w:tcPr>
            <w:tcW w:w="814" w:type="dxa"/>
            <w:shd w:val="clear" w:color="auto" w:fill="auto"/>
            <w:noWrap/>
            <w:vAlign w:val="bottom"/>
            <w:hideMark/>
          </w:tcPr>
          <w:p w14:paraId="47D8CE47"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1.20</w:t>
            </w:r>
          </w:p>
        </w:tc>
        <w:tc>
          <w:tcPr>
            <w:tcW w:w="814" w:type="dxa"/>
            <w:shd w:val="clear" w:color="auto" w:fill="auto"/>
            <w:noWrap/>
            <w:vAlign w:val="bottom"/>
            <w:hideMark/>
          </w:tcPr>
          <w:p w14:paraId="636E60BE"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1.26</w:t>
            </w:r>
          </w:p>
        </w:tc>
        <w:tc>
          <w:tcPr>
            <w:tcW w:w="814" w:type="dxa"/>
            <w:shd w:val="clear" w:color="auto" w:fill="auto"/>
            <w:noWrap/>
            <w:vAlign w:val="bottom"/>
            <w:hideMark/>
          </w:tcPr>
          <w:p w14:paraId="1C8248E5"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1.42</w:t>
            </w:r>
          </w:p>
        </w:tc>
        <w:tc>
          <w:tcPr>
            <w:tcW w:w="752" w:type="dxa"/>
            <w:shd w:val="clear" w:color="auto" w:fill="auto"/>
            <w:noWrap/>
            <w:vAlign w:val="bottom"/>
            <w:hideMark/>
          </w:tcPr>
          <w:p w14:paraId="4D3333EF"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1.73</w:t>
            </w:r>
          </w:p>
        </w:tc>
        <w:tc>
          <w:tcPr>
            <w:tcW w:w="841" w:type="dxa"/>
            <w:shd w:val="clear" w:color="auto" w:fill="auto"/>
            <w:noWrap/>
            <w:vAlign w:val="bottom"/>
            <w:hideMark/>
          </w:tcPr>
          <w:p w14:paraId="405C4140"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2.02</w:t>
            </w:r>
          </w:p>
        </w:tc>
        <w:tc>
          <w:tcPr>
            <w:tcW w:w="841" w:type="dxa"/>
            <w:shd w:val="clear" w:color="auto" w:fill="auto"/>
            <w:noWrap/>
            <w:vAlign w:val="bottom"/>
            <w:hideMark/>
          </w:tcPr>
          <w:p w14:paraId="2E3FFD88"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2.12</w:t>
            </w:r>
          </w:p>
        </w:tc>
        <w:tc>
          <w:tcPr>
            <w:tcW w:w="841" w:type="dxa"/>
            <w:shd w:val="clear" w:color="auto" w:fill="auto"/>
            <w:noWrap/>
            <w:vAlign w:val="bottom"/>
            <w:hideMark/>
          </w:tcPr>
          <w:p w14:paraId="67EE169B"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2.78</w:t>
            </w:r>
          </w:p>
        </w:tc>
        <w:tc>
          <w:tcPr>
            <w:tcW w:w="718" w:type="dxa"/>
            <w:shd w:val="clear" w:color="auto" w:fill="auto"/>
            <w:noWrap/>
            <w:vAlign w:val="bottom"/>
            <w:hideMark/>
          </w:tcPr>
          <w:p w14:paraId="33E62E19"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4.25</w:t>
            </w:r>
          </w:p>
        </w:tc>
        <w:tc>
          <w:tcPr>
            <w:tcW w:w="841" w:type="dxa"/>
            <w:shd w:val="clear" w:color="auto" w:fill="auto"/>
            <w:noWrap/>
            <w:vAlign w:val="bottom"/>
            <w:hideMark/>
          </w:tcPr>
          <w:p w14:paraId="20833D3D"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6.28</w:t>
            </w:r>
          </w:p>
        </w:tc>
      </w:tr>
      <w:tr w:rsidR="00BC4C65" w:rsidRPr="00BC4C65" w14:paraId="7D816F3D" w14:textId="77777777" w:rsidTr="00BC4C65">
        <w:trPr>
          <w:trHeight w:val="288"/>
        </w:trPr>
        <w:tc>
          <w:tcPr>
            <w:tcW w:w="656" w:type="dxa"/>
            <w:vMerge/>
            <w:shd w:val="clear" w:color="auto" w:fill="auto"/>
            <w:noWrap/>
            <w:vAlign w:val="bottom"/>
            <w:hideMark/>
          </w:tcPr>
          <w:p w14:paraId="235C21FA" w14:textId="77777777" w:rsidR="0069679B" w:rsidRPr="00BC4C65" w:rsidRDefault="0069679B" w:rsidP="0069679B">
            <w:pPr>
              <w:spacing w:after="0"/>
              <w:jc w:val="right"/>
              <w:rPr>
                <w:rFonts w:ascii="Calibri" w:eastAsia="Times New Roman" w:hAnsi="Calibri" w:cs="Calibri"/>
                <w:sz w:val="18"/>
                <w:szCs w:val="18"/>
              </w:rPr>
            </w:pPr>
          </w:p>
        </w:tc>
        <w:tc>
          <w:tcPr>
            <w:tcW w:w="848" w:type="dxa"/>
            <w:shd w:val="clear" w:color="auto" w:fill="auto"/>
            <w:noWrap/>
            <w:vAlign w:val="bottom"/>
            <w:hideMark/>
          </w:tcPr>
          <w:p w14:paraId="2090365C" w14:textId="77777777" w:rsidR="0069679B" w:rsidRPr="00BC4C65" w:rsidRDefault="0069679B" w:rsidP="0069679B">
            <w:pPr>
              <w:spacing w:after="0"/>
              <w:rPr>
                <w:rFonts w:ascii="Calibri" w:eastAsia="Times New Roman" w:hAnsi="Calibri" w:cs="Calibri"/>
                <w:sz w:val="18"/>
                <w:szCs w:val="18"/>
              </w:rPr>
            </w:pPr>
            <w:r w:rsidRPr="00BC4C65">
              <w:rPr>
                <w:rFonts w:ascii="Calibri" w:eastAsia="Times New Roman" w:hAnsi="Calibri" w:cs="Calibri"/>
                <w:sz w:val="18"/>
                <w:szCs w:val="18"/>
              </w:rPr>
              <w:t>QLD</w:t>
            </w:r>
          </w:p>
        </w:tc>
        <w:tc>
          <w:tcPr>
            <w:tcW w:w="814" w:type="dxa"/>
            <w:shd w:val="clear" w:color="auto" w:fill="auto"/>
            <w:noWrap/>
            <w:vAlign w:val="bottom"/>
            <w:hideMark/>
          </w:tcPr>
          <w:p w14:paraId="57822649"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2.01</w:t>
            </w:r>
          </w:p>
        </w:tc>
        <w:tc>
          <w:tcPr>
            <w:tcW w:w="814" w:type="dxa"/>
            <w:shd w:val="clear" w:color="auto" w:fill="auto"/>
            <w:noWrap/>
            <w:vAlign w:val="bottom"/>
            <w:hideMark/>
          </w:tcPr>
          <w:p w14:paraId="3703A792"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2.33</w:t>
            </w:r>
          </w:p>
        </w:tc>
        <w:tc>
          <w:tcPr>
            <w:tcW w:w="814" w:type="dxa"/>
            <w:shd w:val="clear" w:color="auto" w:fill="auto"/>
            <w:noWrap/>
            <w:vAlign w:val="bottom"/>
            <w:hideMark/>
          </w:tcPr>
          <w:p w14:paraId="224058D8"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2.63</w:t>
            </w:r>
          </w:p>
        </w:tc>
        <w:tc>
          <w:tcPr>
            <w:tcW w:w="752" w:type="dxa"/>
            <w:shd w:val="clear" w:color="auto" w:fill="auto"/>
            <w:noWrap/>
            <w:vAlign w:val="bottom"/>
            <w:hideMark/>
          </w:tcPr>
          <w:p w14:paraId="199D10EA"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2.95</w:t>
            </w:r>
          </w:p>
        </w:tc>
        <w:tc>
          <w:tcPr>
            <w:tcW w:w="841" w:type="dxa"/>
            <w:shd w:val="clear" w:color="auto" w:fill="auto"/>
            <w:noWrap/>
            <w:vAlign w:val="bottom"/>
            <w:hideMark/>
          </w:tcPr>
          <w:p w14:paraId="399EAE8F"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3.28</w:t>
            </w:r>
          </w:p>
        </w:tc>
        <w:tc>
          <w:tcPr>
            <w:tcW w:w="841" w:type="dxa"/>
            <w:shd w:val="clear" w:color="auto" w:fill="auto"/>
            <w:noWrap/>
            <w:vAlign w:val="bottom"/>
            <w:hideMark/>
          </w:tcPr>
          <w:p w14:paraId="179B7DB7"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3.79</w:t>
            </w:r>
          </w:p>
        </w:tc>
        <w:tc>
          <w:tcPr>
            <w:tcW w:w="841" w:type="dxa"/>
            <w:shd w:val="clear" w:color="auto" w:fill="auto"/>
            <w:noWrap/>
            <w:vAlign w:val="bottom"/>
            <w:hideMark/>
          </w:tcPr>
          <w:p w14:paraId="4332A02F"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5.11</w:t>
            </w:r>
          </w:p>
        </w:tc>
        <w:tc>
          <w:tcPr>
            <w:tcW w:w="718" w:type="dxa"/>
            <w:shd w:val="clear" w:color="auto" w:fill="auto"/>
            <w:noWrap/>
            <w:vAlign w:val="bottom"/>
            <w:hideMark/>
          </w:tcPr>
          <w:p w14:paraId="08380897"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7.47</w:t>
            </w:r>
          </w:p>
        </w:tc>
        <w:tc>
          <w:tcPr>
            <w:tcW w:w="841" w:type="dxa"/>
            <w:shd w:val="clear" w:color="auto" w:fill="auto"/>
            <w:noWrap/>
            <w:vAlign w:val="bottom"/>
            <w:hideMark/>
          </w:tcPr>
          <w:p w14:paraId="68AE3057"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10.24</w:t>
            </w:r>
          </w:p>
        </w:tc>
      </w:tr>
      <w:tr w:rsidR="00BC4C65" w:rsidRPr="00BC4C65" w14:paraId="28EFC864" w14:textId="77777777" w:rsidTr="00BC4C65">
        <w:trPr>
          <w:trHeight w:val="288"/>
        </w:trPr>
        <w:tc>
          <w:tcPr>
            <w:tcW w:w="656" w:type="dxa"/>
            <w:vMerge/>
            <w:shd w:val="clear" w:color="auto" w:fill="auto"/>
            <w:noWrap/>
            <w:vAlign w:val="bottom"/>
            <w:hideMark/>
          </w:tcPr>
          <w:p w14:paraId="69957E1B" w14:textId="77777777" w:rsidR="0069679B" w:rsidRPr="00BC4C65" w:rsidRDefault="0069679B" w:rsidP="0069679B">
            <w:pPr>
              <w:spacing w:after="0"/>
              <w:jc w:val="right"/>
              <w:rPr>
                <w:rFonts w:ascii="Calibri" w:eastAsia="Times New Roman" w:hAnsi="Calibri" w:cs="Calibri"/>
                <w:sz w:val="18"/>
                <w:szCs w:val="18"/>
              </w:rPr>
            </w:pPr>
          </w:p>
        </w:tc>
        <w:tc>
          <w:tcPr>
            <w:tcW w:w="848" w:type="dxa"/>
            <w:shd w:val="clear" w:color="auto" w:fill="auto"/>
            <w:noWrap/>
            <w:vAlign w:val="bottom"/>
            <w:hideMark/>
          </w:tcPr>
          <w:p w14:paraId="2713B0E5" w14:textId="77777777" w:rsidR="0069679B" w:rsidRPr="00BC4C65" w:rsidRDefault="0069679B" w:rsidP="0069679B">
            <w:pPr>
              <w:spacing w:after="0"/>
              <w:rPr>
                <w:rFonts w:ascii="Calibri" w:eastAsia="Times New Roman" w:hAnsi="Calibri" w:cs="Calibri"/>
                <w:sz w:val="18"/>
                <w:szCs w:val="18"/>
              </w:rPr>
            </w:pPr>
            <w:r w:rsidRPr="00BC4C65">
              <w:rPr>
                <w:rFonts w:ascii="Calibri" w:eastAsia="Times New Roman" w:hAnsi="Calibri" w:cs="Calibri"/>
                <w:sz w:val="18"/>
                <w:szCs w:val="18"/>
              </w:rPr>
              <w:t>SA</w:t>
            </w:r>
          </w:p>
        </w:tc>
        <w:tc>
          <w:tcPr>
            <w:tcW w:w="814" w:type="dxa"/>
            <w:shd w:val="clear" w:color="auto" w:fill="auto"/>
            <w:noWrap/>
            <w:vAlign w:val="bottom"/>
            <w:hideMark/>
          </w:tcPr>
          <w:p w14:paraId="397607ED"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1.26</w:t>
            </w:r>
          </w:p>
        </w:tc>
        <w:tc>
          <w:tcPr>
            <w:tcW w:w="814" w:type="dxa"/>
            <w:shd w:val="clear" w:color="auto" w:fill="auto"/>
            <w:noWrap/>
            <w:vAlign w:val="bottom"/>
            <w:hideMark/>
          </w:tcPr>
          <w:p w14:paraId="001AD48F"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1.37</w:t>
            </w:r>
          </w:p>
        </w:tc>
        <w:tc>
          <w:tcPr>
            <w:tcW w:w="814" w:type="dxa"/>
            <w:shd w:val="clear" w:color="auto" w:fill="auto"/>
            <w:noWrap/>
            <w:vAlign w:val="bottom"/>
            <w:hideMark/>
          </w:tcPr>
          <w:p w14:paraId="2059340A"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1.56</w:t>
            </w:r>
          </w:p>
        </w:tc>
        <w:tc>
          <w:tcPr>
            <w:tcW w:w="752" w:type="dxa"/>
            <w:shd w:val="clear" w:color="auto" w:fill="auto"/>
            <w:noWrap/>
            <w:vAlign w:val="bottom"/>
            <w:hideMark/>
          </w:tcPr>
          <w:p w14:paraId="192E1F0E"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1.70</w:t>
            </w:r>
          </w:p>
        </w:tc>
        <w:tc>
          <w:tcPr>
            <w:tcW w:w="841" w:type="dxa"/>
            <w:shd w:val="clear" w:color="auto" w:fill="auto"/>
            <w:noWrap/>
            <w:vAlign w:val="bottom"/>
            <w:hideMark/>
          </w:tcPr>
          <w:p w14:paraId="196A1F86"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1.87</w:t>
            </w:r>
          </w:p>
        </w:tc>
        <w:tc>
          <w:tcPr>
            <w:tcW w:w="841" w:type="dxa"/>
            <w:shd w:val="clear" w:color="auto" w:fill="auto"/>
            <w:noWrap/>
            <w:vAlign w:val="bottom"/>
            <w:hideMark/>
          </w:tcPr>
          <w:p w14:paraId="17481D71"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2.20</w:t>
            </w:r>
          </w:p>
        </w:tc>
        <w:tc>
          <w:tcPr>
            <w:tcW w:w="841" w:type="dxa"/>
            <w:shd w:val="clear" w:color="auto" w:fill="auto"/>
            <w:noWrap/>
            <w:vAlign w:val="bottom"/>
            <w:hideMark/>
          </w:tcPr>
          <w:p w14:paraId="449E2FA6"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2.83</w:t>
            </w:r>
          </w:p>
        </w:tc>
        <w:tc>
          <w:tcPr>
            <w:tcW w:w="718" w:type="dxa"/>
            <w:shd w:val="clear" w:color="auto" w:fill="auto"/>
            <w:noWrap/>
            <w:vAlign w:val="bottom"/>
            <w:hideMark/>
          </w:tcPr>
          <w:p w14:paraId="0396C49B"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4.29</w:t>
            </w:r>
          </w:p>
        </w:tc>
        <w:tc>
          <w:tcPr>
            <w:tcW w:w="841" w:type="dxa"/>
            <w:shd w:val="clear" w:color="auto" w:fill="auto"/>
            <w:noWrap/>
            <w:vAlign w:val="bottom"/>
            <w:hideMark/>
          </w:tcPr>
          <w:p w14:paraId="4A0124DB"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6.58</w:t>
            </w:r>
          </w:p>
        </w:tc>
      </w:tr>
      <w:tr w:rsidR="00BC4C65" w:rsidRPr="00BC4C65" w14:paraId="63F6A7FC" w14:textId="77777777" w:rsidTr="00BC4C65">
        <w:trPr>
          <w:trHeight w:val="288"/>
        </w:trPr>
        <w:tc>
          <w:tcPr>
            <w:tcW w:w="656" w:type="dxa"/>
            <w:vMerge/>
            <w:shd w:val="clear" w:color="auto" w:fill="auto"/>
            <w:noWrap/>
            <w:vAlign w:val="bottom"/>
            <w:hideMark/>
          </w:tcPr>
          <w:p w14:paraId="11E76E36" w14:textId="77777777" w:rsidR="0069679B" w:rsidRPr="00BC4C65" w:rsidRDefault="0069679B" w:rsidP="0069679B">
            <w:pPr>
              <w:spacing w:after="0"/>
              <w:jc w:val="right"/>
              <w:rPr>
                <w:rFonts w:ascii="Calibri" w:eastAsia="Times New Roman" w:hAnsi="Calibri" w:cs="Calibri"/>
                <w:sz w:val="18"/>
                <w:szCs w:val="18"/>
              </w:rPr>
            </w:pPr>
          </w:p>
        </w:tc>
        <w:tc>
          <w:tcPr>
            <w:tcW w:w="848" w:type="dxa"/>
            <w:shd w:val="clear" w:color="auto" w:fill="auto"/>
            <w:noWrap/>
            <w:vAlign w:val="bottom"/>
            <w:hideMark/>
          </w:tcPr>
          <w:p w14:paraId="767BC4D6" w14:textId="77777777" w:rsidR="0069679B" w:rsidRPr="00BC4C65" w:rsidRDefault="0069679B" w:rsidP="0069679B">
            <w:pPr>
              <w:spacing w:after="0"/>
              <w:rPr>
                <w:rFonts w:ascii="Calibri" w:eastAsia="Times New Roman" w:hAnsi="Calibri" w:cs="Calibri"/>
                <w:sz w:val="18"/>
                <w:szCs w:val="18"/>
              </w:rPr>
            </w:pPr>
            <w:r w:rsidRPr="00BC4C65">
              <w:rPr>
                <w:rFonts w:ascii="Calibri" w:eastAsia="Times New Roman" w:hAnsi="Calibri" w:cs="Calibri"/>
                <w:sz w:val="18"/>
                <w:szCs w:val="18"/>
              </w:rPr>
              <w:t>TAS</w:t>
            </w:r>
          </w:p>
        </w:tc>
        <w:tc>
          <w:tcPr>
            <w:tcW w:w="814" w:type="dxa"/>
            <w:shd w:val="clear" w:color="auto" w:fill="auto"/>
            <w:noWrap/>
            <w:vAlign w:val="bottom"/>
            <w:hideMark/>
          </w:tcPr>
          <w:p w14:paraId="053B40EE"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1.03</w:t>
            </w:r>
          </w:p>
        </w:tc>
        <w:tc>
          <w:tcPr>
            <w:tcW w:w="814" w:type="dxa"/>
            <w:shd w:val="clear" w:color="auto" w:fill="auto"/>
            <w:noWrap/>
            <w:vAlign w:val="bottom"/>
            <w:hideMark/>
          </w:tcPr>
          <w:p w14:paraId="4D368F40"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1.36</w:t>
            </w:r>
          </w:p>
        </w:tc>
        <w:tc>
          <w:tcPr>
            <w:tcW w:w="814" w:type="dxa"/>
            <w:shd w:val="clear" w:color="auto" w:fill="auto"/>
            <w:noWrap/>
            <w:vAlign w:val="bottom"/>
            <w:hideMark/>
          </w:tcPr>
          <w:p w14:paraId="41226B35"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1.79</w:t>
            </w:r>
          </w:p>
        </w:tc>
        <w:tc>
          <w:tcPr>
            <w:tcW w:w="752" w:type="dxa"/>
            <w:shd w:val="clear" w:color="auto" w:fill="auto"/>
            <w:noWrap/>
            <w:vAlign w:val="bottom"/>
            <w:hideMark/>
          </w:tcPr>
          <w:p w14:paraId="6077ABBD"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2.06</w:t>
            </w:r>
          </w:p>
        </w:tc>
        <w:tc>
          <w:tcPr>
            <w:tcW w:w="841" w:type="dxa"/>
            <w:shd w:val="clear" w:color="auto" w:fill="auto"/>
            <w:noWrap/>
            <w:vAlign w:val="bottom"/>
            <w:hideMark/>
          </w:tcPr>
          <w:p w14:paraId="6A04698B"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2.15</w:t>
            </w:r>
          </w:p>
        </w:tc>
        <w:tc>
          <w:tcPr>
            <w:tcW w:w="841" w:type="dxa"/>
            <w:shd w:val="clear" w:color="auto" w:fill="auto"/>
            <w:noWrap/>
            <w:vAlign w:val="bottom"/>
            <w:hideMark/>
          </w:tcPr>
          <w:p w14:paraId="4651EB50"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2.67</w:t>
            </w:r>
          </w:p>
        </w:tc>
        <w:tc>
          <w:tcPr>
            <w:tcW w:w="841" w:type="dxa"/>
            <w:shd w:val="clear" w:color="auto" w:fill="auto"/>
            <w:noWrap/>
            <w:vAlign w:val="bottom"/>
            <w:hideMark/>
          </w:tcPr>
          <w:p w14:paraId="4FBD3287"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3.67</w:t>
            </w:r>
          </w:p>
        </w:tc>
        <w:tc>
          <w:tcPr>
            <w:tcW w:w="718" w:type="dxa"/>
            <w:shd w:val="clear" w:color="auto" w:fill="auto"/>
            <w:noWrap/>
            <w:vAlign w:val="bottom"/>
            <w:hideMark/>
          </w:tcPr>
          <w:p w14:paraId="28485669"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5.73</w:t>
            </w:r>
          </w:p>
        </w:tc>
        <w:tc>
          <w:tcPr>
            <w:tcW w:w="841" w:type="dxa"/>
            <w:shd w:val="clear" w:color="auto" w:fill="auto"/>
            <w:noWrap/>
            <w:vAlign w:val="bottom"/>
            <w:hideMark/>
          </w:tcPr>
          <w:p w14:paraId="7A27CD29"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8.66</w:t>
            </w:r>
          </w:p>
        </w:tc>
      </w:tr>
      <w:tr w:rsidR="00BC4C65" w:rsidRPr="00BC4C65" w14:paraId="7D53B6C4" w14:textId="77777777" w:rsidTr="00BC4C65">
        <w:trPr>
          <w:trHeight w:val="288"/>
        </w:trPr>
        <w:tc>
          <w:tcPr>
            <w:tcW w:w="656" w:type="dxa"/>
            <w:vMerge/>
            <w:shd w:val="clear" w:color="auto" w:fill="auto"/>
            <w:noWrap/>
            <w:vAlign w:val="bottom"/>
            <w:hideMark/>
          </w:tcPr>
          <w:p w14:paraId="089765C3" w14:textId="77777777" w:rsidR="0069679B" w:rsidRPr="00BC4C65" w:rsidRDefault="0069679B" w:rsidP="0069679B">
            <w:pPr>
              <w:spacing w:after="0"/>
              <w:jc w:val="right"/>
              <w:rPr>
                <w:rFonts w:ascii="Calibri" w:eastAsia="Times New Roman" w:hAnsi="Calibri" w:cs="Calibri"/>
                <w:sz w:val="18"/>
                <w:szCs w:val="18"/>
              </w:rPr>
            </w:pPr>
          </w:p>
        </w:tc>
        <w:tc>
          <w:tcPr>
            <w:tcW w:w="848" w:type="dxa"/>
            <w:shd w:val="clear" w:color="auto" w:fill="auto"/>
            <w:noWrap/>
            <w:vAlign w:val="bottom"/>
            <w:hideMark/>
          </w:tcPr>
          <w:p w14:paraId="33279CF1" w14:textId="77777777" w:rsidR="0069679B" w:rsidRPr="00BC4C65" w:rsidRDefault="0069679B" w:rsidP="0069679B">
            <w:pPr>
              <w:spacing w:after="0"/>
              <w:rPr>
                <w:rFonts w:ascii="Calibri" w:eastAsia="Times New Roman" w:hAnsi="Calibri" w:cs="Calibri"/>
                <w:sz w:val="18"/>
                <w:szCs w:val="18"/>
              </w:rPr>
            </w:pPr>
            <w:r w:rsidRPr="00BC4C65">
              <w:rPr>
                <w:rFonts w:ascii="Calibri" w:eastAsia="Times New Roman" w:hAnsi="Calibri" w:cs="Calibri"/>
                <w:sz w:val="18"/>
                <w:szCs w:val="18"/>
              </w:rPr>
              <w:t>VIC</w:t>
            </w:r>
          </w:p>
        </w:tc>
        <w:tc>
          <w:tcPr>
            <w:tcW w:w="814" w:type="dxa"/>
            <w:shd w:val="clear" w:color="auto" w:fill="auto"/>
            <w:noWrap/>
            <w:vAlign w:val="bottom"/>
            <w:hideMark/>
          </w:tcPr>
          <w:p w14:paraId="11BC9EBF"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1.32</w:t>
            </w:r>
          </w:p>
        </w:tc>
        <w:tc>
          <w:tcPr>
            <w:tcW w:w="814" w:type="dxa"/>
            <w:shd w:val="clear" w:color="auto" w:fill="auto"/>
            <w:noWrap/>
            <w:vAlign w:val="bottom"/>
            <w:hideMark/>
          </w:tcPr>
          <w:p w14:paraId="0C22CD06"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1.51</w:t>
            </w:r>
          </w:p>
        </w:tc>
        <w:tc>
          <w:tcPr>
            <w:tcW w:w="814" w:type="dxa"/>
            <w:shd w:val="clear" w:color="auto" w:fill="auto"/>
            <w:noWrap/>
            <w:vAlign w:val="bottom"/>
            <w:hideMark/>
          </w:tcPr>
          <w:p w14:paraId="2E20052B"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1.70</w:t>
            </w:r>
          </w:p>
        </w:tc>
        <w:tc>
          <w:tcPr>
            <w:tcW w:w="752" w:type="dxa"/>
            <w:shd w:val="clear" w:color="auto" w:fill="auto"/>
            <w:noWrap/>
            <w:vAlign w:val="bottom"/>
            <w:hideMark/>
          </w:tcPr>
          <w:p w14:paraId="1D731FFC"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1.93</w:t>
            </w:r>
          </w:p>
        </w:tc>
        <w:tc>
          <w:tcPr>
            <w:tcW w:w="841" w:type="dxa"/>
            <w:shd w:val="clear" w:color="auto" w:fill="auto"/>
            <w:noWrap/>
            <w:vAlign w:val="bottom"/>
            <w:hideMark/>
          </w:tcPr>
          <w:p w14:paraId="649EC675"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2.30</w:t>
            </w:r>
          </w:p>
        </w:tc>
        <w:tc>
          <w:tcPr>
            <w:tcW w:w="841" w:type="dxa"/>
            <w:shd w:val="clear" w:color="auto" w:fill="auto"/>
            <w:noWrap/>
            <w:vAlign w:val="bottom"/>
            <w:hideMark/>
          </w:tcPr>
          <w:p w14:paraId="3A307462"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2.81</w:t>
            </w:r>
          </w:p>
        </w:tc>
        <w:tc>
          <w:tcPr>
            <w:tcW w:w="841" w:type="dxa"/>
            <w:shd w:val="clear" w:color="auto" w:fill="auto"/>
            <w:noWrap/>
            <w:vAlign w:val="bottom"/>
            <w:hideMark/>
          </w:tcPr>
          <w:p w14:paraId="6FEDB36F"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4.07</w:t>
            </w:r>
          </w:p>
        </w:tc>
        <w:tc>
          <w:tcPr>
            <w:tcW w:w="718" w:type="dxa"/>
            <w:shd w:val="clear" w:color="auto" w:fill="auto"/>
            <w:noWrap/>
            <w:vAlign w:val="bottom"/>
            <w:hideMark/>
          </w:tcPr>
          <w:p w14:paraId="0D098F61"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6.27</w:t>
            </w:r>
          </w:p>
        </w:tc>
        <w:tc>
          <w:tcPr>
            <w:tcW w:w="841" w:type="dxa"/>
            <w:shd w:val="clear" w:color="auto" w:fill="auto"/>
            <w:noWrap/>
            <w:vAlign w:val="bottom"/>
            <w:hideMark/>
          </w:tcPr>
          <w:p w14:paraId="42CE3F00"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9.14</w:t>
            </w:r>
          </w:p>
        </w:tc>
      </w:tr>
      <w:tr w:rsidR="00BC4C65" w:rsidRPr="00BC4C65" w14:paraId="684630B8" w14:textId="77777777" w:rsidTr="00BC4C65">
        <w:trPr>
          <w:trHeight w:val="288"/>
        </w:trPr>
        <w:tc>
          <w:tcPr>
            <w:tcW w:w="656" w:type="dxa"/>
            <w:vMerge/>
            <w:shd w:val="clear" w:color="auto" w:fill="auto"/>
            <w:noWrap/>
            <w:vAlign w:val="bottom"/>
            <w:hideMark/>
          </w:tcPr>
          <w:p w14:paraId="0F978042" w14:textId="77777777" w:rsidR="0069679B" w:rsidRPr="00BC4C65" w:rsidRDefault="0069679B" w:rsidP="0069679B">
            <w:pPr>
              <w:spacing w:after="0"/>
              <w:jc w:val="right"/>
              <w:rPr>
                <w:rFonts w:ascii="Calibri" w:eastAsia="Times New Roman" w:hAnsi="Calibri" w:cs="Calibri"/>
                <w:sz w:val="18"/>
                <w:szCs w:val="18"/>
              </w:rPr>
            </w:pPr>
          </w:p>
        </w:tc>
        <w:tc>
          <w:tcPr>
            <w:tcW w:w="848" w:type="dxa"/>
            <w:shd w:val="clear" w:color="auto" w:fill="auto"/>
            <w:noWrap/>
            <w:vAlign w:val="bottom"/>
            <w:hideMark/>
          </w:tcPr>
          <w:p w14:paraId="42200B9D" w14:textId="77777777" w:rsidR="0069679B" w:rsidRPr="00BC4C65" w:rsidRDefault="0069679B" w:rsidP="0069679B">
            <w:pPr>
              <w:spacing w:after="0"/>
              <w:rPr>
                <w:rFonts w:ascii="Calibri" w:eastAsia="Times New Roman" w:hAnsi="Calibri" w:cs="Calibri"/>
                <w:sz w:val="18"/>
                <w:szCs w:val="18"/>
              </w:rPr>
            </w:pPr>
            <w:r w:rsidRPr="00BC4C65">
              <w:rPr>
                <w:rFonts w:ascii="Calibri" w:eastAsia="Times New Roman" w:hAnsi="Calibri" w:cs="Calibri"/>
                <w:sz w:val="18"/>
                <w:szCs w:val="18"/>
              </w:rPr>
              <w:t>WA</w:t>
            </w:r>
          </w:p>
        </w:tc>
        <w:tc>
          <w:tcPr>
            <w:tcW w:w="814" w:type="dxa"/>
            <w:shd w:val="clear" w:color="auto" w:fill="auto"/>
            <w:noWrap/>
            <w:vAlign w:val="bottom"/>
            <w:hideMark/>
          </w:tcPr>
          <w:p w14:paraId="626A633F"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5.56</w:t>
            </w:r>
          </w:p>
        </w:tc>
        <w:tc>
          <w:tcPr>
            <w:tcW w:w="814" w:type="dxa"/>
            <w:shd w:val="clear" w:color="auto" w:fill="auto"/>
            <w:noWrap/>
            <w:vAlign w:val="bottom"/>
            <w:hideMark/>
          </w:tcPr>
          <w:p w14:paraId="266E403B"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6.15</w:t>
            </w:r>
          </w:p>
        </w:tc>
        <w:tc>
          <w:tcPr>
            <w:tcW w:w="814" w:type="dxa"/>
            <w:shd w:val="clear" w:color="auto" w:fill="auto"/>
            <w:noWrap/>
            <w:vAlign w:val="bottom"/>
            <w:hideMark/>
          </w:tcPr>
          <w:p w14:paraId="6EA2D0D3"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6.54</w:t>
            </w:r>
          </w:p>
        </w:tc>
        <w:tc>
          <w:tcPr>
            <w:tcW w:w="752" w:type="dxa"/>
            <w:shd w:val="clear" w:color="auto" w:fill="auto"/>
            <w:noWrap/>
            <w:vAlign w:val="bottom"/>
            <w:hideMark/>
          </w:tcPr>
          <w:p w14:paraId="77323419"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6.97</w:t>
            </w:r>
          </w:p>
        </w:tc>
        <w:tc>
          <w:tcPr>
            <w:tcW w:w="841" w:type="dxa"/>
            <w:shd w:val="clear" w:color="auto" w:fill="auto"/>
            <w:noWrap/>
            <w:vAlign w:val="bottom"/>
            <w:hideMark/>
          </w:tcPr>
          <w:p w14:paraId="5C059040"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7.71</w:t>
            </w:r>
          </w:p>
        </w:tc>
        <w:tc>
          <w:tcPr>
            <w:tcW w:w="841" w:type="dxa"/>
            <w:shd w:val="clear" w:color="auto" w:fill="auto"/>
            <w:noWrap/>
            <w:vAlign w:val="bottom"/>
            <w:hideMark/>
          </w:tcPr>
          <w:p w14:paraId="5C7BDA1D"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8.55</w:t>
            </w:r>
          </w:p>
        </w:tc>
        <w:tc>
          <w:tcPr>
            <w:tcW w:w="841" w:type="dxa"/>
            <w:shd w:val="clear" w:color="auto" w:fill="auto"/>
            <w:noWrap/>
            <w:vAlign w:val="bottom"/>
            <w:hideMark/>
          </w:tcPr>
          <w:p w14:paraId="166B75D6"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10.80</w:t>
            </w:r>
          </w:p>
        </w:tc>
        <w:tc>
          <w:tcPr>
            <w:tcW w:w="718" w:type="dxa"/>
            <w:shd w:val="clear" w:color="auto" w:fill="auto"/>
            <w:noWrap/>
            <w:vAlign w:val="bottom"/>
            <w:hideMark/>
          </w:tcPr>
          <w:p w14:paraId="33944A6A"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14.50</w:t>
            </w:r>
          </w:p>
        </w:tc>
        <w:tc>
          <w:tcPr>
            <w:tcW w:w="841" w:type="dxa"/>
            <w:shd w:val="clear" w:color="auto" w:fill="auto"/>
            <w:noWrap/>
            <w:vAlign w:val="bottom"/>
            <w:hideMark/>
          </w:tcPr>
          <w:p w14:paraId="5AF79CC6" w14:textId="77777777" w:rsidR="0069679B" w:rsidRPr="00BC4C65" w:rsidRDefault="0069679B" w:rsidP="0069679B">
            <w:pPr>
              <w:spacing w:after="0"/>
              <w:jc w:val="right"/>
              <w:rPr>
                <w:rFonts w:ascii="Calibri" w:eastAsia="Times New Roman" w:hAnsi="Calibri" w:cs="Calibri"/>
                <w:sz w:val="18"/>
                <w:szCs w:val="18"/>
              </w:rPr>
            </w:pPr>
            <w:r w:rsidRPr="00BC4C65">
              <w:rPr>
                <w:rFonts w:ascii="Calibri" w:eastAsia="Times New Roman" w:hAnsi="Calibri" w:cs="Calibri"/>
                <w:sz w:val="18"/>
                <w:szCs w:val="18"/>
              </w:rPr>
              <w:t>18.49</w:t>
            </w:r>
          </w:p>
        </w:tc>
      </w:tr>
    </w:tbl>
    <w:p w14:paraId="3FD11A7F" w14:textId="77777777" w:rsidR="007E5D84" w:rsidRPr="00242991" w:rsidRDefault="007E5D84" w:rsidP="00215563">
      <w:pPr>
        <w:spacing w:after="0"/>
      </w:pPr>
    </w:p>
    <w:p w14:paraId="42B53FAB" w14:textId="694D0743" w:rsidR="00C2221C" w:rsidRPr="00242991" w:rsidRDefault="007E5D84" w:rsidP="00215563">
      <w:r w:rsidRPr="00242991">
        <w:t xml:space="preserve">Table 5 </w:t>
      </w:r>
      <w:r w:rsidR="004615B7" w:rsidRPr="00242991">
        <w:t>and Figure 1</w:t>
      </w:r>
      <w:r w:rsidR="00B30762">
        <w:t>1</w:t>
      </w:r>
      <w:r w:rsidR="004615B7" w:rsidRPr="00242991">
        <w:t xml:space="preserve"> </w:t>
      </w:r>
      <w:r w:rsidRPr="00242991">
        <w:t>show the increase</w:t>
      </w:r>
      <w:r w:rsidR="0069679B" w:rsidRPr="00242991">
        <w:t>d</w:t>
      </w:r>
      <w:r w:rsidRPr="00242991">
        <w:t xml:space="preserve"> use of ADHD medication since </w:t>
      </w:r>
      <w:r w:rsidR="000045FD" w:rsidRPr="00242991">
        <w:t xml:space="preserve">the </w:t>
      </w:r>
      <w:r w:rsidRPr="00242991">
        <w:t>2014</w:t>
      </w:r>
      <w:r w:rsidR="000045FD" w:rsidRPr="00242991">
        <w:t>-15 financial year</w:t>
      </w:r>
      <w:r w:rsidRPr="00242991">
        <w:t xml:space="preserve"> across all state and territories and age groups. </w:t>
      </w:r>
    </w:p>
    <w:p w14:paraId="1078E86A" w14:textId="7CB3E215" w:rsidR="00F15DB5" w:rsidRPr="00242991" w:rsidRDefault="00F15DB5" w:rsidP="00F15DB5">
      <w:r w:rsidRPr="00242991">
        <w:t xml:space="preserve">The rate of ADHD medicine supply has increased across every age group and state and territory except in the </w:t>
      </w:r>
      <w:r w:rsidR="001518F0">
        <w:t>&lt;</w:t>
      </w:r>
      <w:r w:rsidRPr="00242991">
        <w:t>6 year old age group in Tas</w:t>
      </w:r>
      <w:r w:rsidR="001F5581" w:rsidRPr="00242991">
        <w:t xml:space="preserve"> and NT</w:t>
      </w:r>
      <w:r w:rsidRPr="00242991">
        <w:t xml:space="preserve">. </w:t>
      </w:r>
      <w:r w:rsidR="002F2323" w:rsidRPr="00242991">
        <w:t xml:space="preserve">Despite this decrease from the previous year, </w:t>
      </w:r>
      <w:r w:rsidRPr="00242991">
        <w:t xml:space="preserve">Tas </w:t>
      </w:r>
      <w:r w:rsidR="00EF62C2" w:rsidRPr="00242991">
        <w:t>continues</w:t>
      </w:r>
      <w:r w:rsidRPr="00242991">
        <w:t xml:space="preserve"> to have the highest rate of ADHD medicine supply in this age group</w:t>
      </w:r>
      <w:r w:rsidR="00E74CFE">
        <w:t xml:space="preserve"> (5.47/1000 population)</w:t>
      </w:r>
      <w:r w:rsidR="0098697B">
        <w:t xml:space="preserve">, with QLD </w:t>
      </w:r>
      <w:r w:rsidR="00E74CFE">
        <w:t>not too far behind (5.45/1000 population)</w:t>
      </w:r>
      <w:r w:rsidRPr="00242991">
        <w:t>.</w:t>
      </w:r>
    </w:p>
    <w:p w14:paraId="1897DA16" w14:textId="6727D08F" w:rsidR="00264D0C" w:rsidRPr="00242991" w:rsidRDefault="00F15DB5" w:rsidP="00F15DB5">
      <w:r w:rsidRPr="00242991">
        <w:lastRenderedPageBreak/>
        <w:t xml:space="preserve">The rate of ADHD medicine supply in the 6-12 year age group was highest in </w:t>
      </w:r>
      <w:r w:rsidR="00264D0C" w:rsidRPr="00242991">
        <w:t>Tas (87.11/1000 population)</w:t>
      </w:r>
      <w:r w:rsidRPr="00242991">
        <w:t xml:space="preserve">, closely followed by </w:t>
      </w:r>
      <w:r w:rsidR="00264D0C" w:rsidRPr="00242991">
        <w:t>QLD</w:t>
      </w:r>
      <w:r w:rsidRPr="00242991">
        <w:t xml:space="preserve"> (</w:t>
      </w:r>
      <w:r w:rsidR="00264D0C" w:rsidRPr="00242991">
        <w:t>84.23</w:t>
      </w:r>
      <w:r w:rsidRPr="00242991">
        <w:t xml:space="preserve">/1000 population), with SA having the lowest rate amongst this age group </w:t>
      </w:r>
      <w:r w:rsidR="00264D0C" w:rsidRPr="00242991">
        <w:t>(50.16/1000 population)</w:t>
      </w:r>
      <w:r w:rsidRPr="00242991">
        <w:t xml:space="preserve">. </w:t>
      </w:r>
    </w:p>
    <w:p w14:paraId="5EAA2B4A" w14:textId="77777777" w:rsidR="00264D0C" w:rsidRPr="00242991" w:rsidRDefault="00F15DB5" w:rsidP="00F15DB5">
      <w:r w:rsidRPr="00242991">
        <w:t>The rate of ADHD medicine supply in adolescents (13-18 year olds) was highest in the ACT (</w:t>
      </w:r>
      <w:r w:rsidR="00264D0C" w:rsidRPr="00242991">
        <w:t>68.53</w:t>
      </w:r>
      <w:r w:rsidRPr="00242991">
        <w:t>/1000 population) and lowest in SA (</w:t>
      </w:r>
      <w:r w:rsidR="00264D0C" w:rsidRPr="00242991">
        <w:t>31.39</w:t>
      </w:r>
      <w:r w:rsidRPr="00242991">
        <w:t xml:space="preserve">/1000 population). </w:t>
      </w:r>
    </w:p>
    <w:p w14:paraId="654FCECB" w14:textId="708DDAA2" w:rsidR="00F15DB5" w:rsidRPr="001D105D" w:rsidRDefault="00F15DB5" w:rsidP="00F15DB5">
      <w:r w:rsidRPr="00242991">
        <w:t>For adults, the rate of supply of ADHD medicine was much higher in WA (</w:t>
      </w:r>
      <w:r w:rsidR="00264D0C" w:rsidRPr="00242991">
        <w:t>18.49</w:t>
      </w:r>
      <w:r w:rsidRPr="00242991">
        <w:t xml:space="preserve">/1000 population) than all other states and territories, which ranged from </w:t>
      </w:r>
      <w:r w:rsidR="00264D0C" w:rsidRPr="00242991">
        <w:t>6.28</w:t>
      </w:r>
      <w:r w:rsidRPr="00242991">
        <w:t>-</w:t>
      </w:r>
      <w:r w:rsidR="00264D0C" w:rsidRPr="00242991">
        <w:t>15.71</w:t>
      </w:r>
      <w:r w:rsidRPr="00242991">
        <w:t>/1000 population. This was consistent with the findings in previous DUSC reports.</w:t>
      </w:r>
    </w:p>
    <w:p w14:paraId="5086160F" w14:textId="43091830" w:rsidR="000045FD" w:rsidRDefault="000045FD" w:rsidP="00215563"/>
    <w:p w14:paraId="111E427B" w14:textId="50E9308A" w:rsidR="000045FD" w:rsidRDefault="000045FD" w:rsidP="00215563"/>
    <w:p w14:paraId="1C94B84E" w14:textId="106F5345" w:rsidR="000045FD" w:rsidRDefault="000045FD" w:rsidP="00215563"/>
    <w:p w14:paraId="19DA2F42" w14:textId="6253C71C" w:rsidR="000045FD" w:rsidRDefault="000045FD" w:rsidP="00215563"/>
    <w:p w14:paraId="430A7458" w14:textId="031E3D2C" w:rsidR="000045FD" w:rsidRDefault="000045FD" w:rsidP="00215563"/>
    <w:p w14:paraId="3A1D755C" w14:textId="172C22FE" w:rsidR="000045FD" w:rsidRDefault="000045FD">
      <w:pPr>
        <w:spacing w:line="276" w:lineRule="auto"/>
      </w:pPr>
      <w:r>
        <w:br w:type="page"/>
      </w:r>
    </w:p>
    <w:p w14:paraId="2A017BE3" w14:textId="77777777" w:rsidR="000045FD" w:rsidRDefault="000045FD" w:rsidP="00215563">
      <w:pPr>
        <w:sectPr w:rsidR="000045FD" w:rsidSect="00B60C14">
          <w:headerReference w:type="even" r:id="rId31"/>
          <w:headerReference w:type="default" r:id="rId32"/>
          <w:footerReference w:type="even" r:id="rId33"/>
          <w:footerReference w:type="default" r:id="rId34"/>
          <w:headerReference w:type="first" r:id="rId35"/>
          <w:footerReference w:type="first" r:id="rId36"/>
          <w:pgSz w:w="11906" w:h="16838"/>
          <w:pgMar w:top="1644" w:right="991" w:bottom="1418" w:left="1588" w:header="709" w:footer="709" w:gutter="0"/>
          <w:cols w:space="708"/>
          <w:docGrid w:linePitch="360"/>
        </w:sectPr>
      </w:pPr>
    </w:p>
    <w:p w14:paraId="04CD88E8" w14:textId="7DD47D97" w:rsidR="00C2221C" w:rsidRDefault="000045FD" w:rsidP="00215563">
      <w:pPr>
        <w:ind w:left="-426"/>
      </w:pPr>
      <w:r>
        <w:rPr>
          <w:noProof/>
        </w:rPr>
        <w:lastRenderedPageBreak/>
        <w:drawing>
          <wp:inline distT="0" distB="0" distL="0" distR="0" wp14:anchorId="5BE3099B" wp14:editId="135D210A">
            <wp:extent cx="9458325" cy="5095875"/>
            <wp:effectExtent l="0" t="0" r="9525" b="9525"/>
            <wp:docPr id="15" name="Chart 15">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8F2F2AE" w14:textId="7472748B" w:rsidR="00F83F21" w:rsidRDefault="00B96DB1" w:rsidP="007F69D9">
      <w:pPr>
        <w:pStyle w:val="Figuretitle"/>
        <w:ind w:left="-426" w:right="-399"/>
      </w:pPr>
      <w:bookmarkStart w:id="24" w:name="_Hlk143075545"/>
      <w:r w:rsidRPr="00242991">
        <w:t>Figure 1</w:t>
      </w:r>
      <w:r w:rsidR="00B30762">
        <w:t>1</w:t>
      </w:r>
      <w:r w:rsidRPr="00242991">
        <w:t>: Number of people supplied an ADHD medicine (excluding clonidine) per 1000 population by state/territory and age group 2014-2020</w:t>
      </w:r>
      <w:bookmarkEnd w:id="24"/>
    </w:p>
    <w:p w14:paraId="15FA7614" w14:textId="20500595" w:rsidR="007A5A0E" w:rsidRDefault="007A5A0E" w:rsidP="00215563">
      <w:pPr>
        <w:sectPr w:rsidR="007A5A0E" w:rsidSect="000045FD">
          <w:pgSz w:w="16838" w:h="11906" w:orient="landscape"/>
          <w:pgMar w:top="1588" w:right="1644" w:bottom="1133" w:left="1418" w:header="709" w:footer="709" w:gutter="0"/>
          <w:cols w:space="708"/>
          <w:docGrid w:linePitch="360"/>
        </w:sectPr>
      </w:pPr>
    </w:p>
    <w:p w14:paraId="00810F16" w14:textId="36EE3A1E" w:rsidR="004C0B74" w:rsidRDefault="004C0B74" w:rsidP="00215563">
      <w:bookmarkStart w:id="25" w:name="_Hlk143252696"/>
      <w:r w:rsidRPr="00242991">
        <w:lastRenderedPageBreak/>
        <w:t>Figure</w:t>
      </w:r>
      <w:r w:rsidR="00C614E5" w:rsidRPr="00242991">
        <w:t>s</w:t>
      </w:r>
      <w:r w:rsidRPr="00242991">
        <w:t xml:space="preserve"> </w:t>
      </w:r>
      <w:r w:rsidR="002D397F" w:rsidRPr="00242991">
        <w:t>1</w:t>
      </w:r>
      <w:r w:rsidR="00B30762">
        <w:t>2</w:t>
      </w:r>
      <w:r w:rsidRPr="00242991">
        <w:t xml:space="preserve"> </w:t>
      </w:r>
      <w:r w:rsidR="00B924E5" w:rsidRPr="00242991">
        <w:t>depict</w:t>
      </w:r>
      <w:r w:rsidR="002F2323" w:rsidRPr="00242991">
        <w:t>s</w:t>
      </w:r>
      <w:r w:rsidRPr="00242991">
        <w:t xml:space="preserve"> the number of people</w:t>
      </w:r>
      <w:r w:rsidR="00F672D7" w:rsidRPr="00242991">
        <w:t xml:space="preserve"> </w:t>
      </w:r>
      <w:r w:rsidRPr="00242991">
        <w:t>supplied ADHD medicine</w:t>
      </w:r>
      <w:r w:rsidR="00F672D7" w:rsidRPr="00242991">
        <w:t>s</w:t>
      </w:r>
      <w:r w:rsidRPr="00242991">
        <w:t xml:space="preserve"> per 1</w:t>
      </w:r>
      <w:r w:rsidR="005067DE" w:rsidRPr="00242991">
        <w:t>,</w:t>
      </w:r>
      <w:r w:rsidRPr="00242991">
        <w:t>000 population in 20</w:t>
      </w:r>
      <w:r w:rsidR="00B21A5E" w:rsidRPr="00242991">
        <w:t>2</w:t>
      </w:r>
      <w:r w:rsidR="00070CFC" w:rsidRPr="00242991">
        <w:t xml:space="preserve">2-23 financial year </w:t>
      </w:r>
      <w:r w:rsidR="00A74D82" w:rsidRPr="00242991">
        <w:t xml:space="preserve">for patients </w:t>
      </w:r>
      <w:r w:rsidR="001518F0" w:rsidRPr="001518F0">
        <w:rPr>
          <w:rFonts w:cstheme="minorHAnsi"/>
        </w:rPr>
        <w:t>≤</w:t>
      </w:r>
      <w:r w:rsidR="00070CFC" w:rsidRPr="00242991">
        <w:t>18 years old</w:t>
      </w:r>
      <w:r w:rsidR="002F2323" w:rsidRPr="00242991">
        <w:t>.</w:t>
      </w:r>
      <w:r w:rsidR="00F672D7" w:rsidRPr="00242991">
        <w:t xml:space="preserve"> </w:t>
      </w:r>
      <w:r w:rsidR="002928DD" w:rsidRPr="00242991">
        <w:t>The figures are</w:t>
      </w:r>
      <w:r w:rsidR="0067110E" w:rsidRPr="00242991">
        <w:t xml:space="preserve"> </w:t>
      </w:r>
      <w:r w:rsidR="002928DD" w:rsidRPr="00242991">
        <w:t xml:space="preserve">presented by </w:t>
      </w:r>
      <w:r w:rsidR="00BB0DFB" w:rsidRPr="00242991">
        <w:t>medicine</w:t>
      </w:r>
      <w:r w:rsidR="00C614E5" w:rsidRPr="00242991">
        <w:t xml:space="preserve"> and</w:t>
      </w:r>
      <w:r w:rsidR="00BB0DFB" w:rsidRPr="00242991">
        <w:t xml:space="preserve"> </w:t>
      </w:r>
      <w:r w:rsidR="002928DD" w:rsidRPr="00242991">
        <w:t>patient state/</w:t>
      </w:r>
      <w:r w:rsidR="00B460FA" w:rsidRPr="00242991">
        <w:t>territory and</w:t>
      </w:r>
      <w:r w:rsidR="002928DD" w:rsidRPr="00242991">
        <w:t xml:space="preserve"> </w:t>
      </w:r>
      <w:r w:rsidR="00A52E46" w:rsidRPr="00242991">
        <w:t>are</w:t>
      </w:r>
      <w:r w:rsidR="002928DD" w:rsidRPr="00242991">
        <w:t xml:space="preserve"> </w:t>
      </w:r>
      <w:r w:rsidR="0067110E" w:rsidRPr="00242991">
        <w:t xml:space="preserve">adjusted to account for the </w:t>
      </w:r>
      <w:r w:rsidR="00200229" w:rsidRPr="00242991">
        <w:t xml:space="preserve">population </w:t>
      </w:r>
      <w:r w:rsidR="0067110E" w:rsidRPr="00242991">
        <w:t>size and age distribution in each state</w:t>
      </w:r>
      <w:r w:rsidR="00121427" w:rsidRPr="00242991">
        <w:t>/territory in 20</w:t>
      </w:r>
      <w:r w:rsidR="00EF6FF2" w:rsidRPr="00242991">
        <w:t>2</w:t>
      </w:r>
      <w:r w:rsidR="00070CFC" w:rsidRPr="00242991">
        <w:t>2-23</w:t>
      </w:r>
      <w:r w:rsidR="0067110E" w:rsidRPr="00242991">
        <w:t>.</w:t>
      </w:r>
      <w:r w:rsidR="007820F1" w:rsidRPr="00242991">
        <w:t xml:space="preserve"> The high use of clonidine indicates</w:t>
      </w:r>
      <w:r w:rsidR="002F2323" w:rsidRPr="00242991">
        <w:t xml:space="preserve"> that</w:t>
      </w:r>
      <w:r w:rsidR="007820F1" w:rsidRPr="00242991">
        <w:t xml:space="preserve"> an even greater proportion of young people are being treated for ADHD</w:t>
      </w:r>
      <w:r w:rsidR="00994AF2" w:rsidRPr="00242991">
        <w:t xml:space="preserve"> or side effects of ADHD medications</w:t>
      </w:r>
      <w:r w:rsidR="007820F1" w:rsidRPr="00242991">
        <w:t>, than what is currently recognised.</w:t>
      </w:r>
    </w:p>
    <w:bookmarkEnd w:id="25"/>
    <w:p w14:paraId="6F1836D4" w14:textId="286F859C" w:rsidR="00070CFC" w:rsidRDefault="00070CFC" w:rsidP="00215563">
      <w:r>
        <w:rPr>
          <w:noProof/>
        </w:rPr>
        <w:drawing>
          <wp:inline distT="0" distB="0" distL="0" distR="0" wp14:anchorId="59658105" wp14:editId="76C944F0">
            <wp:extent cx="5832475" cy="3528204"/>
            <wp:effectExtent l="0" t="0" r="15875" b="15240"/>
            <wp:docPr id="38" name="Chart 38">
              <a:extLst xmlns:a="http://schemas.openxmlformats.org/drawingml/2006/main">
                <a:ext uri="{FF2B5EF4-FFF2-40B4-BE49-F238E27FC236}">
                  <a16:creationId xmlns:a16="http://schemas.microsoft.com/office/drawing/2014/main" id="{208544B2-F9CF-426B-B9C2-75BDCCF518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CFBEAB9" w14:textId="0210DC48" w:rsidR="00264D0C" w:rsidRPr="00242991" w:rsidRDefault="00B81928" w:rsidP="002F2323">
      <w:pPr>
        <w:spacing w:after="0"/>
        <w:rPr>
          <w:sz w:val="20"/>
          <w:szCs w:val="20"/>
        </w:rPr>
      </w:pPr>
      <w:bookmarkStart w:id="26" w:name="_Hlk143075564"/>
      <w:r w:rsidRPr="00242991">
        <w:rPr>
          <w:rStyle w:val="FiguretitleChar"/>
        </w:rPr>
        <w:t>Figure</w:t>
      </w:r>
      <w:r w:rsidR="002D397F" w:rsidRPr="00242991">
        <w:rPr>
          <w:rStyle w:val="FiguretitleChar"/>
        </w:rPr>
        <w:t xml:space="preserve"> </w:t>
      </w:r>
      <w:r w:rsidR="00EF6FF2" w:rsidRPr="00242991">
        <w:rPr>
          <w:rStyle w:val="FiguretitleChar"/>
        </w:rPr>
        <w:t>1</w:t>
      </w:r>
      <w:r w:rsidR="00B30762">
        <w:rPr>
          <w:rStyle w:val="FiguretitleChar"/>
        </w:rPr>
        <w:t>2</w:t>
      </w:r>
      <w:r w:rsidR="004C0B74" w:rsidRPr="00242991">
        <w:rPr>
          <w:rStyle w:val="FiguretitleChar"/>
        </w:rPr>
        <w:t>: Number of people</w:t>
      </w:r>
      <w:r w:rsidR="00C614E5" w:rsidRPr="00242991">
        <w:rPr>
          <w:rStyle w:val="FiguretitleChar"/>
        </w:rPr>
        <w:t xml:space="preserve"> aged</w:t>
      </w:r>
      <w:r w:rsidR="004C0B74" w:rsidRPr="00242991">
        <w:rPr>
          <w:rStyle w:val="FiguretitleChar"/>
        </w:rPr>
        <w:t xml:space="preserve"> </w:t>
      </w:r>
      <w:r w:rsidR="00A52E46" w:rsidRPr="00242991">
        <w:rPr>
          <w:rStyle w:val="FiguretitleChar"/>
        </w:rPr>
        <w:t>≤1</w:t>
      </w:r>
      <w:r w:rsidR="00B21A5E" w:rsidRPr="00242991">
        <w:rPr>
          <w:rStyle w:val="FiguretitleChar"/>
        </w:rPr>
        <w:t>8</w:t>
      </w:r>
      <w:r w:rsidR="00A52E46" w:rsidRPr="00242991">
        <w:rPr>
          <w:rStyle w:val="FiguretitleChar"/>
        </w:rPr>
        <w:t xml:space="preserve"> years </w:t>
      </w:r>
      <w:r w:rsidR="004C0B74" w:rsidRPr="00242991">
        <w:rPr>
          <w:rStyle w:val="FiguretitleChar"/>
        </w:rPr>
        <w:t>supplied an ADHD medicine</w:t>
      </w:r>
      <w:r w:rsidR="00D74622" w:rsidRPr="00242991">
        <w:rPr>
          <w:rStyle w:val="FiguretitleChar"/>
        </w:rPr>
        <w:t xml:space="preserve"> or clonidine</w:t>
      </w:r>
      <w:r w:rsidR="004C0B74" w:rsidRPr="00242991">
        <w:rPr>
          <w:rStyle w:val="FiguretitleChar"/>
        </w:rPr>
        <w:t xml:space="preserve"> per 1,000 population in 20</w:t>
      </w:r>
      <w:r w:rsidR="00D74622" w:rsidRPr="00242991">
        <w:rPr>
          <w:rStyle w:val="FiguretitleChar"/>
        </w:rPr>
        <w:t>2</w:t>
      </w:r>
      <w:r w:rsidR="00070CFC" w:rsidRPr="00242991">
        <w:rPr>
          <w:rStyle w:val="FiguretitleChar"/>
        </w:rPr>
        <w:t>2-23 financial year</w:t>
      </w:r>
      <w:r w:rsidR="004C0B74" w:rsidRPr="00242991">
        <w:rPr>
          <w:rStyle w:val="FiguretitleChar"/>
        </w:rPr>
        <w:t xml:space="preserve"> by patient state/territory and medicine </w:t>
      </w:r>
      <w:r w:rsidR="0067110E" w:rsidRPr="00242991">
        <w:rPr>
          <w:rStyle w:val="FiguretitleChar"/>
        </w:rPr>
        <w:t>(</w:t>
      </w:r>
      <w:r w:rsidR="00BB5D54" w:rsidRPr="00242991">
        <w:rPr>
          <w:rStyle w:val="FiguretitleChar"/>
        </w:rPr>
        <w:t xml:space="preserve">age </w:t>
      </w:r>
      <w:r w:rsidR="001C7F9C" w:rsidRPr="00242991">
        <w:rPr>
          <w:rStyle w:val="FiguretitleChar"/>
        </w:rPr>
        <w:t xml:space="preserve">group </w:t>
      </w:r>
      <w:r w:rsidR="008109BC" w:rsidRPr="00242991">
        <w:rPr>
          <w:rStyle w:val="FiguretitleChar"/>
        </w:rPr>
        <w:t>specific rate</w:t>
      </w:r>
      <w:r w:rsidR="001914FD" w:rsidRPr="00242991">
        <w:rPr>
          <w:rStyle w:val="FiguretitleChar"/>
        </w:rPr>
        <w:t xml:space="preserve">) </w:t>
      </w:r>
      <w:bookmarkEnd w:id="26"/>
      <w:r w:rsidR="004C0B74" w:rsidRPr="00242991">
        <w:rPr>
          <w:rStyle w:val="FiguretitleChar"/>
        </w:rPr>
        <w:br/>
      </w:r>
    </w:p>
    <w:p w14:paraId="6F749288" w14:textId="77777777" w:rsidR="007B18BA" w:rsidRPr="00242991" w:rsidRDefault="007B18BA" w:rsidP="007B18BA">
      <w:r w:rsidRPr="00242991">
        <w:t xml:space="preserve">The pattern of ADHD medicines use varied across the states and territories. In the </w:t>
      </w:r>
      <w:r>
        <w:t>&gt;</w:t>
      </w:r>
      <w:r w:rsidRPr="00242991">
        <w:t>18 years old age group, the rate of p</w:t>
      </w:r>
      <w:r>
        <w:t>eople</w:t>
      </w:r>
      <w:r w:rsidRPr="00242991">
        <w:t xml:space="preserve"> supplied dexamfetamine and lisdexamfetamine is much higher in WA compared to other states and territories. </w:t>
      </w:r>
    </w:p>
    <w:p w14:paraId="662651E8" w14:textId="77777777" w:rsidR="007B18BA" w:rsidRPr="00242991" w:rsidRDefault="007B18BA" w:rsidP="007B18BA">
      <w:r w:rsidRPr="00242991">
        <w:t>Figure 1</w:t>
      </w:r>
      <w:r>
        <w:t>3</w:t>
      </w:r>
      <w:r w:rsidRPr="00242991">
        <w:t>a depicts the number of people supplied ADHD medicines per 1,000 population in 20</w:t>
      </w:r>
      <w:r>
        <w:t>19-</w:t>
      </w:r>
      <w:r w:rsidRPr="00242991">
        <w:t xml:space="preserve">20 for </w:t>
      </w:r>
      <w:r>
        <w:t>&gt;</w:t>
      </w:r>
      <w:r w:rsidRPr="00242991">
        <w:t>18 years old. The figures are presented by medicine and patient state/territory and are adjusted to account for the population size and age distribution in each state/territory. This graph shows the supply of medicines prior to the lisdexamfetamine restriction change.</w:t>
      </w:r>
    </w:p>
    <w:p w14:paraId="67211DB3" w14:textId="77777777" w:rsidR="007B18BA" w:rsidRDefault="007B18BA" w:rsidP="007B18BA">
      <w:r w:rsidRPr="00242991">
        <w:t>Figures 1</w:t>
      </w:r>
      <w:r>
        <w:t>3</w:t>
      </w:r>
      <w:r w:rsidRPr="00242991">
        <w:t xml:space="preserve">b depicts the number of people supplied ADHD medicines per 1,000 population in 2022-23 financial year for </w:t>
      </w:r>
      <w:r>
        <w:rPr>
          <w:rFonts w:cstheme="minorHAnsi"/>
        </w:rPr>
        <w:t>&gt;</w:t>
      </w:r>
      <w:r w:rsidRPr="00242991">
        <w:t>18 years old. The figures are presented by medicine and patient state/territory and are adjusted to account for the population size and age distribution in each state/territory in 2022-23. This graph shows the supply of medicines after the lisdexamfetamine restriction change, where a clear picture of the increased use of lisdexamfetamine is evident.</w:t>
      </w:r>
    </w:p>
    <w:p w14:paraId="4CF79D62" w14:textId="399CE3FB" w:rsidR="008B5186" w:rsidRDefault="008B5186" w:rsidP="002F2323">
      <w:pPr>
        <w:pStyle w:val="Figuretitle"/>
        <w:ind w:right="-171"/>
        <w:rPr>
          <w:rStyle w:val="FiguretitleChar"/>
          <w:b/>
          <w:bCs/>
        </w:rPr>
      </w:pPr>
      <w:r>
        <w:rPr>
          <w:noProof/>
        </w:rPr>
        <w:lastRenderedPageBreak/>
        <w:drawing>
          <wp:inline distT="0" distB="0" distL="0" distR="0" wp14:anchorId="52E2EACD" wp14:editId="22668FE5">
            <wp:extent cx="5832475" cy="3631721"/>
            <wp:effectExtent l="0" t="0" r="15875" b="6985"/>
            <wp:docPr id="20" name="Chart 20">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91538F7" w14:textId="1D49B8AB" w:rsidR="002F2323" w:rsidRPr="00242991" w:rsidRDefault="002F2323" w:rsidP="0049450D">
      <w:pPr>
        <w:pStyle w:val="Figuretitle"/>
        <w:ind w:right="-454"/>
        <w:rPr>
          <w:rStyle w:val="FiguretitleChar"/>
          <w:b/>
          <w:bCs/>
        </w:rPr>
      </w:pPr>
      <w:r w:rsidRPr="00242991">
        <w:rPr>
          <w:rStyle w:val="FiguretitleChar"/>
          <w:b/>
          <w:bCs/>
        </w:rPr>
        <w:t>Figure 1</w:t>
      </w:r>
      <w:r w:rsidR="00B30762">
        <w:rPr>
          <w:rStyle w:val="FiguretitleChar"/>
          <w:b/>
          <w:bCs/>
        </w:rPr>
        <w:t>3</w:t>
      </w:r>
      <w:r w:rsidRPr="00242991">
        <w:rPr>
          <w:rStyle w:val="FiguretitleChar"/>
          <w:b/>
          <w:bCs/>
        </w:rPr>
        <w:t>a: Number of people aged</w:t>
      </w:r>
      <w:r w:rsidR="00122327">
        <w:rPr>
          <w:rStyle w:val="FiguretitleChar"/>
          <w:b/>
          <w:bCs/>
        </w:rPr>
        <w:t xml:space="preserve"> </w:t>
      </w:r>
      <w:r w:rsidR="00122327">
        <w:rPr>
          <w:rStyle w:val="FiguretitleChar"/>
          <w:rFonts w:cstheme="minorHAnsi"/>
          <w:b/>
          <w:bCs/>
        </w:rPr>
        <w:t>&gt;</w:t>
      </w:r>
      <w:r w:rsidRPr="00242991">
        <w:rPr>
          <w:rStyle w:val="FiguretitleChar"/>
          <w:b/>
          <w:bCs/>
        </w:rPr>
        <w:t>18 years supplied an ADHD medicine or clonidine per 1,000 population in 20</w:t>
      </w:r>
      <w:r w:rsidR="008B5186">
        <w:rPr>
          <w:rStyle w:val="FiguretitleChar"/>
          <w:b/>
          <w:bCs/>
        </w:rPr>
        <w:t>19-</w:t>
      </w:r>
      <w:r w:rsidRPr="00242991">
        <w:rPr>
          <w:rStyle w:val="FiguretitleChar"/>
          <w:b/>
          <w:bCs/>
        </w:rPr>
        <w:t>20 by patient state/territory and medicine age (age group specific rate)</w:t>
      </w:r>
    </w:p>
    <w:p w14:paraId="29D54B54" w14:textId="77777777" w:rsidR="002F2323" w:rsidRPr="00BF0A7E" w:rsidRDefault="002F2323" w:rsidP="00215563">
      <w:pPr>
        <w:rPr>
          <w:rStyle w:val="FiguretitleChar"/>
          <w:sz w:val="8"/>
          <w:szCs w:val="8"/>
        </w:rPr>
      </w:pPr>
    </w:p>
    <w:p w14:paraId="0485E5AF" w14:textId="0AA2FD1F" w:rsidR="00070CFC" w:rsidRDefault="00070CFC" w:rsidP="00215563">
      <w:pPr>
        <w:rPr>
          <w:rStyle w:val="FiguretitleChar"/>
        </w:rPr>
      </w:pPr>
      <w:r>
        <w:rPr>
          <w:noProof/>
        </w:rPr>
        <w:drawing>
          <wp:inline distT="0" distB="0" distL="0" distR="0" wp14:anchorId="5AA41A5E" wp14:editId="53AAFC76">
            <wp:extent cx="5832475" cy="3467819"/>
            <wp:effectExtent l="0" t="0" r="15875" b="18415"/>
            <wp:docPr id="39" name="Chart 39">
              <a:extLst xmlns:a="http://schemas.openxmlformats.org/drawingml/2006/main">
                <a:ext uri="{FF2B5EF4-FFF2-40B4-BE49-F238E27FC236}">
                  <a16:creationId xmlns:a16="http://schemas.microsoft.com/office/drawing/2014/main" id="{A2EF8EFF-EF52-4E9C-A5EA-55FCC7E128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7543C8A1" w14:textId="70F045B5" w:rsidR="001C7F9C" w:rsidRPr="006F06FB" w:rsidRDefault="00A52E46" w:rsidP="00BF0A7E">
      <w:pPr>
        <w:pStyle w:val="Figuretitle"/>
        <w:ind w:right="-171"/>
      </w:pPr>
      <w:bookmarkStart w:id="27" w:name="_Hlk143075573"/>
      <w:r w:rsidRPr="006F06FB">
        <w:rPr>
          <w:rStyle w:val="FiguretitleChar"/>
          <w:b/>
        </w:rPr>
        <w:t>Figure 1</w:t>
      </w:r>
      <w:r w:rsidR="00B30762" w:rsidRPr="006F06FB">
        <w:rPr>
          <w:rStyle w:val="FiguretitleChar"/>
          <w:b/>
        </w:rPr>
        <w:t>3</w:t>
      </w:r>
      <w:r w:rsidR="002F2323" w:rsidRPr="006F06FB">
        <w:rPr>
          <w:rStyle w:val="FiguretitleChar"/>
          <w:b/>
        </w:rPr>
        <w:t>b</w:t>
      </w:r>
      <w:r w:rsidRPr="006F06FB">
        <w:rPr>
          <w:rStyle w:val="FiguretitleChar"/>
          <w:b/>
        </w:rPr>
        <w:t>: Number of people</w:t>
      </w:r>
      <w:r w:rsidR="00C614E5" w:rsidRPr="006F06FB">
        <w:rPr>
          <w:rStyle w:val="FiguretitleChar"/>
          <w:b/>
        </w:rPr>
        <w:t xml:space="preserve"> aged</w:t>
      </w:r>
      <w:r w:rsidRPr="006F06FB">
        <w:rPr>
          <w:rStyle w:val="FiguretitleChar"/>
          <w:b/>
        </w:rPr>
        <w:t xml:space="preserve"> </w:t>
      </w:r>
      <w:r w:rsidR="00D74622" w:rsidRPr="006F06FB">
        <w:rPr>
          <w:rStyle w:val="FiguretitleChar"/>
          <w:b/>
        </w:rPr>
        <w:t>&gt;</w:t>
      </w:r>
      <w:r w:rsidRPr="006F06FB">
        <w:rPr>
          <w:rStyle w:val="FiguretitleChar"/>
          <w:b/>
        </w:rPr>
        <w:t xml:space="preserve">18 years supplied an ADHD medicine </w:t>
      </w:r>
      <w:r w:rsidR="00D74622" w:rsidRPr="006F06FB">
        <w:rPr>
          <w:rStyle w:val="FiguretitleChar"/>
          <w:b/>
        </w:rPr>
        <w:t xml:space="preserve">or clonidine </w:t>
      </w:r>
      <w:r w:rsidRPr="006F06FB">
        <w:rPr>
          <w:rStyle w:val="FiguretitleChar"/>
          <w:b/>
        </w:rPr>
        <w:t>per 1,000 population in 20</w:t>
      </w:r>
      <w:r w:rsidR="00D74622" w:rsidRPr="006F06FB">
        <w:rPr>
          <w:rStyle w:val="FiguretitleChar"/>
          <w:b/>
        </w:rPr>
        <w:t>2</w:t>
      </w:r>
      <w:r w:rsidR="00070CFC" w:rsidRPr="006F06FB">
        <w:rPr>
          <w:rStyle w:val="FiguretitleChar"/>
          <w:b/>
        </w:rPr>
        <w:t xml:space="preserve">2-23 </w:t>
      </w:r>
      <w:r w:rsidRPr="006F06FB">
        <w:rPr>
          <w:rStyle w:val="FiguretitleChar"/>
          <w:b/>
        </w:rPr>
        <w:t>by patient state/territory and medicine (age</w:t>
      </w:r>
      <w:r w:rsidR="001C7F9C" w:rsidRPr="006F06FB">
        <w:rPr>
          <w:rStyle w:val="FiguretitleChar"/>
          <w:b/>
        </w:rPr>
        <w:t xml:space="preserve"> group</w:t>
      </w:r>
      <w:r w:rsidRPr="006F06FB">
        <w:rPr>
          <w:rStyle w:val="FiguretitleChar"/>
          <w:b/>
        </w:rPr>
        <w:t xml:space="preserve"> </w:t>
      </w:r>
      <w:r w:rsidR="00BA65CA" w:rsidRPr="006F06FB">
        <w:rPr>
          <w:rStyle w:val="FiguretitleChar"/>
          <w:b/>
        </w:rPr>
        <w:t>specific rate</w:t>
      </w:r>
      <w:r w:rsidRPr="006F06FB">
        <w:rPr>
          <w:rStyle w:val="FiguretitleChar"/>
          <w:b/>
        </w:rPr>
        <w:t xml:space="preserve">) </w:t>
      </w:r>
      <w:bookmarkEnd w:id="27"/>
      <w:r w:rsidRPr="006F06FB">
        <w:rPr>
          <w:rStyle w:val="FiguretitleChar"/>
          <w:b/>
        </w:rPr>
        <w:br/>
      </w:r>
    </w:p>
    <w:p w14:paraId="58EF6913" w14:textId="15CEC099" w:rsidR="00A87BA1" w:rsidRPr="001D105D" w:rsidRDefault="00054888" w:rsidP="008D549C">
      <w:pPr>
        <w:pStyle w:val="Heading2"/>
      </w:pPr>
      <w:r>
        <w:lastRenderedPageBreak/>
        <w:t>Lisdexamfetamine</w:t>
      </w:r>
      <w:r w:rsidR="00A87BA1" w:rsidRPr="001D105D">
        <w:t xml:space="preserve"> predicted versus actual analysis</w:t>
      </w:r>
    </w:p>
    <w:p w14:paraId="46CA5A21" w14:textId="6FE2554D" w:rsidR="00113DF6" w:rsidRPr="00242991" w:rsidRDefault="00113DF6" w:rsidP="00215563">
      <w:pPr>
        <w:pStyle w:val="Heading3"/>
      </w:pPr>
      <w:r w:rsidRPr="00242991">
        <w:t>Approach taken to estimate utilisation</w:t>
      </w:r>
    </w:p>
    <w:p w14:paraId="05F1C816" w14:textId="18364A10" w:rsidR="000962A4" w:rsidRDefault="00A87BA1" w:rsidP="00357C89">
      <w:pPr>
        <w:spacing w:after="0"/>
      </w:pPr>
      <w:r w:rsidRPr="00242991">
        <w:t xml:space="preserve">A </w:t>
      </w:r>
      <w:r w:rsidR="008B0100" w:rsidRPr="00242991">
        <w:t>market share analysis was used to inform the utilisation and financial estimates of the expanded listing of lisdexamfetamine, to include treatment of patients with ADHD who are diagnosed after the age of 18</w:t>
      </w:r>
      <w:r w:rsidR="001518F0">
        <w:t xml:space="preserve"> years</w:t>
      </w:r>
      <w:r w:rsidR="008B0100" w:rsidRPr="00242991">
        <w:t xml:space="preserve">. </w:t>
      </w:r>
    </w:p>
    <w:p w14:paraId="2FBF86CB" w14:textId="77777777" w:rsidR="007B18BA" w:rsidRDefault="007B18BA" w:rsidP="00357C89">
      <w:pPr>
        <w:spacing w:after="0"/>
      </w:pPr>
    </w:p>
    <w:p w14:paraId="2E6B1AE5" w14:textId="77777777" w:rsidR="007B18BA" w:rsidRPr="007851FA" w:rsidRDefault="007B18BA" w:rsidP="007B18BA">
      <w:pPr>
        <w:spacing w:after="0"/>
        <w:rPr>
          <w:b/>
          <w:bCs/>
          <w:u w:val="single"/>
        </w:rPr>
      </w:pPr>
      <w:r w:rsidRPr="003A6570">
        <w:rPr>
          <w:b/>
          <w:bCs/>
          <w:u w:val="single"/>
        </w:rPr>
        <w:t>Commer</w:t>
      </w:r>
      <w:r w:rsidRPr="007851FA">
        <w:rPr>
          <w:b/>
          <w:bCs/>
          <w:u w:val="single"/>
        </w:rPr>
        <w:t>cial-in-confidence</w:t>
      </w:r>
    </w:p>
    <w:p w14:paraId="5DF3965C" w14:textId="77777777" w:rsidR="007B18BA" w:rsidRPr="00CB5FEE" w:rsidRDefault="007B18BA" w:rsidP="007B18BA">
      <w:pPr>
        <w:spacing w:after="0"/>
        <w:rPr>
          <w:sz w:val="12"/>
          <w:szCs w:val="12"/>
        </w:rPr>
      </w:pPr>
    </w:p>
    <w:p w14:paraId="64DC3916" w14:textId="2521493C" w:rsidR="007B18BA" w:rsidRPr="00684370" w:rsidRDefault="007B18BA" w:rsidP="007B18BA">
      <w:pPr>
        <w:spacing w:after="0"/>
      </w:pPr>
      <w:r w:rsidRPr="007B18BA">
        <w:rPr>
          <w:highlight w:val="black"/>
        </w:rPr>
        <w:t>XXXXXXXXXXXXXXXXXXXXXXXXXXX</w:t>
      </w:r>
      <w:r>
        <w:t xml:space="preserve"> </w:t>
      </w:r>
    </w:p>
    <w:p w14:paraId="6F86EFE2" w14:textId="7D133B63" w:rsidR="007B18BA" w:rsidRPr="007B18BA" w:rsidRDefault="007B18BA" w:rsidP="007B18BA">
      <w:pPr>
        <w:pStyle w:val="ListParagraph"/>
        <w:widowControl w:val="0"/>
        <w:numPr>
          <w:ilvl w:val="0"/>
          <w:numId w:val="30"/>
        </w:numPr>
        <w:spacing w:after="0"/>
        <w:ind w:left="426" w:right="-313"/>
        <w:rPr>
          <w:rFonts w:eastAsiaTheme="minorHAnsi" w:cstheme="minorHAnsi"/>
          <w:highlight w:val="black"/>
        </w:rPr>
      </w:pPr>
      <w:r w:rsidRPr="007B18BA">
        <w:rPr>
          <w:rFonts w:eastAsiaTheme="minorHAnsi" w:cstheme="minorHAnsi"/>
          <w:highlight w:val="black"/>
        </w:rPr>
        <w:t>XXXXXXXXXXXXXXXXXXXXXXXXXXXXXXXXXXXXXXXXXXXXXXXXXXXXXXXXXXXXXXXXXXXXXXXXXXXXXXXXXXX</w:t>
      </w:r>
    </w:p>
    <w:p w14:paraId="26ADAAB6" w14:textId="182896B8" w:rsidR="007B18BA" w:rsidRPr="007B18BA" w:rsidRDefault="007B18BA" w:rsidP="007B18BA">
      <w:pPr>
        <w:pStyle w:val="ListParagraph"/>
        <w:widowControl w:val="0"/>
        <w:numPr>
          <w:ilvl w:val="0"/>
          <w:numId w:val="30"/>
        </w:numPr>
        <w:spacing w:after="0"/>
        <w:ind w:left="426" w:right="-313"/>
        <w:rPr>
          <w:rFonts w:eastAsiaTheme="minorHAnsi" w:cstheme="minorHAnsi"/>
          <w:highlight w:val="black"/>
        </w:rPr>
      </w:pPr>
      <w:r w:rsidRPr="007B18BA">
        <w:rPr>
          <w:rFonts w:cstheme="minorHAnsi"/>
          <w:highlight w:val="black"/>
        </w:rPr>
        <w:t>XXXXXXXXXXXXXXXXXXXXXXXXXXXXXXXXXXXXXXXXXXXXXXXXXXXXXXXXXXXXXXXXXXXXXXXXXXXXXXXXXXXXXXXXXXXXXXXXXXXXXXXXXXXXXXXXXXXXXXXXXXXXXXXXXXXXXXXXXXXXXXXXXXXXXXXXXXXXXXXXXXXXXXXXXXXXXXXXXXXXXXXXXXX</w:t>
      </w:r>
    </w:p>
    <w:p w14:paraId="6F7ADA76" w14:textId="07FFC738" w:rsidR="007B18BA" w:rsidRPr="007B18BA" w:rsidRDefault="007B18BA" w:rsidP="007B18BA">
      <w:pPr>
        <w:pStyle w:val="ListParagraph"/>
        <w:widowControl w:val="0"/>
        <w:numPr>
          <w:ilvl w:val="0"/>
          <w:numId w:val="30"/>
        </w:numPr>
        <w:spacing w:after="0"/>
        <w:ind w:left="426" w:right="-313"/>
        <w:rPr>
          <w:rFonts w:eastAsiaTheme="minorHAnsi" w:cstheme="minorHAnsi"/>
          <w:highlight w:val="black"/>
        </w:rPr>
      </w:pPr>
      <w:r w:rsidRPr="007B18BA">
        <w:rPr>
          <w:rFonts w:eastAsiaTheme="minorHAnsi" w:cstheme="minorHAnsi"/>
          <w:highlight w:val="black"/>
        </w:rPr>
        <w:t>XXXXXXXXXXXXXXXXXXXXXXXXXXXXXXXXXXXXXXXXXXXXXXXXXXXXXXXXXXXXXXXXXXXXXXXXXXXXXXXXXXXXXXXXXXXXXXXXXXXXXXXXXXXXXXXXXXXXXXXXXXXXXXXXXXXXXXXXXXXXXXXXXXXXXXXXXXXXXXXXXXXXXXXXXXXXXXXXXXXXXXXXXXXXXXXXXXXXXXXXXXXXXXXXXXXXXXXXXXXXXXXXXXXXXXXXXXX</w:t>
      </w:r>
    </w:p>
    <w:p w14:paraId="571BD29B" w14:textId="5A68EE12" w:rsidR="007B18BA" w:rsidRPr="007B18BA" w:rsidRDefault="007B18BA" w:rsidP="007B18BA">
      <w:pPr>
        <w:pStyle w:val="ListParagraph"/>
        <w:widowControl w:val="0"/>
        <w:numPr>
          <w:ilvl w:val="0"/>
          <w:numId w:val="30"/>
        </w:numPr>
        <w:spacing w:after="0"/>
        <w:ind w:left="426" w:right="-313"/>
        <w:rPr>
          <w:rFonts w:eastAsiaTheme="minorHAnsi" w:cstheme="minorHAnsi"/>
          <w:highlight w:val="black"/>
        </w:rPr>
      </w:pPr>
      <w:r w:rsidRPr="007B18BA">
        <w:rPr>
          <w:rFonts w:eastAsiaTheme="minorHAnsi" w:cstheme="minorHAnsi"/>
          <w:highlight w:val="black"/>
        </w:rPr>
        <w:t xml:space="preserve">XXXXXXXXXXXXXXXXXXXXXXXXXXXXXXXXXXXXXXXXXXXXXXXXXXXXXXXXXXXXXXXXXXXXXXXXXXXXXXXXXXXXXXXXXXXXXXXXXXXXXXXXXXXXXXXXXXXXXXXXXXXXXXXX </w:t>
      </w:r>
    </w:p>
    <w:p w14:paraId="464B81C5" w14:textId="77777777" w:rsidR="007B18BA" w:rsidRPr="007B18BA" w:rsidRDefault="007B18BA" w:rsidP="007B18BA">
      <w:pPr>
        <w:pStyle w:val="ListParagraph"/>
        <w:widowControl w:val="0"/>
        <w:numPr>
          <w:ilvl w:val="0"/>
          <w:numId w:val="30"/>
        </w:numPr>
        <w:spacing w:after="0"/>
        <w:ind w:left="426" w:right="-313"/>
        <w:rPr>
          <w:rFonts w:eastAsiaTheme="minorHAnsi" w:cstheme="minorHAnsi"/>
          <w:highlight w:val="black"/>
        </w:rPr>
      </w:pPr>
      <w:r w:rsidRPr="007B18BA">
        <w:rPr>
          <w:rFonts w:eastAsiaTheme="minorHAnsi" w:cstheme="minorHAnsi"/>
          <w:highlight w:val="black"/>
        </w:rPr>
        <w:t xml:space="preserve">XXXXXXXXXXXXXXXXXXXXXXXXXXXXXXXXXXXXXXXXXXXXXXXXXXXXXXXXXXXXXXXXXXXXXXXXXXXXXXXXXXXXXXXXXXXXXXXXXXXXXXXXXXXXXXXXXXXXXXXXXXXXXXXX </w:t>
      </w:r>
    </w:p>
    <w:p w14:paraId="59BE3FDA" w14:textId="13ADA4BE" w:rsidR="007B18BA" w:rsidRPr="007B18BA" w:rsidRDefault="007B18BA" w:rsidP="007B18BA">
      <w:pPr>
        <w:pStyle w:val="ListParagraph"/>
        <w:widowControl w:val="0"/>
        <w:numPr>
          <w:ilvl w:val="0"/>
          <w:numId w:val="30"/>
        </w:numPr>
        <w:spacing w:after="0"/>
        <w:ind w:left="426" w:right="-313"/>
        <w:rPr>
          <w:rFonts w:eastAsiaTheme="minorHAnsi" w:cstheme="minorHAnsi"/>
          <w:highlight w:val="black"/>
        </w:rPr>
      </w:pPr>
      <w:r w:rsidRPr="007B18BA">
        <w:rPr>
          <w:rFonts w:eastAsiaTheme="minorHAnsi" w:cstheme="minorHAnsi"/>
          <w:highlight w:val="black"/>
        </w:rPr>
        <w:t>XXXXXXXXXXXXXXXXXXXXXXXXXXXXXXXXXXXXXXXXXXXXXXXXXXXXXXXXXXXXXXXXXXXXXXXXXXXXXXX</w:t>
      </w:r>
    </w:p>
    <w:p w14:paraId="15E18D5E" w14:textId="76139D8A" w:rsidR="007B18BA" w:rsidRPr="007B18BA" w:rsidRDefault="007B18BA" w:rsidP="007B18BA">
      <w:pPr>
        <w:pStyle w:val="ListParagraph"/>
        <w:widowControl w:val="0"/>
        <w:numPr>
          <w:ilvl w:val="0"/>
          <w:numId w:val="30"/>
        </w:numPr>
        <w:spacing w:after="0"/>
        <w:ind w:left="426" w:right="-313"/>
        <w:rPr>
          <w:rFonts w:eastAsiaTheme="minorHAnsi" w:cstheme="minorHAnsi"/>
          <w:highlight w:val="black"/>
        </w:rPr>
      </w:pPr>
      <w:r w:rsidRPr="007B18BA">
        <w:rPr>
          <w:rFonts w:eastAsiaTheme="minorHAnsi" w:cstheme="minorHAnsi"/>
          <w:highlight w:val="black"/>
        </w:rPr>
        <w:t>XXXXXXXXXXXXXXXXXXXXXXXXXXXXXXXXXXXXXXXXXXXXXXXXXXXXXXXXXXXXXXXXXXXXXXXXXXX</w:t>
      </w:r>
      <w:r>
        <w:rPr>
          <w:rFonts w:eastAsiaTheme="minorHAnsi" w:cstheme="minorHAnsi"/>
          <w:highlight w:val="black"/>
        </w:rPr>
        <w:t>XXXXXX</w:t>
      </w:r>
      <w:r w:rsidRPr="007B18BA">
        <w:rPr>
          <w:rFonts w:eastAsiaTheme="minorHAnsi" w:cstheme="minorHAnsi"/>
          <w:highlight w:val="black"/>
        </w:rPr>
        <w:t>XXXX</w:t>
      </w:r>
    </w:p>
    <w:p w14:paraId="583B8EA8" w14:textId="77777777" w:rsidR="007B18BA" w:rsidRPr="00242991" w:rsidRDefault="007B18BA" w:rsidP="007B18BA">
      <w:pPr>
        <w:pStyle w:val="Heading3"/>
      </w:pPr>
      <w:r w:rsidRPr="00242991">
        <w:t>Analysis of actual versus predicted utilisation</w:t>
      </w:r>
    </w:p>
    <w:p w14:paraId="7FDCA855" w14:textId="77777777" w:rsidR="007B18BA" w:rsidRDefault="007B18BA" w:rsidP="007B18BA">
      <w:pPr>
        <w:rPr>
          <w:sz w:val="22"/>
          <w:szCs w:val="22"/>
        </w:rPr>
      </w:pPr>
      <w:r w:rsidRPr="00242991">
        <w:t>Table 6 presents the predicted versus actual utilisation of lisdexamfetamine.</w:t>
      </w:r>
      <w:r>
        <w:t xml:space="preserve"> The actual figures are the script count for &gt;18 years old initiating on lisdexamfetamine after </w:t>
      </w:r>
      <w:r>
        <w:br/>
        <w:t>1 February 2021.</w:t>
      </w:r>
    </w:p>
    <w:p w14:paraId="4F32B4E5" w14:textId="77777777" w:rsidR="007B18BA" w:rsidRPr="00B30762" w:rsidRDefault="007B18BA" w:rsidP="007B18BA">
      <w:pPr>
        <w:pStyle w:val="Tabletitle"/>
      </w:pPr>
      <w:r w:rsidRPr="00242991" w:rsidDel="00A66DB1">
        <w:t xml:space="preserve"> </w:t>
      </w:r>
      <w:bookmarkStart w:id="28" w:name="_Hlk143864438"/>
      <w:r w:rsidRPr="004925D9">
        <w:t>Table 6. Lisdexametamine: actual versus predicted utilisation</w:t>
      </w:r>
      <w:r w:rsidRPr="00B30762">
        <w:t xml:space="preserve"> </w:t>
      </w:r>
    </w:p>
    <w:tbl>
      <w:tblPr>
        <w:tblStyle w:val="TableGrid"/>
        <w:tblW w:w="8472" w:type="dxa"/>
        <w:tblLook w:val="04A0" w:firstRow="1" w:lastRow="0" w:firstColumn="1" w:lastColumn="0" w:noHBand="0" w:noVBand="1"/>
      </w:tblPr>
      <w:tblGrid>
        <w:gridCol w:w="1921"/>
        <w:gridCol w:w="1726"/>
        <w:gridCol w:w="2273"/>
        <w:gridCol w:w="2552"/>
      </w:tblGrid>
      <w:tr w:rsidR="007B18BA" w:rsidRPr="00242991" w14:paraId="1146ABE5" w14:textId="77777777" w:rsidTr="008E28EB">
        <w:tc>
          <w:tcPr>
            <w:tcW w:w="1921" w:type="dxa"/>
            <w:tcBorders>
              <w:bottom w:val="single" w:sz="4" w:space="0" w:color="auto"/>
            </w:tcBorders>
            <w:shd w:val="clear" w:color="auto" w:fill="BFBFBF" w:themeFill="background1" w:themeFillShade="BF"/>
          </w:tcPr>
          <w:p w14:paraId="6752A44F" w14:textId="77777777" w:rsidR="007B18BA" w:rsidRPr="00242991" w:rsidRDefault="007B18BA" w:rsidP="008E28EB">
            <w:pPr>
              <w:rPr>
                <w:b/>
                <w:sz w:val="20"/>
                <w:szCs w:val="20"/>
              </w:rPr>
            </w:pPr>
            <w:r w:rsidRPr="00242991">
              <w:rPr>
                <w:b/>
                <w:sz w:val="20"/>
                <w:szCs w:val="20"/>
              </w:rPr>
              <w:t>Parameter</w:t>
            </w:r>
          </w:p>
        </w:tc>
        <w:tc>
          <w:tcPr>
            <w:tcW w:w="1726" w:type="dxa"/>
            <w:shd w:val="clear" w:color="auto" w:fill="BFBFBF" w:themeFill="background1" w:themeFillShade="BF"/>
          </w:tcPr>
          <w:p w14:paraId="687652D9" w14:textId="77777777" w:rsidR="007B18BA" w:rsidRPr="00242991" w:rsidRDefault="007B18BA" w:rsidP="008E28EB">
            <w:pPr>
              <w:jc w:val="center"/>
              <w:rPr>
                <w:b/>
                <w:sz w:val="20"/>
                <w:szCs w:val="20"/>
              </w:rPr>
            </w:pPr>
            <w:r w:rsidRPr="00242991">
              <w:rPr>
                <w:b/>
                <w:sz w:val="20"/>
                <w:szCs w:val="20"/>
              </w:rPr>
              <w:t>Difference</w:t>
            </w:r>
          </w:p>
        </w:tc>
        <w:tc>
          <w:tcPr>
            <w:tcW w:w="2273" w:type="dxa"/>
            <w:shd w:val="clear" w:color="auto" w:fill="BFBFBF" w:themeFill="background1" w:themeFillShade="BF"/>
          </w:tcPr>
          <w:p w14:paraId="1E553B1B" w14:textId="77777777" w:rsidR="007B18BA" w:rsidRPr="00242991" w:rsidRDefault="007B18BA" w:rsidP="008E28EB">
            <w:pPr>
              <w:jc w:val="center"/>
              <w:rPr>
                <w:b/>
                <w:sz w:val="20"/>
                <w:szCs w:val="20"/>
              </w:rPr>
            </w:pPr>
            <w:r w:rsidRPr="00242991">
              <w:rPr>
                <w:b/>
                <w:sz w:val="20"/>
                <w:szCs w:val="20"/>
              </w:rPr>
              <w:t>Year 1</w:t>
            </w:r>
          </w:p>
          <w:p w14:paraId="46C94058" w14:textId="77777777" w:rsidR="007B18BA" w:rsidRPr="00242991" w:rsidRDefault="007B18BA" w:rsidP="008E28EB">
            <w:pPr>
              <w:jc w:val="center"/>
              <w:rPr>
                <w:b/>
                <w:sz w:val="20"/>
                <w:szCs w:val="20"/>
              </w:rPr>
            </w:pPr>
            <w:r w:rsidRPr="00242991">
              <w:rPr>
                <w:b/>
                <w:sz w:val="20"/>
                <w:szCs w:val="20"/>
              </w:rPr>
              <w:t xml:space="preserve"> Feb 2021 – Jan 2022</w:t>
            </w:r>
          </w:p>
        </w:tc>
        <w:tc>
          <w:tcPr>
            <w:tcW w:w="2552" w:type="dxa"/>
            <w:shd w:val="clear" w:color="auto" w:fill="BFBFBF" w:themeFill="background1" w:themeFillShade="BF"/>
          </w:tcPr>
          <w:p w14:paraId="31B63906" w14:textId="77777777" w:rsidR="007B18BA" w:rsidRPr="00242991" w:rsidRDefault="007B18BA" w:rsidP="008E28EB">
            <w:pPr>
              <w:jc w:val="center"/>
              <w:rPr>
                <w:b/>
                <w:sz w:val="20"/>
                <w:szCs w:val="20"/>
              </w:rPr>
            </w:pPr>
            <w:r w:rsidRPr="00242991">
              <w:rPr>
                <w:b/>
                <w:sz w:val="20"/>
                <w:szCs w:val="20"/>
              </w:rPr>
              <w:t>Year 2</w:t>
            </w:r>
          </w:p>
          <w:p w14:paraId="36B678D7" w14:textId="77777777" w:rsidR="007B18BA" w:rsidRPr="00242991" w:rsidRDefault="007B18BA" w:rsidP="008E28EB">
            <w:pPr>
              <w:jc w:val="center"/>
              <w:rPr>
                <w:b/>
                <w:sz w:val="20"/>
                <w:szCs w:val="20"/>
              </w:rPr>
            </w:pPr>
            <w:r w:rsidRPr="00242991">
              <w:rPr>
                <w:b/>
                <w:sz w:val="20"/>
                <w:szCs w:val="20"/>
              </w:rPr>
              <w:t>Feb 2022 – Jan2023</w:t>
            </w:r>
          </w:p>
        </w:tc>
      </w:tr>
      <w:tr w:rsidR="007B18BA" w:rsidRPr="00242991" w14:paraId="0F73CD9D" w14:textId="77777777" w:rsidTr="008E28EB">
        <w:trPr>
          <w:trHeight w:val="181"/>
        </w:trPr>
        <w:tc>
          <w:tcPr>
            <w:tcW w:w="1921" w:type="dxa"/>
            <w:vMerge w:val="restart"/>
          </w:tcPr>
          <w:p w14:paraId="5F3D3739" w14:textId="77777777" w:rsidR="007B18BA" w:rsidRPr="00242991" w:rsidRDefault="007B18BA" w:rsidP="008E28EB">
            <w:pPr>
              <w:rPr>
                <w:sz w:val="20"/>
                <w:szCs w:val="20"/>
              </w:rPr>
            </w:pPr>
            <w:r w:rsidRPr="00242991">
              <w:rPr>
                <w:sz w:val="20"/>
                <w:szCs w:val="20"/>
              </w:rPr>
              <w:t>Number of scripts dispensed</w:t>
            </w:r>
          </w:p>
        </w:tc>
        <w:tc>
          <w:tcPr>
            <w:tcW w:w="1726" w:type="dxa"/>
          </w:tcPr>
          <w:p w14:paraId="4A7C670A" w14:textId="77777777" w:rsidR="007B18BA" w:rsidRPr="00242991" w:rsidRDefault="007B18BA" w:rsidP="008E28EB">
            <w:pPr>
              <w:jc w:val="center"/>
              <w:rPr>
                <w:sz w:val="20"/>
                <w:szCs w:val="20"/>
              </w:rPr>
            </w:pPr>
            <w:r w:rsidRPr="00242991">
              <w:rPr>
                <w:sz w:val="20"/>
                <w:szCs w:val="20"/>
              </w:rPr>
              <w:t>Predicted (P)</w:t>
            </w:r>
          </w:p>
        </w:tc>
        <w:tc>
          <w:tcPr>
            <w:tcW w:w="2273" w:type="dxa"/>
          </w:tcPr>
          <w:p w14:paraId="2189C29A" w14:textId="2DB0319C" w:rsidR="007B18BA" w:rsidRPr="00E52426" w:rsidRDefault="007B18BA" w:rsidP="008E28EB">
            <w:pPr>
              <w:jc w:val="center"/>
              <w:rPr>
                <w:sz w:val="20"/>
                <w:szCs w:val="20"/>
                <w:highlight w:val="lightGray"/>
              </w:rPr>
            </w:pPr>
            <w:r w:rsidRPr="007B18BA">
              <w:rPr>
                <w:sz w:val="20"/>
                <w:szCs w:val="20"/>
                <w:highlight w:val="black"/>
              </w:rPr>
              <w:t>XXXXXXX</w:t>
            </w:r>
          </w:p>
        </w:tc>
        <w:tc>
          <w:tcPr>
            <w:tcW w:w="2552" w:type="dxa"/>
          </w:tcPr>
          <w:p w14:paraId="3CFB4ADD" w14:textId="4ADC08C1" w:rsidR="007B18BA" w:rsidRPr="00E52426" w:rsidRDefault="007B18BA" w:rsidP="008E28EB">
            <w:pPr>
              <w:jc w:val="center"/>
              <w:rPr>
                <w:sz w:val="20"/>
                <w:szCs w:val="20"/>
                <w:highlight w:val="lightGray"/>
              </w:rPr>
            </w:pPr>
            <w:r w:rsidRPr="007B18BA">
              <w:rPr>
                <w:sz w:val="20"/>
                <w:szCs w:val="20"/>
                <w:highlight w:val="black"/>
              </w:rPr>
              <w:t>XXXXXXX</w:t>
            </w:r>
          </w:p>
        </w:tc>
      </w:tr>
      <w:tr w:rsidR="007B18BA" w:rsidRPr="00242991" w14:paraId="66D99F1F" w14:textId="77777777" w:rsidTr="008E28EB">
        <w:tc>
          <w:tcPr>
            <w:tcW w:w="1921" w:type="dxa"/>
            <w:vMerge/>
          </w:tcPr>
          <w:p w14:paraId="68A3C4E4" w14:textId="77777777" w:rsidR="007B18BA" w:rsidRPr="00242991" w:rsidRDefault="007B18BA" w:rsidP="008E28EB">
            <w:pPr>
              <w:rPr>
                <w:sz w:val="20"/>
                <w:szCs w:val="20"/>
              </w:rPr>
            </w:pPr>
          </w:p>
        </w:tc>
        <w:tc>
          <w:tcPr>
            <w:tcW w:w="1726" w:type="dxa"/>
          </w:tcPr>
          <w:p w14:paraId="6DC55C41" w14:textId="77777777" w:rsidR="007B18BA" w:rsidRPr="00242991" w:rsidRDefault="007B18BA" w:rsidP="008E28EB">
            <w:pPr>
              <w:jc w:val="center"/>
              <w:rPr>
                <w:sz w:val="20"/>
                <w:szCs w:val="20"/>
              </w:rPr>
            </w:pPr>
            <w:r w:rsidRPr="00242991">
              <w:rPr>
                <w:sz w:val="20"/>
                <w:szCs w:val="20"/>
              </w:rPr>
              <w:t>Actual (A)</w:t>
            </w:r>
          </w:p>
        </w:tc>
        <w:tc>
          <w:tcPr>
            <w:tcW w:w="2273" w:type="dxa"/>
          </w:tcPr>
          <w:p w14:paraId="47712C5D" w14:textId="77777777" w:rsidR="007B18BA" w:rsidRPr="00EE18BF" w:rsidRDefault="007B18BA" w:rsidP="008E28EB">
            <w:pPr>
              <w:jc w:val="center"/>
              <w:rPr>
                <w:sz w:val="20"/>
                <w:szCs w:val="20"/>
              </w:rPr>
            </w:pPr>
            <w:r w:rsidRPr="00EE18BF">
              <w:rPr>
                <w:sz w:val="20"/>
                <w:szCs w:val="20"/>
              </w:rPr>
              <w:t>176,953</w:t>
            </w:r>
          </w:p>
        </w:tc>
        <w:tc>
          <w:tcPr>
            <w:tcW w:w="2552" w:type="dxa"/>
          </w:tcPr>
          <w:p w14:paraId="5BBFC446" w14:textId="77777777" w:rsidR="007B18BA" w:rsidRPr="00EE18BF" w:rsidRDefault="007B18BA" w:rsidP="008E28EB">
            <w:pPr>
              <w:jc w:val="center"/>
              <w:rPr>
                <w:sz w:val="20"/>
                <w:szCs w:val="20"/>
              </w:rPr>
            </w:pPr>
            <w:r w:rsidRPr="00EE18BF">
              <w:rPr>
                <w:sz w:val="20"/>
                <w:szCs w:val="20"/>
              </w:rPr>
              <w:t>422,576</w:t>
            </w:r>
          </w:p>
        </w:tc>
      </w:tr>
      <w:tr w:rsidR="007B18BA" w:rsidRPr="00EF6063" w14:paraId="378D9AFE" w14:textId="77777777" w:rsidTr="008E28EB">
        <w:tc>
          <w:tcPr>
            <w:tcW w:w="1921" w:type="dxa"/>
            <w:vMerge/>
            <w:tcBorders>
              <w:bottom w:val="single" w:sz="4" w:space="0" w:color="auto"/>
            </w:tcBorders>
          </w:tcPr>
          <w:p w14:paraId="45BA6578" w14:textId="77777777" w:rsidR="007B18BA" w:rsidRPr="00242991" w:rsidRDefault="007B18BA" w:rsidP="008E28EB">
            <w:pPr>
              <w:rPr>
                <w:sz w:val="20"/>
                <w:szCs w:val="20"/>
              </w:rPr>
            </w:pPr>
          </w:p>
        </w:tc>
        <w:tc>
          <w:tcPr>
            <w:tcW w:w="1726" w:type="dxa"/>
          </w:tcPr>
          <w:p w14:paraId="1AD37414" w14:textId="77777777" w:rsidR="007B18BA" w:rsidRPr="00242991" w:rsidRDefault="007B18BA" w:rsidP="008E28EB">
            <w:pPr>
              <w:jc w:val="center"/>
              <w:rPr>
                <w:sz w:val="20"/>
                <w:szCs w:val="20"/>
              </w:rPr>
            </w:pPr>
            <w:r w:rsidRPr="00242991">
              <w:rPr>
                <w:sz w:val="20"/>
                <w:szCs w:val="20"/>
              </w:rPr>
              <w:t>Difference (%)</w:t>
            </w:r>
          </w:p>
          <w:p w14:paraId="3D18E1AE" w14:textId="77777777" w:rsidR="007B18BA" w:rsidRPr="00242991" w:rsidRDefault="007B18BA" w:rsidP="008E28EB">
            <w:pPr>
              <w:jc w:val="center"/>
              <w:rPr>
                <w:sz w:val="20"/>
                <w:szCs w:val="20"/>
              </w:rPr>
            </w:pPr>
            <w:r w:rsidRPr="00242991">
              <w:rPr>
                <w:sz w:val="20"/>
                <w:szCs w:val="20"/>
              </w:rPr>
              <w:t>((P-A)/P) x 100</w:t>
            </w:r>
          </w:p>
        </w:tc>
        <w:tc>
          <w:tcPr>
            <w:tcW w:w="2273" w:type="dxa"/>
            <w:vAlign w:val="center"/>
          </w:tcPr>
          <w:p w14:paraId="7E96B5CF" w14:textId="411A5775" w:rsidR="007B18BA" w:rsidRPr="00E52426" w:rsidRDefault="007B18BA" w:rsidP="008E28EB">
            <w:pPr>
              <w:jc w:val="center"/>
              <w:rPr>
                <w:sz w:val="20"/>
                <w:szCs w:val="20"/>
                <w:highlight w:val="lightGray"/>
              </w:rPr>
            </w:pPr>
            <w:r w:rsidRPr="007B18BA">
              <w:rPr>
                <w:sz w:val="20"/>
                <w:szCs w:val="20"/>
                <w:highlight w:val="black"/>
              </w:rPr>
              <w:t>XXXX</w:t>
            </w:r>
          </w:p>
        </w:tc>
        <w:tc>
          <w:tcPr>
            <w:tcW w:w="2552" w:type="dxa"/>
            <w:vAlign w:val="center"/>
          </w:tcPr>
          <w:p w14:paraId="76C9D216" w14:textId="3012E944" w:rsidR="007B18BA" w:rsidRPr="00E52426" w:rsidRDefault="007B18BA" w:rsidP="008E28EB">
            <w:pPr>
              <w:jc w:val="center"/>
              <w:rPr>
                <w:sz w:val="20"/>
                <w:szCs w:val="20"/>
                <w:highlight w:val="lightGray"/>
              </w:rPr>
            </w:pPr>
            <w:r w:rsidRPr="007B18BA">
              <w:rPr>
                <w:sz w:val="20"/>
                <w:szCs w:val="20"/>
                <w:highlight w:val="black"/>
              </w:rPr>
              <w:t>XXXX</w:t>
            </w:r>
          </w:p>
        </w:tc>
      </w:tr>
      <w:bookmarkEnd w:id="28"/>
    </w:tbl>
    <w:p w14:paraId="4E7FC5A2" w14:textId="77777777" w:rsidR="007B18BA" w:rsidRPr="00B06147" w:rsidRDefault="007B18BA" w:rsidP="007B18BA">
      <w:pPr>
        <w:rPr>
          <w:sz w:val="12"/>
          <w:szCs w:val="12"/>
        </w:rPr>
      </w:pPr>
    </w:p>
    <w:p w14:paraId="16CDBD02" w14:textId="1198FFA3" w:rsidR="007B18BA" w:rsidRDefault="007B18BA" w:rsidP="007B18BA">
      <w:r>
        <w:t xml:space="preserve">In the first year of the lisdexamfetamine restriction change, the actual scripts dispensed were marginally </w:t>
      </w:r>
      <w:r w:rsidRPr="007B18BA">
        <w:rPr>
          <w:highlight w:val="black"/>
        </w:rPr>
        <w:t>XXXXXX</w:t>
      </w:r>
      <w:r>
        <w:t xml:space="preserve"> than the amount predicted. In the second year, the actual scripts dispensed were </w:t>
      </w:r>
      <w:r w:rsidRPr="007B18BA">
        <w:rPr>
          <w:highlight w:val="black"/>
        </w:rPr>
        <w:t>XXXXXXXXXXXXX</w:t>
      </w:r>
      <w:r>
        <w:t xml:space="preserve"> the predicted amount.</w:t>
      </w:r>
    </w:p>
    <w:p w14:paraId="6DD8B171" w14:textId="77777777" w:rsidR="007B18BA" w:rsidRPr="000962A4" w:rsidRDefault="007B18BA" w:rsidP="007B18BA">
      <w:pPr>
        <w:rPr>
          <w:b/>
          <w:bCs/>
          <w:u w:val="single"/>
        </w:rPr>
      </w:pPr>
      <w:r>
        <w:rPr>
          <w:b/>
          <w:bCs/>
          <w:u w:val="single"/>
        </w:rPr>
        <w:t>End commercial-in-confidence</w:t>
      </w:r>
    </w:p>
    <w:p w14:paraId="7292934E" w14:textId="021D3F96" w:rsidR="00CE3A8F" w:rsidRPr="00CE3A8F" w:rsidRDefault="007B18BA" w:rsidP="00CE3A8F">
      <w:pPr>
        <w:pStyle w:val="Heading1"/>
      </w:pPr>
      <w:r>
        <w:lastRenderedPageBreak/>
        <w:t>D</w:t>
      </w:r>
      <w:r w:rsidR="007346C7" w:rsidRPr="002A0397">
        <w:t>iscussion</w:t>
      </w:r>
    </w:p>
    <w:p w14:paraId="5C69BBA6" w14:textId="77777777" w:rsidR="007B18BA" w:rsidRPr="00546D7A" w:rsidRDefault="007B18BA" w:rsidP="007B18BA">
      <w:r w:rsidRPr="00546D7A">
        <w:t xml:space="preserve">This ADHD utilisation report examines the use of </w:t>
      </w:r>
      <w:r>
        <w:t xml:space="preserve">ADHD medications and includes a review of the potential utilisation of </w:t>
      </w:r>
      <w:r w:rsidRPr="00546D7A">
        <w:t xml:space="preserve">clonidine as a medication prescribed for ADHD. While definitive results are difficult to establish, it is estimated that clonidine is being used as an ADHD medication across all age groups. There is a high level of confidence that clonidine is being prescribed for </w:t>
      </w:r>
      <w:r>
        <w:t xml:space="preserve">people </w:t>
      </w:r>
      <w:r w:rsidRPr="00546D7A">
        <w:t xml:space="preserve">18 years and under, as this age group would not usually be prescribed clonidine for other diseases/disorders. </w:t>
      </w:r>
      <w:r>
        <w:t>The inclusion of clonidine increases the number of people 18 years and under who are supplied ADHD medicines.</w:t>
      </w:r>
    </w:p>
    <w:p w14:paraId="5F50A3E6" w14:textId="77777777" w:rsidR="007B18BA" w:rsidRPr="00546D7A" w:rsidRDefault="007B18BA" w:rsidP="007B18BA">
      <w:r w:rsidRPr="00546D7A">
        <w:t xml:space="preserve">Overall, the utilisation of ADHD medicines listed on the R/PBS increased between the ten financial years, 2013-14 to 2022-23. This trend is consistent for prescriptions and patient data over this period. </w:t>
      </w:r>
    </w:p>
    <w:p w14:paraId="33AC8B2B" w14:textId="77777777" w:rsidR="007B18BA" w:rsidRPr="00764757" w:rsidRDefault="007B18BA" w:rsidP="007B18BA">
      <w:r w:rsidRPr="00764757">
        <w:t>In the previous review in June 2021</w:t>
      </w:r>
      <w:r w:rsidRPr="00764757">
        <w:rPr>
          <w:vertAlign w:val="superscript"/>
        </w:rPr>
        <w:t>18</w:t>
      </w:r>
      <w:r w:rsidRPr="00764757">
        <w:t xml:space="preserve">, children aged 6-12 years old were the highest percentage (42%) of </w:t>
      </w:r>
      <w:r>
        <w:t>people</w:t>
      </w:r>
      <w:r w:rsidRPr="00764757">
        <w:t xml:space="preserve"> treated with ADHD medicines in both initiating and prevalent p</w:t>
      </w:r>
      <w:r>
        <w:t>opulations</w:t>
      </w:r>
      <w:r w:rsidRPr="00764757">
        <w:t xml:space="preserve">. However, since that review and the lisdexamfetamine restriction change on 1 February 2021, the </w:t>
      </w:r>
      <w:r>
        <w:t>&gt;</w:t>
      </w:r>
      <w:r w:rsidRPr="00764757">
        <w:t>18 year old group has become the highest percentage of p</w:t>
      </w:r>
      <w:r>
        <w:t>eople</w:t>
      </w:r>
      <w:r w:rsidRPr="00764757">
        <w:t xml:space="preserve"> treated with ADHD medicines, in both initiating and prevalent p</w:t>
      </w:r>
      <w:r>
        <w:t>opulations</w:t>
      </w:r>
      <w:r w:rsidRPr="00764757">
        <w:t>.</w:t>
      </w:r>
    </w:p>
    <w:p w14:paraId="7D63B793" w14:textId="77777777" w:rsidR="007B18BA" w:rsidRDefault="007B18BA" w:rsidP="007B18BA">
      <w:r w:rsidRPr="003E4E50">
        <w:t>Males are generally treated at higher rates than females</w:t>
      </w:r>
      <w:r>
        <w:t>.</w:t>
      </w:r>
      <w:r w:rsidRPr="003E4E50">
        <w:t xml:space="preserve"> </w:t>
      </w:r>
      <w:r>
        <w:t>H</w:t>
      </w:r>
      <w:r w:rsidRPr="003E4E50">
        <w:t xml:space="preserve">owever, from </w:t>
      </w:r>
      <w:r w:rsidRPr="00242991">
        <w:t xml:space="preserve">the 2020-21 financial year, </w:t>
      </w:r>
      <w:r>
        <w:t>for the first time seen in DUSC analyses, initiating females</w:t>
      </w:r>
      <w:r w:rsidRPr="00242991">
        <w:t xml:space="preserve"> in the </w:t>
      </w:r>
      <w:r>
        <w:t>13-18 year old and &gt;</w:t>
      </w:r>
      <w:r w:rsidRPr="00242991">
        <w:t>18 year old population outnumbered male</w:t>
      </w:r>
      <w:r>
        <w:t>s</w:t>
      </w:r>
      <w:r w:rsidRPr="00242991">
        <w:t>.</w:t>
      </w:r>
      <w:r>
        <w:t xml:space="preserve"> This trend has continued over the following two financial years.</w:t>
      </w:r>
      <w:r w:rsidRPr="00242991">
        <w:t xml:space="preserve"> </w:t>
      </w:r>
      <w:r>
        <w:t>This strong uptake in the initiating female adult population has meant that in 2022-23, the &gt;18 year old female prevalent population overtook the male population.</w:t>
      </w:r>
    </w:p>
    <w:p w14:paraId="75868320" w14:textId="77777777" w:rsidR="007B18BA" w:rsidRDefault="007B18BA" w:rsidP="007B18BA">
      <w:pPr>
        <w:ind w:right="-171"/>
      </w:pPr>
      <w:r w:rsidRPr="00A57A5C">
        <w:t xml:space="preserve">The rate of ADHD medicine supply per 1000 population shows that Tas has the highest rate of supply for </w:t>
      </w:r>
      <w:r>
        <w:t>&lt;</w:t>
      </w:r>
      <w:r w:rsidRPr="00A57A5C">
        <w:t xml:space="preserve">6 year olds (5.47) closely followed by QLD (5.45), while the NT has the lowest (2.91). Rates in the 6-12 year old group were highest in Tas (87.11) and QLD (84.23), while SA and Vic had much lower rates of 50.16 and 52.25 per 1000 population respectively. </w:t>
      </w:r>
      <w:r>
        <w:t>Rates in the 13-18 year old group were highest in the ACT (68.53) and lowest in SA (31.39). Rates in the &gt;18 year old group were highest in WA (18.49) and lowest in the NT (6.28) and SA (6.58).</w:t>
      </w:r>
    </w:p>
    <w:p w14:paraId="4461653A" w14:textId="77777777" w:rsidR="007B18BA" w:rsidRDefault="007B18BA" w:rsidP="007B18BA">
      <w:r>
        <w:t>Whilst the overall number of people utilising ADHD medicines has increased year on year over this review period, the 1 February 2021 lisdexamfetamine restriction change has led to a higher rate of increase in the &gt;18 year old population.</w:t>
      </w:r>
    </w:p>
    <w:p w14:paraId="2FBBB303" w14:textId="797429F7" w:rsidR="00B06147" w:rsidRDefault="00B06147" w:rsidP="00B06147">
      <w:r>
        <w:t xml:space="preserve">In the first year of the lisdexamfetamine restriction change, the actual scripts dispensed were </w:t>
      </w:r>
      <w:r w:rsidR="002B0C52" w:rsidRPr="002B0C52">
        <w:rPr>
          <w:highlight w:val="black"/>
        </w:rPr>
        <w:t>XXXXXXXXXXXXXXXXX</w:t>
      </w:r>
      <w:r>
        <w:t xml:space="preserve"> than the amount predicted. In the second year, the actual scripts dispensed were </w:t>
      </w:r>
      <w:r w:rsidR="002B0C52" w:rsidRPr="002B0C52">
        <w:rPr>
          <w:highlight w:val="black"/>
        </w:rPr>
        <w:t>XXXXXXXXXXXXX</w:t>
      </w:r>
      <w:r w:rsidR="002B0C52">
        <w:t xml:space="preserve"> </w:t>
      </w:r>
      <w:r>
        <w:t>the predicted amount.</w:t>
      </w:r>
    </w:p>
    <w:p w14:paraId="076DC394" w14:textId="77777777" w:rsidR="000C2843" w:rsidRDefault="000C2843" w:rsidP="000C2843">
      <w:pPr>
        <w:pStyle w:val="Heading1"/>
      </w:pPr>
      <w:bookmarkStart w:id="29" w:name="_Hlk155180302"/>
      <w:r>
        <w:t>DUSC consideration</w:t>
      </w:r>
    </w:p>
    <w:p w14:paraId="18F4CBCD" w14:textId="77777777" w:rsidR="000C2843" w:rsidRPr="009443DF" w:rsidRDefault="000C2843" w:rsidP="000C2843">
      <w:pPr>
        <w:rPr>
          <w:bCs/>
        </w:rPr>
      </w:pPr>
      <w:r w:rsidRPr="009443DF">
        <w:rPr>
          <w:bCs/>
        </w:rPr>
        <w:t>DUSC noted:</w:t>
      </w:r>
    </w:p>
    <w:p w14:paraId="023B3272" w14:textId="77777777" w:rsidR="000C2843" w:rsidRPr="009443DF" w:rsidRDefault="000C2843" w:rsidP="000C2843">
      <w:pPr>
        <w:pStyle w:val="ListParagraph"/>
        <w:numPr>
          <w:ilvl w:val="0"/>
          <w:numId w:val="36"/>
        </w:numPr>
        <w:spacing w:line="276" w:lineRule="auto"/>
        <w:rPr>
          <w:bCs/>
        </w:rPr>
      </w:pPr>
      <w:r w:rsidRPr="009443DF">
        <w:rPr>
          <w:bCs/>
        </w:rPr>
        <w:t xml:space="preserve">The utilisation of ADHD medicines has increased over the ten financial years of the reporting period (2013-14 to 2022-23). </w:t>
      </w:r>
    </w:p>
    <w:p w14:paraId="340AF105" w14:textId="77777777" w:rsidR="000C2843" w:rsidRPr="009443DF" w:rsidRDefault="000C2843" w:rsidP="000C2843">
      <w:pPr>
        <w:pStyle w:val="ListParagraph"/>
        <w:numPr>
          <w:ilvl w:val="0"/>
          <w:numId w:val="36"/>
        </w:numPr>
        <w:spacing w:line="276" w:lineRule="auto"/>
        <w:rPr>
          <w:bCs/>
        </w:rPr>
      </w:pPr>
      <w:r w:rsidRPr="009443DF">
        <w:rPr>
          <w:bCs/>
        </w:rPr>
        <w:lastRenderedPageBreak/>
        <w:t xml:space="preserve">DUSC noted that adults were now the highest percentage of patients treated for ADHD, when previously 6-12 year olds were the largest cohort. DUSC commented that this shift was a result of the expanded listing of lisdexamfetamine. </w:t>
      </w:r>
    </w:p>
    <w:p w14:paraId="22CD09BD" w14:textId="430D3587" w:rsidR="000C2843" w:rsidRPr="009443DF" w:rsidRDefault="000C2843" w:rsidP="000C2843">
      <w:pPr>
        <w:pStyle w:val="ListParagraph"/>
        <w:numPr>
          <w:ilvl w:val="0"/>
          <w:numId w:val="36"/>
        </w:numPr>
        <w:spacing w:line="276" w:lineRule="auto"/>
        <w:rPr>
          <w:bCs/>
        </w:rPr>
      </w:pPr>
      <w:r w:rsidRPr="009443DF">
        <w:rPr>
          <w:bCs/>
        </w:rPr>
        <w:t>DUSC noted in Year 2 of the lisdexamfetamine extension, the number of lisdexamfetamine scripts was</w:t>
      </w:r>
      <w:r>
        <w:rPr>
          <w:bCs/>
        </w:rPr>
        <w:t xml:space="preserve"> </w:t>
      </w:r>
      <w:r w:rsidRPr="000C2843">
        <w:rPr>
          <w:bCs/>
          <w:color w:val="000000" w:themeColor="text1"/>
          <w:shd w:val="clear" w:color="auto" w:fill="000000" w:themeFill="text1"/>
        </w:rPr>
        <w:t>XXXXXX XXXXXX</w:t>
      </w:r>
      <w:r w:rsidRPr="000C2843">
        <w:rPr>
          <w:bCs/>
          <w:color w:val="000000" w:themeColor="text1"/>
        </w:rPr>
        <w:t xml:space="preserve"> </w:t>
      </w:r>
      <w:r w:rsidRPr="009443DF">
        <w:rPr>
          <w:bCs/>
        </w:rPr>
        <w:t>the amount predicted.</w:t>
      </w:r>
    </w:p>
    <w:p w14:paraId="2EFB55A1" w14:textId="77777777" w:rsidR="000C2843" w:rsidRPr="009443DF" w:rsidRDefault="000C2843" w:rsidP="000C2843">
      <w:pPr>
        <w:pStyle w:val="ListParagraph"/>
        <w:numPr>
          <w:ilvl w:val="0"/>
          <w:numId w:val="36"/>
        </w:numPr>
        <w:spacing w:line="276" w:lineRule="auto"/>
        <w:rPr>
          <w:bCs/>
        </w:rPr>
      </w:pPr>
      <w:r w:rsidRPr="009443DF">
        <w:rPr>
          <w:bCs/>
        </w:rPr>
        <w:t>That for the first time since reporting on ADHD, use of ADHD medicines in females outnumbered males in some age groups.</w:t>
      </w:r>
    </w:p>
    <w:p w14:paraId="7B10BD47" w14:textId="77777777" w:rsidR="000C2843" w:rsidRPr="009443DF" w:rsidRDefault="000C2843" w:rsidP="000C2843">
      <w:pPr>
        <w:pStyle w:val="ListParagraph"/>
        <w:numPr>
          <w:ilvl w:val="0"/>
          <w:numId w:val="36"/>
        </w:numPr>
        <w:spacing w:line="276" w:lineRule="auto"/>
        <w:rPr>
          <w:bCs/>
        </w:rPr>
      </w:pPr>
      <w:r w:rsidRPr="009443DF">
        <w:rPr>
          <w:bCs/>
        </w:rPr>
        <w:t xml:space="preserve">The increasing prevalence over time; growth rate of 242% in </w:t>
      </w:r>
      <w:r w:rsidRPr="009443DF">
        <w:rPr>
          <w:rFonts w:cs="Calibri"/>
          <w:bCs/>
        </w:rPr>
        <w:t>≤</w:t>
      </w:r>
      <w:r w:rsidRPr="009443DF">
        <w:rPr>
          <w:bCs/>
        </w:rPr>
        <w:t>18 year olds, and 496% in &gt;18 year olds.</w:t>
      </w:r>
    </w:p>
    <w:p w14:paraId="4C3A4B0C" w14:textId="77777777" w:rsidR="000C2843" w:rsidRPr="009443DF" w:rsidRDefault="000C2843" w:rsidP="000C2843">
      <w:pPr>
        <w:pStyle w:val="ListParagraph"/>
        <w:numPr>
          <w:ilvl w:val="0"/>
          <w:numId w:val="36"/>
        </w:numPr>
        <w:spacing w:line="276" w:lineRule="auto"/>
        <w:rPr>
          <w:bCs/>
        </w:rPr>
      </w:pPr>
      <w:r w:rsidRPr="009443DF">
        <w:rPr>
          <w:bCs/>
        </w:rPr>
        <w:t xml:space="preserve">The variation of use by state and territory. DUSC commented that this was due to different state and territory rules regarding prescription of ADHD medicines. DUSC commented that about 15-20 years ago Western Australia had a high use of ADHD medicines in under 18 year olds and that the shift in Western Australia could be due to people aging. </w:t>
      </w:r>
    </w:p>
    <w:p w14:paraId="735DE7BE" w14:textId="77777777" w:rsidR="000C2843" w:rsidRPr="009443DF" w:rsidRDefault="000C2843" w:rsidP="000C2843">
      <w:pPr>
        <w:pStyle w:val="ListParagraph"/>
        <w:numPr>
          <w:ilvl w:val="0"/>
          <w:numId w:val="36"/>
        </w:numPr>
        <w:spacing w:line="276" w:lineRule="auto"/>
        <w:rPr>
          <w:bCs/>
        </w:rPr>
      </w:pPr>
      <w:r w:rsidRPr="009443DF">
        <w:rPr>
          <w:bCs/>
        </w:rPr>
        <w:t xml:space="preserve">That determining if clonidine is being used for ADHD is difficult, however for people under 18 years old it is more certain. DUSC noted that the Australian ADHD Professionals Association (AADPA) advised that clonidine is used to manage sleep disturbance and could be an adjunctive ADHD therapy. </w:t>
      </w:r>
    </w:p>
    <w:p w14:paraId="749062CD" w14:textId="77777777" w:rsidR="000C2843" w:rsidRPr="009443DF" w:rsidRDefault="000C2843" w:rsidP="000C2843">
      <w:pPr>
        <w:ind w:right="-330"/>
        <w:rPr>
          <w:bCs/>
        </w:rPr>
      </w:pPr>
      <w:r w:rsidRPr="009443DF">
        <w:rPr>
          <w:bCs/>
        </w:rPr>
        <w:t>DUSC commented that people can be represented more than once in the prevalent use figures (4a, 4b and 4c), noting that in overall use, most patients used a modified release of methylphenidate until 2021, when lisdexamfetamine became the most used medicine.</w:t>
      </w:r>
    </w:p>
    <w:p w14:paraId="622B3933" w14:textId="77777777" w:rsidR="000C2843" w:rsidRPr="009443DF" w:rsidRDefault="000C2843" w:rsidP="000C2843">
      <w:pPr>
        <w:rPr>
          <w:bCs/>
        </w:rPr>
      </w:pPr>
      <w:r w:rsidRPr="009443DF">
        <w:rPr>
          <w:bCs/>
        </w:rPr>
        <w:t>DUSC discussed responses from AADPA, the Australian Association of Psychologists and the sponsor regarding the review. DUSC noted AADPA’s suggestion that the prevalence of ADHD medicine use in approaching prevalence of the condition in people under 18 years of age, and that the adult prescribing rate is still below prevalence estimates, which indicates that there is not an over-prescription of ADHD medicines. DUSC considered that not every person with ADHD would be treated with medication and for this reason prescription rates probably would not reach parity with prevalence rates.</w:t>
      </w:r>
    </w:p>
    <w:p w14:paraId="00736CC1" w14:textId="333382FA" w:rsidR="000C2843" w:rsidRPr="009443DF" w:rsidRDefault="000C2843" w:rsidP="000C2843">
      <w:pPr>
        <w:rPr>
          <w:bCs/>
        </w:rPr>
      </w:pPr>
      <w:r w:rsidRPr="009443DF">
        <w:rPr>
          <w:bCs/>
        </w:rPr>
        <w:t>DUSC discussed the rising use of telehealth as a means for people to obtain prescriptions.</w:t>
      </w:r>
    </w:p>
    <w:p w14:paraId="671FE5ED" w14:textId="77777777" w:rsidR="000C2843" w:rsidRPr="009443DF" w:rsidRDefault="000C2843" w:rsidP="000C2843">
      <w:pPr>
        <w:rPr>
          <w:bCs/>
        </w:rPr>
      </w:pPr>
      <w:r w:rsidRPr="009443DF">
        <w:rPr>
          <w:bCs/>
        </w:rPr>
        <w:t>DUSC discussed the issues with lifetime drug use, recognising the importance of holistic care and multimodal solutions.</w:t>
      </w:r>
    </w:p>
    <w:p w14:paraId="4DC4AFAE" w14:textId="77777777" w:rsidR="000C2843" w:rsidRPr="009443DF" w:rsidRDefault="000C2843" w:rsidP="000C2843">
      <w:pPr>
        <w:ind w:right="-330"/>
        <w:rPr>
          <w:bCs/>
        </w:rPr>
      </w:pPr>
      <w:r w:rsidRPr="009443DF">
        <w:rPr>
          <w:bCs/>
        </w:rPr>
        <w:t xml:space="preserve">DUSC discussed the illicit use of ADHD medicines noting that the National Drug and Alcohol Research Centre might have data on this, including how many people are diverting from illicit use into proper care. </w:t>
      </w:r>
    </w:p>
    <w:p w14:paraId="0D9491D0" w14:textId="77777777" w:rsidR="000C2843" w:rsidRDefault="000C2843" w:rsidP="000C2843">
      <w:pPr>
        <w:pStyle w:val="Heading1"/>
      </w:pPr>
      <w:r>
        <w:t>DUSC actions</w:t>
      </w:r>
    </w:p>
    <w:p w14:paraId="17AA85BF" w14:textId="4E512DD0" w:rsidR="000C2843" w:rsidRPr="009443DF" w:rsidRDefault="000C2843" w:rsidP="000C2843">
      <w:r w:rsidRPr="009443DF">
        <w:t xml:space="preserve">DUSC requested that the report be provided to the PBAC for consideration. </w:t>
      </w:r>
    </w:p>
    <w:bookmarkEnd w:id="29"/>
    <w:p w14:paraId="03D9B82C" w14:textId="77777777" w:rsidR="000C2843" w:rsidRDefault="000C2843" w:rsidP="000C2843">
      <w:pPr>
        <w:autoSpaceDE w:val="0"/>
        <w:autoSpaceDN w:val="0"/>
        <w:adjustRightInd w:val="0"/>
        <w:spacing w:after="0"/>
        <w:rPr>
          <w:rFonts w:ascii="Calibri" w:hAnsi="Calibri" w:cs="Calibri"/>
          <w:b/>
          <w:bCs/>
          <w:color w:val="000000"/>
          <w:sz w:val="32"/>
          <w:szCs w:val="32"/>
        </w:rPr>
      </w:pPr>
      <w:r w:rsidRPr="00F30A0A">
        <w:rPr>
          <w:rFonts w:ascii="Calibri" w:hAnsi="Calibri" w:cs="Calibri"/>
          <w:b/>
          <w:bCs/>
          <w:color w:val="000000"/>
          <w:sz w:val="32"/>
          <w:szCs w:val="32"/>
        </w:rPr>
        <w:lastRenderedPageBreak/>
        <w:t xml:space="preserve">Context for analysis </w:t>
      </w:r>
    </w:p>
    <w:p w14:paraId="527B23E9" w14:textId="77777777" w:rsidR="000C2843" w:rsidRDefault="000C2843" w:rsidP="000C2843">
      <w:pPr>
        <w:autoSpaceDE w:val="0"/>
        <w:autoSpaceDN w:val="0"/>
        <w:adjustRightInd w:val="0"/>
        <w:spacing w:after="0"/>
        <w:rPr>
          <w:rFonts w:ascii="Calibri" w:hAnsi="Calibri" w:cs="Calibri"/>
          <w:color w:val="000000"/>
          <w:sz w:val="23"/>
          <w:szCs w:val="23"/>
        </w:rPr>
      </w:pPr>
    </w:p>
    <w:p w14:paraId="591D76C3" w14:textId="77777777" w:rsidR="000C2843" w:rsidRDefault="000C2843" w:rsidP="000C2843">
      <w:r>
        <w:t>The DUSC is a Sub Committee of the Pharmaceutical Benefits Advisory Committee (PBAC). The DUSC assesses estimates on projected usage and financial cost of medicines.</w:t>
      </w:r>
    </w:p>
    <w:p w14:paraId="5A61FDDD" w14:textId="77777777" w:rsidR="000C2843" w:rsidRDefault="000C2843" w:rsidP="000C2843">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7C54FE1E" w14:textId="77777777" w:rsidR="000C2843" w:rsidRDefault="000C2843" w:rsidP="000C2843">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63A5C83F" w14:textId="77777777" w:rsidR="000C2843" w:rsidRPr="005F77A0" w:rsidRDefault="000C2843" w:rsidP="000C2843">
      <w:r>
        <w:t>The utilisation analysis report was provided to the pharmaceutical sponsors of each drug and comments on the report were provided to DUSC prior to its consideration of the analysis.</w:t>
      </w:r>
    </w:p>
    <w:p w14:paraId="6A0002C2" w14:textId="77777777" w:rsidR="000C2843" w:rsidRPr="00D0256B" w:rsidRDefault="000C2843" w:rsidP="000C2843">
      <w:pPr>
        <w:rPr>
          <w:b/>
          <w:bCs/>
          <w:sz w:val="32"/>
          <w:szCs w:val="32"/>
        </w:rPr>
      </w:pPr>
      <w:r>
        <w:rPr>
          <w:b/>
          <w:bCs/>
          <w:sz w:val="32"/>
          <w:szCs w:val="32"/>
        </w:rPr>
        <w:t>Sponsors’ comments</w:t>
      </w:r>
    </w:p>
    <w:p w14:paraId="099E7640" w14:textId="49EAD410" w:rsidR="00465E9D" w:rsidRPr="00F36B56" w:rsidRDefault="00465E9D" w:rsidP="00465E9D">
      <w:r w:rsidRPr="00621A04">
        <w:t>Takeda Pharmaceuticals Australia Pty. Ltd</w:t>
      </w:r>
      <w:r>
        <w:t>:</w:t>
      </w:r>
      <w:r w:rsidR="003F525A">
        <w:t xml:space="preserve"> The sponsor has no comment.</w:t>
      </w:r>
    </w:p>
    <w:p w14:paraId="66E7549F" w14:textId="77777777" w:rsidR="000C2843" w:rsidRDefault="000C2843" w:rsidP="000C2843">
      <w:pPr>
        <w:pStyle w:val="Heading1"/>
      </w:pPr>
      <w:r w:rsidRPr="00A4020E">
        <w:t>Disclaimer</w:t>
      </w:r>
    </w:p>
    <w:p w14:paraId="53A657AA" w14:textId="77777777" w:rsidR="000C2843" w:rsidRDefault="000C2843" w:rsidP="000C2843">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2F7DF0EC" w14:textId="4827CB94" w:rsidR="000C2843" w:rsidRDefault="000C2843" w:rsidP="000C2843">
      <w:r>
        <w:t xml:space="preserve">The Department of Health and Aged Care has made all reasonable efforts to ensure that information provided in this report is accurate. The information provided in this report was </w:t>
      </w:r>
      <w:r w:rsidR="00B460FA">
        <w:t>up to date</w:t>
      </w:r>
      <w:r>
        <w:t xml:space="preserve"> when it was considered by the Drug Utilisation Sub-committee of the Pharmaceutical Benefits Advisory Committee.  The context for that information may have changed since publication.</w:t>
      </w:r>
    </w:p>
    <w:p w14:paraId="0D905140" w14:textId="77777777" w:rsidR="000C2843" w:rsidRDefault="000C2843" w:rsidP="000C2843">
      <w:r>
        <w:t xml:space="preserve">To the extent provided by law, the Department of Health and Aged Care makes no warranties or representations as to accuracy or completeness of information contained in this report. </w:t>
      </w:r>
    </w:p>
    <w:p w14:paraId="7489AA9C" w14:textId="77777777" w:rsidR="000C2843" w:rsidRDefault="000C2843" w:rsidP="000C2843">
      <w:r>
        <w:t>To the fullest extent permitted by law, neither the Department of Health and Aged Care nor any Department of Health and Aged Care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7C5F8D3B" w14:textId="13D806A3" w:rsidR="00B06147" w:rsidRDefault="00B06147" w:rsidP="00FE0360">
      <w:pPr>
        <w:rPr>
          <w:rFonts w:eastAsiaTheme="majorEastAsia" w:cstheme="majorBidi"/>
          <w:b/>
          <w:bCs/>
          <w:sz w:val="32"/>
          <w:szCs w:val="32"/>
        </w:rPr>
      </w:pPr>
      <w:r>
        <w:br w:type="page"/>
      </w:r>
    </w:p>
    <w:p w14:paraId="5264755F" w14:textId="4C8DF0E6" w:rsidR="00684D77" w:rsidRPr="00B2760A" w:rsidRDefault="002B5FCF" w:rsidP="00215563">
      <w:pPr>
        <w:pStyle w:val="Heading1"/>
      </w:pPr>
      <w:r w:rsidRPr="00242991">
        <w:lastRenderedPageBreak/>
        <w:t xml:space="preserve">Appendix </w:t>
      </w:r>
      <w:r w:rsidR="00702204" w:rsidRPr="00242991">
        <w:t>A</w:t>
      </w:r>
      <w:r w:rsidRPr="00242991">
        <w:t xml:space="preserve">: </w:t>
      </w:r>
      <w:r w:rsidR="005D0578" w:rsidRPr="00242991">
        <w:t xml:space="preserve">Key </w:t>
      </w:r>
      <w:r w:rsidR="00ED7B9F" w:rsidRPr="00242991">
        <w:t>R/</w:t>
      </w:r>
      <w:r w:rsidR="00684D77" w:rsidRPr="00242991">
        <w:t>PBS listing dates</w:t>
      </w:r>
      <w:r w:rsidRPr="00242991">
        <w:t xml:space="preserve"> for ADHD medicines</w:t>
      </w:r>
      <w:r w:rsidR="00684D77" w:rsidRPr="00242991">
        <w:t xml:space="preserve"> and changes to listing dates</w:t>
      </w:r>
    </w:p>
    <w:p w14:paraId="216772FF" w14:textId="640EC219" w:rsidR="00684D77" w:rsidRPr="00B2760A" w:rsidRDefault="00684D77" w:rsidP="00215563">
      <w:pPr>
        <w:pStyle w:val="Tabletitle"/>
      </w:pPr>
      <w:r w:rsidRPr="00B2760A">
        <w:t xml:space="preserve">Table </w:t>
      </w:r>
      <w:r w:rsidR="00702204" w:rsidRPr="00B2760A">
        <w:t>A</w:t>
      </w:r>
      <w:r w:rsidRPr="00B2760A">
        <w:t>.</w:t>
      </w:r>
      <w:r w:rsidR="00511D6E">
        <w:t>1:</w:t>
      </w:r>
      <w:r w:rsidRPr="00B2760A">
        <w:t xml:space="preserve"> Date of listing of PBS medicine</w:t>
      </w:r>
      <w:r w:rsidR="002B5FCF" w:rsidRPr="00B2760A">
        <w:t>s used in the treatment of ADHD</w:t>
      </w:r>
      <w:r w:rsidRPr="00B2760A">
        <w:t xml:space="preserve"> </w:t>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985"/>
        <w:gridCol w:w="1559"/>
        <w:gridCol w:w="1134"/>
        <w:gridCol w:w="1134"/>
      </w:tblGrid>
      <w:tr w:rsidR="00684D77" w:rsidRPr="00B2760A" w14:paraId="48F27C64" w14:textId="77777777" w:rsidTr="000241D7">
        <w:trPr>
          <w:cantSplit/>
          <w:tblHeader/>
        </w:trPr>
        <w:tc>
          <w:tcPr>
            <w:tcW w:w="1384" w:type="dxa"/>
            <w:shd w:val="clear" w:color="auto" w:fill="BFBFBF" w:themeFill="background1" w:themeFillShade="BF"/>
          </w:tcPr>
          <w:p w14:paraId="18B363B3" w14:textId="77777777" w:rsidR="00684D77" w:rsidRPr="00B2760A" w:rsidRDefault="00684D77" w:rsidP="00215563">
            <w:pPr>
              <w:pStyle w:val="Tableheading"/>
            </w:pPr>
            <w:r w:rsidRPr="00B2760A">
              <w:t>Date</w:t>
            </w:r>
          </w:p>
        </w:tc>
        <w:tc>
          <w:tcPr>
            <w:tcW w:w="1985" w:type="dxa"/>
            <w:shd w:val="clear" w:color="auto" w:fill="BFBFBF" w:themeFill="background1" w:themeFillShade="BF"/>
          </w:tcPr>
          <w:p w14:paraId="3504934F" w14:textId="77777777" w:rsidR="00684D77" w:rsidRPr="00B2760A" w:rsidRDefault="00684D77" w:rsidP="00215563">
            <w:pPr>
              <w:pStyle w:val="Tableheading"/>
            </w:pPr>
            <w:r w:rsidRPr="00B2760A">
              <w:t>Drug name</w:t>
            </w:r>
          </w:p>
        </w:tc>
        <w:tc>
          <w:tcPr>
            <w:tcW w:w="1559" w:type="dxa"/>
            <w:shd w:val="clear" w:color="auto" w:fill="BFBFBF" w:themeFill="background1" w:themeFillShade="BF"/>
          </w:tcPr>
          <w:p w14:paraId="0B9409E8" w14:textId="77777777" w:rsidR="00684D77" w:rsidRPr="00B2760A" w:rsidRDefault="00684D77" w:rsidP="00215563">
            <w:pPr>
              <w:pStyle w:val="Tableheading"/>
            </w:pPr>
            <w:r w:rsidRPr="00B2760A">
              <w:t>Brand name</w:t>
            </w:r>
          </w:p>
        </w:tc>
        <w:tc>
          <w:tcPr>
            <w:tcW w:w="1134" w:type="dxa"/>
            <w:shd w:val="clear" w:color="auto" w:fill="BFBFBF" w:themeFill="background1" w:themeFillShade="BF"/>
          </w:tcPr>
          <w:p w14:paraId="494CB257" w14:textId="77777777" w:rsidR="00684D77" w:rsidRPr="00B2760A" w:rsidRDefault="00684D77" w:rsidP="00215563">
            <w:pPr>
              <w:pStyle w:val="Tableheading"/>
            </w:pPr>
            <w:r w:rsidRPr="00B2760A">
              <w:t>Strength</w:t>
            </w:r>
          </w:p>
        </w:tc>
        <w:tc>
          <w:tcPr>
            <w:tcW w:w="1134" w:type="dxa"/>
            <w:shd w:val="clear" w:color="auto" w:fill="BFBFBF" w:themeFill="background1" w:themeFillShade="BF"/>
          </w:tcPr>
          <w:p w14:paraId="1E62A221" w14:textId="77777777" w:rsidR="00684D77" w:rsidRPr="00B2760A" w:rsidRDefault="00684D77" w:rsidP="00215563">
            <w:pPr>
              <w:pStyle w:val="Tableheading"/>
            </w:pPr>
            <w:r w:rsidRPr="00B2760A">
              <w:t>Item</w:t>
            </w:r>
          </w:p>
        </w:tc>
      </w:tr>
      <w:tr w:rsidR="00684D77" w:rsidRPr="00B2760A" w14:paraId="2992648A" w14:textId="77777777" w:rsidTr="000241D7">
        <w:trPr>
          <w:trHeight w:val="405"/>
        </w:trPr>
        <w:tc>
          <w:tcPr>
            <w:tcW w:w="1384" w:type="dxa"/>
          </w:tcPr>
          <w:p w14:paraId="199AEF35" w14:textId="77777777" w:rsidR="00684D77" w:rsidRPr="00B2760A" w:rsidRDefault="00684D77" w:rsidP="00215563">
            <w:pPr>
              <w:pStyle w:val="Tablewriting"/>
              <w:rPr>
                <w:b/>
              </w:rPr>
            </w:pPr>
            <w:r w:rsidRPr="00B2760A">
              <w:t>Dec 1973</w:t>
            </w:r>
          </w:p>
        </w:tc>
        <w:tc>
          <w:tcPr>
            <w:tcW w:w="1985" w:type="dxa"/>
          </w:tcPr>
          <w:p w14:paraId="67D786CA" w14:textId="77777777" w:rsidR="00684D77" w:rsidRPr="00B2760A" w:rsidRDefault="00E56C55" w:rsidP="00215563">
            <w:pPr>
              <w:pStyle w:val="Tablewriting"/>
              <w:jc w:val="center"/>
            </w:pPr>
            <w:r w:rsidRPr="00B2760A">
              <w:t>Dexamf</w:t>
            </w:r>
            <w:r w:rsidR="00684D77" w:rsidRPr="00B2760A">
              <w:t>etamine</w:t>
            </w:r>
          </w:p>
        </w:tc>
        <w:tc>
          <w:tcPr>
            <w:tcW w:w="1559" w:type="dxa"/>
          </w:tcPr>
          <w:p w14:paraId="525AD89C" w14:textId="77777777" w:rsidR="00684D77" w:rsidRPr="00B2760A" w:rsidRDefault="00684D77" w:rsidP="00215563">
            <w:pPr>
              <w:pStyle w:val="Tablewriting"/>
              <w:jc w:val="center"/>
            </w:pPr>
            <w:r w:rsidRPr="00B2760A">
              <w:t>-</w:t>
            </w:r>
          </w:p>
        </w:tc>
        <w:tc>
          <w:tcPr>
            <w:tcW w:w="1134" w:type="dxa"/>
          </w:tcPr>
          <w:p w14:paraId="0234C1BA" w14:textId="77777777" w:rsidR="00684D77" w:rsidRPr="00B2760A" w:rsidRDefault="00684D77" w:rsidP="00215563">
            <w:pPr>
              <w:pStyle w:val="Tablewriting"/>
              <w:jc w:val="center"/>
            </w:pPr>
            <w:r w:rsidRPr="00B2760A">
              <w:t>5 mg</w:t>
            </w:r>
          </w:p>
        </w:tc>
        <w:tc>
          <w:tcPr>
            <w:tcW w:w="1134" w:type="dxa"/>
          </w:tcPr>
          <w:p w14:paraId="3CF8A302" w14:textId="77777777" w:rsidR="00684D77" w:rsidRPr="00B2760A" w:rsidRDefault="00684D77" w:rsidP="00215563">
            <w:pPr>
              <w:pStyle w:val="Tablewriting"/>
              <w:jc w:val="center"/>
            </w:pPr>
            <w:r w:rsidRPr="00B2760A">
              <w:t>1165H</w:t>
            </w:r>
          </w:p>
        </w:tc>
      </w:tr>
      <w:tr w:rsidR="00684D77" w:rsidRPr="00B2760A" w14:paraId="5BF15640" w14:textId="77777777" w:rsidTr="000241D7">
        <w:tc>
          <w:tcPr>
            <w:tcW w:w="1384" w:type="dxa"/>
          </w:tcPr>
          <w:p w14:paraId="7027C052" w14:textId="77777777" w:rsidR="00684D77" w:rsidRPr="00B2760A" w:rsidRDefault="00684D77" w:rsidP="00215563">
            <w:pPr>
              <w:pStyle w:val="Tablewriting"/>
            </w:pPr>
            <w:r w:rsidRPr="00B2760A">
              <w:t>Aug 2005</w:t>
            </w:r>
          </w:p>
        </w:tc>
        <w:tc>
          <w:tcPr>
            <w:tcW w:w="1985" w:type="dxa"/>
          </w:tcPr>
          <w:p w14:paraId="400A00DA" w14:textId="77777777" w:rsidR="00684D77" w:rsidRPr="00B2760A" w:rsidRDefault="00684D77" w:rsidP="00215563">
            <w:pPr>
              <w:pStyle w:val="Tablewriting"/>
              <w:jc w:val="center"/>
            </w:pPr>
            <w:r w:rsidRPr="00B2760A">
              <w:t>Methylphenidate IR</w:t>
            </w:r>
          </w:p>
        </w:tc>
        <w:tc>
          <w:tcPr>
            <w:tcW w:w="1559" w:type="dxa"/>
          </w:tcPr>
          <w:p w14:paraId="5ACF76CC" w14:textId="77777777" w:rsidR="00684D77" w:rsidRPr="00B2760A" w:rsidRDefault="00684D77" w:rsidP="00215563">
            <w:pPr>
              <w:pStyle w:val="Tablewriting"/>
              <w:jc w:val="center"/>
            </w:pPr>
            <w:r w:rsidRPr="00B2760A">
              <w:t>Ritalin 10</w:t>
            </w:r>
          </w:p>
        </w:tc>
        <w:tc>
          <w:tcPr>
            <w:tcW w:w="1134" w:type="dxa"/>
          </w:tcPr>
          <w:p w14:paraId="640D5483" w14:textId="77777777" w:rsidR="00684D77" w:rsidRPr="00B2760A" w:rsidRDefault="00684D77" w:rsidP="00215563">
            <w:pPr>
              <w:pStyle w:val="Tablewriting"/>
              <w:jc w:val="center"/>
            </w:pPr>
            <w:r w:rsidRPr="00B2760A">
              <w:t>10 mg</w:t>
            </w:r>
          </w:p>
        </w:tc>
        <w:tc>
          <w:tcPr>
            <w:tcW w:w="1134" w:type="dxa"/>
          </w:tcPr>
          <w:p w14:paraId="6E700EB6" w14:textId="77777777" w:rsidR="00684D77" w:rsidRPr="00B2760A" w:rsidRDefault="00684D77" w:rsidP="00215563">
            <w:pPr>
              <w:pStyle w:val="Tablewriting"/>
              <w:jc w:val="center"/>
            </w:pPr>
            <w:r w:rsidRPr="00B2760A">
              <w:t>8839F</w:t>
            </w:r>
          </w:p>
        </w:tc>
      </w:tr>
      <w:tr w:rsidR="00684D77" w:rsidRPr="00B2760A" w14:paraId="2F3D658E" w14:textId="77777777" w:rsidTr="000241D7">
        <w:tc>
          <w:tcPr>
            <w:tcW w:w="1384" w:type="dxa"/>
          </w:tcPr>
          <w:p w14:paraId="5486B216" w14:textId="77777777" w:rsidR="00684D77" w:rsidRPr="00B2760A" w:rsidRDefault="00684D77" w:rsidP="00215563">
            <w:pPr>
              <w:pStyle w:val="Tablewriting"/>
            </w:pPr>
            <w:r w:rsidRPr="00B2760A">
              <w:t>Dec 2005</w:t>
            </w:r>
          </w:p>
        </w:tc>
        <w:tc>
          <w:tcPr>
            <w:tcW w:w="1985" w:type="dxa"/>
          </w:tcPr>
          <w:p w14:paraId="4E6AD1DB" w14:textId="77777777" w:rsidR="00684D77" w:rsidRPr="00B2760A" w:rsidRDefault="00684D77" w:rsidP="00215563">
            <w:pPr>
              <w:pStyle w:val="Tablewriting"/>
              <w:jc w:val="center"/>
            </w:pPr>
            <w:r w:rsidRPr="00B2760A">
              <w:t>Methylphenidate IR</w:t>
            </w:r>
          </w:p>
        </w:tc>
        <w:tc>
          <w:tcPr>
            <w:tcW w:w="1559" w:type="dxa"/>
          </w:tcPr>
          <w:p w14:paraId="73018C8E" w14:textId="77777777" w:rsidR="00684D77" w:rsidRPr="00B2760A" w:rsidRDefault="00684D77" w:rsidP="00215563">
            <w:pPr>
              <w:pStyle w:val="Tablewriting"/>
              <w:jc w:val="center"/>
            </w:pPr>
            <w:r w:rsidRPr="00B2760A">
              <w:t>Attenta*</w:t>
            </w:r>
          </w:p>
        </w:tc>
        <w:tc>
          <w:tcPr>
            <w:tcW w:w="1134" w:type="dxa"/>
          </w:tcPr>
          <w:p w14:paraId="1D7A272A" w14:textId="77777777" w:rsidR="00684D77" w:rsidRPr="00B2760A" w:rsidRDefault="00684D77" w:rsidP="00215563">
            <w:pPr>
              <w:pStyle w:val="Tablewriting"/>
              <w:jc w:val="center"/>
            </w:pPr>
            <w:r w:rsidRPr="00B2760A">
              <w:t>10 mg</w:t>
            </w:r>
          </w:p>
        </w:tc>
        <w:tc>
          <w:tcPr>
            <w:tcW w:w="1134" w:type="dxa"/>
          </w:tcPr>
          <w:p w14:paraId="723D283B" w14:textId="77777777" w:rsidR="00684D77" w:rsidRPr="00B2760A" w:rsidRDefault="00684D77" w:rsidP="00215563">
            <w:pPr>
              <w:pStyle w:val="Tablewriting"/>
              <w:jc w:val="center"/>
            </w:pPr>
            <w:r w:rsidRPr="00B2760A">
              <w:t>8829F</w:t>
            </w:r>
          </w:p>
        </w:tc>
      </w:tr>
      <w:tr w:rsidR="00684D77" w:rsidRPr="00B2760A" w14:paraId="4668A12E" w14:textId="77777777" w:rsidTr="000241D7">
        <w:tc>
          <w:tcPr>
            <w:tcW w:w="1384" w:type="dxa"/>
            <w:vMerge w:val="restart"/>
          </w:tcPr>
          <w:p w14:paraId="616DD7D1" w14:textId="77777777" w:rsidR="00684D77" w:rsidRPr="00B2760A" w:rsidRDefault="00684D77" w:rsidP="00215563">
            <w:pPr>
              <w:pStyle w:val="Tablewriting"/>
              <w:rPr>
                <w:b/>
              </w:rPr>
            </w:pPr>
            <w:r w:rsidRPr="00B2760A">
              <w:t>April 2007</w:t>
            </w:r>
          </w:p>
        </w:tc>
        <w:tc>
          <w:tcPr>
            <w:tcW w:w="1985" w:type="dxa"/>
            <w:vMerge w:val="restart"/>
          </w:tcPr>
          <w:p w14:paraId="4DFD67F5" w14:textId="77777777" w:rsidR="00684D77" w:rsidRPr="00B2760A" w:rsidRDefault="00684D77" w:rsidP="00215563">
            <w:pPr>
              <w:pStyle w:val="Tablewriting"/>
              <w:jc w:val="center"/>
            </w:pPr>
            <w:r w:rsidRPr="00B2760A">
              <w:t>Methylphenidate MR</w:t>
            </w:r>
          </w:p>
        </w:tc>
        <w:tc>
          <w:tcPr>
            <w:tcW w:w="1559" w:type="dxa"/>
            <w:vMerge w:val="restart"/>
          </w:tcPr>
          <w:p w14:paraId="0D8A0596" w14:textId="77777777" w:rsidR="00684D77" w:rsidRPr="00B2760A" w:rsidRDefault="00684D77" w:rsidP="00215563">
            <w:pPr>
              <w:pStyle w:val="Tablewriting"/>
              <w:jc w:val="center"/>
            </w:pPr>
            <w:r w:rsidRPr="00B2760A">
              <w:t>Concerta</w:t>
            </w:r>
          </w:p>
        </w:tc>
        <w:tc>
          <w:tcPr>
            <w:tcW w:w="1134" w:type="dxa"/>
          </w:tcPr>
          <w:p w14:paraId="03050E55" w14:textId="77777777" w:rsidR="00684D77" w:rsidRPr="00B2760A" w:rsidRDefault="00684D77" w:rsidP="00215563">
            <w:pPr>
              <w:pStyle w:val="Tablewriting"/>
              <w:jc w:val="center"/>
            </w:pPr>
            <w:r w:rsidRPr="00B2760A">
              <w:t>18 mg</w:t>
            </w:r>
          </w:p>
        </w:tc>
        <w:tc>
          <w:tcPr>
            <w:tcW w:w="1134" w:type="dxa"/>
          </w:tcPr>
          <w:p w14:paraId="74038740" w14:textId="77777777" w:rsidR="00684D77" w:rsidRPr="00B2760A" w:rsidRDefault="00684D77" w:rsidP="00215563">
            <w:pPr>
              <w:pStyle w:val="Tablewriting"/>
              <w:jc w:val="center"/>
            </w:pPr>
            <w:r w:rsidRPr="00B2760A">
              <w:t>2387P</w:t>
            </w:r>
          </w:p>
        </w:tc>
      </w:tr>
      <w:tr w:rsidR="00684D77" w:rsidRPr="00B2760A" w14:paraId="54F4E221" w14:textId="77777777" w:rsidTr="000241D7">
        <w:tc>
          <w:tcPr>
            <w:tcW w:w="1384" w:type="dxa"/>
            <w:vMerge/>
          </w:tcPr>
          <w:p w14:paraId="36FC4717" w14:textId="77777777" w:rsidR="00684D77" w:rsidRPr="00B2760A" w:rsidRDefault="00684D77" w:rsidP="00215563">
            <w:pPr>
              <w:pStyle w:val="Tablewriting"/>
            </w:pPr>
          </w:p>
        </w:tc>
        <w:tc>
          <w:tcPr>
            <w:tcW w:w="1985" w:type="dxa"/>
            <w:vMerge/>
          </w:tcPr>
          <w:p w14:paraId="07400DFB" w14:textId="77777777" w:rsidR="00684D77" w:rsidRPr="00B2760A" w:rsidRDefault="00684D77" w:rsidP="00215563">
            <w:pPr>
              <w:pStyle w:val="Tablewriting"/>
              <w:jc w:val="center"/>
            </w:pPr>
          </w:p>
        </w:tc>
        <w:tc>
          <w:tcPr>
            <w:tcW w:w="1559" w:type="dxa"/>
            <w:vMerge/>
          </w:tcPr>
          <w:p w14:paraId="3F651ABE" w14:textId="77777777" w:rsidR="00684D77" w:rsidRPr="00B2760A" w:rsidRDefault="00684D77" w:rsidP="00215563">
            <w:pPr>
              <w:pStyle w:val="Tablewriting"/>
              <w:jc w:val="center"/>
            </w:pPr>
          </w:p>
        </w:tc>
        <w:tc>
          <w:tcPr>
            <w:tcW w:w="1134" w:type="dxa"/>
          </w:tcPr>
          <w:p w14:paraId="24BFCC95" w14:textId="77777777" w:rsidR="00684D77" w:rsidRPr="00B2760A" w:rsidRDefault="00684D77" w:rsidP="00215563">
            <w:pPr>
              <w:pStyle w:val="Tablewriting"/>
              <w:jc w:val="center"/>
            </w:pPr>
            <w:r w:rsidRPr="00B2760A">
              <w:t>36 mg</w:t>
            </w:r>
          </w:p>
        </w:tc>
        <w:tc>
          <w:tcPr>
            <w:tcW w:w="1134" w:type="dxa"/>
          </w:tcPr>
          <w:p w14:paraId="6D1836A2" w14:textId="77777777" w:rsidR="00684D77" w:rsidRPr="00B2760A" w:rsidRDefault="00684D77" w:rsidP="00215563">
            <w:pPr>
              <w:pStyle w:val="Tablewriting"/>
              <w:jc w:val="center"/>
            </w:pPr>
            <w:r w:rsidRPr="00B2760A">
              <w:t>2388Q</w:t>
            </w:r>
          </w:p>
        </w:tc>
      </w:tr>
      <w:tr w:rsidR="00684D77" w:rsidRPr="00B2760A" w14:paraId="59F580AA" w14:textId="77777777" w:rsidTr="000241D7">
        <w:tc>
          <w:tcPr>
            <w:tcW w:w="1384" w:type="dxa"/>
            <w:vMerge/>
          </w:tcPr>
          <w:p w14:paraId="519400CD" w14:textId="77777777" w:rsidR="00684D77" w:rsidRPr="00B2760A" w:rsidRDefault="00684D77" w:rsidP="00215563">
            <w:pPr>
              <w:pStyle w:val="Tablewriting"/>
            </w:pPr>
          </w:p>
        </w:tc>
        <w:tc>
          <w:tcPr>
            <w:tcW w:w="1985" w:type="dxa"/>
            <w:vMerge/>
          </w:tcPr>
          <w:p w14:paraId="35EF9922" w14:textId="77777777" w:rsidR="00684D77" w:rsidRPr="00B2760A" w:rsidRDefault="00684D77" w:rsidP="00215563">
            <w:pPr>
              <w:pStyle w:val="Tablewriting"/>
              <w:jc w:val="center"/>
            </w:pPr>
          </w:p>
        </w:tc>
        <w:tc>
          <w:tcPr>
            <w:tcW w:w="1559" w:type="dxa"/>
            <w:vMerge/>
          </w:tcPr>
          <w:p w14:paraId="43D26CF7" w14:textId="77777777" w:rsidR="00684D77" w:rsidRPr="00B2760A" w:rsidRDefault="00684D77" w:rsidP="00215563">
            <w:pPr>
              <w:pStyle w:val="Tablewriting"/>
              <w:jc w:val="center"/>
            </w:pPr>
          </w:p>
        </w:tc>
        <w:tc>
          <w:tcPr>
            <w:tcW w:w="1134" w:type="dxa"/>
          </w:tcPr>
          <w:p w14:paraId="7AAB21BC" w14:textId="77777777" w:rsidR="00684D77" w:rsidRPr="00B2760A" w:rsidRDefault="00684D77" w:rsidP="00215563">
            <w:pPr>
              <w:pStyle w:val="Tablewriting"/>
              <w:jc w:val="center"/>
            </w:pPr>
            <w:r w:rsidRPr="00B2760A">
              <w:t>54 mg</w:t>
            </w:r>
          </w:p>
        </w:tc>
        <w:tc>
          <w:tcPr>
            <w:tcW w:w="1134" w:type="dxa"/>
          </w:tcPr>
          <w:p w14:paraId="123A199E" w14:textId="77777777" w:rsidR="00684D77" w:rsidRPr="00B2760A" w:rsidRDefault="00684D77" w:rsidP="00215563">
            <w:pPr>
              <w:pStyle w:val="Tablewriting"/>
              <w:jc w:val="center"/>
            </w:pPr>
            <w:r w:rsidRPr="00B2760A">
              <w:t>2432B</w:t>
            </w:r>
          </w:p>
        </w:tc>
      </w:tr>
      <w:tr w:rsidR="00684D77" w:rsidRPr="00B2760A" w14:paraId="5D9DA15C" w14:textId="77777777" w:rsidTr="000241D7">
        <w:tc>
          <w:tcPr>
            <w:tcW w:w="1384" w:type="dxa"/>
            <w:vMerge w:val="restart"/>
          </w:tcPr>
          <w:p w14:paraId="3A55D16D" w14:textId="77777777" w:rsidR="00684D77" w:rsidRPr="00B2760A" w:rsidRDefault="00684D77" w:rsidP="00215563">
            <w:pPr>
              <w:pStyle w:val="Tablewriting"/>
            </w:pPr>
            <w:r w:rsidRPr="00B2760A">
              <w:t>July 2007</w:t>
            </w:r>
          </w:p>
        </w:tc>
        <w:tc>
          <w:tcPr>
            <w:tcW w:w="1985" w:type="dxa"/>
            <w:vMerge w:val="restart"/>
          </w:tcPr>
          <w:p w14:paraId="09500A02" w14:textId="77777777" w:rsidR="00684D77" w:rsidRPr="00B2760A" w:rsidRDefault="00684D77" w:rsidP="00215563">
            <w:pPr>
              <w:pStyle w:val="Tablewriting"/>
              <w:jc w:val="center"/>
            </w:pPr>
            <w:r w:rsidRPr="00B2760A">
              <w:t>Atomoxetine</w:t>
            </w:r>
          </w:p>
        </w:tc>
        <w:tc>
          <w:tcPr>
            <w:tcW w:w="1559" w:type="dxa"/>
            <w:vMerge w:val="restart"/>
          </w:tcPr>
          <w:p w14:paraId="5E9CA62C" w14:textId="77777777" w:rsidR="00684D77" w:rsidRPr="00B2760A" w:rsidRDefault="00684D77" w:rsidP="00215563">
            <w:pPr>
              <w:pStyle w:val="Tablewriting"/>
              <w:jc w:val="center"/>
            </w:pPr>
            <w:r w:rsidRPr="00B2760A">
              <w:t>Strattera</w:t>
            </w:r>
          </w:p>
        </w:tc>
        <w:tc>
          <w:tcPr>
            <w:tcW w:w="1134" w:type="dxa"/>
          </w:tcPr>
          <w:p w14:paraId="3A9FCFB5" w14:textId="77777777" w:rsidR="00684D77" w:rsidRPr="00B2760A" w:rsidRDefault="00684D77" w:rsidP="00215563">
            <w:pPr>
              <w:pStyle w:val="Tablewriting"/>
              <w:jc w:val="center"/>
            </w:pPr>
            <w:r w:rsidRPr="00B2760A">
              <w:t>10 mg</w:t>
            </w:r>
          </w:p>
        </w:tc>
        <w:tc>
          <w:tcPr>
            <w:tcW w:w="1134" w:type="dxa"/>
          </w:tcPr>
          <w:p w14:paraId="1FF037E9" w14:textId="77777777" w:rsidR="00684D77" w:rsidRPr="00B2760A" w:rsidRDefault="00684D77" w:rsidP="00215563">
            <w:pPr>
              <w:pStyle w:val="Tablewriting"/>
              <w:jc w:val="center"/>
            </w:pPr>
            <w:r w:rsidRPr="00B2760A">
              <w:t>9092M</w:t>
            </w:r>
          </w:p>
        </w:tc>
      </w:tr>
      <w:tr w:rsidR="00684D77" w:rsidRPr="00B2760A" w14:paraId="2D5D2397" w14:textId="77777777" w:rsidTr="000241D7">
        <w:tc>
          <w:tcPr>
            <w:tcW w:w="1384" w:type="dxa"/>
            <w:vMerge/>
          </w:tcPr>
          <w:p w14:paraId="03443DB6" w14:textId="77777777" w:rsidR="00684D77" w:rsidRPr="00B2760A" w:rsidRDefault="00684D77" w:rsidP="00215563">
            <w:pPr>
              <w:pStyle w:val="Tablewriting"/>
            </w:pPr>
          </w:p>
        </w:tc>
        <w:tc>
          <w:tcPr>
            <w:tcW w:w="1985" w:type="dxa"/>
            <w:vMerge/>
          </w:tcPr>
          <w:p w14:paraId="6C00292F" w14:textId="77777777" w:rsidR="00684D77" w:rsidRPr="00B2760A" w:rsidRDefault="00684D77" w:rsidP="00215563">
            <w:pPr>
              <w:pStyle w:val="Tablewriting"/>
              <w:jc w:val="center"/>
            </w:pPr>
          </w:p>
        </w:tc>
        <w:tc>
          <w:tcPr>
            <w:tcW w:w="1559" w:type="dxa"/>
            <w:vMerge/>
          </w:tcPr>
          <w:p w14:paraId="5D38E783" w14:textId="77777777" w:rsidR="00684D77" w:rsidRPr="00B2760A" w:rsidRDefault="00684D77" w:rsidP="00215563">
            <w:pPr>
              <w:pStyle w:val="Tablewriting"/>
              <w:jc w:val="center"/>
            </w:pPr>
          </w:p>
        </w:tc>
        <w:tc>
          <w:tcPr>
            <w:tcW w:w="1134" w:type="dxa"/>
          </w:tcPr>
          <w:p w14:paraId="6B166BAC" w14:textId="77777777" w:rsidR="00684D77" w:rsidRPr="00B2760A" w:rsidRDefault="00684D77" w:rsidP="00215563">
            <w:pPr>
              <w:pStyle w:val="Tablewriting"/>
              <w:jc w:val="center"/>
            </w:pPr>
            <w:r w:rsidRPr="00B2760A">
              <w:t>18 mg</w:t>
            </w:r>
          </w:p>
        </w:tc>
        <w:tc>
          <w:tcPr>
            <w:tcW w:w="1134" w:type="dxa"/>
          </w:tcPr>
          <w:p w14:paraId="562D9294" w14:textId="77777777" w:rsidR="00684D77" w:rsidRPr="00B2760A" w:rsidRDefault="00684D77" w:rsidP="00215563">
            <w:pPr>
              <w:pStyle w:val="Tablewriting"/>
              <w:jc w:val="center"/>
            </w:pPr>
            <w:r w:rsidRPr="00B2760A">
              <w:t>9093N</w:t>
            </w:r>
          </w:p>
        </w:tc>
      </w:tr>
      <w:tr w:rsidR="00684D77" w:rsidRPr="00B2760A" w14:paraId="4532D574" w14:textId="77777777" w:rsidTr="000241D7">
        <w:tc>
          <w:tcPr>
            <w:tcW w:w="1384" w:type="dxa"/>
            <w:vMerge/>
          </w:tcPr>
          <w:p w14:paraId="692B19F1" w14:textId="77777777" w:rsidR="00684D77" w:rsidRPr="00B2760A" w:rsidRDefault="00684D77" w:rsidP="00215563">
            <w:pPr>
              <w:pStyle w:val="Tablewriting"/>
            </w:pPr>
          </w:p>
        </w:tc>
        <w:tc>
          <w:tcPr>
            <w:tcW w:w="1985" w:type="dxa"/>
            <w:vMerge/>
          </w:tcPr>
          <w:p w14:paraId="358F1455" w14:textId="77777777" w:rsidR="00684D77" w:rsidRPr="00B2760A" w:rsidRDefault="00684D77" w:rsidP="00215563">
            <w:pPr>
              <w:pStyle w:val="Tablewriting"/>
              <w:jc w:val="center"/>
            </w:pPr>
          </w:p>
        </w:tc>
        <w:tc>
          <w:tcPr>
            <w:tcW w:w="1559" w:type="dxa"/>
            <w:vMerge/>
          </w:tcPr>
          <w:p w14:paraId="4D0BDC4A" w14:textId="77777777" w:rsidR="00684D77" w:rsidRPr="00B2760A" w:rsidRDefault="00684D77" w:rsidP="00215563">
            <w:pPr>
              <w:pStyle w:val="Tablewriting"/>
              <w:jc w:val="center"/>
            </w:pPr>
          </w:p>
        </w:tc>
        <w:tc>
          <w:tcPr>
            <w:tcW w:w="1134" w:type="dxa"/>
          </w:tcPr>
          <w:p w14:paraId="5B0EF3CC" w14:textId="77777777" w:rsidR="00684D77" w:rsidRPr="00B2760A" w:rsidRDefault="00684D77" w:rsidP="00215563">
            <w:pPr>
              <w:pStyle w:val="Tablewriting"/>
              <w:jc w:val="center"/>
            </w:pPr>
            <w:r w:rsidRPr="00B2760A">
              <w:t>25 mg</w:t>
            </w:r>
          </w:p>
        </w:tc>
        <w:tc>
          <w:tcPr>
            <w:tcW w:w="1134" w:type="dxa"/>
          </w:tcPr>
          <w:p w14:paraId="67ABCF0B" w14:textId="77777777" w:rsidR="00684D77" w:rsidRPr="00B2760A" w:rsidRDefault="00684D77" w:rsidP="00215563">
            <w:pPr>
              <w:pStyle w:val="Tablewriting"/>
              <w:jc w:val="center"/>
            </w:pPr>
            <w:r w:rsidRPr="00B2760A">
              <w:t>9094P</w:t>
            </w:r>
          </w:p>
        </w:tc>
      </w:tr>
      <w:tr w:rsidR="00684D77" w:rsidRPr="00B2760A" w14:paraId="2FB52681" w14:textId="77777777" w:rsidTr="000241D7">
        <w:tc>
          <w:tcPr>
            <w:tcW w:w="1384" w:type="dxa"/>
            <w:vMerge/>
          </w:tcPr>
          <w:p w14:paraId="4A3391AA" w14:textId="77777777" w:rsidR="00684D77" w:rsidRPr="00B2760A" w:rsidRDefault="00684D77" w:rsidP="00215563">
            <w:pPr>
              <w:pStyle w:val="Tablewriting"/>
            </w:pPr>
          </w:p>
        </w:tc>
        <w:tc>
          <w:tcPr>
            <w:tcW w:w="1985" w:type="dxa"/>
            <w:vMerge/>
          </w:tcPr>
          <w:p w14:paraId="37680E62" w14:textId="77777777" w:rsidR="00684D77" w:rsidRPr="00B2760A" w:rsidRDefault="00684D77" w:rsidP="00215563">
            <w:pPr>
              <w:pStyle w:val="Tablewriting"/>
              <w:jc w:val="center"/>
            </w:pPr>
          </w:p>
        </w:tc>
        <w:tc>
          <w:tcPr>
            <w:tcW w:w="1559" w:type="dxa"/>
            <w:vMerge/>
          </w:tcPr>
          <w:p w14:paraId="2DFCA776" w14:textId="77777777" w:rsidR="00684D77" w:rsidRPr="00B2760A" w:rsidRDefault="00684D77" w:rsidP="00215563">
            <w:pPr>
              <w:pStyle w:val="Tablewriting"/>
              <w:jc w:val="center"/>
            </w:pPr>
          </w:p>
        </w:tc>
        <w:tc>
          <w:tcPr>
            <w:tcW w:w="1134" w:type="dxa"/>
          </w:tcPr>
          <w:p w14:paraId="50B115E2" w14:textId="77777777" w:rsidR="00684D77" w:rsidRPr="00B2760A" w:rsidRDefault="00684D77" w:rsidP="00215563">
            <w:pPr>
              <w:pStyle w:val="Tablewriting"/>
              <w:jc w:val="center"/>
            </w:pPr>
            <w:r w:rsidRPr="00B2760A">
              <w:t>40 mg</w:t>
            </w:r>
          </w:p>
        </w:tc>
        <w:tc>
          <w:tcPr>
            <w:tcW w:w="1134" w:type="dxa"/>
          </w:tcPr>
          <w:p w14:paraId="34A16BE6" w14:textId="77777777" w:rsidR="00684D77" w:rsidRPr="00B2760A" w:rsidRDefault="00684D77" w:rsidP="00215563">
            <w:pPr>
              <w:pStyle w:val="Tablewriting"/>
              <w:jc w:val="center"/>
            </w:pPr>
            <w:r w:rsidRPr="00B2760A">
              <w:t>9095Q</w:t>
            </w:r>
          </w:p>
        </w:tc>
      </w:tr>
      <w:tr w:rsidR="00684D77" w:rsidRPr="00B2760A" w14:paraId="359CBDB9" w14:textId="77777777" w:rsidTr="000241D7">
        <w:tc>
          <w:tcPr>
            <w:tcW w:w="1384" w:type="dxa"/>
            <w:vMerge/>
          </w:tcPr>
          <w:p w14:paraId="5392F56F" w14:textId="77777777" w:rsidR="00684D77" w:rsidRPr="00B2760A" w:rsidRDefault="00684D77" w:rsidP="00215563">
            <w:pPr>
              <w:pStyle w:val="Tablewriting"/>
            </w:pPr>
          </w:p>
        </w:tc>
        <w:tc>
          <w:tcPr>
            <w:tcW w:w="1985" w:type="dxa"/>
            <w:vMerge/>
          </w:tcPr>
          <w:p w14:paraId="47DE839B" w14:textId="77777777" w:rsidR="00684D77" w:rsidRPr="00B2760A" w:rsidRDefault="00684D77" w:rsidP="00215563">
            <w:pPr>
              <w:pStyle w:val="Tablewriting"/>
              <w:jc w:val="center"/>
            </w:pPr>
          </w:p>
        </w:tc>
        <w:tc>
          <w:tcPr>
            <w:tcW w:w="1559" w:type="dxa"/>
            <w:vMerge/>
          </w:tcPr>
          <w:p w14:paraId="3E6BBACF" w14:textId="77777777" w:rsidR="00684D77" w:rsidRPr="00B2760A" w:rsidRDefault="00684D77" w:rsidP="00215563">
            <w:pPr>
              <w:pStyle w:val="Tablewriting"/>
              <w:jc w:val="center"/>
            </w:pPr>
          </w:p>
        </w:tc>
        <w:tc>
          <w:tcPr>
            <w:tcW w:w="1134" w:type="dxa"/>
          </w:tcPr>
          <w:p w14:paraId="45EA6773" w14:textId="77777777" w:rsidR="00684D77" w:rsidRPr="00B2760A" w:rsidRDefault="00684D77" w:rsidP="00215563">
            <w:pPr>
              <w:pStyle w:val="Tablewriting"/>
              <w:jc w:val="center"/>
            </w:pPr>
            <w:r w:rsidRPr="00B2760A">
              <w:t>60 mg</w:t>
            </w:r>
          </w:p>
        </w:tc>
        <w:tc>
          <w:tcPr>
            <w:tcW w:w="1134" w:type="dxa"/>
          </w:tcPr>
          <w:p w14:paraId="4C8F6EDC" w14:textId="77777777" w:rsidR="00684D77" w:rsidRPr="00B2760A" w:rsidRDefault="00684D77" w:rsidP="00215563">
            <w:pPr>
              <w:pStyle w:val="Tablewriting"/>
              <w:jc w:val="center"/>
            </w:pPr>
            <w:r w:rsidRPr="00B2760A">
              <w:t>9096R</w:t>
            </w:r>
          </w:p>
        </w:tc>
      </w:tr>
      <w:tr w:rsidR="00684D77" w:rsidRPr="00B2760A" w14:paraId="09E64577" w14:textId="77777777" w:rsidTr="000241D7">
        <w:tc>
          <w:tcPr>
            <w:tcW w:w="1384" w:type="dxa"/>
          </w:tcPr>
          <w:p w14:paraId="592726D7" w14:textId="77777777" w:rsidR="00684D77" w:rsidRPr="00B2760A" w:rsidRDefault="00684D77" w:rsidP="00215563">
            <w:pPr>
              <w:pStyle w:val="Tablewriting"/>
            </w:pPr>
            <w:r w:rsidRPr="00B2760A">
              <w:t>Aug 2007</w:t>
            </w:r>
          </w:p>
        </w:tc>
        <w:tc>
          <w:tcPr>
            <w:tcW w:w="1985" w:type="dxa"/>
          </w:tcPr>
          <w:p w14:paraId="4E09EEA1" w14:textId="77777777" w:rsidR="00684D77" w:rsidRPr="00B2760A" w:rsidRDefault="00684D77" w:rsidP="00215563">
            <w:pPr>
              <w:pStyle w:val="Tablewriting"/>
              <w:jc w:val="center"/>
            </w:pPr>
            <w:r w:rsidRPr="00B2760A">
              <w:t>Methylphenidate MR</w:t>
            </w:r>
          </w:p>
        </w:tc>
        <w:tc>
          <w:tcPr>
            <w:tcW w:w="1559" w:type="dxa"/>
          </w:tcPr>
          <w:p w14:paraId="6E147F3C" w14:textId="77777777" w:rsidR="00684D77" w:rsidRPr="00B2760A" w:rsidRDefault="00684D77" w:rsidP="00215563">
            <w:pPr>
              <w:pStyle w:val="Tablewriting"/>
              <w:jc w:val="center"/>
            </w:pPr>
            <w:r w:rsidRPr="00B2760A">
              <w:t>Concerta</w:t>
            </w:r>
          </w:p>
        </w:tc>
        <w:tc>
          <w:tcPr>
            <w:tcW w:w="1134" w:type="dxa"/>
          </w:tcPr>
          <w:p w14:paraId="23621E74" w14:textId="77777777" w:rsidR="00684D77" w:rsidRPr="00B2760A" w:rsidRDefault="00684D77" w:rsidP="00215563">
            <w:pPr>
              <w:pStyle w:val="Tablewriting"/>
              <w:jc w:val="center"/>
            </w:pPr>
            <w:r w:rsidRPr="00B2760A">
              <w:t>27 mg</w:t>
            </w:r>
          </w:p>
        </w:tc>
        <w:tc>
          <w:tcPr>
            <w:tcW w:w="1134" w:type="dxa"/>
          </w:tcPr>
          <w:p w14:paraId="06371326" w14:textId="77777777" w:rsidR="00684D77" w:rsidRPr="00B2760A" w:rsidRDefault="00684D77" w:rsidP="00215563">
            <w:pPr>
              <w:pStyle w:val="Tablewriting"/>
              <w:jc w:val="center"/>
            </w:pPr>
            <w:r w:rsidRPr="00B2760A">
              <w:t>2172H</w:t>
            </w:r>
          </w:p>
        </w:tc>
      </w:tr>
      <w:tr w:rsidR="00684D77" w:rsidRPr="00B2760A" w14:paraId="0252AD4D" w14:textId="77777777" w:rsidTr="000241D7">
        <w:tc>
          <w:tcPr>
            <w:tcW w:w="1384" w:type="dxa"/>
            <w:vMerge w:val="restart"/>
          </w:tcPr>
          <w:p w14:paraId="6203A398" w14:textId="77777777" w:rsidR="00684D77" w:rsidRPr="00B2760A" w:rsidRDefault="00684D77" w:rsidP="00215563">
            <w:pPr>
              <w:pStyle w:val="Tablewriting"/>
            </w:pPr>
            <w:r w:rsidRPr="00B2760A">
              <w:t>April 2008</w:t>
            </w:r>
          </w:p>
        </w:tc>
        <w:tc>
          <w:tcPr>
            <w:tcW w:w="1985" w:type="dxa"/>
            <w:vMerge w:val="restart"/>
          </w:tcPr>
          <w:p w14:paraId="40A7F55B" w14:textId="77777777" w:rsidR="00684D77" w:rsidRPr="00B2760A" w:rsidRDefault="00684D77" w:rsidP="00215563">
            <w:pPr>
              <w:pStyle w:val="Tablewriting"/>
              <w:jc w:val="center"/>
            </w:pPr>
            <w:r w:rsidRPr="00B2760A">
              <w:t>Methylphenidate MR</w:t>
            </w:r>
          </w:p>
        </w:tc>
        <w:tc>
          <w:tcPr>
            <w:tcW w:w="1559" w:type="dxa"/>
            <w:vMerge w:val="restart"/>
          </w:tcPr>
          <w:p w14:paraId="067C768F" w14:textId="77777777" w:rsidR="00684D77" w:rsidRPr="00B2760A" w:rsidRDefault="00684D77" w:rsidP="00215563">
            <w:pPr>
              <w:pStyle w:val="Tablewriting"/>
              <w:jc w:val="center"/>
            </w:pPr>
            <w:r w:rsidRPr="00B2760A">
              <w:t>Ritalin LA</w:t>
            </w:r>
          </w:p>
        </w:tc>
        <w:tc>
          <w:tcPr>
            <w:tcW w:w="1134" w:type="dxa"/>
          </w:tcPr>
          <w:p w14:paraId="6FDCFEE6" w14:textId="77777777" w:rsidR="00684D77" w:rsidRPr="00B2760A" w:rsidRDefault="00684D77" w:rsidP="00215563">
            <w:pPr>
              <w:pStyle w:val="Tablewriting"/>
              <w:jc w:val="center"/>
            </w:pPr>
            <w:r w:rsidRPr="00B2760A">
              <w:t>20 mg</w:t>
            </w:r>
          </w:p>
        </w:tc>
        <w:tc>
          <w:tcPr>
            <w:tcW w:w="1134" w:type="dxa"/>
          </w:tcPr>
          <w:p w14:paraId="0C2BAB2E" w14:textId="77777777" w:rsidR="00684D77" w:rsidRPr="00B2760A" w:rsidRDefault="00684D77" w:rsidP="00215563">
            <w:pPr>
              <w:pStyle w:val="Tablewriting"/>
              <w:jc w:val="center"/>
            </w:pPr>
            <w:r w:rsidRPr="00B2760A">
              <w:t>2276T</w:t>
            </w:r>
          </w:p>
        </w:tc>
      </w:tr>
      <w:tr w:rsidR="00684D77" w:rsidRPr="00B2760A" w14:paraId="72C56FAF" w14:textId="77777777" w:rsidTr="000241D7">
        <w:tc>
          <w:tcPr>
            <w:tcW w:w="1384" w:type="dxa"/>
            <w:vMerge/>
          </w:tcPr>
          <w:p w14:paraId="38CF0F2E" w14:textId="77777777" w:rsidR="00684D77" w:rsidRPr="00B2760A" w:rsidRDefault="00684D77" w:rsidP="00215563">
            <w:pPr>
              <w:pStyle w:val="Tablewriting"/>
            </w:pPr>
          </w:p>
        </w:tc>
        <w:tc>
          <w:tcPr>
            <w:tcW w:w="1985" w:type="dxa"/>
            <w:vMerge/>
          </w:tcPr>
          <w:p w14:paraId="7A8637FE" w14:textId="77777777" w:rsidR="00684D77" w:rsidRPr="00B2760A" w:rsidRDefault="00684D77" w:rsidP="00215563">
            <w:pPr>
              <w:pStyle w:val="Tablewriting"/>
              <w:jc w:val="center"/>
            </w:pPr>
          </w:p>
        </w:tc>
        <w:tc>
          <w:tcPr>
            <w:tcW w:w="1559" w:type="dxa"/>
            <w:vMerge/>
          </w:tcPr>
          <w:p w14:paraId="0A1F0BC7" w14:textId="77777777" w:rsidR="00684D77" w:rsidRPr="00B2760A" w:rsidRDefault="00684D77" w:rsidP="00215563">
            <w:pPr>
              <w:pStyle w:val="Tablewriting"/>
              <w:jc w:val="center"/>
            </w:pPr>
          </w:p>
        </w:tc>
        <w:tc>
          <w:tcPr>
            <w:tcW w:w="1134" w:type="dxa"/>
          </w:tcPr>
          <w:p w14:paraId="6413988C" w14:textId="77777777" w:rsidR="00684D77" w:rsidRPr="00B2760A" w:rsidRDefault="00684D77" w:rsidP="00215563">
            <w:pPr>
              <w:pStyle w:val="Tablewriting"/>
              <w:jc w:val="center"/>
            </w:pPr>
            <w:r w:rsidRPr="00B2760A">
              <w:t>30 mg</w:t>
            </w:r>
          </w:p>
        </w:tc>
        <w:tc>
          <w:tcPr>
            <w:tcW w:w="1134" w:type="dxa"/>
          </w:tcPr>
          <w:p w14:paraId="5ED02918" w14:textId="77777777" w:rsidR="00684D77" w:rsidRPr="00B2760A" w:rsidRDefault="00684D77" w:rsidP="00215563">
            <w:pPr>
              <w:pStyle w:val="Tablewriting"/>
              <w:jc w:val="center"/>
            </w:pPr>
            <w:r w:rsidRPr="00B2760A">
              <w:t>2280B</w:t>
            </w:r>
          </w:p>
        </w:tc>
      </w:tr>
      <w:tr w:rsidR="00684D77" w:rsidRPr="00B2760A" w14:paraId="562E4ABA" w14:textId="77777777" w:rsidTr="000241D7">
        <w:tc>
          <w:tcPr>
            <w:tcW w:w="1384" w:type="dxa"/>
            <w:vMerge/>
          </w:tcPr>
          <w:p w14:paraId="1B5A70FB" w14:textId="77777777" w:rsidR="00684D77" w:rsidRPr="00B2760A" w:rsidRDefault="00684D77" w:rsidP="00215563">
            <w:pPr>
              <w:pStyle w:val="Tablewriting"/>
            </w:pPr>
          </w:p>
        </w:tc>
        <w:tc>
          <w:tcPr>
            <w:tcW w:w="1985" w:type="dxa"/>
            <w:vMerge/>
          </w:tcPr>
          <w:p w14:paraId="77AD0FF1" w14:textId="77777777" w:rsidR="00684D77" w:rsidRPr="00B2760A" w:rsidRDefault="00684D77" w:rsidP="00215563">
            <w:pPr>
              <w:pStyle w:val="Tablewriting"/>
              <w:jc w:val="center"/>
            </w:pPr>
          </w:p>
        </w:tc>
        <w:tc>
          <w:tcPr>
            <w:tcW w:w="1559" w:type="dxa"/>
            <w:vMerge/>
          </w:tcPr>
          <w:p w14:paraId="45498AAF" w14:textId="77777777" w:rsidR="00684D77" w:rsidRPr="00B2760A" w:rsidRDefault="00684D77" w:rsidP="00215563">
            <w:pPr>
              <w:pStyle w:val="Tablewriting"/>
              <w:jc w:val="center"/>
            </w:pPr>
          </w:p>
        </w:tc>
        <w:tc>
          <w:tcPr>
            <w:tcW w:w="1134" w:type="dxa"/>
          </w:tcPr>
          <w:p w14:paraId="315A3869" w14:textId="77777777" w:rsidR="00684D77" w:rsidRPr="00B2760A" w:rsidRDefault="00684D77" w:rsidP="00215563">
            <w:pPr>
              <w:pStyle w:val="Tablewriting"/>
              <w:jc w:val="center"/>
            </w:pPr>
            <w:r w:rsidRPr="00B2760A">
              <w:t>40 mg</w:t>
            </w:r>
          </w:p>
        </w:tc>
        <w:tc>
          <w:tcPr>
            <w:tcW w:w="1134" w:type="dxa"/>
          </w:tcPr>
          <w:p w14:paraId="6D32F001" w14:textId="77777777" w:rsidR="00684D77" w:rsidRPr="00B2760A" w:rsidRDefault="00684D77" w:rsidP="00215563">
            <w:pPr>
              <w:pStyle w:val="Tablewriting"/>
              <w:jc w:val="center"/>
            </w:pPr>
            <w:r w:rsidRPr="00B2760A">
              <w:t>2283E</w:t>
            </w:r>
          </w:p>
        </w:tc>
      </w:tr>
      <w:tr w:rsidR="00684D77" w:rsidRPr="00B2760A" w14:paraId="139BF6E9" w14:textId="77777777" w:rsidTr="000241D7">
        <w:tc>
          <w:tcPr>
            <w:tcW w:w="1384" w:type="dxa"/>
            <w:vMerge w:val="restart"/>
            <w:tcBorders>
              <w:top w:val="single" w:sz="4" w:space="0" w:color="auto"/>
              <w:left w:val="single" w:sz="4" w:space="0" w:color="auto"/>
              <w:right w:val="single" w:sz="4" w:space="0" w:color="auto"/>
            </w:tcBorders>
          </w:tcPr>
          <w:p w14:paraId="48F59EDB" w14:textId="77777777" w:rsidR="00684D77" w:rsidRPr="00B2760A" w:rsidRDefault="00684D77" w:rsidP="00215563">
            <w:pPr>
              <w:pStyle w:val="Tablewriting"/>
            </w:pPr>
            <w:r w:rsidRPr="00B2760A">
              <w:t>Dec 2008</w:t>
            </w:r>
          </w:p>
        </w:tc>
        <w:tc>
          <w:tcPr>
            <w:tcW w:w="1985" w:type="dxa"/>
            <w:vMerge w:val="restart"/>
            <w:tcBorders>
              <w:top w:val="single" w:sz="4" w:space="0" w:color="auto"/>
              <w:left w:val="single" w:sz="4" w:space="0" w:color="auto"/>
              <w:right w:val="single" w:sz="4" w:space="0" w:color="auto"/>
            </w:tcBorders>
          </w:tcPr>
          <w:p w14:paraId="11DC16DF" w14:textId="77777777" w:rsidR="00684D77" w:rsidRPr="00B2760A" w:rsidRDefault="00684D77" w:rsidP="00215563">
            <w:pPr>
              <w:pStyle w:val="Tablewriting"/>
              <w:jc w:val="center"/>
            </w:pPr>
            <w:r w:rsidRPr="00B2760A">
              <w:t>Atomoxetine</w:t>
            </w:r>
          </w:p>
        </w:tc>
        <w:tc>
          <w:tcPr>
            <w:tcW w:w="1559" w:type="dxa"/>
            <w:vMerge w:val="restart"/>
            <w:tcBorders>
              <w:top w:val="single" w:sz="4" w:space="0" w:color="auto"/>
              <w:left w:val="single" w:sz="4" w:space="0" w:color="auto"/>
              <w:right w:val="single" w:sz="4" w:space="0" w:color="auto"/>
            </w:tcBorders>
          </w:tcPr>
          <w:p w14:paraId="43661E49" w14:textId="77777777" w:rsidR="00684D77" w:rsidRPr="00B2760A" w:rsidRDefault="00684D77" w:rsidP="00215563">
            <w:pPr>
              <w:pStyle w:val="Tablewriting"/>
              <w:jc w:val="center"/>
            </w:pPr>
            <w:r w:rsidRPr="00B2760A">
              <w:t>Strattera</w:t>
            </w:r>
          </w:p>
        </w:tc>
        <w:tc>
          <w:tcPr>
            <w:tcW w:w="1134" w:type="dxa"/>
            <w:tcBorders>
              <w:top w:val="single" w:sz="4" w:space="0" w:color="auto"/>
              <w:left w:val="single" w:sz="4" w:space="0" w:color="auto"/>
              <w:bottom w:val="single" w:sz="4" w:space="0" w:color="auto"/>
              <w:right w:val="single" w:sz="4" w:space="0" w:color="auto"/>
            </w:tcBorders>
          </w:tcPr>
          <w:p w14:paraId="3FA4B5FB" w14:textId="068310C2" w:rsidR="00684D77" w:rsidRPr="00B2760A" w:rsidRDefault="00684D77" w:rsidP="00215563">
            <w:pPr>
              <w:pStyle w:val="Tablewriting"/>
              <w:jc w:val="center"/>
            </w:pPr>
            <w:r w:rsidRPr="00B2760A">
              <w:t>80</w:t>
            </w:r>
            <w:r w:rsidR="00D434BC" w:rsidRPr="00B2760A">
              <w:t xml:space="preserve"> </w:t>
            </w:r>
            <w:r w:rsidRPr="00B2760A">
              <w:t>mg</w:t>
            </w:r>
          </w:p>
        </w:tc>
        <w:tc>
          <w:tcPr>
            <w:tcW w:w="1134" w:type="dxa"/>
            <w:tcBorders>
              <w:top w:val="single" w:sz="4" w:space="0" w:color="auto"/>
              <w:left w:val="single" w:sz="4" w:space="0" w:color="auto"/>
              <w:bottom w:val="single" w:sz="4" w:space="0" w:color="auto"/>
              <w:right w:val="single" w:sz="4" w:space="0" w:color="auto"/>
            </w:tcBorders>
          </w:tcPr>
          <w:p w14:paraId="2CE62165" w14:textId="77777777" w:rsidR="00684D77" w:rsidRPr="00B2760A" w:rsidRDefault="00684D77" w:rsidP="00215563">
            <w:pPr>
              <w:pStyle w:val="Tablewriting"/>
              <w:jc w:val="center"/>
            </w:pPr>
            <w:r w:rsidRPr="00B2760A">
              <w:t>9289X</w:t>
            </w:r>
          </w:p>
        </w:tc>
      </w:tr>
      <w:tr w:rsidR="00684D77" w:rsidRPr="00B2760A" w14:paraId="009EA120" w14:textId="77777777" w:rsidTr="000241D7">
        <w:tc>
          <w:tcPr>
            <w:tcW w:w="1384" w:type="dxa"/>
            <w:vMerge/>
            <w:tcBorders>
              <w:left w:val="single" w:sz="4" w:space="0" w:color="auto"/>
              <w:bottom w:val="single" w:sz="4" w:space="0" w:color="auto"/>
              <w:right w:val="single" w:sz="4" w:space="0" w:color="auto"/>
            </w:tcBorders>
          </w:tcPr>
          <w:p w14:paraId="615C0C9A" w14:textId="77777777" w:rsidR="00684D77" w:rsidRPr="00B2760A" w:rsidRDefault="00684D77" w:rsidP="00215563">
            <w:pPr>
              <w:pStyle w:val="Tablewriting"/>
            </w:pPr>
          </w:p>
        </w:tc>
        <w:tc>
          <w:tcPr>
            <w:tcW w:w="1985" w:type="dxa"/>
            <w:vMerge/>
            <w:tcBorders>
              <w:left w:val="single" w:sz="4" w:space="0" w:color="auto"/>
              <w:bottom w:val="single" w:sz="4" w:space="0" w:color="auto"/>
              <w:right w:val="single" w:sz="4" w:space="0" w:color="auto"/>
            </w:tcBorders>
          </w:tcPr>
          <w:p w14:paraId="235C667C" w14:textId="77777777" w:rsidR="00684D77" w:rsidRPr="00B2760A" w:rsidRDefault="00684D77" w:rsidP="00215563">
            <w:pPr>
              <w:pStyle w:val="Tablewriting"/>
              <w:jc w:val="center"/>
            </w:pPr>
          </w:p>
        </w:tc>
        <w:tc>
          <w:tcPr>
            <w:tcW w:w="1559" w:type="dxa"/>
            <w:vMerge/>
            <w:tcBorders>
              <w:left w:val="single" w:sz="4" w:space="0" w:color="auto"/>
              <w:bottom w:val="single" w:sz="4" w:space="0" w:color="auto"/>
              <w:right w:val="single" w:sz="4" w:space="0" w:color="auto"/>
            </w:tcBorders>
          </w:tcPr>
          <w:p w14:paraId="2AD46429" w14:textId="77777777" w:rsidR="00684D77" w:rsidRPr="00B2760A" w:rsidRDefault="00684D77" w:rsidP="00215563">
            <w:pPr>
              <w:pStyle w:val="Tablewriting"/>
              <w:jc w:val="center"/>
            </w:pPr>
          </w:p>
        </w:tc>
        <w:tc>
          <w:tcPr>
            <w:tcW w:w="1134" w:type="dxa"/>
            <w:tcBorders>
              <w:top w:val="single" w:sz="4" w:space="0" w:color="auto"/>
              <w:left w:val="single" w:sz="4" w:space="0" w:color="auto"/>
              <w:bottom w:val="single" w:sz="4" w:space="0" w:color="auto"/>
              <w:right w:val="single" w:sz="4" w:space="0" w:color="auto"/>
            </w:tcBorders>
          </w:tcPr>
          <w:p w14:paraId="31134CD1" w14:textId="77777777" w:rsidR="00684D77" w:rsidRPr="00B2760A" w:rsidRDefault="00684D77" w:rsidP="00215563">
            <w:pPr>
              <w:pStyle w:val="Tablewriting"/>
              <w:jc w:val="center"/>
            </w:pPr>
            <w:r w:rsidRPr="00B2760A">
              <w:t>100 mg</w:t>
            </w:r>
          </w:p>
        </w:tc>
        <w:tc>
          <w:tcPr>
            <w:tcW w:w="1134" w:type="dxa"/>
            <w:tcBorders>
              <w:top w:val="single" w:sz="4" w:space="0" w:color="auto"/>
              <w:left w:val="single" w:sz="4" w:space="0" w:color="auto"/>
              <w:bottom w:val="single" w:sz="4" w:space="0" w:color="auto"/>
              <w:right w:val="single" w:sz="4" w:space="0" w:color="auto"/>
            </w:tcBorders>
          </w:tcPr>
          <w:p w14:paraId="4C76B22F" w14:textId="77777777" w:rsidR="00684D77" w:rsidRPr="00B2760A" w:rsidRDefault="00684D77" w:rsidP="00215563">
            <w:pPr>
              <w:pStyle w:val="Tablewriting"/>
              <w:jc w:val="center"/>
            </w:pPr>
            <w:r w:rsidRPr="00B2760A">
              <w:t>9290Y</w:t>
            </w:r>
          </w:p>
        </w:tc>
      </w:tr>
      <w:tr w:rsidR="00684D77" w:rsidRPr="00B2760A" w14:paraId="144D71CE" w14:textId="77777777" w:rsidTr="000241D7">
        <w:tc>
          <w:tcPr>
            <w:tcW w:w="1384" w:type="dxa"/>
            <w:tcBorders>
              <w:left w:val="single" w:sz="4" w:space="0" w:color="auto"/>
              <w:right w:val="single" w:sz="4" w:space="0" w:color="auto"/>
            </w:tcBorders>
          </w:tcPr>
          <w:p w14:paraId="6097F940" w14:textId="77777777" w:rsidR="00684D77" w:rsidRPr="00B2760A" w:rsidRDefault="00684D77" w:rsidP="00215563">
            <w:pPr>
              <w:pStyle w:val="Tablewriting"/>
            </w:pPr>
            <w:r w:rsidRPr="00B2760A">
              <w:t>Aug 2010</w:t>
            </w:r>
          </w:p>
        </w:tc>
        <w:tc>
          <w:tcPr>
            <w:tcW w:w="1985" w:type="dxa"/>
            <w:tcBorders>
              <w:left w:val="single" w:sz="4" w:space="0" w:color="auto"/>
              <w:right w:val="single" w:sz="4" w:space="0" w:color="auto"/>
            </w:tcBorders>
          </w:tcPr>
          <w:p w14:paraId="41420808" w14:textId="77777777" w:rsidR="00684D77" w:rsidRPr="00B2760A" w:rsidRDefault="00684D77" w:rsidP="00215563">
            <w:pPr>
              <w:pStyle w:val="Tablewriting"/>
              <w:jc w:val="center"/>
            </w:pPr>
            <w:r w:rsidRPr="00B2760A">
              <w:t>Methylphenidate MR</w:t>
            </w:r>
          </w:p>
        </w:tc>
        <w:tc>
          <w:tcPr>
            <w:tcW w:w="1559" w:type="dxa"/>
            <w:tcBorders>
              <w:left w:val="single" w:sz="4" w:space="0" w:color="auto"/>
              <w:right w:val="single" w:sz="4" w:space="0" w:color="auto"/>
            </w:tcBorders>
          </w:tcPr>
          <w:p w14:paraId="1D3B02E9" w14:textId="77777777" w:rsidR="00684D77" w:rsidRPr="00B2760A" w:rsidRDefault="00684D77" w:rsidP="00215563">
            <w:pPr>
              <w:pStyle w:val="Tablewriting"/>
              <w:jc w:val="center"/>
            </w:pPr>
            <w:r w:rsidRPr="00B2760A">
              <w:t>Ritalin LA</w:t>
            </w:r>
          </w:p>
        </w:tc>
        <w:tc>
          <w:tcPr>
            <w:tcW w:w="1134" w:type="dxa"/>
            <w:tcBorders>
              <w:top w:val="single" w:sz="4" w:space="0" w:color="auto"/>
              <w:left w:val="single" w:sz="4" w:space="0" w:color="auto"/>
              <w:bottom w:val="single" w:sz="4" w:space="0" w:color="auto"/>
              <w:right w:val="single" w:sz="4" w:space="0" w:color="auto"/>
            </w:tcBorders>
          </w:tcPr>
          <w:p w14:paraId="7BEB5C9D" w14:textId="1AC75BDF" w:rsidR="00684D77" w:rsidRPr="00B2760A" w:rsidRDefault="00684D77" w:rsidP="00215563">
            <w:pPr>
              <w:pStyle w:val="Tablewriting"/>
              <w:jc w:val="center"/>
            </w:pPr>
            <w:r w:rsidRPr="00B2760A">
              <w:t>10</w:t>
            </w:r>
            <w:r w:rsidR="00D434BC" w:rsidRPr="00B2760A">
              <w:t xml:space="preserve"> </w:t>
            </w:r>
            <w:r w:rsidRPr="00B2760A">
              <w:t>mg</w:t>
            </w:r>
          </w:p>
        </w:tc>
        <w:tc>
          <w:tcPr>
            <w:tcW w:w="1134" w:type="dxa"/>
            <w:tcBorders>
              <w:top w:val="single" w:sz="4" w:space="0" w:color="auto"/>
              <w:left w:val="single" w:sz="4" w:space="0" w:color="auto"/>
              <w:bottom w:val="single" w:sz="4" w:space="0" w:color="auto"/>
              <w:right w:val="single" w:sz="4" w:space="0" w:color="auto"/>
            </w:tcBorders>
          </w:tcPr>
          <w:p w14:paraId="0F4CE72D" w14:textId="77777777" w:rsidR="00684D77" w:rsidRPr="00B2760A" w:rsidRDefault="00684D77" w:rsidP="00215563">
            <w:pPr>
              <w:pStyle w:val="Tablewriting"/>
              <w:jc w:val="center"/>
            </w:pPr>
            <w:r w:rsidRPr="00B2760A">
              <w:t>3440C</w:t>
            </w:r>
          </w:p>
        </w:tc>
      </w:tr>
      <w:tr w:rsidR="00684D77" w:rsidRPr="00B2760A" w14:paraId="026A044E" w14:textId="77777777" w:rsidTr="000241D7">
        <w:tc>
          <w:tcPr>
            <w:tcW w:w="1384" w:type="dxa"/>
            <w:vMerge w:val="restart"/>
            <w:tcBorders>
              <w:left w:val="single" w:sz="4" w:space="0" w:color="auto"/>
              <w:right w:val="single" w:sz="4" w:space="0" w:color="auto"/>
            </w:tcBorders>
          </w:tcPr>
          <w:p w14:paraId="7A13B81C" w14:textId="77777777" w:rsidR="00684D77" w:rsidRPr="00B2760A" w:rsidRDefault="00684D77" w:rsidP="00215563">
            <w:pPr>
              <w:pStyle w:val="Tablewriting"/>
            </w:pPr>
            <w:r w:rsidRPr="00B2760A">
              <w:t>Sep 2015</w:t>
            </w:r>
          </w:p>
        </w:tc>
        <w:tc>
          <w:tcPr>
            <w:tcW w:w="1985" w:type="dxa"/>
            <w:vMerge w:val="restart"/>
            <w:tcBorders>
              <w:left w:val="single" w:sz="4" w:space="0" w:color="auto"/>
              <w:right w:val="single" w:sz="4" w:space="0" w:color="auto"/>
            </w:tcBorders>
          </w:tcPr>
          <w:p w14:paraId="618B06ED" w14:textId="77777777" w:rsidR="00684D77" w:rsidRPr="00B2760A" w:rsidRDefault="00684D77" w:rsidP="00215563">
            <w:pPr>
              <w:pStyle w:val="Tablewriting"/>
              <w:jc w:val="center"/>
            </w:pPr>
            <w:r w:rsidRPr="00B2760A">
              <w:t>Lisdexamfetamine</w:t>
            </w:r>
          </w:p>
        </w:tc>
        <w:tc>
          <w:tcPr>
            <w:tcW w:w="1559" w:type="dxa"/>
            <w:vMerge w:val="restart"/>
            <w:tcBorders>
              <w:left w:val="single" w:sz="4" w:space="0" w:color="auto"/>
              <w:right w:val="single" w:sz="4" w:space="0" w:color="auto"/>
            </w:tcBorders>
          </w:tcPr>
          <w:p w14:paraId="2D959C92" w14:textId="77777777" w:rsidR="00684D77" w:rsidRPr="00B2760A" w:rsidRDefault="00684D77" w:rsidP="00215563">
            <w:pPr>
              <w:pStyle w:val="Tablewriting"/>
              <w:jc w:val="center"/>
            </w:pPr>
            <w:r w:rsidRPr="00B2760A">
              <w:t>Vyvanse</w:t>
            </w:r>
          </w:p>
        </w:tc>
        <w:tc>
          <w:tcPr>
            <w:tcW w:w="1134" w:type="dxa"/>
            <w:tcBorders>
              <w:top w:val="single" w:sz="4" w:space="0" w:color="auto"/>
              <w:left w:val="single" w:sz="4" w:space="0" w:color="auto"/>
              <w:bottom w:val="single" w:sz="4" w:space="0" w:color="auto"/>
              <w:right w:val="single" w:sz="4" w:space="0" w:color="auto"/>
            </w:tcBorders>
          </w:tcPr>
          <w:p w14:paraId="5FA46B26" w14:textId="56C22483" w:rsidR="00684D77" w:rsidRPr="00B2760A" w:rsidRDefault="00684D77" w:rsidP="00215563">
            <w:pPr>
              <w:pStyle w:val="Tablewriting"/>
              <w:jc w:val="center"/>
            </w:pPr>
            <w:r w:rsidRPr="00B2760A">
              <w:t>30</w:t>
            </w:r>
            <w:r w:rsidR="00D434BC" w:rsidRPr="00B2760A">
              <w:t xml:space="preserve"> </w:t>
            </w:r>
            <w:r w:rsidRPr="00B2760A">
              <w:t>mg</w:t>
            </w:r>
          </w:p>
        </w:tc>
        <w:tc>
          <w:tcPr>
            <w:tcW w:w="1134" w:type="dxa"/>
            <w:tcBorders>
              <w:top w:val="single" w:sz="4" w:space="0" w:color="auto"/>
              <w:left w:val="single" w:sz="4" w:space="0" w:color="auto"/>
              <w:bottom w:val="single" w:sz="4" w:space="0" w:color="auto"/>
              <w:right w:val="single" w:sz="4" w:space="0" w:color="auto"/>
            </w:tcBorders>
          </w:tcPr>
          <w:p w14:paraId="41AF700A" w14:textId="77777777" w:rsidR="00684D77" w:rsidRPr="00B2760A" w:rsidRDefault="00684D77" w:rsidP="00215563">
            <w:pPr>
              <w:pStyle w:val="Tablewriting"/>
              <w:jc w:val="center"/>
            </w:pPr>
            <w:r w:rsidRPr="00B2760A">
              <w:t>10486X</w:t>
            </w:r>
          </w:p>
        </w:tc>
      </w:tr>
      <w:tr w:rsidR="00684D77" w:rsidRPr="00B2760A" w14:paraId="2FA9A8A8" w14:textId="77777777" w:rsidTr="000241D7">
        <w:tc>
          <w:tcPr>
            <w:tcW w:w="1384" w:type="dxa"/>
            <w:vMerge/>
            <w:tcBorders>
              <w:left w:val="single" w:sz="4" w:space="0" w:color="auto"/>
              <w:right w:val="single" w:sz="4" w:space="0" w:color="auto"/>
            </w:tcBorders>
          </w:tcPr>
          <w:p w14:paraId="3833E18E" w14:textId="77777777" w:rsidR="00684D77" w:rsidRPr="00B2760A" w:rsidRDefault="00684D77" w:rsidP="00215563">
            <w:pPr>
              <w:pStyle w:val="Tablewriting"/>
            </w:pPr>
          </w:p>
        </w:tc>
        <w:tc>
          <w:tcPr>
            <w:tcW w:w="1985" w:type="dxa"/>
            <w:vMerge/>
            <w:tcBorders>
              <w:left w:val="single" w:sz="4" w:space="0" w:color="auto"/>
              <w:right w:val="single" w:sz="4" w:space="0" w:color="auto"/>
            </w:tcBorders>
          </w:tcPr>
          <w:p w14:paraId="3960C76D" w14:textId="77777777" w:rsidR="00684D77" w:rsidRPr="00B2760A" w:rsidRDefault="00684D77" w:rsidP="00215563">
            <w:pPr>
              <w:pStyle w:val="Tablewriting"/>
              <w:jc w:val="center"/>
            </w:pPr>
          </w:p>
        </w:tc>
        <w:tc>
          <w:tcPr>
            <w:tcW w:w="1559" w:type="dxa"/>
            <w:vMerge/>
            <w:tcBorders>
              <w:left w:val="single" w:sz="4" w:space="0" w:color="auto"/>
              <w:right w:val="single" w:sz="4" w:space="0" w:color="auto"/>
            </w:tcBorders>
          </w:tcPr>
          <w:p w14:paraId="50CF6BFA" w14:textId="77777777" w:rsidR="00684D77" w:rsidRPr="00B2760A" w:rsidRDefault="00684D77" w:rsidP="00215563">
            <w:pPr>
              <w:pStyle w:val="Tablewriting"/>
              <w:jc w:val="center"/>
            </w:pPr>
          </w:p>
        </w:tc>
        <w:tc>
          <w:tcPr>
            <w:tcW w:w="1134" w:type="dxa"/>
            <w:tcBorders>
              <w:top w:val="single" w:sz="4" w:space="0" w:color="auto"/>
              <w:left w:val="single" w:sz="4" w:space="0" w:color="auto"/>
              <w:bottom w:val="single" w:sz="4" w:space="0" w:color="auto"/>
              <w:right w:val="single" w:sz="4" w:space="0" w:color="auto"/>
            </w:tcBorders>
          </w:tcPr>
          <w:p w14:paraId="406E2552" w14:textId="71C2ACB8" w:rsidR="00684D77" w:rsidRPr="00B2760A" w:rsidRDefault="00684D77" w:rsidP="00215563">
            <w:pPr>
              <w:pStyle w:val="Tablewriting"/>
              <w:jc w:val="center"/>
            </w:pPr>
            <w:r w:rsidRPr="00B2760A">
              <w:t>50</w:t>
            </w:r>
            <w:r w:rsidR="00D434BC" w:rsidRPr="00B2760A">
              <w:t xml:space="preserve"> </w:t>
            </w:r>
            <w:r w:rsidRPr="00B2760A">
              <w:t>mg</w:t>
            </w:r>
          </w:p>
        </w:tc>
        <w:tc>
          <w:tcPr>
            <w:tcW w:w="1134" w:type="dxa"/>
            <w:tcBorders>
              <w:top w:val="single" w:sz="4" w:space="0" w:color="auto"/>
              <w:left w:val="single" w:sz="4" w:space="0" w:color="auto"/>
              <w:bottom w:val="single" w:sz="4" w:space="0" w:color="auto"/>
              <w:right w:val="single" w:sz="4" w:space="0" w:color="auto"/>
            </w:tcBorders>
          </w:tcPr>
          <w:p w14:paraId="5C9A89E9" w14:textId="77777777" w:rsidR="00684D77" w:rsidRPr="00B2760A" w:rsidRDefault="00684D77" w:rsidP="00215563">
            <w:pPr>
              <w:pStyle w:val="Tablewriting"/>
              <w:jc w:val="center"/>
            </w:pPr>
            <w:r w:rsidRPr="00B2760A">
              <w:t>10474G</w:t>
            </w:r>
          </w:p>
        </w:tc>
      </w:tr>
      <w:tr w:rsidR="00684D77" w:rsidRPr="00B2760A" w14:paraId="523A759C" w14:textId="77777777" w:rsidTr="000241D7">
        <w:tc>
          <w:tcPr>
            <w:tcW w:w="1384" w:type="dxa"/>
            <w:vMerge/>
            <w:tcBorders>
              <w:left w:val="single" w:sz="4" w:space="0" w:color="auto"/>
              <w:right w:val="single" w:sz="4" w:space="0" w:color="auto"/>
            </w:tcBorders>
          </w:tcPr>
          <w:p w14:paraId="1AB7F5EC" w14:textId="77777777" w:rsidR="00684D77" w:rsidRPr="00B2760A" w:rsidRDefault="00684D77" w:rsidP="00215563">
            <w:pPr>
              <w:pStyle w:val="Tablewriting"/>
            </w:pPr>
          </w:p>
        </w:tc>
        <w:tc>
          <w:tcPr>
            <w:tcW w:w="1985" w:type="dxa"/>
            <w:vMerge/>
            <w:tcBorders>
              <w:left w:val="single" w:sz="4" w:space="0" w:color="auto"/>
              <w:right w:val="single" w:sz="4" w:space="0" w:color="auto"/>
            </w:tcBorders>
          </w:tcPr>
          <w:p w14:paraId="1E621DC0" w14:textId="77777777" w:rsidR="00684D77" w:rsidRPr="00B2760A" w:rsidRDefault="00684D77" w:rsidP="00215563">
            <w:pPr>
              <w:pStyle w:val="Tablewriting"/>
              <w:jc w:val="center"/>
            </w:pPr>
          </w:p>
        </w:tc>
        <w:tc>
          <w:tcPr>
            <w:tcW w:w="1559" w:type="dxa"/>
            <w:vMerge/>
            <w:tcBorders>
              <w:left w:val="single" w:sz="4" w:space="0" w:color="auto"/>
              <w:right w:val="single" w:sz="4" w:space="0" w:color="auto"/>
            </w:tcBorders>
          </w:tcPr>
          <w:p w14:paraId="351C1F60" w14:textId="77777777" w:rsidR="00684D77" w:rsidRPr="00B2760A" w:rsidRDefault="00684D77" w:rsidP="00215563">
            <w:pPr>
              <w:pStyle w:val="Tablewriting"/>
              <w:jc w:val="center"/>
            </w:pPr>
          </w:p>
        </w:tc>
        <w:tc>
          <w:tcPr>
            <w:tcW w:w="1134" w:type="dxa"/>
            <w:tcBorders>
              <w:top w:val="single" w:sz="4" w:space="0" w:color="auto"/>
              <w:left w:val="single" w:sz="4" w:space="0" w:color="auto"/>
              <w:bottom w:val="single" w:sz="4" w:space="0" w:color="auto"/>
              <w:right w:val="single" w:sz="4" w:space="0" w:color="auto"/>
            </w:tcBorders>
          </w:tcPr>
          <w:p w14:paraId="12EC6A70" w14:textId="29F01ACF" w:rsidR="00684D77" w:rsidRPr="00B2760A" w:rsidRDefault="00684D77" w:rsidP="00215563">
            <w:pPr>
              <w:pStyle w:val="Tablewriting"/>
              <w:jc w:val="center"/>
            </w:pPr>
            <w:r w:rsidRPr="00B2760A">
              <w:t>70</w:t>
            </w:r>
            <w:r w:rsidR="00D434BC" w:rsidRPr="00B2760A">
              <w:t xml:space="preserve"> </w:t>
            </w:r>
            <w:r w:rsidRPr="00B2760A">
              <w:t>mg</w:t>
            </w:r>
          </w:p>
        </w:tc>
        <w:tc>
          <w:tcPr>
            <w:tcW w:w="1134" w:type="dxa"/>
            <w:tcBorders>
              <w:top w:val="single" w:sz="4" w:space="0" w:color="auto"/>
              <w:left w:val="single" w:sz="4" w:space="0" w:color="auto"/>
              <w:bottom w:val="single" w:sz="4" w:space="0" w:color="auto"/>
              <w:right w:val="single" w:sz="4" w:space="0" w:color="auto"/>
            </w:tcBorders>
          </w:tcPr>
          <w:p w14:paraId="12BC05E2" w14:textId="77777777" w:rsidR="00684D77" w:rsidRPr="00B2760A" w:rsidRDefault="00684D77" w:rsidP="00215563">
            <w:pPr>
              <w:pStyle w:val="Tablewriting"/>
              <w:jc w:val="center"/>
            </w:pPr>
            <w:r w:rsidRPr="00B2760A">
              <w:t>10492F</w:t>
            </w:r>
          </w:p>
        </w:tc>
      </w:tr>
      <w:tr w:rsidR="00702204" w:rsidRPr="00B2760A" w14:paraId="75DC0E8F" w14:textId="77777777" w:rsidTr="00702204">
        <w:trPr>
          <w:trHeight w:val="258"/>
        </w:trPr>
        <w:tc>
          <w:tcPr>
            <w:tcW w:w="1384" w:type="dxa"/>
            <w:vMerge w:val="restart"/>
            <w:tcBorders>
              <w:left w:val="single" w:sz="4" w:space="0" w:color="auto"/>
              <w:right w:val="single" w:sz="4" w:space="0" w:color="auto"/>
            </w:tcBorders>
          </w:tcPr>
          <w:p w14:paraId="3C27C0C0" w14:textId="01AE90CF" w:rsidR="00702204" w:rsidRPr="00B2760A" w:rsidRDefault="00702204" w:rsidP="00215563">
            <w:pPr>
              <w:pStyle w:val="Tablewriting"/>
            </w:pPr>
            <w:r w:rsidRPr="00B2760A">
              <w:t>Sep 2018</w:t>
            </w:r>
          </w:p>
        </w:tc>
        <w:tc>
          <w:tcPr>
            <w:tcW w:w="1985" w:type="dxa"/>
            <w:vMerge w:val="restart"/>
            <w:tcBorders>
              <w:left w:val="single" w:sz="4" w:space="0" w:color="auto"/>
              <w:right w:val="single" w:sz="4" w:space="0" w:color="auto"/>
            </w:tcBorders>
          </w:tcPr>
          <w:p w14:paraId="5C1A5FF6" w14:textId="52EEA8DA" w:rsidR="00702204" w:rsidRPr="00B2760A" w:rsidRDefault="00702204" w:rsidP="00215563">
            <w:pPr>
              <w:pStyle w:val="Tablewriting"/>
              <w:jc w:val="center"/>
            </w:pPr>
            <w:r w:rsidRPr="00B2760A">
              <w:t>Guanfacine</w:t>
            </w:r>
          </w:p>
        </w:tc>
        <w:tc>
          <w:tcPr>
            <w:tcW w:w="1559" w:type="dxa"/>
            <w:vMerge w:val="restart"/>
            <w:tcBorders>
              <w:left w:val="single" w:sz="4" w:space="0" w:color="auto"/>
              <w:right w:val="single" w:sz="4" w:space="0" w:color="auto"/>
            </w:tcBorders>
          </w:tcPr>
          <w:p w14:paraId="7AE054E1" w14:textId="772DA606" w:rsidR="00702204" w:rsidRPr="00B2760A" w:rsidRDefault="00702204" w:rsidP="00215563">
            <w:pPr>
              <w:pStyle w:val="Tablewriting"/>
              <w:jc w:val="center"/>
            </w:pPr>
            <w:r w:rsidRPr="00B2760A">
              <w:t>Intuniv</w:t>
            </w:r>
          </w:p>
        </w:tc>
        <w:tc>
          <w:tcPr>
            <w:tcW w:w="1134" w:type="dxa"/>
            <w:tcBorders>
              <w:top w:val="single" w:sz="4" w:space="0" w:color="auto"/>
              <w:left w:val="single" w:sz="4" w:space="0" w:color="auto"/>
              <w:bottom w:val="single" w:sz="4" w:space="0" w:color="auto"/>
              <w:right w:val="single" w:sz="4" w:space="0" w:color="auto"/>
            </w:tcBorders>
          </w:tcPr>
          <w:p w14:paraId="0B2526E4" w14:textId="706EE3B4" w:rsidR="00702204" w:rsidRPr="00B2760A" w:rsidRDefault="00702204" w:rsidP="00215563">
            <w:pPr>
              <w:pStyle w:val="Tablewriting"/>
              <w:jc w:val="center"/>
            </w:pPr>
            <w:r w:rsidRPr="00B2760A">
              <w:t>1 mg</w:t>
            </w:r>
          </w:p>
        </w:tc>
        <w:tc>
          <w:tcPr>
            <w:tcW w:w="1134" w:type="dxa"/>
            <w:tcBorders>
              <w:top w:val="single" w:sz="4" w:space="0" w:color="auto"/>
              <w:left w:val="single" w:sz="4" w:space="0" w:color="auto"/>
              <w:right w:val="single" w:sz="4" w:space="0" w:color="auto"/>
            </w:tcBorders>
          </w:tcPr>
          <w:p w14:paraId="2B51A2B7" w14:textId="0BDE0048" w:rsidR="00702204" w:rsidRPr="00B2760A" w:rsidRDefault="00702204" w:rsidP="00215563">
            <w:pPr>
              <w:pStyle w:val="Tablewriting"/>
              <w:jc w:val="center"/>
            </w:pPr>
            <w:r w:rsidRPr="00B2760A">
              <w:t>11452R</w:t>
            </w:r>
          </w:p>
        </w:tc>
      </w:tr>
      <w:tr w:rsidR="00702204" w:rsidRPr="00B2760A" w14:paraId="7687A6B3" w14:textId="77777777" w:rsidTr="00702204">
        <w:trPr>
          <w:trHeight w:val="139"/>
        </w:trPr>
        <w:tc>
          <w:tcPr>
            <w:tcW w:w="1384" w:type="dxa"/>
            <w:vMerge/>
            <w:tcBorders>
              <w:left w:val="single" w:sz="4" w:space="0" w:color="auto"/>
              <w:right w:val="single" w:sz="4" w:space="0" w:color="auto"/>
            </w:tcBorders>
          </w:tcPr>
          <w:p w14:paraId="44125CED" w14:textId="77777777" w:rsidR="00702204" w:rsidRPr="00B2760A" w:rsidRDefault="00702204" w:rsidP="00215563">
            <w:pPr>
              <w:pStyle w:val="Tablewriting"/>
            </w:pPr>
          </w:p>
        </w:tc>
        <w:tc>
          <w:tcPr>
            <w:tcW w:w="1985" w:type="dxa"/>
            <w:vMerge/>
            <w:tcBorders>
              <w:left w:val="single" w:sz="4" w:space="0" w:color="auto"/>
              <w:right w:val="single" w:sz="4" w:space="0" w:color="auto"/>
            </w:tcBorders>
          </w:tcPr>
          <w:p w14:paraId="0F83BE2D" w14:textId="77777777" w:rsidR="00702204" w:rsidRPr="00B2760A" w:rsidRDefault="00702204" w:rsidP="00215563">
            <w:pPr>
              <w:pStyle w:val="Tablewriting"/>
              <w:jc w:val="center"/>
            </w:pPr>
          </w:p>
        </w:tc>
        <w:tc>
          <w:tcPr>
            <w:tcW w:w="1559" w:type="dxa"/>
            <w:vMerge/>
            <w:tcBorders>
              <w:left w:val="single" w:sz="4" w:space="0" w:color="auto"/>
              <w:right w:val="single" w:sz="4" w:space="0" w:color="auto"/>
            </w:tcBorders>
          </w:tcPr>
          <w:p w14:paraId="4C23822A" w14:textId="77777777" w:rsidR="00702204" w:rsidRPr="00B2760A" w:rsidRDefault="00702204" w:rsidP="00215563">
            <w:pPr>
              <w:pStyle w:val="Tablewriting"/>
              <w:jc w:val="center"/>
            </w:pPr>
          </w:p>
        </w:tc>
        <w:tc>
          <w:tcPr>
            <w:tcW w:w="1134" w:type="dxa"/>
            <w:tcBorders>
              <w:top w:val="single" w:sz="4" w:space="0" w:color="auto"/>
              <w:left w:val="single" w:sz="4" w:space="0" w:color="auto"/>
              <w:bottom w:val="single" w:sz="4" w:space="0" w:color="auto"/>
              <w:right w:val="single" w:sz="4" w:space="0" w:color="auto"/>
            </w:tcBorders>
          </w:tcPr>
          <w:p w14:paraId="0945597B" w14:textId="2F6FA64A" w:rsidR="00702204" w:rsidRPr="00B2760A" w:rsidRDefault="00702204" w:rsidP="00215563">
            <w:pPr>
              <w:pStyle w:val="Tablewriting"/>
              <w:jc w:val="center"/>
            </w:pPr>
            <w:r w:rsidRPr="00B2760A">
              <w:t>2 mg</w:t>
            </w:r>
          </w:p>
        </w:tc>
        <w:tc>
          <w:tcPr>
            <w:tcW w:w="1134" w:type="dxa"/>
            <w:tcBorders>
              <w:left w:val="single" w:sz="4" w:space="0" w:color="auto"/>
              <w:right w:val="single" w:sz="4" w:space="0" w:color="auto"/>
            </w:tcBorders>
          </w:tcPr>
          <w:p w14:paraId="44867D74" w14:textId="15AA18AF" w:rsidR="00702204" w:rsidRPr="00B2760A" w:rsidRDefault="00702204" w:rsidP="00215563">
            <w:pPr>
              <w:pStyle w:val="Tablewriting"/>
              <w:jc w:val="center"/>
            </w:pPr>
            <w:r w:rsidRPr="00B2760A">
              <w:t>11451Q</w:t>
            </w:r>
          </w:p>
        </w:tc>
      </w:tr>
      <w:tr w:rsidR="00702204" w:rsidRPr="00B2760A" w14:paraId="3B554BCF" w14:textId="77777777" w:rsidTr="00FD5344">
        <w:trPr>
          <w:trHeight w:val="138"/>
        </w:trPr>
        <w:tc>
          <w:tcPr>
            <w:tcW w:w="1384" w:type="dxa"/>
            <w:vMerge/>
            <w:tcBorders>
              <w:left w:val="single" w:sz="4" w:space="0" w:color="auto"/>
              <w:right w:val="single" w:sz="4" w:space="0" w:color="auto"/>
            </w:tcBorders>
          </w:tcPr>
          <w:p w14:paraId="1CA730B6" w14:textId="77777777" w:rsidR="00702204" w:rsidRPr="00B2760A" w:rsidRDefault="00702204" w:rsidP="00215563">
            <w:pPr>
              <w:pStyle w:val="Tablewriting"/>
            </w:pPr>
          </w:p>
        </w:tc>
        <w:tc>
          <w:tcPr>
            <w:tcW w:w="1985" w:type="dxa"/>
            <w:vMerge/>
            <w:tcBorders>
              <w:left w:val="single" w:sz="4" w:space="0" w:color="auto"/>
              <w:right w:val="single" w:sz="4" w:space="0" w:color="auto"/>
            </w:tcBorders>
          </w:tcPr>
          <w:p w14:paraId="5504870A" w14:textId="77777777" w:rsidR="00702204" w:rsidRPr="00B2760A" w:rsidRDefault="00702204" w:rsidP="00215563">
            <w:pPr>
              <w:pStyle w:val="Tablewriting"/>
              <w:jc w:val="center"/>
            </w:pPr>
          </w:p>
        </w:tc>
        <w:tc>
          <w:tcPr>
            <w:tcW w:w="1559" w:type="dxa"/>
            <w:vMerge/>
            <w:tcBorders>
              <w:left w:val="single" w:sz="4" w:space="0" w:color="auto"/>
              <w:right w:val="single" w:sz="4" w:space="0" w:color="auto"/>
            </w:tcBorders>
          </w:tcPr>
          <w:p w14:paraId="29BD6B11" w14:textId="77777777" w:rsidR="00702204" w:rsidRPr="00B2760A" w:rsidRDefault="00702204" w:rsidP="00215563">
            <w:pPr>
              <w:pStyle w:val="Tablewriting"/>
              <w:jc w:val="center"/>
            </w:pPr>
          </w:p>
        </w:tc>
        <w:tc>
          <w:tcPr>
            <w:tcW w:w="1134" w:type="dxa"/>
            <w:tcBorders>
              <w:top w:val="single" w:sz="4" w:space="0" w:color="auto"/>
              <w:left w:val="single" w:sz="4" w:space="0" w:color="auto"/>
              <w:bottom w:val="single" w:sz="4" w:space="0" w:color="auto"/>
              <w:right w:val="single" w:sz="4" w:space="0" w:color="auto"/>
            </w:tcBorders>
          </w:tcPr>
          <w:p w14:paraId="62C13C3F" w14:textId="350953E0" w:rsidR="00702204" w:rsidRPr="00B2760A" w:rsidRDefault="00702204" w:rsidP="00215563">
            <w:pPr>
              <w:pStyle w:val="Tablewriting"/>
              <w:jc w:val="center"/>
            </w:pPr>
            <w:r w:rsidRPr="00B2760A">
              <w:t>3 mg</w:t>
            </w:r>
          </w:p>
        </w:tc>
        <w:tc>
          <w:tcPr>
            <w:tcW w:w="1134" w:type="dxa"/>
            <w:tcBorders>
              <w:left w:val="single" w:sz="4" w:space="0" w:color="auto"/>
              <w:right w:val="single" w:sz="4" w:space="0" w:color="auto"/>
            </w:tcBorders>
          </w:tcPr>
          <w:p w14:paraId="2A312B42" w14:textId="64926F02" w:rsidR="00702204" w:rsidRPr="00B2760A" w:rsidRDefault="00702204" w:rsidP="00215563">
            <w:pPr>
              <w:pStyle w:val="Tablewriting"/>
              <w:jc w:val="center"/>
            </w:pPr>
            <w:r w:rsidRPr="00B2760A">
              <w:t>11440D</w:t>
            </w:r>
          </w:p>
        </w:tc>
      </w:tr>
      <w:tr w:rsidR="00702204" w:rsidRPr="00B2760A" w14:paraId="141BFF6E" w14:textId="77777777" w:rsidTr="008E14FA">
        <w:trPr>
          <w:trHeight w:val="305"/>
        </w:trPr>
        <w:tc>
          <w:tcPr>
            <w:tcW w:w="1384" w:type="dxa"/>
            <w:vMerge/>
            <w:tcBorders>
              <w:left w:val="single" w:sz="4" w:space="0" w:color="auto"/>
              <w:right w:val="single" w:sz="4" w:space="0" w:color="auto"/>
            </w:tcBorders>
          </w:tcPr>
          <w:p w14:paraId="55A4DCFF" w14:textId="77777777" w:rsidR="00702204" w:rsidRPr="00B2760A" w:rsidRDefault="00702204" w:rsidP="00215563">
            <w:pPr>
              <w:pStyle w:val="Tablewriting"/>
            </w:pPr>
          </w:p>
        </w:tc>
        <w:tc>
          <w:tcPr>
            <w:tcW w:w="1985" w:type="dxa"/>
            <w:vMerge/>
            <w:tcBorders>
              <w:left w:val="single" w:sz="4" w:space="0" w:color="auto"/>
              <w:right w:val="single" w:sz="4" w:space="0" w:color="auto"/>
            </w:tcBorders>
          </w:tcPr>
          <w:p w14:paraId="30BF13DB" w14:textId="77777777" w:rsidR="00702204" w:rsidRPr="00B2760A" w:rsidRDefault="00702204" w:rsidP="00215563">
            <w:pPr>
              <w:pStyle w:val="Tablewriting"/>
              <w:jc w:val="center"/>
            </w:pPr>
          </w:p>
        </w:tc>
        <w:tc>
          <w:tcPr>
            <w:tcW w:w="1559" w:type="dxa"/>
            <w:vMerge/>
            <w:tcBorders>
              <w:left w:val="single" w:sz="4" w:space="0" w:color="auto"/>
              <w:right w:val="single" w:sz="4" w:space="0" w:color="auto"/>
            </w:tcBorders>
          </w:tcPr>
          <w:p w14:paraId="2D697DA5" w14:textId="77777777" w:rsidR="00702204" w:rsidRPr="00B2760A" w:rsidRDefault="00702204" w:rsidP="00215563">
            <w:pPr>
              <w:pStyle w:val="Tablewriting"/>
              <w:jc w:val="center"/>
            </w:pPr>
          </w:p>
        </w:tc>
        <w:tc>
          <w:tcPr>
            <w:tcW w:w="1134" w:type="dxa"/>
            <w:tcBorders>
              <w:top w:val="single" w:sz="4" w:space="0" w:color="auto"/>
              <w:left w:val="single" w:sz="4" w:space="0" w:color="auto"/>
              <w:bottom w:val="single" w:sz="4" w:space="0" w:color="auto"/>
              <w:right w:val="single" w:sz="4" w:space="0" w:color="auto"/>
            </w:tcBorders>
          </w:tcPr>
          <w:p w14:paraId="4305E88D" w14:textId="36B7C206" w:rsidR="00702204" w:rsidRPr="00B2760A" w:rsidRDefault="00702204" w:rsidP="00215563">
            <w:pPr>
              <w:pStyle w:val="Tablewriting"/>
              <w:jc w:val="center"/>
            </w:pPr>
            <w:r w:rsidRPr="00B2760A">
              <w:t>4 mg</w:t>
            </w:r>
          </w:p>
        </w:tc>
        <w:tc>
          <w:tcPr>
            <w:tcW w:w="1134" w:type="dxa"/>
            <w:tcBorders>
              <w:left w:val="single" w:sz="4" w:space="0" w:color="auto"/>
              <w:bottom w:val="single" w:sz="4" w:space="0" w:color="auto"/>
              <w:right w:val="single" w:sz="4" w:space="0" w:color="auto"/>
            </w:tcBorders>
          </w:tcPr>
          <w:p w14:paraId="54B7393F" w14:textId="69186E25" w:rsidR="00702204" w:rsidRPr="00B2760A" w:rsidRDefault="00702204" w:rsidP="00215563">
            <w:pPr>
              <w:pStyle w:val="Tablewriting"/>
              <w:jc w:val="center"/>
            </w:pPr>
            <w:r w:rsidRPr="00B2760A">
              <w:t>11441E</w:t>
            </w:r>
          </w:p>
        </w:tc>
      </w:tr>
    </w:tbl>
    <w:p w14:paraId="27BEB897" w14:textId="77777777" w:rsidR="00684D77" w:rsidRPr="00B2760A" w:rsidRDefault="00684D77" w:rsidP="00215563">
      <w:pPr>
        <w:pStyle w:val="Notes"/>
      </w:pPr>
      <w:r w:rsidRPr="00B2760A">
        <w:t>Notes: * The Attenta® brand of methylphenidate IR was delisted in March 2009.</w:t>
      </w:r>
    </w:p>
    <w:p w14:paraId="5ABC474E" w14:textId="3683F033" w:rsidR="00684D77" w:rsidRPr="00B2760A" w:rsidRDefault="00C1251B" w:rsidP="00215563">
      <w:pPr>
        <w:pStyle w:val="Tabletitle"/>
      </w:pPr>
      <w:r w:rsidRPr="00B2760A">
        <w:br w:type="page"/>
      </w:r>
      <w:r w:rsidR="00684D77" w:rsidRPr="00B2760A">
        <w:lastRenderedPageBreak/>
        <w:t xml:space="preserve">Table </w:t>
      </w:r>
      <w:r w:rsidR="00686028" w:rsidRPr="00B2760A">
        <w:t>A</w:t>
      </w:r>
      <w:r w:rsidR="00684D77" w:rsidRPr="00B2760A">
        <w:t xml:space="preserve">.2. Changes to </w:t>
      </w:r>
      <w:r w:rsidR="00ED7B9F" w:rsidRPr="00B2760A">
        <w:t>R/</w:t>
      </w:r>
      <w:r w:rsidR="00684D77" w:rsidRPr="00B2760A">
        <w:t xml:space="preserve">PBS restrictions of </w:t>
      </w:r>
      <w:r w:rsidR="002C37C2" w:rsidRPr="00B2760A">
        <w:t>ADHD medicines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842"/>
        <w:gridCol w:w="6237"/>
      </w:tblGrid>
      <w:tr w:rsidR="00684D77" w:rsidRPr="00B2760A" w14:paraId="69198FEE" w14:textId="77777777" w:rsidTr="000241D7">
        <w:trPr>
          <w:cantSplit/>
          <w:tblHeader/>
        </w:trPr>
        <w:tc>
          <w:tcPr>
            <w:tcW w:w="1101" w:type="dxa"/>
            <w:shd w:val="clear" w:color="auto" w:fill="BFBFBF" w:themeFill="background1" w:themeFillShade="BF"/>
          </w:tcPr>
          <w:p w14:paraId="04085BFF" w14:textId="77777777" w:rsidR="00684D77" w:rsidRPr="00B2760A" w:rsidRDefault="00684D77" w:rsidP="00215563">
            <w:pPr>
              <w:pStyle w:val="Tableheading"/>
            </w:pPr>
            <w:r w:rsidRPr="00B2760A">
              <w:t>Date</w:t>
            </w:r>
          </w:p>
        </w:tc>
        <w:tc>
          <w:tcPr>
            <w:tcW w:w="1842" w:type="dxa"/>
            <w:shd w:val="clear" w:color="auto" w:fill="BFBFBF" w:themeFill="background1" w:themeFillShade="BF"/>
          </w:tcPr>
          <w:p w14:paraId="4FBE0540" w14:textId="77777777" w:rsidR="00684D77" w:rsidRPr="00B2760A" w:rsidRDefault="00684D77" w:rsidP="00215563">
            <w:pPr>
              <w:pStyle w:val="Tableheading"/>
            </w:pPr>
            <w:r w:rsidRPr="00B2760A">
              <w:t>Drug name</w:t>
            </w:r>
          </w:p>
        </w:tc>
        <w:tc>
          <w:tcPr>
            <w:tcW w:w="6237" w:type="dxa"/>
            <w:shd w:val="clear" w:color="auto" w:fill="BFBFBF" w:themeFill="background1" w:themeFillShade="BF"/>
          </w:tcPr>
          <w:p w14:paraId="47DC4A42" w14:textId="77777777" w:rsidR="00684D77" w:rsidRPr="00B2760A" w:rsidRDefault="00684D77" w:rsidP="00215563">
            <w:pPr>
              <w:pStyle w:val="Tableheading"/>
            </w:pPr>
            <w:r w:rsidRPr="00B2760A">
              <w:t>Change to the restriction/s</w:t>
            </w:r>
          </w:p>
        </w:tc>
      </w:tr>
      <w:tr w:rsidR="00684D77" w:rsidRPr="00B2760A" w14:paraId="3AFA851A" w14:textId="77777777" w:rsidTr="000241D7">
        <w:trPr>
          <w:trHeight w:val="405"/>
        </w:trPr>
        <w:tc>
          <w:tcPr>
            <w:tcW w:w="1101" w:type="dxa"/>
          </w:tcPr>
          <w:p w14:paraId="14B38205" w14:textId="77777777" w:rsidR="00684D77" w:rsidRPr="00B2760A" w:rsidRDefault="00684D77" w:rsidP="00215563">
            <w:pPr>
              <w:pStyle w:val="Tablewriting"/>
              <w:keepNext/>
              <w:keepLines/>
            </w:pPr>
            <w:r w:rsidRPr="00B2760A">
              <w:t>Aug 2007</w:t>
            </w:r>
          </w:p>
        </w:tc>
        <w:tc>
          <w:tcPr>
            <w:tcW w:w="1842" w:type="dxa"/>
          </w:tcPr>
          <w:p w14:paraId="458FA427" w14:textId="77777777" w:rsidR="00684D77" w:rsidRPr="00B2760A" w:rsidRDefault="00684D77" w:rsidP="00215563">
            <w:pPr>
              <w:pStyle w:val="Tablewriting"/>
              <w:keepNext/>
              <w:keepLines/>
            </w:pPr>
            <w:r w:rsidRPr="00B2760A">
              <w:t>Methylphenidate MR (Concerta®)</w:t>
            </w:r>
          </w:p>
        </w:tc>
        <w:tc>
          <w:tcPr>
            <w:tcW w:w="6237" w:type="dxa"/>
          </w:tcPr>
          <w:p w14:paraId="329937B2" w14:textId="77777777" w:rsidR="00684D77" w:rsidRPr="00B2760A" w:rsidRDefault="00684D77" w:rsidP="00215563">
            <w:pPr>
              <w:pStyle w:val="Tablewriting"/>
              <w:keepNext/>
              <w:keepLines/>
            </w:pPr>
            <w:r w:rsidRPr="00B2760A">
              <w:t>Replacement of “…child or adolescent aged 6 to 18 years inclusive” with “…patient aged 6 to 18 years inclusive”.</w:t>
            </w:r>
          </w:p>
        </w:tc>
      </w:tr>
      <w:tr w:rsidR="00684D77" w:rsidRPr="00B2760A" w14:paraId="1F6B8542" w14:textId="77777777" w:rsidTr="000241D7">
        <w:trPr>
          <w:trHeight w:val="405"/>
        </w:trPr>
        <w:tc>
          <w:tcPr>
            <w:tcW w:w="1101" w:type="dxa"/>
          </w:tcPr>
          <w:p w14:paraId="37D0FD54" w14:textId="77777777" w:rsidR="00684D77" w:rsidRPr="00B2760A" w:rsidRDefault="00684D77" w:rsidP="00215563">
            <w:pPr>
              <w:pStyle w:val="Tablewriting"/>
              <w:keepNext/>
              <w:keepLines/>
            </w:pPr>
            <w:r w:rsidRPr="00B2760A">
              <w:t>Nov 2008</w:t>
            </w:r>
          </w:p>
        </w:tc>
        <w:tc>
          <w:tcPr>
            <w:tcW w:w="1842" w:type="dxa"/>
          </w:tcPr>
          <w:p w14:paraId="679352E9" w14:textId="77777777" w:rsidR="00684D77" w:rsidRPr="00B2760A" w:rsidRDefault="00684D77" w:rsidP="00215563">
            <w:pPr>
              <w:pStyle w:val="Tablewriting"/>
              <w:keepNext/>
              <w:keepLines/>
            </w:pPr>
            <w:r w:rsidRPr="00B2760A">
              <w:t xml:space="preserve">Atomoxetine </w:t>
            </w:r>
          </w:p>
          <w:p w14:paraId="19E094DB" w14:textId="77777777" w:rsidR="00684D77" w:rsidRPr="00B2760A" w:rsidRDefault="00684D77" w:rsidP="00215563">
            <w:pPr>
              <w:pStyle w:val="Tablewriting"/>
              <w:keepNext/>
              <w:keepLines/>
            </w:pPr>
            <w:r w:rsidRPr="00B2760A">
              <w:t>(all items)</w:t>
            </w:r>
          </w:p>
        </w:tc>
        <w:tc>
          <w:tcPr>
            <w:tcW w:w="6237" w:type="dxa"/>
          </w:tcPr>
          <w:p w14:paraId="57BB51BA" w14:textId="77777777" w:rsidR="00684D77" w:rsidRPr="00B2760A" w:rsidRDefault="00684D77" w:rsidP="00215563">
            <w:pPr>
              <w:pStyle w:val="Tablewriting"/>
              <w:keepNext/>
              <w:keepLines/>
            </w:pPr>
            <w:r w:rsidRPr="00B2760A">
              <w:t>The restrictions were changed to remind prescribers that atomoxetine is not PBS subsidised for use with other ADHD medicines. “Initial treatment…” was replaced by “Initial sole PBS-subsidised treatment…”, and “Continuing treatment…” was replaced by “Continuing sole PBS-subsidised treatment…”.</w:t>
            </w:r>
          </w:p>
          <w:p w14:paraId="483B20F0" w14:textId="77777777" w:rsidR="00684D77" w:rsidRPr="00B2760A" w:rsidRDefault="00684D77" w:rsidP="00215563">
            <w:pPr>
              <w:pStyle w:val="Tablewriting"/>
              <w:keepNext/>
              <w:keepLines/>
            </w:pPr>
            <w:r w:rsidRPr="00B2760A">
              <w:t>A note was also added, “No applications for increased maximum quantities and/or repeats will be authorised”, as the listing of the 80 mg and 100 mg doses was considered to negate the need for increased maximum quantities.</w:t>
            </w:r>
          </w:p>
        </w:tc>
      </w:tr>
      <w:tr w:rsidR="00684D77" w:rsidRPr="00B2760A" w14:paraId="4B8B6BE9" w14:textId="77777777" w:rsidTr="000241D7">
        <w:tc>
          <w:tcPr>
            <w:tcW w:w="1101" w:type="dxa"/>
          </w:tcPr>
          <w:p w14:paraId="7AE4084B" w14:textId="77777777" w:rsidR="00684D77" w:rsidRPr="00B2760A" w:rsidRDefault="00684D77" w:rsidP="00215563">
            <w:pPr>
              <w:pStyle w:val="Tablewriting"/>
            </w:pPr>
            <w:r w:rsidRPr="00B2760A">
              <w:t>Oct 2009</w:t>
            </w:r>
          </w:p>
        </w:tc>
        <w:tc>
          <w:tcPr>
            <w:tcW w:w="1842" w:type="dxa"/>
          </w:tcPr>
          <w:p w14:paraId="191F24DA" w14:textId="77777777" w:rsidR="00684D77" w:rsidRPr="00B2760A" w:rsidRDefault="00684D77" w:rsidP="00215563">
            <w:pPr>
              <w:pStyle w:val="Tablewriting"/>
            </w:pPr>
            <w:r w:rsidRPr="00B2760A">
              <w:t>Methylphenidate (modified release) (all items)</w:t>
            </w:r>
          </w:p>
        </w:tc>
        <w:tc>
          <w:tcPr>
            <w:tcW w:w="6237" w:type="dxa"/>
          </w:tcPr>
          <w:p w14:paraId="5AD57F8F" w14:textId="77777777" w:rsidR="00684D77" w:rsidRPr="00B2760A" w:rsidRDefault="00684D77" w:rsidP="00215563">
            <w:pPr>
              <w:pStyle w:val="Tablewriting"/>
            </w:pPr>
            <w:r w:rsidRPr="00B2760A">
              <w:t xml:space="preserve">The restrictions were modified to extend the listing to the treatment of patients aged over 18 years who were diagnosed between ages 6–18. “Treatment of attention deficit hyperactivity disorder (ADHD) in a patient between the ages of 6 and 18 years inclusive” was changed to “'Treatment of attention deficit hyperactivity disorder (ADHD) in a patient </w:t>
            </w:r>
            <w:r w:rsidRPr="00B2760A">
              <w:rPr>
                <w:rStyle w:val="Emphasis"/>
              </w:rPr>
              <w:t>diagnosed</w:t>
            </w:r>
            <w:r w:rsidRPr="00B2760A">
              <w:t xml:space="preserve"> between the ages of 6 and 18 years inclusive”. </w:t>
            </w:r>
          </w:p>
        </w:tc>
      </w:tr>
      <w:tr w:rsidR="00684D77" w:rsidRPr="00B2760A" w14:paraId="4D24159C" w14:textId="77777777" w:rsidTr="000241D7">
        <w:tc>
          <w:tcPr>
            <w:tcW w:w="1101" w:type="dxa"/>
          </w:tcPr>
          <w:p w14:paraId="3EB7B71D" w14:textId="77777777" w:rsidR="00684D77" w:rsidRPr="00B2760A" w:rsidRDefault="00684D77" w:rsidP="00215563">
            <w:pPr>
              <w:pStyle w:val="Tablewriting"/>
            </w:pPr>
            <w:r w:rsidRPr="00B2760A">
              <w:t>Aug 2014</w:t>
            </w:r>
          </w:p>
        </w:tc>
        <w:tc>
          <w:tcPr>
            <w:tcW w:w="1842" w:type="dxa"/>
          </w:tcPr>
          <w:p w14:paraId="28F8BBD6" w14:textId="77777777" w:rsidR="00684D77" w:rsidRPr="00B2760A" w:rsidRDefault="00684D77" w:rsidP="00215563">
            <w:pPr>
              <w:pStyle w:val="Tablewriting"/>
            </w:pPr>
            <w:r w:rsidRPr="00B2760A">
              <w:t>Atomoxetine</w:t>
            </w:r>
          </w:p>
          <w:p w14:paraId="694AD496" w14:textId="77777777" w:rsidR="00684D77" w:rsidRPr="00B2760A" w:rsidRDefault="00684D77" w:rsidP="00215563">
            <w:pPr>
              <w:pStyle w:val="Tablewriting"/>
            </w:pPr>
            <w:r w:rsidRPr="00B2760A">
              <w:t>(all items)</w:t>
            </w:r>
          </w:p>
        </w:tc>
        <w:tc>
          <w:tcPr>
            <w:tcW w:w="6237" w:type="dxa"/>
          </w:tcPr>
          <w:p w14:paraId="76CA6225" w14:textId="77777777" w:rsidR="00684D77" w:rsidRPr="00B2760A" w:rsidRDefault="00684D77" w:rsidP="00215563">
            <w:pPr>
              <w:pStyle w:val="Tablewriting"/>
            </w:pPr>
            <w:r w:rsidRPr="00B2760A">
              <w:t>The restriction was simplified and changed from Authority Required to Authority Required (STREAMLINED). The requirement for diagnosis using the DSM-IV criteria was updated to the DSM-V. The emphasis on “sole PBS-subsidised treatment” use was removed. References in the previous restriction to specific contraindications and adverse events were generally removed.</w:t>
            </w:r>
          </w:p>
        </w:tc>
      </w:tr>
      <w:tr w:rsidR="00684D77" w:rsidRPr="00B2760A" w14:paraId="1DF4B4A5" w14:textId="77777777" w:rsidTr="000241D7">
        <w:tc>
          <w:tcPr>
            <w:tcW w:w="1101" w:type="dxa"/>
          </w:tcPr>
          <w:p w14:paraId="7C5DD85C" w14:textId="77777777" w:rsidR="00684D77" w:rsidRPr="00B2760A" w:rsidRDefault="00684D77" w:rsidP="00215563">
            <w:pPr>
              <w:pStyle w:val="Tablewriting"/>
            </w:pPr>
            <w:r w:rsidRPr="00B2760A">
              <w:t>July 2016</w:t>
            </w:r>
          </w:p>
        </w:tc>
        <w:tc>
          <w:tcPr>
            <w:tcW w:w="1842" w:type="dxa"/>
          </w:tcPr>
          <w:p w14:paraId="374247B2" w14:textId="77777777" w:rsidR="00684D77" w:rsidRPr="00B2760A" w:rsidRDefault="00684D77" w:rsidP="00215563">
            <w:pPr>
              <w:pStyle w:val="Tablewriting"/>
            </w:pPr>
            <w:r w:rsidRPr="00B2760A">
              <w:t>Methylphenidate (modified release) (all items)</w:t>
            </w:r>
          </w:p>
        </w:tc>
        <w:tc>
          <w:tcPr>
            <w:tcW w:w="6237" w:type="dxa"/>
          </w:tcPr>
          <w:p w14:paraId="04C53E53" w14:textId="77777777" w:rsidR="00684D77" w:rsidRPr="00B2760A" w:rsidRDefault="00684D77" w:rsidP="00215563">
            <w:pPr>
              <w:pStyle w:val="Tablewriting"/>
            </w:pPr>
            <w:r w:rsidRPr="00B2760A">
              <w:t xml:space="preserve">The restriction criteria remains the same but was contents were restructured to </w:t>
            </w:r>
            <w:r w:rsidR="002C37C2" w:rsidRPr="00B2760A">
              <w:t xml:space="preserve">separately define </w:t>
            </w:r>
            <w:r w:rsidRPr="00B2760A">
              <w:t>population criteria and clinical criteria.</w:t>
            </w:r>
          </w:p>
        </w:tc>
      </w:tr>
      <w:tr w:rsidR="00801AF8" w:rsidRPr="00B2760A" w14:paraId="704E3D62" w14:textId="77777777" w:rsidTr="000241D7">
        <w:tc>
          <w:tcPr>
            <w:tcW w:w="1101" w:type="dxa"/>
          </w:tcPr>
          <w:p w14:paraId="4FC2E426" w14:textId="77777777" w:rsidR="00801AF8" w:rsidRPr="00B2760A" w:rsidRDefault="00801AF8" w:rsidP="00215563">
            <w:pPr>
              <w:pStyle w:val="Tablewriting"/>
            </w:pPr>
            <w:r w:rsidRPr="00B2760A">
              <w:t>July 2016</w:t>
            </w:r>
          </w:p>
        </w:tc>
        <w:tc>
          <w:tcPr>
            <w:tcW w:w="1842" w:type="dxa"/>
          </w:tcPr>
          <w:p w14:paraId="02B76737" w14:textId="77777777" w:rsidR="00801AF8" w:rsidRPr="00B2760A" w:rsidRDefault="00801AF8" w:rsidP="00215563">
            <w:pPr>
              <w:pStyle w:val="Tablewriting"/>
            </w:pPr>
            <w:r w:rsidRPr="00B2760A">
              <w:t>Dexamfetamine 5mg, tablets</w:t>
            </w:r>
          </w:p>
        </w:tc>
        <w:tc>
          <w:tcPr>
            <w:tcW w:w="6237" w:type="dxa"/>
          </w:tcPr>
          <w:p w14:paraId="50FF618D" w14:textId="77777777" w:rsidR="00801AF8" w:rsidRPr="00B2760A" w:rsidRDefault="00801AF8" w:rsidP="00215563">
            <w:pPr>
              <w:pStyle w:val="Tablewriting"/>
            </w:pPr>
            <w:r w:rsidRPr="00B2760A">
              <w:t>The restriction criteria remains the same but was contents were restructured to separately define the two criteria for prescribing.</w:t>
            </w:r>
          </w:p>
        </w:tc>
      </w:tr>
      <w:tr w:rsidR="00684D77" w:rsidRPr="00B2760A" w14:paraId="79163032" w14:textId="77777777" w:rsidTr="000241D7">
        <w:tc>
          <w:tcPr>
            <w:tcW w:w="1101" w:type="dxa"/>
          </w:tcPr>
          <w:p w14:paraId="0495BD4F" w14:textId="77777777" w:rsidR="00684D77" w:rsidRPr="00B2760A" w:rsidRDefault="00684D77" w:rsidP="00215563">
            <w:pPr>
              <w:pStyle w:val="Tablewriting"/>
            </w:pPr>
            <w:r w:rsidRPr="00B2760A">
              <w:t>July 2016</w:t>
            </w:r>
          </w:p>
        </w:tc>
        <w:tc>
          <w:tcPr>
            <w:tcW w:w="1842" w:type="dxa"/>
          </w:tcPr>
          <w:p w14:paraId="39F677B9" w14:textId="77777777" w:rsidR="00564BBA" w:rsidRPr="00B2760A" w:rsidRDefault="00684D77" w:rsidP="00215563">
            <w:pPr>
              <w:pStyle w:val="Tablewriting"/>
            </w:pPr>
            <w:r w:rsidRPr="00B2760A">
              <w:t xml:space="preserve">Atomoxetine </w:t>
            </w:r>
          </w:p>
          <w:p w14:paraId="7F8C37F8" w14:textId="1E3A3456" w:rsidR="00684D77" w:rsidRPr="00B2760A" w:rsidRDefault="00684D77" w:rsidP="00215563">
            <w:pPr>
              <w:pStyle w:val="Tablewriting"/>
            </w:pPr>
            <w:r w:rsidRPr="00B2760A">
              <w:t>(all items)</w:t>
            </w:r>
          </w:p>
        </w:tc>
        <w:tc>
          <w:tcPr>
            <w:tcW w:w="6237" w:type="dxa"/>
          </w:tcPr>
          <w:p w14:paraId="414C0EBE" w14:textId="77777777" w:rsidR="00684D77" w:rsidRPr="00B2760A" w:rsidRDefault="00684D77" w:rsidP="00215563">
            <w:pPr>
              <w:pStyle w:val="Tablewriting"/>
            </w:pPr>
            <w:r w:rsidRPr="00B2760A">
              <w:t>The restriction was modified to account for the new listing of lisdexamfetamine. The criteria w</w:t>
            </w:r>
            <w:r w:rsidR="002C37C2" w:rsidRPr="00B2760A">
              <w:t xml:space="preserve">as </w:t>
            </w:r>
            <w:r w:rsidRPr="00B2760A">
              <w:t>further limited by adding the requirement for contraindication to lisdexamfetamine</w:t>
            </w:r>
            <w:r w:rsidR="002C37C2" w:rsidRPr="00B2760A">
              <w:t xml:space="preserve"> before prescribing</w:t>
            </w:r>
            <w:r w:rsidRPr="00B2760A">
              <w:t xml:space="preserve">. </w:t>
            </w:r>
          </w:p>
          <w:p w14:paraId="1DDE6D5C" w14:textId="77777777" w:rsidR="00684D77" w:rsidRPr="00B2760A" w:rsidRDefault="00684D77" w:rsidP="00215563">
            <w:pPr>
              <w:pStyle w:val="Tablewriting"/>
            </w:pPr>
            <w:r w:rsidRPr="00B2760A">
              <w:t xml:space="preserve">“* Patient must have a contraindication to dexamphetamine, methylphenidate or </w:t>
            </w:r>
            <w:r w:rsidRPr="00B2760A">
              <w:rPr>
                <w:i/>
              </w:rPr>
              <w:t>lisdexamfetamine</w:t>
            </w:r>
            <w:r w:rsidRPr="00B2760A">
              <w:t xml:space="preserve"> as specified in TGA-approved product information;”  </w:t>
            </w:r>
          </w:p>
        </w:tc>
      </w:tr>
      <w:tr w:rsidR="008A447F" w:rsidRPr="00B2760A" w14:paraId="0EDBC3E2" w14:textId="77777777" w:rsidTr="000241D7">
        <w:tc>
          <w:tcPr>
            <w:tcW w:w="1101" w:type="dxa"/>
          </w:tcPr>
          <w:p w14:paraId="7E6E01B7" w14:textId="0342AC54" w:rsidR="008A447F" w:rsidRPr="00B2760A" w:rsidRDefault="00080A3A" w:rsidP="00215563">
            <w:pPr>
              <w:pStyle w:val="Tablewriting"/>
            </w:pPr>
            <w:r w:rsidRPr="00B2760A">
              <w:t>Sept 2018</w:t>
            </w:r>
          </w:p>
        </w:tc>
        <w:tc>
          <w:tcPr>
            <w:tcW w:w="1842" w:type="dxa"/>
          </w:tcPr>
          <w:p w14:paraId="7FF49BA2" w14:textId="77777777" w:rsidR="00564BBA" w:rsidRPr="00B2760A" w:rsidRDefault="00080A3A" w:rsidP="00215563">
            <w:pPr>
              <w:pStyle w:val="Tablewriting"/>
            </w:pPr>
            <w:r w:rsidRPr="00B2760A">
              <w:t xml:space="preserve">Atomoxetine </w:t>
            </w:r>
          </w:p>
          <w:p w14:paraId="5D44D200" w14:textId="24E4FE18" w:rsidR="008A447F" w:rsidRPr="00B2760A" w:rsidRDefault="00080A3A" w:rsidP="00215563">
            <w:pPr>
              <w:pStyle w:val="Tablewriting"/>
            </w:pPr>
            <w:r w:rsidRPr="00B2760A">
              <w:t>(all items)</w:t>
            </w:r>
          </w:p>
        </w:tc>
        <w:tc>
          <w:tcPr>
            <w:tcW w:w="6237" w:type="dxa"/>
          </w:tcPr>
          <w:p w14:paraId="3439220B" w14:textId="0AAA4E01" w:rsidR="008A447F" w:rsidRPr="00B2760A" w:rsidRDefault="00080A3A" w:rsidP="00215563">
            <w:pPr>
              <w:pStyle w:val="Tablewriting"/>
            </w:pPr>
            <w:r w:rsidRPr="00B2760A">
              <w:t>Change in the restriction from ‘The condition must be or have been diagnosed by a paediatrician or psychiatrist according to the DSM-5 criteria…’ to ‘Treatment criteria: * Must be treated by a paediatrician or psychiatrist. Clinical criteria: * The condition must be or have been diagnosed according to the DSM-5 criteria…’</w:t>
            </w:r>
          </w:p>
        </w:tc>
      </w:tr>
      <w:tr w:rsidR="00080A3A" w:rsidRPr="00B2760A" w14:paraId="55DA5263" w14:textId="77777777" w:rsidTr="000241D7">
        <w:tc>
          <w:tcPr>
            <w:tcW w:w="1101" w:type="dxa"/>
          </w:tcPr>
          <w:p w14:paraId="72B6BD0B" w14:textId="776D0080" w:rsidR="00080A3A" w:rsidRPr="00B2760A" w:rsidRDefault="00080A3A" w:rsidP="00215563">
            <w:pPr>
              <w:pStyle w:val="Tablewriting"/>
            </w:pPr>
            <w:r w:rsidRPr="00B2760A">
              <w:t>March 2019</w:t>
            </w:r>
          </w:p>
        </w:tc>
        <w:tc>
          <w:tcPr>
            <w:tcW w:w="1842" w:type="dxa"/>
          </w:tcPr>
          <w:p w14:paraId="567E3019" w14:textId="77777777" w:rsidR="00564BBA" w:rsidRPr="00B2760A" w:rsidRDefault="00080A3A" w:rsidP="00215563">
            <w:pPr>
              <w:pStyle w:val="Tablewriting"/>
            </w:pPr>
            <w:r w:rsidRPr="00B2760A">
              <w:t xml:space="preserve">Guanfacine </w:t>
            </w:r>
          </w:p>
          <w:p w14:paraId="677F4887" w14:textId="24D33AA9" w:rsidR="00080A3A" w:rsidRPr="00B2760A" w:rsidRDefault="00080A3A" w:rsidP="00215563">
            <w:pPr>
              <w:pStyle w:val="Tablewriting"/>
            </w:pPr>
            <w:r w:rsidRPr="00B2760A">
              <w:t>(all items)</w:t>
            </w:r>
          </w:p>
        </w:tc>
        <w:tc>
          <w:tcPr>
            <w:tcW w:w="6237" w:type="dxa"/>
          </w:tcPr>
          <w:p w14:paraId="190E54DD" w14:textId="03CC3E26" w:rsidR="00080A3A" w:rsidRPr="00B2760A" w:rsidRDefault="00080A3A" w:rsidP="00215563">
            <w:pPr>
              <w:pStyle w:val="Tablewriting"/>
            </w:pPr>
            <w:r w:rsidRPr="00B2760A">
              <w:t xml:space="preserve">Addition of new listing for patients taking guanfacine simultaneously with </w:t>
            </w:r>
            <w:r w:rsidR="000F45DB" w:rsidRPr="00B2760A">
              <w:t xml:space="preserve">maximum tolerated dose of other stimulants. </w:t>
            </w:r>
          </w:p>
        </w:tc>
      </w:tr>
      <w:tr w:rsidR="004F5537" w:rsidRPr="00937ACE" w14:paraId="2BFA9AD4" w14:textId="77777777" w:rsidTr="000241D7">
        <w:tc>
          <w:tcPr>
            <w:tcW w:w="1101" w:type="dxa"/>
          </w:tcPr>
          <w:p w14:paraId="04D6ED50" w14:textId="132D5364" w:rsidR="004F5537" w:rsidRPr="00937ACE" w:rsidRDefault="007A1600" w:rsidP="00215563">
            <w:pPr>
              <w:pStyle w:val="Tablewriting"/>
            </w:pPr>
            <w:r w:rsidRPr="00937ACE">
              <w:t>Feb 2021</w:t>
            </w:r>
          </w:p>
        </w:tc>
        <w:tc>
          <w:tcPr>
            <w:tcW w:w="1842" w:type="dxa"/>
          </w:tcPr>
          <w:p w14:paraId="445AB8AE" w14:textId="105FFAF3" w:rsidR="004F5537" w:rsidRPr="00937ACE" w:rsidRDefault="004F5537" w:rsidP="00215563">
            <w:pPr>
              <w:pStyle w:val="Tablewriting"/>
            </w:pPr>
            <w:r w:rsidRPr="00937ACE">
              <w:t>Lisdexamfetamine</w:t>
            </w:r>
          </w:p>
        </w:tc>
        <w:tc>
          <w:tcPr>
            <w:tcW w:w="6237" w:type="dxa"/>
          </w:tcPr>
          <w:p w14:paraId="676BC1E7" w14:textId="26D83CC2" w:rsidR="004F5537" w:rsidRPr="00937ACE" w:rsidRDefault="007A1600" w:rsidP="00215563">
            <w:pPr>
              <w:pStyle w:val="Tablewriting"/>
            </w:pPr>
            <w:r w:rsidRPr="00937ACE">
              <w:t>Restriction change to allow use in adults with ADHD persisting from childhood even if diagnosed after 18 years of age.</w:t>
            </w:r>
          </w:p>
        </w:tc>
      </w:tr>
      <w:tr w:rsidR="004F5537" w:rsidRPr="00937ACE" w14:paraId="7C5BF617" w14:textId="77777777" w:rsidTr="000241D7">
        <w:tc>
          <w:tcPr>
            <w:tcW w:w="1101" w:type="dxa"/>
          </w:tcPr>
          <w:p w14:paraId="1BE5F3F9" w14:textId="1ADFCF23" w:rsidR="004F5537" w:rsidRPr="00937ACE" w:rsidRDefault="007A1600" w:rsidP="00215563">
            <w:pPr>
              <w:pStyle w:val="Tablewriting"/>
            </w:pPr>
            <w:r w:rsidRPr="00937ACE">
              <w:t>May 2023</w:t>
            </w:r>
          </w:p>
        </w:tc>
        <w:tc>
          <w:tcPr>
            <w:tcW w:w="1842" w:type="dxa"/>
          </w:tcPr>
          <w:p w14:paraId="5FCD5007" w14:textId="01DDE091" w:rsidR="004F5537" w:rsidRPr="00937ACE" w:rsidRDefault="004F5537" w:rsidP="00215563">
            <w:pPr>
              <w:pStyle w:val="Tablewriting"/>
            </w:pPr>
            <w:r w:rsidRPr="00937ACE">
              <w:t>Methylphenidate</w:t>
            </w:r>
          </w:p>
        </w:tc>
        <w:tc>
          <w:tcPr>
            <w:tcW w:w="6237" w:type="dxa"/>
          </w:tcPr>
          <w:p w14:paraId="6283FBB3" w14:textId="15054B70" w:rsidR="004F5537" w:rsidRPr="00937ACE" w:rsidRDefault="007A1600" w:rsidP="00215563">
            <w:pPr>
              <w:pStyle w:val="Tablewriting"/>
            </w:pPr>
            <w:r w:rsidRPr="00937ACE">
              <w:t>Restriction change to allow use in adults with ADHD persisting from childhood even if diagnosed after 18 years of age.</w:t>
            </w:r>
          </w:p>
        </w:tc>
      </w:tr>
    </w:tbl>
    <w:p w14:paraId="6343DCD5" w14:textId="77777777" w:rsidR="00684D77" w:rsidRPr="00937ACE" w:rsidRDefault="00684D77" w:rsidP="00215563">
      <w:pPr>
        <w:spacing w:line="276" w:lineRule="auto"/>
        <w:rPr>
          <w:rFonts w:eastAsiaTheme="majorEastAsia" w:cstheme="majorBidi"/>
          <w:b/>
          <w:bCs/>
          <w:sz w:val="32"/>
          <w:szCs w:val="32"/>
        </w:rPr>
      </w:pPr>
      <w:r w:rsidRPr="00937ACE">
        <w:br w:type="page"/>
      </w:r>
    </w:p>
    <w:p w14:paraId="3D7BBC28" w14:textId="05051086" w:rsidR="00684D77" w:rsidRPr="00B2760A" w:rsidRDefault="00684D77" w:rsidP="00215563">
      <w:pPr>
        <w:pStyle w:val="Heading1"/>
      </w:pPr>
      <w:r w:rsidRPr="00937ACE">
        <w:lastRenderedPageBreak/>
        <w:t xml:space="preserve">Appendix </w:t>
      </w:r>
      <w:r w:rsidR="001F406F" w:rsidRPr="00937ACE">
        <w:t>B</w:t>
      </w:r>
      <w:r w:rsidRPr="00937ACE">
        <w:t>: PBAC recommendations for listing of ADHD medicines</w:t>
      </w:r>
      <w:r w:rsidR="00772132" w:rsidRPr="00937ACE">
        <w:t xml:space="preserve"> (Prior to 20</w:t>
      </w:r>
      <w:r w:rsidR="004F5537" w:rsidRPr="00937ACE">
        <w:t>20</w:t>
      </w:r>
      <w:r w:rsidR="00772132" w:rsidRPr="00937ACE">
        <w:t>)</w:t>
      </w:r>
    </w:p>
    <w:p w14:paraId="4EEE3022" w14:textId="77777777" w:rsidR="00EC3509" w:rsidRPr="00B2760A" w:rsidRDefault="00EC3509" w:rsidP="00215563">
      <w:r w:rsidRPr="00B2760A">
        <w:t xml:space="preserve">Copies of the PBAC Meeting Outcomes and Public Summary Documents are available on the </w:t>
      </w:r>
      <w:hyperlink r:id="rId41" w:history="1">
        <w:r w:rsidRPr="00B2760A">
          <w:rPr>
            <w:rStyle w:val="Hyperlink"/>
          </w:rPr>
          <w:t>PBAC Meetings</w:t>
        </w:r>
      </w:hyperlink>
      <w:r w:rsidRPr="00B2760A">
        <w:t xml:space="preserve"> website.</w:t>
      </w:r>
    </w:p>
    <w:p w14:paraId="2BC7B72C" w14:textId="77777777" w:rsidR="004F5537" w:rsidRPr="001D105D" w:rsidRDefault="004F5537" w:rsidP="004F5537">
      <w:pPr>
        <w:pStyle w:val="Heading4"/>
        <w:rPr>
          <w:sz w:val="24"/>
          <w:szCs w:val="24"/>
        </w:rPr>
      </w:pPr>
      <w:r w:rsidRPr="001D105D">
        <w:rPr>
          <w:sz w:val="24"/>
          <w:szCs w:val="24"/>
        </w:rPr>
        <w:t>Guanfacine (Intuniv®)</w:t>
      </w:r>
    </w:p>
    <w:p w14:paraId="27CAD646" w14:textId="15CD70EC" w:rsidR="004F5537" w:rsidRPr="001D105D" w:rsidRDefault="004F5537" w:rsidP="004F5537">
      <w:r>
        <w:t>At the Jul</w:t>
      </w:r>
      <w:r w:rsidRPr="001D105D">
        <w:t>ly 2017, the PBAC recommended the listing of guanfacine on a cost-minimisation basis with atomoxetine for the treatment of patients diagnosed with ADHD between the ages of 6 and 17 years inclusive who are contraindicated or intolerant to stimulant therapy. The PBAC did not recommend the listing of guanfacine as monotherapy in patients who have failed to achieve an adequate response to stimulants as the evidence presented did not support a listing in that population.</w:t>
      </w:r>
    </w:p>
    <w:p w14:paraId="2B8AF341" w14:textId="77777777" w:rsidR="004F5537" w:rsidRPr="001D105D" w:rsidRDefault="004F5537" w:rsidP="004F5537">
      <w:r w:rsidRPr="001D105D">
        <w:t>The PBAC recommended that the indications for guanfacine should be the same as those of atomoxetine and that guanfacine should be a streamlined authority.</w:t>
      </w:r>
    </w:p>
    <w:p w14:paraId="0CA2C475" w14:textId="77777777" w:rsidR="004F5537" w:rsidRPr="001D105D" w:rsidRDefault="004F5537" w:rsidP="004F5537">
      <w:r w:rsidRPr="001D105D">
        <w:t>The PBAC advised that guanfacine should not be treated as interchangeable on an individual basis with any other drugs and that it is not suitable for prescribing by nurse practitioners.</w:t>
      </w:r>
      <w:r w:rsidRPr="001D105D">
        <w:rPr>
          <w:rStyle w:val="FootnoteReference"/>
        </w:rPr>
        <w:footnoteReference w:id="20"/>
      </w:r>
    </w:p>
    <w:p w14:paraId="5B5766B0" w14:textId="6BDC1CFB" w:rsidR="004F5537" w:rsidRPr="001D105D" w:rsidRDefault="004F5537" w:rsidP="004F5537">
      <w:r>
        <w:rPr>
          <w:shd w:val="clear" w:color="auto" w:fill="FFFFFF"/>
        </w:rPr>
        <w:t xml:space="preserve">At the </w:t>
      </w:r>
      <w:r w:rsidRPr="001D105D">
        <w:rPr>
          <w:shd w:val="clear" w:color="auto" w:fill="FFFFFF"/>
        </w:rPr>
        <w:t xml:space="preserve">July 2018, the PBAC recommended the </w:t>
      </w:r>
      <w:r w:rsidRPr="001D105D">
        <w:t xml:space="preserve">listing of guanfacine, as a General Schedule Authority Required (Streamlined) benefit, as add-on therapy in conjunction with optimised stimulant therapy, for ADHD in patients experiencing residual moderate to severe ADHD symptoms. </w:t>
      </w:r>
    </w:p>
    <w:p w14:paraId="22B96DE2" w14:textId="7B8A7E9E" w:rsidR="00684D77" w:rsidRPr="00B2760A" w:rsidRDefault="00684D77" w:rsidP="00215563">
      <w:pPr>
        <w:pStyle w:val="Heading4"/>
        <w:rPr>
          <w:sz w:val="24"/>
          <w:szCs w:val="24"/>
        </w:rPr>
      </w:pPr>
      <w:r w:rsidRPr="00B2760A">
        <w:rPr>
          <w:sz w:val="24"/>
          <w:szCs w:val="24"/>
        </w:rPr>
        <w:t>Methylphenidate IR</w:t>
      </w:r>
    </w:p>
    <w:p w14:paraId="3EB92F4C" w14:textId="77777777" w:rsidR="00684D77" w:rsidRPr="00B2760A" w:rsidRDefault="00684D77" w:rsidP="00215563">
      <w:r w:rsidRPr="00B2760A">
        <w:t>At the March 2005 meeting, the PBAC recommended listing on a cost-minimi</w:t>
      </w:r>
      <w:r w:rsidR="00E56C55" w:rsidRPr="00B2760A">
        <w:t>sation basis compared to dexamf</w:t>
      </w:r>
      <w:r w:rsidRPr="00B2760A">
        <w:t>etamine sulfate, with the equi-effective doses being methylphenidate</w:t>
      </w:r>
      <w:r w:rsidR="00E56C55" w:rsidRPr="00B2760A">
        <w:t xml:space="preserve"> hydrochloride 10 mg and dexamf</w:t>
      </w:r>
      <w:r w:rsidRPr="00B2760A">
        <w:t>etamine sulfate 5 mg</w:t>
      </w:r>
      <w:r w:rsidR="00045E3D" w:rsidRPr="00B2760A">
        <w:t>.</w:t>
      </w:r>
      <w:r w:rsidRPr="00B2760A">
        <w:rPr>
          <w:rStyle w:val="FootnoteReference"/>
        </w:rPr>
        <w:footnoteReference w:id="21"/>
      </w:r>
      <w:r w:rsidRPr="00B2760A">
        <w:t xml:space="preserve"> The PBAC was concerned over the possible extent of use of the product and requested that the DUSC monitor this. </w:t>
      </w:r>
    </w:p>
    <w:p w14:paraId="6158594A" w14:textId="77777777" w:rsidR="00684D77" w:rsidRPr="00B2760A" w:rsidRDefault="00684D77" w:rsidP="00215563">
      <w:pPr>
        <w:pStyle w:val="Heading4"/>
        <w:rPr>
          <w:sz w:val="24"/>
          <w:szCs w:val="24"/>
        </w:rPr>
      </w:pPr>
      <w:r w:rsidRPr="00B2760A">
        <w:rPr>
          <w:sz w:val="24"/>
          <w:szCs w:val="24"/>
        </w:rPr>
        <w:t>Methylphenidate MR (Concerta</w:t>
      </w:r>
      <w:r w:rsidRPr="00B2760A">
        <w:rPr>
          <w:sz w:val="24"/>
          <w:szCs w:val="24"/>
          <w:vertAlign w:val="superscript"/>
        </w:rPr>
        <w:t>®</w:t>
      </w:r>
      <w:r w:rsidRPr="00B2760A">
        <w:rPr>
          <w:sz w:val="24"/>
          <w:szCs w:val="24"/>
        </w:rPr>
        <w:t>)</w:t>
      </w:r>
    </w:p>
    <w:p w14:paraId="15664E31" w14:textId="77777777" w:rsidR="00684D77" w:rsidRPr="00B2760A" w:rsidRDefault="00684D77" w:rsidP="00215563">
      <w:pPr>
        <w:rPr>
          <w:lang w:val="en-US" w:eastAsia="en-US"/>
        </w:rPr>
      </w:pPr>
      <w:r w:rsidRPr="00B2760A">
        <w:rPr>
          <w:bCs/>
        </w:rPr>
        <w:t xml:space="preserve">At the November 2006 meeting the PBAC recommended </w:t>
      </w:r>
      <w:r w:rsidRPr="00B2760A">
        <w:rPr>
          <w:lang w:val="en-US" w:eastAsia="en-US"/>
        </w:rPr>
        <w:t>listing of m</w:t>
      </w:r>
      <w:r w:rsidRPr="00B2760A">
        <w:rPr>
          <w:bCs/>
        </w:rPr>
        <w:t>ethylphenidate MR (Concerta</w:t>
      </w:r>
      <w:r w:rsidRPr="00B2760A">
        <w:rPr>
          <w:vertAlign w:val="superscript"/>
        </w:rPr>
        <w:t>®</w:t>
      </w:r>
      <w:r w:rsidRPr="00B2760A">
        <w:rPr>
          <w:bCs/>
        </w:rPr>
        <w:t xml:space="preserve">) </w:t>
      </w:r>
      <w:r w:rsidRPr="00B2760A">
        <w:rPr>
          <w:lang w:val="en-US" w:eastAsia="en-US"/>
        </w:rPr>
        <w:t>as an authority required benefit on a cost effectiveness basis over methylphenidate IR. Although the extent of any clinical benefit over methylphenidate IR remained uncertain, the Committee agreed that the likely improvements in compliance and in ease of administration, particularly in relation to the removal of the need for a dose of medication at school, were sufficient to justify listing.</w:t>
      </w:r>
      <w:r w:rsidRPr="00B2760A">
        <w:rPr>
          <w:rStyle w:val="FootnoteReference"/>
          <w:lang w:val="en-US" w:eastAsia="en-US"/>
        </w:rPr>
        <w:footnoteReference w:id="22"/>
      </w:r>
      <w:r w:rsidRPr="00B2760A">
        <w:rPr>
          <w:lang w:val="en-US" w:eastAsia="en-US"/>
        </w:rPr>
        <w:t xml:space="preserve"> </w:t>
      </w:r>
    </w:p>
    <w:p w14:paraId="10D26D45" w14:textId="77777777" w:rsidR="00684D77" w:rsidRPr="00B2760A" w:rsidRDefault="00684D77" w:rsidP="00215563">
      <w:pPr>
        <w:rPr>
          <w:lang w:val="en-US" w:eastAsia="en-US"/>
        </w:rPr>
      </w:pPr>
      <w:r w:rsidRPr="00B2760A">
        <w:rPr>
          <w:lang w:val="en-US" w:eastAsia="en-US"/>
        </w:rPr>
        <w:lastRenderedPageBreak/>
        <w:t>In July 2012 the PBAC rejected a submission to extend the listing to include patients diagnosed with ADHD after the age of 18 years, on the basis of uncertain efficacy and safety in the proposed population, and high and highly uncertain cost to the PBS</w:t>
      </w:r>
      <w:r w:rsidR="00D65739" w:rsidRPr="00B2760A">
        <w:rPr>
          <w:lang w:val="en-US" w:eastAsia="en-US"/>
        </w:rPr>
        <w:t>.</w:t>
      </w:r>
      <w:r w:rsidRPr="00B2760A">
        <w:rPr>
          <w:rStyle w:val="FootnoteReference"/>
          <w:lang w:val="en-US" w:eastAsia="en-US"/>
        </w:rPr>
        <w:footnoteReference w:id="23"/>
      </w:r>
      <w:r w:rsidRPr="00B2760A">
        <w:rPr>
          <w:lang w:val="en-US" w:eastAsia="en-US"/>
        </w:rPr>
        <w:t xml:space="preserve"> </w:t>
      </w:r>
    </w:p>
    <w:p w14:paraId="73B69DC5" w14:textId="77777777" w:rsidR="00684D77" w:rsidRPr="00B2760A" w:rsidRDefault="00684D77" w:rsidP="00215563">
      <w:pPr>
        <w:pStyle w:val="Heading4"/>
        <w:rPr>
          <w:sz w:val="24"/>
          <w:szCs w:val="24"/>
        </w:rPr>
      </w:pPr>
      <w:r w:rsidRPr="00B2760A">
        <w:rPr>
          <w:sz w:val="24"/>
          <w:szCs w:val="24"/>
        </w:rPr>
        <w:t>Methylphenidate MR (Ritalin LA</w:t>
      </w:r>
      <w:r w:rsidRPr="00B2760A">
        <w:rPr>
          <w:sz w:val="24"/>
          <w:szCs w:val="24"/>
          <w:vertAlign w:val="superscript"/>
        </w:rPr>
        <w:t>®</w:t>
      </w:r>
      <w:r w:rsidRPr="00B2760A">
        <w:rPr>
          <w:sz w:val="24"/>
          <w:szCs w:val="24"/>
        </w:rPr>
        <w:t>)</w:t>
      </w:r>
    </w:p>
    <w:p w14:paraId="3FCF8720" w14:textId="779B5015" w:rsidR="00684D77" w:rsidRPr="00B2760A" w:rsidRDefault="00684D77" w:rsidP="00215563">
      <w:r w:rsidRPr="00B2760A">
        <w:t xml:space="preserve">In November 2007, the PBAC recommended </w:t>
      </w:r>
      <w:r w:rsidRPr="00B2760A">
        <w:rPr>
          <w:lang w:val="en-US" w:eastAsia="en-US"/>
        </w:rPr>
        <w:t xml:space="preserve">listing </w:t>
      </w:r>
      <w:r w:rsidRPr="00B2760A">
        <w:t>of methylphenidate hydrochloride modified release (Ritalin LA®) capsules on the PBS on a cost-minimisation basis compared with methylphenidate hydrochloride modified release tablets (Concerta</w:t>
      </w:r>
      <w:r w:rsidRPr="00B2760A">
        <w:rPr>
          <w:vertAlign w:val="superscript"/>
        </w:rPr>
        <w:t>®</w:t>
      </w:r>
      <w:r w:rsidRPr="00B2760A">
        <w:t>) at the same price per day, as reflected by the equi-effective doses</w:t>
      </w:r>
      <w:r w:rsidR="00D65739" w:rsidRPr="00B2760A">
        <w:t>.</w:t>
      </w:r>
      <w:r w:rsidRPr="00B2760A">
        <w:rPr>
          <w:rStyle w:val="FootnoteReference"/>
        </w:rPr>
        <w:footnoteReference w:id="24"/>
      </w:r>
      <w:r w:rsidRPr="00B2760A">
        <w:t xml:space="preserve"> </w:t>
      </w:r>
    </w:p>
    <w:p w14:paraId="1C5C2BDE" w14:textId="14799A1F" w:rsidR="00720C8C" w:rsidRPr="00B2760A" w:rsidRDefault="00720C8C" w:rsidP="00215563">
      <w:r w:rsidRPr="00B2760A">
        <w:t>In March 2020, the PBAC recommended the listing of methylphenidate hydrochloride 60 mg modified release capsule Ritalin® LA 60 mg), under the same conditions as the currently listed Ritalin LA strengths (10 mg, 20 mg, 30 mg and 40 mg).</w:t>
      </w:r>
      <w:r w:rsidR="00686028" w:rsidRPr="00B2760A">
        <w:rPr>
          <w:rStyle w:val="FootnoteReference"/>
        </w:rPr>
        <w:footnoteReference w:id="25"/>
      </w:r>
    </w:p>
    <w:p w14:paraId="177FBA82" w14:textId="393EC5BE" w:rsidR="00684D77" w:rsidRPr="00B2760A" w:rsidRDefault="00684D77" w:rsidP="00215563">
      <w:pPr>
        <w:pStyle w:val="Heading4"/>
        <w:rPr>
          <w:sz w:val="24"/>
          <w:szCs w:val="24"/>
        </w:rPr>
      </w:pPr>
      <w:r w:rsidRPr="00B2760A">
        <w:rPr>
          <w:sz w:val="24"/>
          <w:szCs w:val="24"/>
        </w:rPr>
        <w:t>Atomoxetine (Strattera®)</w:t>
      </w:r>
    </w:p>
    <w:p w14:paraId="1A22C593" w14:textId="77777777" w:rsidR="00684D77" w:rsidRPr="00B2760A" w:rsidRDefault="00684D77" w:rsidP="00215563">
      <w:r w:rsidRPr="00B2760A">
        <w:t>The PBAC recommended the listing of atomoxetine (Strattera®) 10 mg, 18mg, 25 mg, 40 mg and 60 mg in November 2006, on a cost-effectiveness basis over placebo. The PBAC considered that there was a clinical need for the product and that the proposed restriction targeted the appropriate population</w:t>
      </w:r>
      <w:r w:rsidR="00D65739" w:rsidRPr="00B2760A">
        <w:t>.</w:t>
      </w:r>
      <w:r w:rsidRPr="00B2760A">
        <w:rPr>
          <w:rStyle w:val="FootnoteReference"/>
        </w:rPr>
        <w:footnoteReference w:id="26"/>
      </w:r>
    </w:p>
    <w:p w14:paraId="430262A8" w14:textId="2E61ECFF" w:rsidR="00684D77" w:rsidRPr="00B2760A" w:rsidRDefault="00684D77" w:rsidP="00215563">
      <w:r w:rsidRPr="00B2760A">
        <w:t>In July 2008, the PBAC recommended the listing of two additional strengths of atomoxetine (Strattera®), 80 mg and 100 mg, but rejected a submission to extend the use of atomoxetine to patients diagnosed with ADHD as adults due to insufficient evidence of clinical and cost-effectiveness. The submission claimed that the new strengths were unlikely to increase atomoxetine use or cost to the PBS</w:t>
      </w:r>
      <w:r w:rsidR="00D65739" w:rsidRPr="00B2760A">
        <w:t>.</w:t>
      </w:r>
      <w:r w:rsidRPr="00B2760A">
        <w:rPr>
          <w:rStyle w:val="FootnoteReference"/>
        </w:rPr>
        <w:footnoteReference w:id="27"/>
      </w:r>
      <w:r w:rsidRPr="00B2760A">
        <w:t xml:space="preserve"> </w:t>
      </w:r>
    </w:p>
    <w:p w14:paraId="4D8FA118" w14:textId="1070D20B" w:rsidR="009822E1" w:rsidRPr="00B2760A" w:rsidRDefault="00684D77" w:rsidP="00215563">
      <w:pPr>
        <w:pStyle w:val="ListParagraph"/>
        <w:ind w:left="0"/>
        <w:jc w:val="both"/>
      </w:pPr>
      <w:r w:rsidRPr="00B2760A">
        <w:t>In March 2014, the PBAC recommended that the current Authority required restriction for atomoxetine be changed to Authority Required (STREAMLINED).</w:t>
      </w:r>
      <w:r w:rsidR="00D65739" w:rsidRPr="00B2760A">
        <w:rPr>
          <w:rStyle w:val="FootnoteReference"/>
        </w:rPr>
        <w:footnoteReference w:id="28"/>
      </w:r>
      <w:r w:rsidRPr="00B2760A">
        <w:t xml:space="preserve"> </w:t>
      </w:r>
    </w:p>
    <w:p w14:paraId="07BBE1AA" w14:textId="77777777" w:rsidR="00564BBA" w:rsidRPr="00B2760A" w:rsidRDefault="00564BBA" w:rsidP="00215563">
      <w:pPr>
        <w:pStyle w:val="Heading4"/>
        <w:rPr>
          <w:sz w:val="24"/>
          <w:szCs w:val="24"/>
        </w:rPr>
      </w:pPr>
      <w:r w:rsidRPr="00B2760A">
        <w:rPr>
          <w:sz w:val="24"/>
          <w:szCs w:val="24"/>
        </w:rPr>
        <w:t>Lisdexamfetamine (Vyvanse®)</w:t>
      </w:r>
    </w:p>
    <w:p w14:paraId="4A0EE849" w14:textId="203858F5" w:rsidR="00564BBA" w:rsidRPr="00B2760A" w:rsidRDefault="00564BBA" w:rsidP="00215563">
      <w:r w:rsidRPr="00B2760A">
        <w:t xml:space="preserve">In July 2014, the PBAC considered the resubmission and recommended the listing of lisdexamfetamine (Vyvanse®) 30mg, 50mg, 70mg on a cost-minimisation basis compared with long-acting methylphenidate. The PBAC considered that the evidence in the submission </w:t>
      </w:r>
      <w:r w:rsidRPr="00B2760A">
        <w:lastRenderedPageBreak/>
        <w:t xml:space="preserve">demonstrated non-inferiority to long-acting methylphenidate in terms of effectiveness, and inferiority to long-acting methylphenidate in terms of safety. </w:t>
      </w:r>
    </w:p>
    <w:p w14:paraId="3BCAED2B" w14:textId="5080D6BF" w:rsidR="00564BBA" w:rsidRPr="00B2760A" w:rsidRDefault="00564BBA" w:rsidP="00215563">
      <w:r w:rsidRPr="00B2760A">
        <w:t xml:space="preserve">The resubmission presented cost minimisation analysis versus MPH-OROS in children aged 6 to 12, cost-utility analysis versus MPH-OROS in adolescents aged 13-17 and cost-utility analysis versus ‘no pharmacological treatment’ or ‘placebo’ as proxy for standard of care in patients who have failed MPH-OROS. </w:t>
      </w:r>
    </w:p>
    <w:p w14:paraId="62FE8CD5" w14:textId="77777777" w:rsidR="005F4646" w:rsidRPr="00B2760A" w:rsidRDefault="00564BBA" w:rsidP="00215563">
      <w:r w:rsidRPr="00B2760A">
        <w:t xml:space="preserve">The PBAC recommended the proposed listing of LDX as an authority required benefit in patients diagnosed between the ages of 6 and 18 years (inclusive). For the restriction, PBAC considered that there should be no requirement for patients to demonstrate response to dexamfetamine, as use of dexamfetamine DEX does not give guidance of dose or tolerability of lisdexamfetamine. </w:t>
      </w:r>
    </w:p>
    <w:p w14:paraId="07232DC6" w14:textId="77777777" w:rsidR="000D5600" w:rsidRDefault="00564BBA" w:rsidP="00215563">
      <w:r w:rsidRPr="00B2760A">
        <w:t>The PBAC recommended that lisdexamfetamine should not be treated as inter</w:t>
      </w:r>
      <w:r w:rsidR="00495DD1" w:rsidRPr="00B2760A">
        <w:t>changeable with any other drugs.</w:t>
      </w:r>
      <w:r w:rsidR="00495DD1" w:rsidRPr="00B2760A">
        <w:rPr>
          <w:rStyle w:val="FootnoteReference"/>
        </w:rPr>
        <w:footnoteReference w:id="29"/>
      </w:r>
    </w:p>
    <w:p w14:paraId="37B48BAB" w14:textId="77777777" w:rsidR="000D5600" w:rsidRDefault="00720C8C" w:rsidP="00215563">
      <w:r w:rsidRPr="00B2760A">
        <w:t>In July 2019, the PBAC recommended the listing of three additional strengths of lisdexamfetamine (Vyvanse®), 20 mg, 40 mg and 60 mg.</w:t>
      </w:r>
      <w:r w:rsidR="00686028" w:rsidRPr="00B2760A">
        <w:rPr>
          <w:rStyle w:val="FootnoteReference"/>
        </w:rPr>
        <w:footnoteReference w:id="30"/>
      </w:r>
    </w:p>
    <w:p w14:paraId="24EF60C2" w14:textId="09AD9DCA" w:rsidR="001F406F" w:rsidRDefault="00720C8C" w:rsidP="00215563">
      <w:r w:rsidRPr="00B2760A">
        <w:t>In March 2020, the PBAC recommended expanding the listing of lisdexamfetamine to include treatment of patients with ADHD who are diagnosed after the age of 18</w:t>
      </w:r>
      <w:r w:rsidR="002F5752">
        <w:t xml:space="preserve"> years old</w:t>
      </w:r>
      <w:r w:rsidRPr="00B2760A">
        <w:t>.</w:t>
      </w:r>
      <w:r w:rsidR="00686028" w:rsidRPr="00B2760A">
        <w:rPr>
          <w:rStyle w:val="FootnoteReference"/>
        </w:rPr>
        <w:footnoteReference w:id="31"/>
      </w:r>
    </w:p>
    <w:p w14:paraId="107D7277" w14:textId="738208F6" w:rsidR="001F406F" w:rsidRDefault="001F406F" w:rsidP="00215563">
      <w:pPr>
        <w:pStyle w:val="ListParagraph"/>
        <w:ind w:left="0"/>
        <w:jc w:val="both"/>
      </w:pPr>
    </w:p>
    <w:p w14:paraId="62BF38F1" w14:textId="590B66A2" w:rsidR="00316991" w:rsidRDefault="00316991" w:rsidP="00215563">
      <w:pPr>
        <w:pStyle w:val="ListParagraph"/>
        <w:ind w:left="0"/>
        <w:jc w:val="both"/>
      </w:pPr>
    </w:p>
    <w:p w14:paraId="256D2A92" w14:textId="49E9EAF3" w:rsidR="004A77CF" w:rsidRDefault="004A77CF" w:rsidP="00215563">
      <w:pPr>
        <w:pStyle w:val="ListParagraph"/>
        <w:ind w:left="0"/>
        <w:jc w:val="both"/>
      </w:pPr>
    </w:p>
    <w:p w14:paraId="2DE740F3" w14:textId="4205CB1A" w:rsidR="004A77CF" w:rsidRPr="00D144D4" w:rsidRDefault="004A77CF" w:rsidP="00215563">
      <w:pPr>
        <w:pStyle w:val="ListParagraph"/>
        <w:ind w:left="0"/>
        <w:jc w:val="both"/>
      </w:pPr>
    </w:p>
    <w:sectPr w:rsidR="004A77CF" w:rsidRPr="00D144D4" w:rsidSect="0048585C">
      <w:pgSz w:w="11906" w:h="16838"/>
      <w:pgMar w:top="1644" w:right="1133" w:bottom="1418"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65A45" w14:textId="77777777" w:rsidR="00541645" w:rsidRDefault="00541645" w:rsidP="00A35800">
      <w:r>
        <w:separator/>
      </w:r>
    </w:p>
  </w:endnote>
  <w:endnote w:type="continuationSeparator" w:id="0">
    <w:p w14:paraId="1431E6BC" w14:textId="77777777" w:rsidR="00541645" w:rsidRDefault="00541645" w:rsidP="00A35800">
      <w:r>
        <w:continuationSeparator/>
      </w:r>
    </w:p>
  </w:endnote>
  <w:endnote w:type="continuationNotice" w:id="1">
    <w:p w14:paraId="588BBA68" w14:textId="77777777" w:rsidR="00541645" w:rsidRDefault="005416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8DF7" w14:textId="77777777" w:rsidR="00C91779" w:rsidRDefault="00C91779"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62FFCCC" w14:textId="77777777" w:rsidR="00C91779" w:rsidRDefault="00C91779"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238322"/>
      <w:docPartObj>
        <w:docPartGallery w:val="Page Numbers (Top of Page)"/>
        <w:docPartUnique/>
      </w:docPartObj>
    </w:sdtPr>
    <w:sdtContent>
      <w:p w14:paraId="08B7613B" w14:textId="75C3F464" w:rsidR="00D92C17" w:rsidRDefault="00D92C17" w:rsidP="00D92C17">
        <w:pPr>
          <w:pStyle w:val="Footer"/>
          <w:jc w:val="center"/>
          <w:rPr>
            <w:i/>
            <w:sz w:val="20"/>
          </w:rPr>
        </w:pPr>
      </w:p>
      <w:p w14:paraId="2904BF11" w14:textId="03CD8BDB" w:rsidR="003C2D14" w:rsidRPr="000E72C6" w:rsidRDefault="003C2D14" w:rsidP="005C6F87">
        <w:pPr>
          <w:pStyle w:val="Footer"/>
          <w:jc w:val="center"/>
          <w:rPr>
            <w:i/>
            <w:sz w:val="20"/>
          </w:rPr>
        </w:pPr>
        <w:r>
          <w:rPr>
            <w:i/>
            <w:sz w:val="20"/>
          </w:rPr>
          <w:t xml:space="preserve">Public Release Document, September 2023 DUSC Meeting </w:t>
        </w:r>
      </w:p>
      <w:p w14:paraId="2A89F6B4" w14:textId="242ABC35" w:rsidR="00C91779" w:rsidRDefault="00C91779" w:rsidP="00697951">
        <w:pPr>
          <w:pStyle w:val="Footer"/>
          <w:jc w:val="cente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Pr>
            <w:bCs/>
            <w:i/>
            <w:noProof/>
            <w:sz w:val="20"/>
          </w:rPr>
          <w:t>8</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Pr>
            <w:bCs/>
            <w:i/>
            <w:noProof/>
            <w:sz w:val="20"/>
          </w:rPr>
          <w:t>35</w:t>
        </w:r>
        <w:r w:rsidRPr="00DD188C">
          <w:rPr>
            <w:bCs/>
            <w:i/>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62B23" w14:textId="77777777" w:rsidR="00802860" w:rsidRDefault="00802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196B7" w14:textId="77777777" w:rsidR="00541645" w:rsidRDefault="00541645" w:rsidP="00A35800">
      <w:r>
        <w:separator/>
      </w:r>
    </w:p>
  </w:footnote>
  <w:footnote w:type="continuationSeparator" w:id="0">
    <w:p w14:paraId="728D42E0" w14:textId="77777777" w:rsidR="00541645" w:rsidRDefault="00541645" w:rsidP="00A35800">
      <w:r>
        <w:continuationSeparator/>
      </w:r>
    </w:p>
  </w:footnote>
  <w:footnote w:type="continuationNotice" w:id="1">
    <w:p w14:paraId="590C0E6B" w14:textId="77777777" w:rsidR="00541645" w:rsidRDefault="00541645">
      <w:pPr>
        <w:spacing w:after="0"/>
      </w:pPr>
    </w:p>
  </w:footnote>
  <w:footnote w:id="2">
    <w:p w14:paraId="36CB87AA" w14:textId="687133CD" w:rsidR="00C91779" w:rsidRPr="00435096" w:rsidRDefault="00C91779">
      <w:pPr>
        <w:pStyle w:val="FootnoteText"/>
        <w:rPr>
          <w:szCs w:val="18"/>
        </w:rPr>
      </w:pPr>
      <w:r w:rsidRPr="00435096">
        <w:rPr>
          <w:rStyle w:val="FootnoteReference"/>
          <w:szCs w:val="18"/>
        </w:rPr>
        <w:footnoteRef/>
      </w:r>
      <w:r w:rsidRPr="00435096">
        <w:rPr>
          <w:szCs w:val="18"/>
        </w:rPr>
        <w:t xml:space="preserve"> Australian Medicines Handbook January 2021. Accessed 15 April 2021. https://amhonline.amh.net.au/chapters/cardiovascular-drugs/antihypertensives/other-antihypertensives/clonidine-cardiovascular</w:t>
      </w:r>
    </w:p>
  </w:footnote>
  <w:footnote w:id="3">
    <w:p w14:paraId="4379889B" w14:textId="77777777" w:rsidR="00C91779" w:rsidRPr="00215563" w:rsidRDefault="00C91779" w:rsidP="00735033">
      <w:pPr>
        <w:pStyle w:val="FootnoteText"/>
        <w:ind w:right="-257"/>
        <w:rPr>
          <w:szCs w:val="18"/>
        </w:rPr>
      </w:pPr>
      <w:r w:rsidRPr="00435096">
        <w:rPr>
          <w:rStyle w:val="FootnoteReference"/>
          <w:szCs w:val="18"/>
        </w:rPr>
        <w:footnoteRef/>
      </w:r>
      <w:r w:rsidRPr="00435096">
        <w:rPr>
          <w:szCs w:val="18"/>
        </w:rPr>
        <w:t xml:space="preserve"> Lawrence D, Johnson S, Hafekost J, Boterhoven De Haan K, Sawyer M, Ainsley J, Zubrick SR 2015. The Mental Health of Children and Adolescents. Report on the second Australian Child and Adolescent Survey of Mental Health and Wellbeing. Canberra: Department of Health</w:t>
      </w:r>
    </w:p>
  </w:footnote>
  <w:footnote w:id="4">
    <w:p w14:paraId="494BFD8A" w14:textId="4820DB53" w:rsidR="00F1271C" w:rsidRPr="00435096" w:rsidRDefault="00C91779">
      <w:pPr>
        <w:pStyle w:val="FootnoteText"/>
        <w:rPr>
          <w:szCs w:val="18"/>
        </w:rPr>
      </w:pPr>
      <w:r w:rsidRPr="00435096">
        <w:rPr>
          <w:rStyle w:val="FootnoteReference"/>
          <w:szCs w:val="18"/>
        </w:rPr>
        <w:footnoteRef/>
      </w:r>
      <w:r w:rsidRPr="00435096">
        <w:rPr>
          <w:szCs w:val="18"/>
        </w:rPr>
        <w:t xml:space="preserve"> </w:t>
      </w:r>
      <w:hyperlink r:id="rId1" w:history="1">
        <w:r w:rsidR="00F1271C" w:rsidRPr="00435096">
          <w:rPr>
            <w:rStyle w:val="Hyperlink"/>
          </w:rPr>
          <w:t>Australian Evidence</w:t>
        </w:r>
        <w:r w:rsidR="00814B98" w:rsidRPr="00435096">
          <w:rPr>
            <w:rStyle w:val="Hyperlink"/>
          </w:rPr>
          <w:t xml:space="preserve"> </w:t>
        </w:r>
        <w:r w:rsidR="00F1271C" w:rsidRPr="00435096">
          <w:rPr>
            <w:rStyle w:val="Hyperlink"/>
          </w:rPr>
          <w:t>Based Clinical Practice Guideline For Attention Deficit Hyperactivity Disorder (ADHD) 1</w:t>
        </w:r>
        <w:r w:rsidR="00F1271C" w:rsidRPr="00435096">
          <w:rPr>
            <w:rStyle w:val="Hyperlink"/>
            <w:vertAlign w:val="superscript"/>
          </w:rPr>
          <w:t>st</w:t>
        </w:r>
        <w:r w:rsidR="00F1271C" w:rsidRPr="00435096">
          <w:rPr>
            <w:rStyle w:val="Hyperlink"/>
          </w:rPr>
          <w:t xml:space="preserve"> Edition 2022</w:t>
        </w:r>
      </w:hyperlink>
      <w:r w:rsidR="00F1271C" w:rsidRPr="00435096">
        <w:t xml:space="preserve"> </w:t>
      </w:r>
    </w:p>
  </w:footnote>
  <w:footnote w:id="5">
    <w:p w14:paraId="7FA5DC34" w14:textId="2185457A" w:rsidR="00C91779" w:rsidRPr="00D613C8" w:rsidRDefault="00C91779">
      <w:pPr>
        <w:pStyle w:val="FootnoteText"/>
        <w:rPr>
          <w:highlight w:val="green"/>
        </w:rPr>
      </w:pPr>
      <w:r w:rsidRPr="00435096">
        <w:rPr>
          <w:rStyle w:val="FootnoteReference"/>
          <w:szCs w:val="18"/>
        </w:rPr>
        <w:footnoteRef/>
      </w:r>
      <w:r w:rsidRPr="00435096">
        <w:rPr>
          <w:szCs w:val="18"/>
        </w:rPr>
        <w:t xml:space="preserve"> Attention deficit hyperactivity disorder. Therapeutic Guidelines Ltd (eTG March 2021 edition) [Internet]. Published March 2021. Accessed </w:t>
      </w:r>
      <w:r w:rsidR="00EA1185" w:rsidRPr="00435096">
        <w:rPr>
          <w:szCs w:val="18"/>
        </w:rPr>
        <w:t>26 July 2023</w:t>
      </w:r>
      <w:r w:rsidRPr="00435096">
        <w:rPr>
          <w:szCs w:val="18"/>
        </w:rPr>
        <w:t xml:space="preserve">.  </w:t>
      </w:r>
      <w:hyperlink r:id="rId2" w:history="1">
        <w:r w:rsidR="00F1271C" w:rsidRPr="00435096">
          <w:rPr>
            <w:rStyle w:val="Hyperlink"/>
            <w:szCs w:val="18"/>
          </w:rPr>
          <w:t>https://tgldcdp.tg.org.au/viewTopic?topicfile=attention-deficit-hyperactivity-disorder&amp;guidelineName=Psychotropic&amp;topicNavigation=navigateTopic</w:t>
        </w:r>
      </w:hyperlink>
    </w:p>
  </w:footnote>
  <w:footnote w:id="6">
    <w:p w14:paraId="18FDB66C" w14:textId="77777777" w:rsidR="00C91779" w:rsidRPr="00215563" w:rsidRDefault="00C91779">
      <w:pPr>
        <w:pStyle w:val="FootnoteText"/>
        <w:rPr>
          <w:szCs w:val="18"/>
        </w:rPr>
      </w:pPr>
      <w:r w:rsidRPr="00215563">
        <w:rPr>
          <w:rStyle w:val="FootnoteReference"/>
          <w:szCs w:val="18"/>
        </w:rPr>
        <w:footnoteRef/>
      </w:r>
      <w:r w:rsidRPr="00215563">
        <w:rPr>
          <w:szCs w:val="18"/>
        </w:rPr>
        <w:t xml:space="preserve"> Tonge, B. (2013). ‘Principles for managing attention deficit hyperactivity disorder’. Australian Prescriber, 36:162-5.</w:t>
      </w:r>
    </w:p>
  </w:footnote>
  <w:footnote w:id="7">
    <w:p w14:paraId="08CB4059" w14:textId="7A518C15" w:rsidR="002251B5" w:rsidRPr="00435096" w:rsidRDefault="00C91779">
      <w:pPr>
        <w:pStyle w:val="FootnoteText"/>
        <w:rPr>
          <w:szCs w:val="18"/>
        </w:rPr>
      </w:pPr>
      <w:r w:rsidRPr="00435096">
        <w:rPr>
          <w:rStyle w:val="FootnoteReference"/>
          <w:szCs w:val="18"/>
        </w:rPr>
        <w:footnoteRef/>
      </w:r>
      <w:r w:rsidRPr="00435096">
        <w:rPr>
          <w:rStyle w:val="FootnoteReference"/>
          <w:szCs w:val="18"/>
        </w:rPr>
        <w:t xml:space="preserve"> </w:t>
      </w:r>
      <w:r w:rsidRPr="00435096">
        <w:rPr>
          <w:szCs w:val="18"/>
        </w:rPr>
        <w:t>A consolidated ADHD stimulant prescribing regulation and authorities overview can be found at</w:t>
      </w:r>
      <w:r w:rsidR="002251B5" w:rsidRPr="00435096">
        <w:rPr>
          <w:szCs w:val="18"/>
        </w:rPr>
        <w:t>:</w:t>
      </w:r>
      <w:r w:rsidRPr="00435096">
        <w:rPr>
          <w:szCs w:val="18"/>
        </w:rPr>
        <w:t xml:space="preserve"> </w:t>
      </w:r>
      <w:hyperlink r:id="rId3" w:history="1">
        <w:r w:rsidR="002251B5" w:rsidRPr="00435096">
          <w:rPr>
            <w:rStyle w:val="Hyperlink"/>
          </w:rPr>
          <w:t>https://aadpa.com.au/adhd-stimulant-prescribing-regulations-in-australia-new-zealand/</w:t>
        </w:r>
      </w:hyperlink>
      <w:r w:rsidR="002251B5" w:rsidRPr="00435096">
        <w:t xml:space="preserve"> Last updated April 2023. </w:t>
      </w:r>
    </w:p>
  </w:footnote>
  <w:footnote w:id="8">
    <w:p w14:paraId="136B7D72" w14:textId="228C7667" w:rsidR="00C91779" w:rsidRPr="00435096" w:rsidRDefault="00C91779">
      <w:pPr>
        <w:pStyle w:val="FootnoteText"/>
        <w:rPr>
          <w:szCs w:val="18"/>
        </w:rPr>
      </w:pPr>
      <w:r w:rsidRPr="00435096">
        <w:rPr>
          <w:rStyle w:val="FootnoteReference"/>
          <w:szCs w:val="18"/>
        </w:rPr>
        <w:footnoteRef/>
      </w:r>
      <w:r w:rsidRPr="00435096">
        <w:rPr>
          <w:rStyle w:val="FootnoteReference"/>
          <w:szCs w:val="18"/>
        </w:rPr>
        <w:t xml:space="preserve"> </w:t>
      </w:r>
      <w:r w:rsidRPr="00435096">
        <w:rPr>
          <w:szCs w:val="18"/>
        </w:rPr>
        <w:t xml:space="preserve">Australian Medicines Handbook January 2021. Accessed </w:t>
      </w:r>
      <w:r w:rsidR="00EA1185" w:rsidRPr="00435096">
        <w:rPr>
          <w:szCs w:val="18"/>
        </w:rPr>
        <w:t>25 July 2023 at:</w:t>
      </w:r>
      <w:r w:rsidRPr="00435096">
        <w:rPr>
          <w:szCs w:val="18"/>
        </w:rPr>
        <w:t xml:space="preserve"> </w:t>
      </w:r>
      <w:r w:rsidR="002251B5" w:rsidRPr="00435096">
        <w:rPr>
          <w:szCs w:val="18"/>
        </w:rPr>
        <w:t xml:space="preserve"> </w:t>
      </w:r>
      <w:hyperlink r:id="rId4" w:history="1">
        <w:r w:rsidR="00EA1185" w:rsidRPr="00435096">
          <w:rPr>
            <w:rStyle w:val="Hyperlink"/>
            <w:noProof/>
            <w:szCs w:val="18"/>
          </w:rPr>
          <w:t>https://amhonline.amh.net.au/chapters/cardiovascular-drugs/antihypertensives/other-antihypertensives/clonidine-cardiovascular</w:t>
        </w:r>
      </w:hyperlink>
      <w:r w:rsidR="00EA1185" w:rsidRPr="00435096">
        <w:rPr>
          <w:noProof/>
          <w:szCs w:val="18"/>
        </w:rPr>
        <w:t xml:space="preserve"> </w:t>
      </w:r>
    </w:p>
  </w:footnote>
  <w:footnote w:id="9">
    <w:p w14:paraId="08EB478E" w14:textId="502B5FE5" w:rsidR="00C91779" w:rsidRPr="00435096" w:rsidRDefault="00C91779" w:rsidP="00215563">
      <w:pPr>
        <w:pStyle w:val="FootnoteText"/>
        <w:ind w:right="-29"/>
        <w:rPr>
          <w:szCs w:val="18"/>
        </w:rPr>
      </w:pPr>
      <w:r w:rsidRPr="00435096">
        <w:rPr>
          <w:rStyle w:val="FootnoteReference"/>
          <w:szCs w:val="18"/>
        </w:rPr>
        <w:footnoteRef/>
      </w:r>
      <w:r w:rsidRPr="00435096">
        <w:rPr>
          <w:szCs w:val="18"/>
        </w:rPr>
        <w:t xml:space="preserve"> </w:t>
      </w:r>
      <w:r w:rsidRPr="00435096">
        <w:rPr>
          <w:noProof/>
          <w:szCs w:val="18"/>
        </w:rPr>
        <w:t xml:space="preserve">Aspen Pharma Pty Ltd, Product Information: Aspen Dexamfetamine Tablets. Approved 14 October 1991. Most recent amendment </w:t>
      </w:r>
      <w:r w:rsidR="00944DA8" w:rsidRPr="00435096">
        <w:rPr>
          <w:noProof/>
          <w:szCs w:val="18"/>
        </w:rPr>
        <w:t>15 October 2021</w:t>
      </w:r>
      <w:r w:rsidRPr="00435096">
        <w:rPr>
          <w:noProof/>
          <w:szCs w:val="18"/>
        </w:rPr>
        <w:t xml:space="preserve">. Accessed on: </w:t>
      </w:r>
      <w:r w:rsidR="00944DA8" w:rsidRPr="00435096">
        <w:rPr>
          <w:noProof/>
          <w:szCs w:val="18"/>
        </w:rPr>
        <w:t xml:space="preserve">25 July 2023, </w:t>
      </w:r>
      <w:r w:rsidRPr="00435096">
        <w:rPr>
          <w:noProof/>
          <w:szCs w:val="18"/>
        </w:rPr>
        <w:t xml:space="preserve">at: </w:t>
      </w:r>
      <w:hyperlink r:id="rId5" w:history="1">
        <w:r w:rsidRPr="00435096">
          <w:rPr>
            <w:rStyle w:val="Hyperlink"/>
            <w:szCs w:val="18"/>
          </w:rPr>
          <w:t>https://www.ebs.tga.gov.au/ebs/picmi/picmirepository.nsf/pdf?OpenAgent&amp;id=CP-2017-PI-01667-1</w:t>
        </w:r>
      </w:hyperlink>
    </w:p>
  </w:footnote>
  <w:footnote w:id="10">
    <w:p w14:paraId="0817B86F" w14:textId="5A9CE5DE" w:rsidR="00C91779" w:rsidRPr="00435096" w:rsidRDefault="00C91779" w:rsidP="00215563">
      <w:pPr>
        <w:pStyle w:val="FootnoteText"/>
        <w:ind w:right="-29"/>
        <w:rPr>
          <w:szCs w:val="18"/>
          <w:u w:val="single"/>
        </w:rPr>
      </w:pPr>
      <w:r w:rsidRPr="00435096">
        <w:rPr>
          <w:rStyle w:val="FootnoteReference"/>
          <w:szCs w:val="18"/>
        </w:rPr>
        <w:footnoteRef/>
      </w:r>
      <w:r w:rsidRPr="00435096">
        <w:rPr>
          <w:szCs w:val="18"/>
        </w:rPr>
        <w:t xml:space="preserve"> </w:t>
      </w:r>
      <w:r w:rsidRPr="00435096">
        <w:rPr>
          <w:noProof/>
          <w:szCs w:val="18"/>
        </w:rPr>
        <w:t xml:space="preserve">NOVARTIS Pharmaceuticals Australia Pty Limited, Product Information: RITALIN® 10/RITALIN® LA (methylphenidate). Approved 02 August 1991. Most recent amendment </w:t>
      </w:r>
      <w:r w:rsidR="00944DA8" w:rsidRPr="00435096">
        <w:rPr>
          <w:noProof/>
          <w:szCs w:val="18"/>
        </w:rPr>
        <w:t>6 April 2022</w:t>
      </w:r>
      <w:r w:rsidRPr="00435096">
        <w:rPr>
          <w:noProof/>
          <w:szCs w:val="18"/>
        </w:rPr>
        <w:t xml:space="preserve">. Accessed on: </w:t>
      </w:r>
      <w:r w:rsidR="00944DA8" w:rsidRPr="00435096">
        <w:rPr>
          <w:noProof/>
          <w:szCs w:val="18"/>
        </w:rPr>
        <w:t>25 July 2023</w:t>
      </w:r>
      <w:r w:rsidRPr="00435096">
        <w:rPr>
          <w:noProof/>
          <w:szCs w:val="18"/>
        </w:rPr>
        <w:t>, at:</w:t>
      </w:r>
      <w:r w:rsidRPr="00435096">
        <w:rPr>
          <w:szCs w:val="18"/>
        </w:rPr>
        <w:t xml:space="preserve"> </w:t>
      </w:r>
      <w:hyperlink r:id="rId6" w:history="1">
        <w:r w:rsidRPr="00435096">
          <w:rPr>
            <w:rStyle w:val="Hyperlink"/>
            <w:szCs w:val="18"/>
          </w:rPr>
          <w:t>https://www.ebs.tga.gov.au/ebs/picmi/picmirepository.nsf/pdf?OpenAgent&amp;id=CP-2010-PI-03175-3</w:t>
        </w:r>
      </w:hyperlink>
    </w:p>
  </w:footnote>
  <w:footnote w:id="11">
    <w:p w14:paraId="5803994F" w14:textId="738C4EFD" w:rsidR="00C91779" w:rsidRPr="00435096" w:rsidRDefault="00C91779" w:rsidP="00215563">
      <w:pPr>
        <w:pStyle w:val="FootnoteText"/>
        <w:ind w:right="-29"/>
        <w:rPr>
          <w:noProof/>
          <w:szCs w:val="18"/>
        </w:rPr>
      </w:pPr>
      <w:r w:rsidRPr="00435096">
        <w:rPr>
          <w:rStyle w:val="FootnoteReference"/>
          <w:szCs w:val="18"/>
        </w:rPr>
        <w:footnoteRef/>
      </w:r>
      <w:r w:rsidRPr="00435096">
        <w:rPr>
          <w:rStyle w:val="FootnoteReference"/>
          <w:szCs w:val="18"/>
        </w:rPr>
        <w:t xml:space="preserve"> </w:t>
      </w:r>
      <w:r w:rsidRPr="00435096">
        <w:rPr>
          <w:noProof/>
          <w:szCs w:val="18"/>
        </w:rPr>
        <w:t xml:space="preserve">Takeda Pharmaceuticals Australia Pty Ltd, Product Information: VYVANSE (Lisdexamfetamine dimesilate)) tablets. Approved 22 July 2013. Most recent amendment </w:t>
      </w:r>
      <w:r w:rsidR="00C244D8" w:rsidRPr="00435096">
        <w:rPr>
          <w:noProof/>
          <w:szCs w:val="18"/>
        </w:rPr>
        <w:t>17 July 2023</w:t>
      </w:r>
      <w:r w:rsidRPr="00435096">
        <w:rPr>
          <w:noProof/>
          <w:szCs w:val="18"/>
        </w:rPr>
        <w:t xml:space="preserve">. Accessed on: </w:t>
      </w:r>
      <w:r w:rsidR="00C244D8" w:rsidRPr="00435096">
        <w:rPr>
          <w:noProof/>
          <w:szCs w:val="18"/>
        </w:rPr>
        <w:t>25 July 2023, at:</w:t>
      </w:r>
    </w:p>
    <w:p w14:paraId="19DA2881" w14:textId="354DCB56" w:rsidR="00C91779" w:rsidRPr="00435096" w:rsidRDefault="00000000" w:rsidP="00215563">
      <w:pPr>
        <w:pStyle w:val="FootnoteText"/>
        <w:ind w:right="-29"/>
        <w:rPr>
          <w:noProof/>
          <w:szCs w:val="18"/>
        </w:rPr>
      </w:pPr>
      <w:hyperlink r:id="rId7" w:history="1">
        <w:r w:rsidR="00944DA8" w:rsidRPr="00435096">
          <w:rPr>
            <w:rStyle w:val="Hyperlink"/>
          </w:rPr>
          <w:t>https://www.ebs.tga.gov.au/ebs/picmi/picmirepository.nsf/pdf?OpenAgent&amp;id=CP-2013-PI-02051-1</w:t>
        </w:r>
      </w:hyperlink>
      <w:r w:rsidR="00944DA8" w:rsidRPr="00435096">
        <w:t xml:space="preserve"> </w:t>
      </w:r>
    </w:p>
  </w:footnote>
  <w:footnote w:id="12">
    <w:p w14:paraId="2CF60F32" w14:textId="008F4DA3" w:rsidR="00C91779" w:rsidRPr="00435096" w:rsidRDefault="00C91779" w:rsidP="00215563">
      <w:pPr>
        <w:pStyle w:val="FootnoteText"/>
        <w:ind w:right="-29"/>
        <w:rPr>
          <w:szCs w:val="18"/>
        </w:rPr>
      </w:pPr>
      <w:r w:rsidRPr="00435096">
        <w:rPr>
          <w:rStyle w:val="FootnoteReference"/>
          <w:szCs w:val="18"/>
        </w:rPr>
        <w:footnoteRef/>
      </w:r>
      <w:r w:rsidRPr="00435096">
        <w:rPr>
          <w:szCs w:val="18"/>
        </w:rPr>
        <w:t xml:space="preserve"> </w:t>
      </w:r>
      <w:r w:rsidRPr="00435096">
        <w:rPr>
          <w:noProof/>
          <w:szCs w:val="18"/>
        </w:rPr>
        <w:t xml:space="preserve">Eli Lilly Australia Pty Limited (2018), Product Information: STRATERA® (atomoxetine hydrochloride). Approved 27 January 2004. Most recent amendment 06 May 2020. Accessed on: </w:t>
      </w:r>
      <w:r w:rsidR="00C244D8" w:rsidRPr="00435096">
        <w:rPr>
          <w:noProof/>
          <w:szCs w:val="18"/>
        </w:rPr>
        <w:t>25 July 2023</w:t>
      </w:r>
      <w:r w:rsidRPr="00435096">
        <w:rPr>
          <w:noProof/>
          <w:szCs w:val="18"/>
        </w:rPr>
        <w:t xml:space="preserve">, at: </w:t>
      </w:r>
      <w:hyperlink r:id="rId8" w:history="1">
        <w:r w:rsidRPr="00435096">
          <w:rPr>
            <w:rStyle w:val="Hyperlink"/>
            <w:szCs w:val="18"/>
          </w:rPr>
          <w:t>https://www.ebs.tga.gov.au/ebs/picmi/picmirepository.nsf/pdf?OpenAgent&amp;id=CP-2010-PI-04269-3</w:t>
        </w:r>
      </w:hyperlink>
      <w:r w:rsidRPr="00435096">
        <w:rPr>
          <w:rStyle w:val="Hyperlink"/>
          <w:szCs w:val="18"/>
        </w:rPr>
        <w:t xml:space="preserve"> </w:t>
      </w:r>
    </w:p>
  </w:footnote>
  <w:footnote w:id="13">
    <w:p w14:paraId="4907CF8F" w14:textId="6D5D373E" w:rsidR="00C244D8" w:rsidRPr="00435096" w:rsidRDefault="00C91779" w:rsidP="00215563">
      <w:pPr>
        <w:pStyle w:val="FootnoteText"/>
        <w:ind w:right="-29"/>
        <w:rPr>
          <w:szCs w:val="18"/>
        </w:rPr>
      </w:pPr>
      <w:r w:rsidRPr="00435096">
        <w:rPr>
          <w:rStyle w:val="FootnoteReference"/>
          <w:szCs w:val="18"/>
        </w:rPr>
        <w:footnoteRef/>
      </w:r>
      <w:r w:rsidRPr="00435096">
        <w:rPr>
          <w:szCs w:val="18"/>
        </w:rPr>
        <w:t xml:space="preserve"> Clonidine product information. </w:t>
      </w:r>
      <w:r w:rsidR="00C244D8" w:rsidRPr="00435096">
        <w:rPr>
          <w:szCs w:val="18"/>
        </w:rPr>
        <w:t>Accessed on: 25 July 2023, at:</w:t>
      </w:r>
    </w:p>
    <w:p w14:paraId="28CAAED1" w14:textId="11DE1529" w:rsidR="00C244D8" w:rsidRPr="00215563" w:rsidRDefault="00000000" w:rsidP="00215563">
      <w:pPr>
        <w:pStyle w:val="FootnoteText"/>
        <w:ind w:right="-29"/>
        <w:rPr>
          <w:szCs w:val="18"/>
        </w:rPr>
      </w:pPr>
      <w:hyperlink r:id="rId9" w:history="1">
        <w:r w:rsidR="00C244D8" w:rsidRPr="00435096">
          <w:rPr>
            <w:rStyle w:val="Hyperlink"/>
            <w:szCs w:val="18"/>
          </w:rPr>
          <w:t>https://www.ebs.tga.gov.au/ebs/picmi/picmirepository.nsf/PICMI?OpenForm&amp;t=&amp;q=clonidine</w:t>
        </w:r>
      </w:hyperlink>
      <w:r w:rsidR="00C244D8">
        <w:rPr>
          <w:szCs w:val="18"/>
        </w:rPr>
        <w:t xml:space="preserve"> </w:t>
      </w:r>
    </w:p>
  </w:footnote>
  <w:footnote w:id="14">
    <w:p w14:paraId="3E16AAC6" w14:textId="77777777" w:rsidR="001C75C3" w:rsidRPr="00215563" w:rsidRDefault="001C75C3" w:rsidP="001C75C3">
      <w:pPr>
        <w:pStyle w:val="FootnoteText"/>
        <w:ind w:right="-29"/>
        <w:rPr>
          <w:szCs w:val="18"/>
        </w:rPr>
      </w:pPr>
      <w:r w:rsidRPr="00435096">
        <w:rPr>
          <w:rStyle w:val="FootnoteReference"/>
          <w:szCs w:val="18"/>
        </w:rPr>
        <w:footnoteRef/>
      </w:r>
      <w:r w:rsidRPr="00435096">
        <w:rPr>
          <w:rStyle w:val="Hyperlink"/>
          <w:color w:val="auto"/>
          <w:szCs w:val="18"/>
          <w:u w:val="none"/>
        </w:rPr>
        <w:t>Sources: Therapeutic Goods Administration Product Information pages, Australian Register of Therapeutic Goods. Accessed 25 July 2023.</w:t>
      </w:r>
      <w:r w:rsidRPr="002D3120">
        <w:rPr>
          <w:rStyle w:val="Hyperlink"/>
          <w:color w:val="auto"/>
          <w:szCs w:val="18"/>
        </w:rPr>
        <w:t xml:space="preserve"> </w:t>
      </w:r>
    </w:p>
  </w:footnote>
  <w:footnote w:id="15">
    <w:p w14:paraId="4B659B9A" w14:textId="77777777" w:rsidR="00A7637D" w:rsidRPr="006022CA" w:rsidRDefault="00A7637D" w:rsidP="00A7637D">
      <w:pPr>
        <w:pStyle w:val="EndnoteText"/>
        <w:rPr>
          <w:sz w:val="18"/>
          <w:szCs w:val="18"/>
        </w:rPr>
      </w:pPr>
      <w:r w:rsidRPr="006022CA">
        <w:rPr>
          <w:rStyle w:val="FootnoteReference"/>
          <w:sz w:val="18"/>
          <w:szCs w:val="18"/>
        </w:rPr>
        <w:footnoteRef/>
      </w:r>
      <w:r w:rsidRPr="006022CA">
        <w:rPr>
          <w:sz w:val="18"/>
          <w:szCs w:val="18"/>
        </w:rPr>
        <w:t xml:space="preserve"> Drug Utilisation Sub-Committee. DUSC Predicted versus Actual analysis of atomoxetine. Canberra: Australian Department of Health: 2010. Unpublished.</w:t>
      </w:r>
    </w:p>
  </w:footnote>
  <w:footnote w:id="16">
    <w:p w14:paraId="140F4B66" w14:textId="77777777" w:rsidR="00A7637D" w:rsidRPr="006022CA" w:rsidRDefault="00A7637D" w:rsidP="00A7637D">
      <w:pPr>
        <w:pStyle w:val="EndnoteText"/>
        <w:rPr>
          <w:sz w:val="16"/>
          <w:szCs w:val="16"/>
        </w:rPr>
      </w:pPr>
      <w:r w:rsidRPr="006022CA">
        <w:rPr>
          <w:rStyle w:val="FootnoteReference"/>
          <w:sz w:val="18"/>
          <w:szCs w:val="18"/>
        </w:rPr>
        <w:footnoteRef/>
      </w:r>
      <w:r w:rsidRPr="006022CA">
        <w:rPr>
          <w:sz w:val="18"/>
          <w:szCs w:val="18"/>
        </w:rPr>
        <w:t xml:space="preserve"> Drug Utilisation Sub-Committee. DUSC Reviews of ADHD Drugs June and October 2012. Canberra: Australian Department of Health: 2010. Unpublished.</w:t>
      </w:r>
    </w:p>
  </w:footnote>
  <w:footnote w:id="17">
    <w:p w14:paraId="29CC4379" w14:textId="77777777" w:rsidR="00A7637D" w:rsidRPr="006022CA" w:rsidRDefault="00A7637D" w:rsidP="00A7637D">
      <w:pPr>
        <w:pStyle w:val="EndnoteText"/>
        <w:rPr>
          <w:sz w:val="18"/>
          <w:szCs w:val="18"/>
        </w:rPr>
      </w:pPr>
      <w:r w:rsidRPr="006022CA">
        <w:rPr>
          <w:rStyle w:val="FootnoteReference"/>
          <w:sz w:val="18"/>
          <w:szCs w:val="18"/>
        </w:rPr>
        <w:footnoteRef/>
      </w:r>
      <w:r w:rsidRPr="006022CA">
        <w:rPr>
          <w:sz w:val="18"/>
          <w:szCs w:val="18"/>
        </w:rPr>
        <w:t xml:space="preserve"> Drug Utilisation Sub-Committee. ADHD Utilisation Analysis October 2015. Canberra: Australian Department of Health. Accessed on 25 July 2023, at: </w:t>
      </w:r>
      <w:hyperlink r:id="rId10" w:history="1">
        <w:r w:rsidRPr="006022CA">
          <w:rPr>
            <w:rStyle w:val="Hyperlink"/>
            <w:sz w:val="18"/>
            <w:szCs w:val="18"/>
          </w:rPr>
          <w:t>http://www.pbs.gov.au/pbs/industry/listing/participants/public-release-docs/2015-06/attention-deficit-hyperactivity-disorder-2015-06-prd</w:t>
        </w:r>
      </w:hyperlink>
    </w:p>
  </w:footnote>
  <w:footnote w:id="18">
    <w:p w14:paraId="1C45545F" w14:textId="77777777" w:rsidR="00A7637D" w:rsidRPr="00215563" w:rsidRDefault="00A7637D" w:rsidP="00A7637D">
      <w:pPr>
        <w:pStyle w:val="FootnoteText"/>
        <w:rPr>
          <w:szCs w:val="18"/>
        </w:rPr>
      </w:pPr>
      <w:r w:rsidRPr="006022CA">
        <w:rPr>
          <w:rStyle w:val="FootnoteReference"/>
          <w:szCs w:val="18"/>
        </w:rPr>
        <w:footnoteRef/>
      </w:r>
      <w:r w:rsidRPr="006022CA">
        <w:rPr>
          <w:rStyle w:val="FootnoteReference"/>
          <w:szCs w:val="18"/>
        </w:rPr>
        <w:t xml:space="preserve"> </w:t>
      </w:r>
      <w:r w:rsidRPr="006022CA">
        <w:rPr>
          <w:szCs w:val="18"/>
        </w:rPr>
        <w:t xml:space="preserve">Drug Utilisation Sub-Committee. ADHD Utilisation Analysis May 2018. Canberra: Australian Department of Health. Accessed on 25 July 2023, at: </w:t>
      </w:r>
      <w:hyperlink r:id="rId11" w:history="1">
        <w:r w:rsidRPr="006022CA">
          <w:rPr>
            <w:rStyle w:val="Hyperlink"/>
            <w:szCs w:val="18"/>
          </w:rPr>
          <w:t>https://www.pbs.gov.au/pbs/industry/listing/participants/public-release-docs/2018-05/attention-deficit-hyperactivity-disorder</w:t>
        </w:r>
      </w:hyperlink>
    </w:p>
  </w:footnote>
  <w:footnote w:id="19">
    <w:p w14:paraId="2AC28B11" w14:textId="77777777" w:rsidR="00A7637D" w:rsidRDefault="00A7637D" w:rsidP="00A7637D">
      <w:pPr>
        <w:pStyle w:val="FootnoteText"/>
      </w:pPr>
      <w:r>
        <w:rPr>
          <w:rStyle w:val="FootnoteReference"/>
        </w:rPr>
        <w:footnoteRef/>
      </w:r>
      <w:r>
        <w:t xml:space="preserve"> </w:t>
      </w:r>
      <w:hyperlink r:id="rId12" w:history="1">
        <w:r w:rsidRPr="0059217A">
          <w:rPr>
            <w:rStyle w:val="Hyperlink"/>
          </w:rPr>
          <w:t>https://www.pbs.gov.au/info/industry/listing/participants/public-release-docs/2021-06/guanfacine-for-attention-deficit-hyperactivity-disorder-jun</w:t>
        </w:r>
      </w:hyperlink>
      <w:r>
        <w:t xml:space="preserve"> </w:t>
      </w:r>
    </w:p>
  </w:footnote>
  <w:footnote w:id="20">
    <w:p w14:paraId="35B2D49B" w14:textId="77777777" w:rsidR="004F5537" w:rsidRPr="00215563" w:rsidRDefault="004F5537" w:rsidP="004F5537">
      <w:pPr>
        <w:pStyle w:val="FootnoteText"/>
        <w:rPr>
          <w:szCs w:val="18"/>
        </w:rPr>
      </w:pPr>
      <w:r w:rsidRPr="00215563">
        <w:rPr>
          <w:rStyle w:val="FootnoteReference"/>
          <w:szCs w:val="18"/>
        </w:rPr>
        <w:footnoteRef/>
      </w:r>
      <w:r w:rsidRPr="00215563">
        <w:rPr>
          <w:szCs w:val="18"/>
        </w:rPr>
        <w:t xml:space="preserve"> https://www.pbs.gov.au/industry/listing/elements/pbac-meetings/psd/2017-07/files/guanfacine-hydrochloride-psd-%20july-2017.pdf</w:t>
      </w:r>
    </w:p>
  </w:footnote>
  <w:footnote w:id="21">
    <w:p w14:paraId="228E703C" w14:textId="77777777" w:rsidR="00C91779" w:rsidRPr="00764B09" w:rsidRDefault="00C91779" w:rsidP="00684D77">
      <w:pPr>
        <w:pStyle w:val="FootnoteText"/>
        <w:rPr>
          <w:sz w:val="16"/>
          <w:szCs w:val="16"/>
        </w:rPr>
      </w:pPr>
      <w:r w:rsidRPr="00764B09">
        <w:rPr>
          <w:rStyle w:val="FootnoteReference"/>
          <w:sz w:val="16"/>
          <w:szCs w:val="16"/>
        </w:rPr>
        <w:footnoteRef/>
      </w:r>
      <w:r w:rsidRPr="00764B09">
        <w:rPr>
          <w:sz w:val="16"/>
          <w:szCs w:val="16"/>
        </w:rPr>
        <w:t xml:space="preserve"> </w:t>
      </w:r>
      <w:r w:rsidRPr="00764B09">
        <w:rPr>
          <w:noProof/>
          <w:sz w:val="16"/>
          <w:szCs w:val="16"/>
        </w:rPr>
        <w:t xml:space="preserve">Department of Health (2005), March 2005 PBAC Outcomes - Positive Recommendations. Accessed on: </w:t>
      </w:r>
      <w:r>
        <w:rPr>
          <w:noProof/>
          <w:sz w:val="16"/>
          <w:szCs w:val="16"/>
        </w:rPr>
        <w:t xml:space="preserve">27 February </w:t>
      </w:r>
      <w:r w:rsidRPr="00E264AF">
        <w:rPr>
          <w:noProof/>
          <w:sz w:val="16"/>
          <w:szCs w:val="16"/>
        </w:rPr>
        <w:t>2018</w:t>
      </w:r>
      <w:r w:rsidRPr="00764B09">
        <w:rPr>
          <w:noProof/>
          <w:sz w:val="16"/>
          <w:szCs w:val="16"/>
        </w:rPr>
        <w:t xml:space="preserve">, at: </w:t>
      </w:r>
      <w:hyperlink r:id="rId13" w:history="1">
        <w:r w:rsidRPr="00764B09">
          <w:rPr>
            <w:rStyle w:val="Hyperlink"/>
            <w:noProof/>
            <w:sz w:val="16"/>
            <w:szCs w:val="16"/>
          </w:rPr>
          <w:t>http://www.pbs.gov.au/info/industry/listing/elements/pbac-meetings/pbac-outcomes/2005-03/positive-recommendations</w:t>
        </w:r>
      </w:hyperlink>
    </w:p>
  </w:footnote>
  <w:footnote w:id="22">
    <w:p w14:paraId="4D746984" w14:textId="77777777" w:rsidR="00C91779" w:rsidRPr="00764B09" w:rsidRDefault="00C91779" w:rsidP="00684D77">
      <w:pPr>
        <w:pStyle w:val="FootnoteText"/>
        <w:rPr>
          <w:sz w:val="16"/>
          <w:szCs w:val="16"/>
        </w:rPr>
      </w:pPr>
      <w:r w:rsidRPr="00764B09">
        <w:rPr>
          <w:rStyle w:val="FootnoteReference"/>
          <w:sz w:val="16"/>
          <w:szCs w:val="16"/>
        </w:rPr>
        <w:footnoteRef/>
      </w:r>
      <w:r w:rsidRPr="00764B09">
        <w:rPr>
          <w:sz w:val="16"/>
          <w:szCs w:val="16"/>
        </w:rPr>
        <w:t xml:space="preserve"> </w:t>
      </w:r>
      <w:r w:rsidRPr="00764B09">
        <w:rPr>
          <w:noProof/>
          <w:sz w:val="16"/>
          <w:szCs w:val="16"/>
        </w:rPr>
        <w:t xml:space="preserve">Department of Health (2007), PBAC Meetings Public Summary Documents: Methylphenidate Hydrochloride, extended release tablets, 18 mg, 36 mg and 54 mg, Concerta November 2006. Accessed on: </w:t>
      </w:r>
      <w:r>
        <w:rPr>
          <w:noProof/>
          <w:sz w:val="16"/>
          <w:szCs w:val="16"/>
        </w:rPr>
        <w:t xml:space="preserve">27 February </w:t>
      </w:r>
      <w:r w:rsidRPr="00E264AF">
        <w:rPr>
          <w:noProof/>
          <w:sz w:val="16"/>
          <w:szCs w:val="16"/>
        </w:rPr>
        <w:t>2018</w:t>
      </w:r>
      <w:r w:rsidRPr="00764B09">
        <w:rPr>
          <w:noProof/>
          <w:sz w:val="16"/>
          <w:szCs w:val="16"/>
        </w:rPr>
        <w:t xml:space="preserve">, at: </w:t>
      </w:r>
      <w:hyperlink r:id="rId14" w:history="1">
        <w:r w:rsidRPr="00764B09">
          <w:rPr>
            <w:rStyle w:val="Hyperlink"/>
            <w:noProof/>
            <w:sz w:val="16"/>
            <w:szCs w:val="16"/>
          </w:rPr>
          <w:t>http://www.pbs.gov.au/info/industry/listing/elements/pbac-meetings/psd/2006-11/pbac-psd-methylphenidate-nov06</w:t>
        </w:r>
      </w:hyperlink>
    </w:p>
  </w:footnote>
  <w:footnote w:id="23">
    <w:p w14:paraId="0600BDE1" w14:textId="77777777" w:rsidR="00C91779" w:rsidRPr="00764B09" w:rsidRDefault="00C91779" w:rsidP="00684D77">
      <w:pPr>
        <w:pStyle w:val="FootnoteText"/>
        <w:rPr>
          <w:sz w:val="16"/>
          <w:szCs w:val="16"/>
        </w:rPr>
      </w:pPr>
      <w:r w:rsidRPr="00764B09">
        <w:rPr>
          <w:rStyle w:val="FootnoteReference"/>
          <w:sz w:val="16"/>
          <w:szCs w:val="16"/>
        </w:rPr>
        <w:footnoteRef/>
      </w:r>
      <w:r w:rsidRPr="00764B09">
        <w:rPr>
          <w:sz w:val="16"/>
          <w:szCs w:val="16"/>
        </w:rPr>
        <w:t xml:space="preserve"> </w:t>
      </w:r>
      <w:r w:rsidRPr="00764B09">
        <w:rPr>
          <w:noProof/>
          <w:sz w:val="16"/>
          <w:szCs w:val="16"/>
        </w:rPr>
        <w:t xml:space="preserve">Department of Health (2012), PBAC Meetings Public Summary Documents: Methylphenidate hydrochloride, Tablets, 18 mg, 27 mg, 36 mg, and 54 mg,(extended release) Concerta® - July 2012 Accessed on: </w:t>
      </w:r>
      <w:r>
        <w:rPr>
          <w:noProof/>
          <w:sz w:val="16"/>
          <w:szCs w:val="16"/>
        </w:rPr>
        <w:t xml:space="preserve">27 February </w:t>
      </w:r>
      <w:r w:rsidRPr="00E264AF">
        <w:rPr>
          <w:noProof/>
          <w:sz w:val="16"/>
          <w:szCs w:val="16"/>
        </w:rPr>
        <w:t>2018</w:t>
      </w:r>
      <w:r w:rsidRPr="00764B09">
        <w:rPr>
          <w:noProof/>
          <w:sz w:val="16"/>
          <w:szCs w:val="16"/>
        </w:rPr>
        <w:t xml:space="preserve">, at: </w:t>
      </w:r>
      <w:hyperlink r:id="rId15" w:history="1">
        <w:r w:rsidRPr="00764B09">
          <w:rPr>
            <w:rStyle w:val="Hyperlink"/>
            <w:noProof/>
            <w:sz w:val="16"/>
            <w:szCs w:val="16"/>
          </w:rPr>
          <w:t>http://www.pbs.gov.au/info/industry/listing/elements/pbac-meetings/psd/2012-07/methylphenidate-hydrochloride</w:t>
        </w:r>
      </w:hyperlink>
    </w:p>
  </w:footnote>
  <w:footnote w:id="24">
    <w:p w14:paraId="65811ACE" w14:textId="77777777" w:rsidR="00C91779" w:rsidRPr="00764B09" w:rsidRDefault="00C91779" w:rsidP="007B5D2F">
      <w:pPr>
        <w:pStyle w:val="EndnoteText"/>
        <w:rPr>
          <w:sz w:val="16"/>
          <w:szCs w:val="16"/>
        </w:rPr>
      </w:pPr>
      <w:r w:rsidRPr="00764B09">
        <w:rPr>
          <w:rStyle w:val="FootnoteReference"/>
          <w:sz w:val="16"/>
          <w:szCs w:val="16"/>
        </w:rPr>
        <w:footnoteRef/>
      </w:r>
      <w:r w:rsidRPr="00764B09">
        <w:rPr>
          <w:sz w:val="16"/>
          <w:szCs w:val="16"/>
        </w:rPr>
        <w:t xml:space="preserve"> </w:t>
      </w:r>
      <w:r w:rsidRPr="00764B09">
        <w:rPr>
          <w:noProof/>
          <w:sz w:val="16"/>
          <w:szCs w:val="16"/>
        </w:rPr>
        <w:t xml:space="preserve">Department of Health (2007), November 2007 PBAC Outcomes - Positive Recommendations. Accessed on: </w:t>
      </w:r>
      <w:r>
        <w:rPr>
          <w:noProof/>
          <w:sz w:val="16"/>
          <w:szCs w:val="16"/>
        </w:rPr>
        <w:t xml:space="preserve">27 February </w:t>
      </w:r>
      <w:r w:rsidRPr="00E264AF">
        <w:rPr>
          <w:noProof/>
          <w:sz w:val="16"/>
          <w:szCs w:val="16"/>
        </w:rPr>
        <w:t>2018</w:t>
      </w:r>
      <w:r w:rsidRPr="00764B09">
        <w:rPr>
          <w:noProof/>
          <w:sz w:val="16"/>
          <w:szCs w:val="16"/>
        </w:rPr>
        <w:t xml:space="preserve">, at: </w:t>
      </w:r>
      <w:hyperlink r:id="rId16" w:history="1">
        <w:r w:rsidRPr="00764B09">
          <w:rPr>
            <w:rStyle w:val="Hyperlink"/>
            <w:noProof/>
            <w:sz w:val="16"/>
            <w:szCs w:val="16"/>
          </w:rPr>
          <w:t>http://www.pbs.gov.au/info/industry/listing/elements/pbac-meetings/pbac-outcomes/2007-11/positive-recommendations</w:t>
        </w:r>
      </w:hyperlink>
    </w:p>
  </w:footnote>
  <w:footnote w:id="25">
    <w:p w14:paraId="05AF1DA9" w14:textId="2550128D" w:rsidR="00C91779" w:rsidRDefault="00C91779">
      <w:pPr>
        <w:pStyle w:val="FootnoteText"/>
      </w:pPr>
      <w:r>
        <w:rPr>
          <w:rStyle w:val="FootnoteReference"/>
        </w:rPr>
        <w:footnoteRef/>
      </w:r>
      <w:r>
        <w:t xml:space="preserve"> </w:t>
      </w:r>
      <w:r w:rsidRPr="00686028">
        <w:t>https://www.pbs.gov.au/pbs/industry/listing/elements/pbac-meetings/psd/2020-03/methylphenidate-capsule-containing-methylphenidate</w:t>
      </w:r>
    </w:p>
  </w:footnote>
  <w:footnote w:id="26">
    <w:p w14:paraId="24EE4846" w14:textId="6432A544" w:rsidR="00C91779" w:rsidRDefault="00C91779" w:rsidP="00684D77">
      <w:pPr>
        <w:pStyle w:val="FootnoteText"/>
      </w:pPr>
      <w:r w:rsidRPr="00764B09">
        <w:rPr>
          <w:rStyle w:val="FootnoteReference"/>
          <w:sz w:val="16"/>
          <w:szCs w:val="16"/>
        </w:rPr>
        <w:footnoteRef/>
      </w:r>
      <w:r w:rsidRPr="00764B09">
        <w:rPr>
          <w:sz w:val="16"/>
          <w:szCs w:val="16"/>
        </w:rPr>
        <w:t xml:space="preserve"> </w:t>
      </w:r>
      <w:r w:rsidRPr="00764B09">
        <w:rPr>
          <w:noProof/>
          <w:sz w:val="16"/>
          <w:szCs w:val="16"/>
        </w:rPr>
        <w:t xml:space="preserve">Department of Health (2007), PBAC Meetings Public Summary Documents: Atomoxetine Hydrochloride, capsules, 10 mg, 18 mg, 25 mg, 40 mg and 60 mg, Strattera® November 2006. Accessed on: </w:t>
      </w:r>
      <w:r>
        <w:rPr>
          <w:noProof/>
          <w:sz w:val="16"/>
          <w:szCs w:val="16"/>
        </w:rPr>
        <w:t xml:space="preserve">15 April </w:t>
      </w:r>
      <w:r w:rsidRPr="00E264AF">
        <w:rPr>
          <w:noProof/>
          <w:sz w:val="16"/>
          <w:szCs w:val="16"/>
        </w:rPr>
        <w:t>20</w:t>
      </w:r>
      <w:r>
        <w:rPr>
          <w:noProof/>
          <w:sz w:val="16"/>
          <w:szCs w:val="16"/>
        </w:rPr>
        <w:t>21</w:t>
      </w:r>
      <w:r w:rsidRPr="00764B09">
        <w:rPr>
          <w:noProof/>
          <w:sz w:val="16"/>
          <w:szCs w:val="16"/>
        </w:rPr>
        <w:t xml:space="preserve">, at: </w:t>
      </w:r>
      <w:hyperlink r:id="rId17" w:history="1">
        <w:r w:rsidRPr="00764B09">
          <w:rPr>
            <w:rStyle w:val="Hyperlink"/>
            <w:noProof/>
            <w:sz w:val="16"/>
            <w:szCs w:val="16"/>
          </w:rPr>
          <w:t>http://www.pbs.gov.au/info/industry/listing/elements/pbac-meetings/psd/2006-11/pbac-psd-atomoxetine-nov06</w:t>
        </w:r>
      </w:hyperlink>
    </w:p>
  </w:footnote>
  <w:footnote w:id="27">
    <w:p w14:paraId="7C5D872A" w14:textId="77777777" w:rsidR="00C91779" w:rsidRDefault="00C91779" w:rsidP="00684D77">
      <w:pPr>
        <w:pStyle w:val="FootnoteText"/>
        <w:rPr>
          <w:noProof/>
          <w:sz w:val="16"/>
          <w:szCs w:val="16"/>
        </w:rPr>
      </w:pPr>
      <w:r w:rsidRPr="00D65739">
        <w:rPr>
          <w:noProof/>
          <w:sz w:val="16"/>
          <w:szCs w:val="16"/>
        </w:rPr>
        <w:t xml:space="preserve">Department of Health (2008), </w:t>
      </w:r>
      <w:r w:rsidRPr="005F4646">
        <w:rPr>
          <w:noProof/>
          <w:sz w:val="16"/>
          <w:szCs w:val="16"/>
        </w:rPr>
        <w:t xml:space="preserve">PBAC Meeting Public Summary Documents: Atomoxetine hydrochloride, capsules, 80 mg and 100 mg, </w:t>
      </w:r>
    </w:p>
    <w:p w14:paraId="64576D6F" w14:textId="3313096E" w:rsidR="00C91779" w:rsidRPr="00D65739" w:rsidRDefault="00C91779" w:rsidP="00684D77">
      <w:pPr>
        <w:pStyle w:val="FootnoteText"/>
        <w:rPr>
          <w:sz w:val="16"/>
          <w:szCs w:val="16"/>
        </w:rPr>
      </w:pPr>
      <w:r w:rsidRPr="00764B09">
        <w:rPr>
          <w:rStyle w:val="FootnoteReference"/>
          <w:sz w:val="16"/>
          <w:szCs w:val="16"/>
        </w:rPr>
        <w:footnoteRef/>
      </w:r>
      <w:r>
        <w:rPr>
          <w:noProof/>
          <w:sz w:val="16"/>
          <w:szCs w:val="16"/>
        </w:rPr>
        <w:t xml:space="preserve"> </w:t>
      </w:r>
      <w:r w:rsidRPr="005F4646">
        <w:rPr>
          <w:noProof/>
          <w:sz w:val="16"/>
          <w:szCs w:val="16"/>
        </w:rPr>
        <w:t xml:space="preserve">Strattera®, July 2008 </w:t>
      </w:r>
      <w:r w:rsidRPr="00D65739">
        <w:rPr>
          <w:noProof/>
          <w:sz w:val="16"/>
          <w:szCs w:val="16"/>
        </w:rPr>
        <w:t xml:space="preserve">Accessed on: 27 February 2018, at: </w:t>
      </w:r>
      <w:hyperlink r:id="rId18" w:history="1">
        <w:r w:rsidRPr="005F4646">
          <w:rPr>
            <w:rStyle w:val="Hyperlink"/>
            <w:noProof/>
            <w:sz w:val="16"/>
            <w:szCs w:val="16"/>
          </w:rPr>
          <w:t>http://www.pbs.gov.au/info/industry/listing/elements/pbac-meetings/psd/2008-07/pbac-psd-atomoxetine-hydrochloride-july08</w:t>
        </w:r>
      </w:hyperlink>
    </w:p>
  </w:footnote>
  <w:footnote w:id="28">
    <w:p w14:paraId="090E2A85" w14:textId="77777777" w:rsidR="00C91779" w:rsidRDefault="00C91779">
      <w:pPr>
        <w:pStyle w:val="FootnoteText"/>
      </w:pPr>
      <w:r w:rsidRPr="00D65739">
        <w:rPr>
          <w:rStyle w:val="FootnoteReference"/>
          <w:sz w:val="16"/>
          <w:szCs w:val="16"/>
        </w:rPr>
        <w:footnoteRef/>
      </w:r>
      <w:r w:rsidRPr="00D65739">
        <w:rPr>
          <w:sz w:val="16"/>
          <w:szCs w:val="16"/>
        </w:rPr>
        <w:t xml:space="preserve"> </w:t>
      </w:r>
      <w:r w:rsidRPr="00D65739">
        <w:rPr>
          <w:noProof/>
          <w:sz w:val="16"/>
          <w:szCs w:val="16"/>
        </w:rPr>
        <w:t xml:space="preserve">Department of Health (2014), March 2014 PBAC Outcomes - Positive Recommendations. Accessed on: 27 February 2018, at: </w:t>
      </w:r>
      <w:hyperlink r:id="rId19" w:history="1">
        <w:r w:rsidRPr="00D65739">
          <w:rPr>
            <w:rStyle w:val="Hyperlink"/>
            <w:sz w:val="16"/>
            <w:szCs w:val="16"/>
          </w:rPr>
          <w:t>http://www.pbs.gov.au/info/industry/listing/elements/pbac-meetings/pbac-outcomes/pbac-recommendations-march-2014</w:t>
        </w:r>
      </w:hyperlink>
    </w:p>
  </w:footnote>
  <w:footnote w:id="29">
    <w:p w14:paraId="1AD05CD1" w14:textId="65E951DE" w:rsidR="00C91779" w:rsidRPr="00495DD1" w:rsidRDefault="00C91779" w:rsidP="00EB252E">
      <w:pPr>
        <w:pStyle w:val="Heading1"/>
        <w:shd w:val="clear" w:color="auto" w:fill="FFFFFF"/>
        <w:spacing w:before="0" w:after="330"/>
      </w:pPr>
      <w:r w:rsidRPr="00495DD1">
        <w:rPr>
          <w:rStyle w:val="FootnoteReference"/>
          <w:rFonts w:eastAsiaTheme="minorEastAsia" w:cstheme="minorBidi"/>
          <w:b w:val="0"/>
          <w:bCs w:val="0"/>
          <w:sz w:val="16"/>
          <w:szCs w:val="16"/>
        </w:rPr>
        <w:footnoteRef/>
      </w:r>
      <w:r w:rsidRPr="005F5D4B">
        <w:rPr>
          <w:sz w:val="18"/>
          <w:szCs w:val="18"/>
        </w:rPr>
        <w:t xml:space="preserve"> </w:t>
      </w:r>
      <w:bookmarkStart w:id="30" w:name="_Hlk143868295"/>
      <w:r w:rsidRPr="005F5D4B">
        <w:rPr>
          <w:rFonts w:eastAsiaTheme="minorEastAsia" w:cstheme="minorBidi"/>
          <w:b w:val="0"/>
          <w:bCs w:val="0"/>
          <w:noProof/>
          <w:sz w:val="18"/>
          <w:szCs w:val="18"/>
        </w:rPr>
        <w:t xml:space="preserve">Department of Health (2014), PBAC Meeting Public Summary Document: LISDEXAMFETAMINE DIMESILATE, capsules, 30 mg, 50 mg &amp; 70 mg, Vyvanse®, Shire Australia Pty Ltd, July 2014. Accessed on: 16 April 2021, at: </w:t>
      </w:r>
      <w:hyperlink r:id="rId20" w:history="1">
        <w:r w:rsidRPr="005F5D4B">
          <w:rPr>
            <w:rStyle w:val="Hyperlink"/>
            <w:rFonts w:eastAsiaTheme="minorEastAsia" w:cstheme="minorBidi"/>
            <w:b w:val="0"/>
            <w:bCs w:val="0"/>
            <w:sz w:val="18"/>
            <w:szCs w:val="20"/>
          </w:rPr>
          <w:t>https://www.pbs.gov.au/pbs/industry/listing/elements/pbac-meetings/psd/2014-07/lisdexamfetamine-dimesilate-psd-07-2014</w:t>
        </w:r>
      </w:hyperlink>
      <w:bookmarkEnd w:id="30"/>
    </w:p>
  </w:footnote>
  <w:footnote w:id="30">
    <w:p w14:paraId="78922354" w14:textId="03F30D1B" w:rsidR="00C91779" w:rsidRDefault="00C91779" w:rsidP="00EB252E">
      <w:pPr>
        <w:pStyle w:val="FootnoteText"/>
      </w:pPr>
      <w:r>
        <w:rPr>
          <w:rStyle w:val="FootnoteReference"/>
        </w:rPr>
        <w:footnoteRef/>
      </w:r>
      <w:r>
        <w:t xml:space="preserve"> </w:t>
      </w:r>
      <w:hyperlink r:id="rId21" w:history="1">
        <w:r w:rsidR="005F5D4B" w:rsidRPr="0059217A">
          <w:rPr>
            <w:rStyle w:val="Hyperlink"/>
          </w:rPr>
          <w:t>https://www.pbs.gov.au/pbs/industry/listing/elements/pbac-meetings/psd/2019-07/lisdexamfetamine-capsule-containing-lisdexamfetamine-dimesi</w:t>
        </w:r>
      </w:hyperlink>
      <w:r w:rsidR="005F5D4B">
        <w:t xml:space="preserve"> </w:t>
      </w:r>
    </w:p>
  </w:footnote>
  <w:footnote w:id="31">
    <w:p w14:paraId="01E8A8EA" w14:textId="28574419" w:rsidR="00C91779" w:rsidRDefault="00C91779" w:rsidP="00EB252E">
      <w:pPr>
        <w:pStyle w:val="FootnoteText"/>
      </w:pPr>
      <w:r>
        <w:rPr>
          <w:rStyle w:val="FootnoteReference"/>
        </w:rPr>
        <w:footnoteRef/>
      </w:r>
      <w:r>
        <w:t xml:space="preserve"> </w:t>
      </w:r>
      <w:hyperlink r:id="rId22" w:history="1">
        <w:r w:rsidR="005F5D4B" w:rsidRPr="0059217A">
          <w:rPr>
            <w:rStyle w:val="Hyperlink"/>
          </w:rPr>
          <w:t>https://www.pbs.gov.au/pbs/industry/listing/elements/pbac-meetings/psd/2020-03/lisdexamfetamine-capsule-containing-lisdexamfetamine</w:t>
        </w:r>
      </w:hyperlink>
      <w:r w:rsidR="005F5D4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E6169" w14:textId="77777777" w:rsidR="00802860" w:rsidRDefault="00802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1E82" w14:textId="77777777" w:rsidR="00C91779" w:rsidRDefault="00C91779" w:rsidP="0027299C">
    <w:pPr>
      <w:pStyle w:val="Header"/>
    </w:pPr>
  </w:p>
  <w:p w14:paraId="119D4795" w14:textId="77777777" w:rsidR="00C91779" w:rsidRDefault="00C917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7ED6" w14:textId="77777777" w:rsidR="00802860" w:rsidRDefault="00802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14E"/>
    <w:multiLevelType w:val="hybridMultilevel"/>
    <w:tmpl w:val="70DC4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A909AD"/>
    <w:multiLevelType w:val="hybridMultilevel"/>
    <w:tmpl w:val="AB28A4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5B52FBE"/>
    <w:multiLevelType w:val="multilevel"/>
    <w:tmpl w:val="A82E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D450AB"/>
    <w:multiLevelType w:val="hybridMultilevel"/>
    <w:tmpl w:val="F148E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656ADB"/>
    <w:multiLevelType w:val="multilevel"/>
    <w:tmpl w:val="582C13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E4661B"/>
    <w:multiLevelType w:val="hybridMultilevel"/>
    <w:tmpl w:val="206E6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D82E3A"/>
    <w:multiLevelType w:val="multilevel"/>
    <w:tmpl w:val="3C3A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9F590A"/>
    <w:multiLevelType w:val="hybridMultilevel"/>
    <w:tmpl w:val="5C42CF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4417E0"/>
    <w:multiLevelType w:val="hybridMultilevel"/>
    <w:tmpl w:val="25BE4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F63650"/>
    <w:multiLevelType w:val="hybridMultilevel"/>
    <w:tmpl w:val="BE928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E75F44"/>
    <w:multiLevelType w:val="hybridMultilevel"/>
    <w:tmpl w:val="F90041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261C3581"/>
    <w:multiLevelType w:val="hybridMultilevel"/>
    <w:tmpl w:val="C85E6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5C5543"/>
    <w:multiLevelType w:val="hybridMultilevel"/>
    <w:tmpl w:val="E3141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3B3818"/>
    <w:multiLevelType w:val="multilevel"/>
    <w:tmpl w:val="4FE0A91A"/>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E7506C4"/>
    <w:multiLevelType w:val="hybridMultilevel"/>
    <w:tmpl w:val="F30212D4"/>
    <w:lvl w:ilvl="0" w:tplc="C204B5C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573DA1"/>
    <w:multiLevelType w:val="hybridMultilevel"/>
    <w:tmpl w:val="F912DA52"/>
    <w:lvl w:ilvl="0" w:tplc="3072DA0E">
      <w:start w:val="2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D52ADD"/>
    <w:multiLevelType w:val="hybridMultilevel"/>
    <w:tmpl w:val="3A30C3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357F38"/>
    <w:multiLevelType w:val="hybridMultilevel"/>
    <w:tmpl w:val="DC3C8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EC5EB1"/>
    <w:multiLevelType w:val="hybridMultilevel"/>
    <w:tmpl w:val="F434F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1B045A"/>
    <w:multiLevelType w:val="hybridMultilevel"/>
    <w:tmpl w:val="3D486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F75BDF"/>
    <w:multiLevelType w:val="hybridMultilevel"/>
    <w:tmpl w:val="8880149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2" w15:restartNumberingAfterBreak="0">
    <w:nsid w:val="4AFE4081"/>
    <w:multiLevelType w:val="hybridMultilevel"/>
    <w:tmpl w:val="C902CB6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15:restartNumberingAfterBreak="0">
    <w:nsid w:val="506F6F6D"/>
    <w:multiLevelType w:val="hybridMultilevel"/>
    <w:tmpl w:val="EDF20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B47A0D"/>
    <w:multiLevelType w:val="hybridMultilevel"/>
    <w:tmpl w:val="259E8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227AAA"/>
    <w:multiLevelType w:val="hybridMultilevel"/>
    <w:tmpl w:val="45008E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907599"/>
    <w:multiLevelType w:val="hybridMultilevel"/>
    <w:tmpl w:val="75165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974C2D"/>
    <w:multiLevelType w:val="hybridMultilevel"/>
    <w:tmpl w:val="594C4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F216D7"/>
    <w:multiLevelType w:val="hybridMultilevel"/>
    <w:tmpl w:val="C8C24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0291DF7"/>
    <w:multiLevelType w:val="hybridMultilevel"/>
    <w:tmpl w:val="9376B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4675B7D"/>
    <w:multiLevelType w:val="multilevel"/>
    <w:tmpl w:val="3264915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83C65E5"/>
    <w:multiLevelType w:val="hybridMultilevel"/>
    <w:tmpl w:val="895E5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84D033C"/>
    <w:multiLevelType w:val="multilevel"/>
    <w:tmpl w:val="E15291DC"/>
    <w:lvl w:ilvl="0">
      <w:start w:val="1"/>
      <w:numFmt w:val="decimal"/>
      <w:pStyle w:val="2Sections"/>
      <w:lvlText w:val="%1"/>
      <w:lvlJc w:val="left"/>
      <w:pPr>
        <w:ind w:left="720" w:hanging="720"/>
      </w:pPr>
      <w:rPr>
        <w:rFonts w:hint="default"/>
        <w:b/>
        <w:color w:val="000000" w:themeColor="text1"/>
      </w:rPr>
    </w:lvl>
    <w:lvl w:ilvl="1">
      <w:start w:val="1"/>
      <w:numFmt w:val="decimal"/>
      <w:pStyle w:val="Bodytextitalics"/>
      <w:lvlText w:val="%1.%2"/>
      <w:lvlJc w:val="left"/>
      <w:pPr>
        <w:ind w:left="720" w:hanging="720"/>
      </w:pPr>
      <w:rPr>
        <w:rFonts w:hint="default"/>
        <w:b w:val="0"/>
        <w:i w:val="0"/>
        <w:color w:val="000000" w:themeColor="text1"/>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11425436">
    <w:abstractNumId w:val="31"/>
  </w:num>
  <w:num w:numId="2" w16cid:durableId="607857727">
    <w:abstractNumId w:val="29"/>
  </w:num>
  <w:num w:numId="3" w16cid:durableId="491677140">
    <w:abstractNumId w:val="12"/>
  </w:num>
  <w:num w:numId="4" w16cid:durableId="1096361529">
    <w:abstractNumId w:val="27"/>
  </w:num>
  <w:num w:numId="5" w16cid:durableId="189221261">
    <w:abstractNumId w:val="0"/>
  </w:num>
  <w:num w:numId="6" w16cid:durableId="1734309373">
    <w:abstractNumId w:val="5"/>
  </w:num>
  <w:num w:numId="7" w16cid:durableId="1092167187">
    <w:abstractNumId w:val="11"/>
  </w:num>
  <w:num w:numId="8" w16cid:durableId="1932353087">
    <w:abstractNumId w:val="8"/>
  </w:num>
  <w:num w:numId="9" w16cid:durableId="1924217832">
    <w:abstractNumId w:val="13"/>
  </w:num>
  <w:num w:numId="10" w16cid:durableId="38017552">
    <w:abstractNumId w:val="3"/>
  </w:num>
  <w:num w:numId="11" w16cid:durableId="481965605">
    <w:abstractNumId w:val="17"/>
  </w:num>
  <w:num w:numId="12" w16cid:durableId="1639728445">
    <w:abstractNumId w:val="30"/>
  </w:num>
  <w:num w:numId="13" w16cid:durableId="2000385364">
    <w:abstractNumId w:val="20"/>
  </w:num>
  <w:num w:numId="14" w16cid:durableId="1677414693">
    <w:abstractNumId w:val="21"/>
  </w:num>
  <w:num w:numId="15" w16cid:durableId="807553071">
    <w:abstractNumId w:val="25"/>
  </w:num>
  <w:num w:numId="16" w16cid:durableId="1687366507">
    <w:abstractNumId w:val="0"/>
  </w:num>
  <w:num w:numId="17" w16cid:durableId="1965648499">
    <w:abstractNumId w:val="10"/>
  </w:num>
  <w:num w:numId="18" w16cid:durableId="2033844871">
    <w:abstractNumId w:val="7"/>
  </w:num>
  <w:num w:numId="19" w16cid:durableId="923150627">
    <w:abstractNumId w:val="18"/>
  </w:num>
  <w:num w:numId="20" w16cid:durableId="1582717095">
    <w:abstractNumId w:val="26"/>
  </w:num>
  <w:num w:numId="21" w16cid:durableId="1485513424">
    <w:abstractNumId w:val="9"/>
  </w:num>
  <w:num w:numId="22" w16cid:durableId="797336808">
    <w:abstractNumId w:val="32"/>
  </w:num>
  <w:num w:numId="23" w16cid:durableId="1714573588">
    <w:abstractNumId w:val="14"/>
  </w:num>
  <w:num w:numId="24" w16cid:durableId="553472922">
    <w:abstractNumId w:val="33"/>
  </w:num>
  <w:num w:numId="25" w16cid:durableId="34233898">
    <w:abstractNumId w:val="15"/>
  </w:num>
  <w:num w:numId="26" w16cid:durableId="987787113">
    <w:abstractNumId w:val="28"/>
  </w:num>
  <w:num w:numId="27" w16cid:durableId="1533960482">
    <w:abstractNumId w:val="4"/>
  </w:num>
  <w:num w:numId="28" w16cid:durableId="869732213">
    <w:abstractNumId w:val="6"/>
  </w:num>
  <w:num w:numId="29" w16cid:durableId="1026178092">
    <w:abstractNumId w:val="2"/>
  </w:num>
  <w:num w:numId="30" w16cid:durableId="3746109">
    <w:abstractNumId w:val="1"/>
  </w:num>
  <w:num w:numId="31" w16cid:durableId="1141537724">
    <w:abstractNumId w:val="34"/>
  </w:num>
  <w:num w:numId="32" w16cid:durableId="1784882698">
    <w:abstractNumId w:val="16"/>
  </w:num>
  <w:num w:numId="33" w16cid:durableId="2138330856">
    <w:abstractNumId w:val="19"/>
  </w:num>
  <w:num w:numId="34" w16cid:durableId="879393305">
    <w:abstractNumId w:val="24"/>
  </w:num>
  <w:num w:numId="35" w16cid:durableId="962468336">
    <w:abstractNumId w:val="23"/>
  </w:num>
  <w:num w:numId="36" w16cid:durableId="12601394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41"/>
    <w:rsid w:val="0000180C"/>
    <w:rsid w:val="000045FD"/>
    <w:rsid w:val="00004FE9"/>
    <w:rsid w:val="00007379"/>
    <w:rsid w:val="00007BE3"/>
    <w:rsid w:val="00007E85"/>
    <w:rsid w:val="00013465"/>
    <w:rsid w:val="0001598E"/>
    <w:rsid w:val="00016AD1"/>
    <w:rsid w:val="000174FF"/>
    <w:rsid w:val="000177DD"/>
    <w:rsid w:val="00021B13"/>
    <w:rsid w:val="000226B3"/>
    <w:rsid w:val="000241D7"/>
    <w:rsid w:val="00024549"/>
    <w:rsid w:val="00024CE1"/>
    <w:rsid w:val="0002546F"/>
    <w:rsid w:val="00025978"/>
    <w:rsid w:val="0002762B"/>
    <w:rsid w:val="00032059"/>
    <w:rsid w:val="000326E5"/>
    <w:rsid w:val="00032C36"/>
    <w:rsid w:val="00032CAE"/>
    <w:rsid w:val="00033A1E"/>
    <w:rsid w:val="00034CDC"/>
    <w:rsid w:val="000355B6"/>
    <w:rsid w:val="000405CD"/>
    <w:rsid w:val="000408A1"/>
    <w:rsid w:val="00044EB0"/>
    <w:rsid w:val="00045E3D"/>
    <w:rsid w:val="00046599"/>
    <w:rsid w:val="00047268"/>
    <w:rsid w:val="00052592"/>
    <w:rsid w:val="000540D5"/>
    <w:rsid w:val="00054489"/>
    <w:rsid w:val="000544B6"/>
    <w:rsid w:val="00054888"/>
    <w:rsid w:val="0006047E"/>
    <w:rsid w:val="000604AF"/>
    <w:rsid w:val="00060AA4"/>
    <w:rsid w:val="00060F04"/>
    <w:rsid w:val="0006161D"/>
    <w:rsid w:val="0006192C"/>
    <w:rsid w:val="00062180"/>
    <w:rsid w:val="0006345F"/>
    <w:rsid w:val="000634F5"/>
    <w:rsid w:val="00063562"/>
    <w:rsid w:val="00066BED"/>
    <w:rsid w:val="00070CFC"/>
    <w:rsid w:val="000718E9"/>
    <w:rsid w:val="00072524"/>
    <w:rsid w:val="000746CF"/>
    <w:rsid w:val="00074CB6"/>
    <w:rsid w:val="000759BA"/>
    <w:rsid w:val="00076A4B"/>
    <w:rsid w:val="00080A3A"/>
    <w:rsid w:val="000837AF"/>
    <w:rsid w:val="0008562C"/>
    <w:rsid w:val="00086C11"/>
    <w:rsid w:val="0008718B"/>
    <w:rsid w:val="0008772E"/>
    <w:rsid w:val="0009025A"/>
    <w:rsid w:val="000905D8"/>
    <w:rsid w:val="00091AFF"/>
    <w:rsid w:val="00094A29"/>
    <w:rsid w:val="00094DCF"/>
    <w:rsid w:val="00095B75"/>
    <w:rsid w:val="00095BB6"/>
    <w:rsid w:val="000962A4"/>
    <w:rsid w:val="00096D1B"/>
    <w:rsid w:val="000A1521"/>
    <w:rsid w:val="000A4910"/>
    <w:rsid w:val="000A492C"/>
    <w:rsid w:val="000A682C"/>
    <w:rsid w:val="000A6CFD"/>
    <w:rsid w:val="000B01B5"/>
    <w:rsid w:val="000B063C"/>
    <w:rsid w:val="000B0982"/>
    <w:rsid w:val="000B1DE1"/>
    <w:rsid w:val="000B2DA6"/>
    <w:rsid w:val="000B40CF"/>
    <w:rsid w:val="000B4E5F"/>
    <w:rsid w:val="000B6EE0"/>
    <w:rsid w:val="000B796C"/>
    <w:rsid w:val="000B7C29"/>
    <w:rsid w:val="000C099B"/>
    <w:rsid w:val="000C0F86"/>
    <w:rsid w:val="000C1A9F"/>
    <w:rsid w:val="000C268A"/>
    <w:rsid w:val="000C26C1"/>
    <w:rsid w:val="000C2843"/>
    <w:rsid w:val="000C291F"/>
    <w:rsid w:val="000C2C61"/>
    <w:rsid w:val="000C3051"/>
    <w:rsid w:val="000C3F99"/>
    <w:rsid w:val="000C46BB"/>
    <w:rsid w:val="000C4D9D"/>
    <w:rsid w:val="000C6C14"/>
    <w:rsid w:val="000C7282"/>
    <w:rsid w:val="000C7395"/>
    <w:rsid w:val="000C7C4B"/>
    <w:rsid w:val="000C7D8B"/>
    <w:rsid w:val="000D138D"/>
    <w:rsid w:val="000D1865"/>
    <w:rsid w:val="000D286F"/>
    <w:rsid w:val="000D5600"/>
    <w:rsid w:val="000D5A81"/>
    <w:rsid w:val="000D5CE4"/>
    <w:rsid w:val="000D759E"/>
    <w:rsid w:val="000E03CD"/>
    <w:rsid w:val="000E0DF7"/>
    <w:rsid w:val="000E39DF"/>
    <w:rsid w:val="000E485D"/>
    <w:rsid w:val="000E5925"/>
    <w:rsid w:val="000E72C6"/>
    <w:rsid w:val="000F1297"/>
    <w:rsid w:val="000F15C0"/>
    <w:rsid w:val="000F1893"/>
    <w:rsid w:val="000F234F"/>
    <w:rsid w:val="000F2F51"/>
    <w:rsid w:val="000F45DB"/>
    <w:rsid w:val="000F5FC4"/>
    <w:rsid w:val="000F66C2"/>
    <w:rsid w:val="000F73B5"/>
    <w:rsid w:val="00101190"/>
    <w:rsid w:val="00101DBF"/>
    <w:rsid w:val="001029CA"/>
    <w:rsid w:val="00103104"/>
    <w:rsid w:val="001053DE"/>
    <w:rsid w:val="00107F49"/>
    <w:rsid w:val="00112C28"/>
    <w:rsid w:val="00113CF8"/>
    <w:rsid w:val="00113D74"/>
    <w:rsid w:val="00113DF6"/>
    <w:rsid w:val="00113FE6"/>
    <w:rsid w:val="00114992"/>
    <w:rsid w:val="00117C5C"/>
    <w:rsid w:val="001208F1"/>
    <w:rsid w:val="00121427"/>
    <w:rsid w:val="00122327"/>
    <w:rsid w:val="00125A4F"/>
    <w:rsid w:val="00130C37"/>
    <w:rsid w:val="001310AE"/>
    <w:rsid w:val="00135585"/>
    <w:rsid w:val="001403C7"/>
    <w:rsid w:val="001420B3"/>
    <w:rsid w:val="00142801"/>
    <w:rsid w:val="00143781"/>
    <w:rsid w:val="001441FE"/>
    <w:rsid w:val="001460C4"/>
    <w:rsid w:val="00146474"/>
    <w:rsid w:val="00151043"/>
    <w:rsid w:val="001518F0"/>
    <w:rsid w:val="00151A07"/>
    <w:rsid w:val="001550DB"/>
    <w:rsid w:val="0015691C"/>
    <w:rsid w:val="00157048"/>
    <w:rsid w:val="001621F7"/>
    <w:rsid w:val="001624D7"/>
    <w:rsid w:val="001628FD"/>
    <w:rsid w:val="00162E45"/>
    <w:rsid w:val="00165880"/>
    <w:rsid w:val="001660E9"/>
    <w:rsid w:val="001665D9"/>
    <w:rsid w:val="00166970"/>
    <w:rsid w:val="0016772B"/>
    <w:rsid w:val="001707A2"/>
    <w:rsid w:val="00171353"/>
    <w:rsid w:val="0017283A"/>
    <w:rsid w:val="00174227"/>
    <w:rsid w:val="00174C83"/>
    <w:rsid w:val="00177003"/>
    <w:rsid w:val="00177B86"/>
    <w:rsid w:val="00181277"/>
    <w:rsid w:val="00181466"/>
    <w:rsid w:val="001814EC"/>
    <w:rsid w:val="0018167A"/>
    <w:rsid w:val="00182585"/>
    <w:rsid w:val="00182795"/>
    <w:rsid w:val="00182F11"/>
    <w:rsid w:val="0018399E"/>
    <w:rsid w:val="00183CC1"/>
    <w:rsid w:val="00185E4E"/>
    <w:rsid w:val="00186B38"/>
    <w:rsid w:val="00186BA7"/>
    <w:rsid w:val="001904F8"/>
    <w:rsid w:val="00190E4E"/>
    <w:rsid w:val="00191182"/>
    <w:rsid w:val="001914FD"/>
    <w:rsid w:val="001915E8"/>
    <w:rsid w:val="00193717"/>
    <w:rsid w:val="001963F5"/>
    <w:rsid w:val="0019656A"/>
    <w:rsid w:val="0019664D"/>
    <w:rsid w:val="00197FCA"/>
    <w:rsid w:val="001A1208"/>
    <w:rsid w:val="001A6103"/>
    <w:rsid w:val="001A70AB"/>
    <w:rsid w:val="001B061F"/>
    <w:rsid w:val="001B0673"/>
    <w:rsid w:val="001B08C6"/>
    <w:rsid w:val="001B0929"/>
    <w:rsid w:val="001B2069"/>
    <w:rsid w:val="001B54F8"/>
    <w:rsid w:val="001B5C22"/>
    <w:rsid w:val="001B5D37"/>
    <w:rsid w:val="001B6183"/>
    <w:rsid w:val="001B6A59"/>
    <w:rsid w:val="001B711B"/>
    <w:rsid w:val="001B7D27"/>
    <w:rsid w:val="001C271F"/>
    <w:rsid w:val="001C2940"/>
    <w:rsid w:val="001C3D68"/>
    <w:rsid w:val="001C4016"/>
    <w:rsid w:val="001C548D"/>
    <w:rsid w:val="001C5974"/>
    <w:rsid w:val="001C6A5D"/>
    <w:rsid w:val="001C75C3"/>
    <w:rsid w:val="001C7D05"/>
    <w:rsid w:val="001C7F9C"/>
    <w:rsid w:val="001D0E04"/>
    <w:rsid w:val="001D105D"/>
    <w:rsid w:val="001D2BB7"/>
    <w:rsid w:val="001D2E42"/>
    <w:rsid w:val="001D67FD"/>
    <w:rsid w:val="001E0A8C"/>
    <w:rsid w:val="001E290C"/>
    <w:rsid w:val="001E2CF1"/>
    <w:rsid w:val="001E31A6"/>
    <w:rsid w:val="001E42C7"/>
    <w:rsid w:val="001E4CAB"/>
    <w:rsid w:val="001E53A6"/>
    <w:rsid w:val="001E5921"/>
    <w:rsid w:val="001F0A4E"/>
    <w:rsid w:val="001F2413"/>
    <w:rsid w:val="001F2F3E"/>
    <w:rsid w:val="001F3487"/>
    <w:rsid w:val="001F3728"/>
    <w:rsid w:val="001F406F"/>
    <w:rsid w:val="001F4906"/>
    <w:rsid w:val="001F4C91"/>
    <w:rsid w:val="001F5581"/>
    <w:rsid w:val="001F7C4A"/>
    <w:rsid w:val="00200229"/>
    <w:rsid w:val="0020165A"/>
    <w:rsid w:val="00202CC0"/>
    <w:rsid w:val="002040FF"/>
    <w:rsid w:val="00204746"/>
    <w:rsid w:val="0020578A"/>
    <w:rsid w:val="00206D67"/>
    <w:rsid w:val="00207631"/>
    <w:rsid w:val="00207E89"/>
    <w:rsid w:val="0021034A"/>
    <w:rsid w:val="00210C31"/>
    <w:rsid w:val="00211EDB"/>
    <w:rsid w:val="00213005"/>
    <w:rsid w:val="00213392"/>
    <w:rsid w:val="00214013"/>
    <w:rsid w:val="00214DF7"/>
    <w:rsid w:val="00215563"/>
    <w:rsid w:val="00215BA6"/>
    <w:rsid w:val="002201B2"/>
    <w:rsid w:val="00220442"/>
    <w:rsid w:val="00220FC1"/>
    <w:rsid w:val="00222E9A"/>
    <w:rsid w:val="00223934"/>
    <w:rsid w:val="00224554"/>
    <w:rsid w:val="002251B5"/>
    <w:rsid w:val="00226940"/>
    <w:rsid w:val="00226962"/>
    <w:rsid w:val="00230217"/>
    <w:rsid w:val="0023179D"/>
    <w:rsid w:val="002321F3"/>
    <w:rsid w:val="0023340A"/>
    <w:rsid w:val="00235A04"/>
    <w:rsid w:val="00236F25"/>
    <w:rsid w:val="00236FED"/>
    <w:rsid w:val="0023787F"/>
    <w:rsid w:val="00240CAA"/>
    <w:rsid w:val="00240CEA"/>
    <w:rsid w:val="002417C4"/>
    <w:rsid w:val="00241E49"/>
    <w:rsid w:val="00242991"/>
    <w:rsid w:val="00242ADF"/>
    <w:rsid w:val="002432A4"/>
    <w:rsid w:val="002444C5"/>
    <w:rsid w:val="00245B03"/>
    <w:rsid w:val="00246E5A"/>
    <w:rsid w:val="0025272B"/>
    <w:rsid w:val="0025389D"/>
    <w:rsid w:val="0025440C"/>
    <w:rsid w:val="0025493E"/>
    <w:rsid w:val="00254E02"/>
    <w:rsid w:val="002620EE"/>
    <w:rsid w:val="0026265F"/>
    <w:rsid w:val="00262A44"/>
    <w:rsid w:val="00264D0C"/>
    <w:rsid w:val="0027299C"/>
    <w:rsid w:val="00273DD3"/>
    <w:rsid w:val="002741B1"/>
    <w:rsid w:val="00274269"/>
    <w:rsid w:val="00275182"/>
    <w:rsid w:val="00280B24"/>
    <w:rsid w:val="00281D6F"/>
    <w:rsid w:val="002820AC"/>
    <w:rsid w:val="002836B3"/>
    <w:rsid w:val="00283BE8"/>
    <w:rsid w:val="0028414E"/>
    <w:rsid w:val="00284377"/>
    <w:rsid w:val="002856DA"/>
    <w:rsid w:val="00285E04"/>
    <w:rsid w:val="00286C3A"/>
    <w:rsid w:val="00290E39"/>
    <w:rsid w:val="00291774"/>
    <w:rsid w:val="00292055"/>
    <w:rsid w:val="002924EC"/>
    <w:rsid w:val="0029250B"/>
    <w:rsid w:val="002928DD"/>
    <w:rsid w:val="00292B11"/>
    <w:rsid w:val="00292D2E"/>
    <w:rsid w:val="002930F5"/>
    <w:rsid w:val="0029310A"/>
    <w:rsid w:val="00294278"/>
    <w:rsid w:val="002959D0"/>
    <w:rsid w:val="00295D4B"/>
    <w:rsid w:val="002965E3"/>
    <w:rsid w:val="002A0397"/>
    <w:rsid w:val="002A05C2"/>
    <w:rsid w:val="002A06B7"/>
    <w:rsid w:val="002A46F8"/>
    <w:rsid w:val="002A7BB3"/>
    <w:rsid w:val="002B0389"/>
    <w:rsid w:val="002B0712"/>
    <w:rsid w:val="002B0C52"/>
    <w:rsid w:val="002B1A81"/>
    <w:rsid w:val="002B237D"/>
    <w:rsid w:val="002B3CAB"/>
    <w:rsid w:val="002B5F51"/>
    <w:rsid w:val="002B5FCF"/>
    <w:rsid w:val="002B6573"/>
    <w:rsid w:val="002B6841"/>
    <w:rsid w:val="002B6EF9"/>
    <w:rsid w:val="002B7FE9"/>
    <w:rsid w:val="002C0BDD"/>
    <w:rsid w:val="002C1B6B"/>
    <w:rsid w:val="002C2B59"/>
    <w:rsid w:val="002C36E0"/>
    <w:rsid w:val="002C37C2"/>
    <w:rsid w:val="002C3812"/>
    <w:rsid w:val="002C3959"/>
    <w:rsid w:val="002C3C1E"/>
    <w:rsid w:val="002C3CBA"/>
    <w:rsid w:val="002C4D8D"/>
    <w:rsid w:val="002C5808"/>
    <w:rsid w:val="002C5DA1"/>
    <w:rsid w:val="002C6E0C"/>
    <w:rsid w:val="002D144A"/>
    <w:rsid w:val="002D1523"/>
    <w:rsid w:val="002D3120"/>
    <w:rsid w:val="002D397F"/>
    <w:rsid w:val="002D59AD"/>
    <w:rsid w:val="002D6281"/>
    <w:rsid w:val="002E0218"/>
    <w:rsid w:val="002E19A3"/>
    <w:rsid w:val="002E1A1A"/>
    <w:rsid w:val="002E212B"/>
    <w:rsid w:val="002E3337"/>
    <w:rsid w:val="002E5952"/>
    <w:rsid w:val="002E6C62"/>
    <w:rsid w:val="002E6D03"/>
    <w:rsid w:val="002E7B52"/>
    <w:rsid w:val="002F0151"/>
    <w:rsid w:val="002F025D"/>
    <w:rsid w:val="002F1328"/>
    <w:rsid w:val="002F2323"/>
    <w:rsid w:val="002F2B5A"/>
    <w:rsid w:val="002F43A3"/>
    <w:rsid w:val="002F480E"/>
    <w:rsid w:val="002F49A8"/>
    <w:rsid w:val="002F5752"/>
    <w:rsid w:val="002F5E66"/>
    <w:rsid w:val="002F61CA"/>
    <w:rsid w:val="002F6C15"/>
    <w:rsid w:val="0030010D"/>
    <w:rsid w:val="00300EE7"/>
    <w:rsid w:val="0030107A"/>
    <w:rsid w:val="00305E35"/>
    <w:rsid w:val="00307174"/>
    <w:rsid w:val="00307993"/>
    <w:rsid w:val="003146BD"/>
    <w:rsid w:val="003159C4"/>
    <w:rsid w:val="00316991"/>
    <w:rsid w:val="00316ABF"/>
    <w:rsid w:val="0032002A"/>
    <w:rsid w:val="00321BA2"/>
    <w:rsid w:val="003221C4"/>
    <w:rsid w:val="00323B1C"/>
    <w:rsid w:val="00325A75"/>
    <w:rsid w:val="0033090A"/>
    <w:rsid w:val="00332384"/>
    <w:rsid w:val="003328ED"/>
    <w:rsid w:val="00333A09"/>
    <w:rsid w:val="0033504C"/>
    <w:rsid w:val="003353EC"/>
    <w:rsid w:val="00336816"/>
    <w:rsid w:val="003370D0"/>
    <w:rsid w:val="00337355"/>
    <w:rsid w:val="003402E4"/>
    <w:rsid w:val="00340BC1"/>
    <w:rsid w:val="00340F95"/>
    <w:rsid w:val="00342C3C"/>
    <w:rsid w:val="00342CDC"/>
    <w:rsid w:val="00343D45"/>
    <w:rsid w:val="00345493"/>
    <w:rsid w:val="0034584E"/>
    <w:rsid w:val="00345C62"/>
    <w:rsid w:val="00347F9F"/>
    <w:rsid w:val="003502B5"/>
    <w:rsid w:val="00352B8B"/>
    <w:rsid w:val="00352FFC"/>
    <w:rsid w:val="003531ED"/>
    <w:rsid w:val="00354CC8"/>
    <w:rsid w:val="00354D14"/>
    <w:rsid w:val="00355378"/>
    <w:rsid w:val="00357C89"/>
    <w:rsid w:val="00360676"/>
    <w:rsid w:val="00360B9A"/>
    <w:rsid w:val="00363281"/>
    <w:rsid w:val="0036461A"/>
    <w:rsid w:val="00365D41"/>
    <w:rsid w:val="00365F26"/>
    <w:rsid w:val="00367F1D"/>
    <w:rsid w:val="00367F1E"/>
    <w:rsid w:val="0037018A"/>
    <w:rsid w:val="003706D2"/>
    <w:rsid w:val="00371C95"/>
    <w:rsid w:val="00372072"/>
    <w:rsid w:val="00372731"/>
    <w:rsid w:val="00372AF4"/>
    <w:rsid w:val="0037411F"/>
    <w:rsid w:val="003742D1"/>
    <w:rsid w:val="003759EE"/>
    <w:rsid w:val="003773C8"/>
    <w:rsid w:val="003829D9"/>
    <w:rsid w:val="0038472F"/>
    <w:rsid w:val="00384CFF"/>
    <w:rsid w:val="003854E0"/>
    <w:rsid w:val="003862EA"/>
    <w:rsid w:val="0039017F"/>
    <w:rsid w:val="003902B3"/>
    <w:rsid w:val="00391208"/>
    <w:rsid w:val="0039292D"/>
    <w:rsid w:val="00394AEE"/>
    <w:rsid w:val="00394FAA"/>
    <w:rsid w:val="00395557"/>
    <w:rsid w:val="00397391"/>
    <w:rsid w:val="00397741"/>
    <w:rsid w:val="00397ECD"/>
    <w:rsid w:val="003A10A1"/>
    <w:rsid w:val="003A14D3"/>
    <w:rsid w:val="003A3C3B"/>
    <w:rsid w:val="003A3FBA"/>
    <w:rsid w:val="003A4C38"/>
    <w:rsid w:val="003A6570"/>
    <w:rsid w:val="003A6DE0"/>
    <w:rsid w:val="003B129F"/>
    <w:rsid w:val="003B1399"/>
    <w:rsid w:val="003B2DB1"/>
    <w:rsid w:val="003B4E7B"/>
    <w:rsid w:val="003B5F00"/>
    <w:rsid w:val="003B6179"/>
    <w:rsid w:val="003B714F"/>
    <w:rsid w:val="003B730A"/>
    <w:rsid w:val="003C055B"/>
    <w:rsid w:val="003C2D14"/>
    <w:rsid w:val="003C2D98"/>
    <w:rsid w:val="003C4AB2"/>
    <w:rsid w:val="003C7901"/>
    <w:rsid w:val="003C7DAB"/>
    <w:rsid w:val="003D0A38"/>
    <w:rsid w:val="003D1795"/>
    <w:rsid w:val="003D29B6"/>
    <w:rsid w:val="003D3A96"/>
    <w:rsid w:val="003D3B9C"/>
    <w:rsid w:val="003D42B2"/>
    <w:rsid w:val="003D46FA"/>
    <w:rsid w:val="003D7F44"/>
    <w:rsid w:val="003E1132"/>
    <w:rsid w:val="003E2FB6"/>
    <w:rsid w:val="003E424A"/>
    <w:rsid w:val="003E4E50"/>
    <w:rsid w:val="003E6DB2"/>
    <w:rsid w:val="003E77A5"/>
    <w:rsid w:val="003F1D0E"/>
    <w:rsid w:val="003F525A"/>
    <w:rsid w:val="003F54DE"/>
    <w:rsid w:val="003F7D21"/>
    <w:rsid w:val="0040093F"/>
    <w:rsid w:val="00400EF0"/>
    <w:rsid w:val="004034A7"/>
    <w:rsid w:val="00403AA1"/>
    <w:rsid w:val="0040415E"/>
    <w:rsid w:val="00404F03"/>
    <w:rsid w:val="004100AB"/>
    <w:rsid w:val="00410E32"/>
    <w:rsid w:val="00412051"/>
    <w:rsid w:val="00412634"/>
    <w:rsid w:val="00412A8C"/>
    <w:rsid w:val="0041367F"/>
    <w:rsid w:val="00413AD9"/>
    <w:rsid w:val="00415702"/>
    <w:rsid w:val="004215F9"/>
    <w:rsid w:val="00423B94"/>
    <w:rsid w:val="00432E73"/>
    <w:rsid w:val="00434C6B"/>
    <w:rsid w:val="00435096"/>
    <w:rsid w:val="00435183"/>
    <w:rsid w:val="00436346"/>
    <w:rsid w:val="00437D5C"/>
    <w:rsid w:val="004427E1"/>
    <w:rsid w:val="00443A91"/>
    <w:rsid w:val="00444E40"/>
    <w:rsid w:val="004455F6"/>
    <w:rsid w:val="004466B7"/>
    <w:rsid w:val="00446D64"/>
    <w:rsid w:val="00446DBA"/>
    <w:rsid w:val="004479CA"/>
    <w:rsid w:val="004527A0"/>
    <w:rsid w:val="00454FC7"/>
    <w:rsid w:val="0045627F"/>
    <w:rsid w:val="00456723"/>
    <w:rsid w:val="0045686A"/>
    <w:rsid w:val="0046007D"/>
    <w:rsid w:val="004602D8"/>
    <w:rsid w:val="00460FBA"/>
    <w:rsid w:val="004615B7"/>
    <w:rsid w:val="004615C6"/>
    <w:rsid w:val="00461A2F"/>
    <w:rsid w:val="00462A6D"/>
    <w:rsid w:val="00463731"/>
    <w:rsid w:val="00463DB7"/>
    <w:rsid w:val="00463EBA"/>
    <w:rsid w:val="0046400A"/>
    <w:rsid w:val="00464823"/>
    <w:rsid w:val="00465E9D"/>
    <w:rsid w:val="0046731B"/>
    <w:rsid w:val="00467B25"/>
    <w:rsid w:val="00474243"/>
    <w:rsid w:val="0047605D"/>
    <w:rsid w:val="00477343"/>
    <w:rsid w:val="004806F7"/>
    <w:rsid w:val="00481108"/>
    <w:rsid w:val="004834C3"/>
    <w:rsid w:val="0048585C"/>
    <w:rsid w:val="00486B68"/>
    <w:rsid w:val="0049042B"/>
    <w:rsid w:val="00490897"/>
    <w:rsid w:val="00490B63"/>
    <w:rsid w:val="00490EF1"/>
    <w:rsid w:val="0049109F"/>
    <w:rsid w:val="0049195F"/>
    <w:rsid w:val="00491C42"/>
    <w:rsid w:val="004925D9"/>
    <w:rsid w:val="00493516"/>
    <w:rsid w:val="0049450D"/>
    <w:rsid w:val="0049485A"/>
    <w:rsid w:val="00495215"/>
    <w:rsid w:val="00495473"/>
    <w:rsid w:val="00495DD1"/>
    <w:rsid w:val="00496C30"/>
    <w:rsid w:val="004A0216"/>
    <w:rsid w:val="004A0624"/>
    <w:rsid w:val="004A2A8B"/>
    <w:rsid w:val="004A33B0"/>
    <w:rsid w:val="004A36E3"/>
    <w:rsid w:val="004A3E3F"/>
    <w:rsid w:val="004A458E"/>
    <w:rsid w:val="004A5181"/>
    <w:rsid w:val="004A72FD"/>
    <w:rsid w:val="004A77CF"/>
    <w:rsid w:val="004B2371"/>
    <w:rsid w:val="004B23E7"/>
    <w:rsid w:val="004B306F"/>
    <w:rsid w:val="004B356E"/>
    <w:rsid w:val="004B363E"/>
    <w:rsid w:val="004B3847"/>
    <w:rsid w:val="004B3F28"/>
    <w:rsid w:val="004B4591"/>
    <w:rsid w:val="004B4CD8"/>
    <w:rsid w:val="004B7316"/>
    <w:rsid w:val="004B7909"/>
    <w:rsid w:val="004B7E1C"/>
    <w:rsid w:val="004B7FE9"/>
    <w:rsid w:val="004C0B74"/>
    <w:rsid w:val="004C0C27"/>
    <w:rsid w:val="004C0F8B"/>
    <w:rsid w:val="004C1771"/>
    <w:rsid w:val="004C1C1B"/>
    <w:rsid w:val="004C3186"/>
    <w:rsid w:val="004C5042"/>
    <w:rsid w:val="004C5DB9"/>
    <w:rsid w:val="004C65C4"/>
    <w:rsid w:val="004D16C7"/>
    <w:rsid w:val="004D39F1"/>
    <w:rsid w:val="004D64A3"/>
    <w:rsid w:val="004D73A5"/>
    <w:rsid w:val="004E016E"/>
    <w:rsid w:val="004E085E"/>
    <w:rsid w:val="004E1362"/>
    <w:rsid w:val="004E349A"/>
    <w:rsid w:val="004E4422"/>
    <w:rsid w:val="004E700E"/>
    <w:rsid w:val="004F2C9B"/>
    <w:rsid w:val="004F3907"/>
    <w:rsid w:val="004F4BD1"/>
    <w:rsid w:val="004F519D"/>
    <w:rsid w:val="004F5537"/>
    <w:rsid w:val="004F7DF0"/>
    <w:rsid w:val="005000BB"/>
    <w:rsid w:val="00500CD1"/>
    <w:rsid w:val="00501DE8"/>
    <w:rsid w:val="00503998"/>
    <w:rsid w:val="00503E79"/>
    <w:rsid w:val="00505373"/>
    <w:rsid w:val="0050623B"/>
    <w:rsid w:val="005067DE"/>
    <w:rsid w:val="00510775"/>
    <w:rsid w:val="00510B8D"/>
    <w:rsid w:val="00511025"/>
    <w:rsid w:val="00511D6E"/>
    <w:rsid w:val="00512547"/>
    <w:rsid w:val="00512A84"/>
    <w:rsid w:val="0051436D"/>
    <w:rsid w:val="005150CA"/>
    <w:rsid w:val="005151BE"/>
    <w:rsid w:val="00515756"/>
    <w:rsid w:val="00515909"/>
    <w:rsid w:val="005165EF"/>
    <w:rsid w:val="00520BCB"/>
    <w:rsid w:val="00522473"/>
    <w:rsid w:val="005229EC"/>
    <w:rsid w:val="00523181"/>
    <w:rsid w:val="00524110"/>
    <w:rsid w:val="005247EB"/>
    <w:rsid w:val="00524D13"/>
    <w:rsid w:val="0052730E"/>
    <w:rsid w:val="00527EE0"/>
    <w:rsid w:val="00532AA2"/>
    <w:rsid w:val="005339F6"/>
    <w:rsid w:val="00533BDE"/>
    <w:rsid w:val="00533C5B"/>
    <w:rsid w:val="00534549"/>
    <w:rsid w:val="005357F1"/>
    <w:rsid w:val="005376FD"/>
    <w:rsid w:val="00541645"/>
    <w:rsid w:val="00542A30"/>
    <w:rsid w:val="00543763"/>
    <w:rsid w:val="00544024"/>
    <w:rsid w:val="00544546"/>
    <w:rsid w:val="005452A3"/>
    <w:rsid w:val="00545341"/>
    <w:rsid w:val="00546D7A"/>
    <w:rsid w:val="005509D2"/>
    <w:rsid w:val="00551179"/>
    <w:rsid w:val="00551CBD"/>
    <w:rsid w:val="00555F81"/>
    <w:rsid w:val="00556DD4"/>
    <w:rsid w:val="0055708B"/>
    <w:rsid w:val="00557808"/>
    <w:rsid w:val="005601F3"/>
    <w:rsid w:val="0056185E"/>
    <w:rsid w:val="00562AE7"/>
    <w:rsid w:val="00563D79"/>
    <w:rsid w:val="00564A83"/>
    <w:rsid w:val="00564BBA"/>
    <w:rsid w:val="00565474"/>
    <w:rsid w:val="005706C9"/>
    <w:rsid w:val="00570E10"/>
    <w:rsid w:val="005718F9"/>
    <w:rsid w:val="00572D52"/>
    <w:rsid w:val="00575639"/>
    <w:rsid w:val="005766C3"/>
    <w:rsid w:val="00576B18"/>
    <w:rsid w:val="00581277"/>
    <w:rsid w:val="0058146C"/>
    <w:rsid w:val="0058390D"/>
    <w:rsid w:val="00583C89"/>
    <w:rsid w:val="00584418"/>
    <w:rsid w:val="00587724"/>
    <w:rsid w:val="00587784"/>
    <w:rsid w:val="00587CE6"/>
    <w:rsid w:val="00591512"/>
    <w:rsid w:val="0059252C"/>
    <w:rsid w:val="00593227"/>
    <w:rsid w:val="00593BA6"/>
    <w:rsid w:val="005948C8"/>
    <w:rsid w:val="00595215"/>
    <w:rsid w:val="00595F7D"/>
    <w:rsid w:val="0059727B"/>
    <w:rsid w:val="00597DBD"/>
    <w:rsid w:val="005A0B97"/>
    <w:rsid w:val="005A1274"/>
    <w:rsid w:val="005A1A97"/>
    <w:rsid w:val="005A2E02"/>
    <w:rsid w:val="005A44E6"/>
    <w:rsid w:val="005A5C50"/>
    <w:rsid w:val="005A70D4"/>
    <w:rsid w:val="005A7CB4"/>
    <w:rsid w:val="005B0895"/>
    <w:rsid w:val="005B0A82"/>
    <w:rsid w:val="005B156B"/>
    <w:rsid w:val="005B18A9"/>
    <w:rsid w:val="005B190B"/>
    <w:rsid w:val="005B210E"/>
    <w:rsid w:val="005B25E8"/>
    <w:rsid w:val="005B2CA2"/>
    <w:rsid w:val="005B2D91"/>
    <w:rsid w:val="005B3A72"/>
    <w:rsid w:val="005B4401"/>
    <w:rsid w:val="005B45D3"/>
    <w:rsid w:val="005B48B4"/>
    <w:rsid w:val="005B4A84"/>
    <w:rsid w:val="005B5365"/>
    <w:rsid w:val="005C0032"/>
    <w:rsid w:val="005C0D63"/>
    <w:rsid w:val="005C36B7"/>
    <w:rsid w:val="005C36DA"/>
    <w:rsid w:val="005C6661"/>
    <w:rsid w:val="005C6B7A"/>
    <w:rsid w:val="005C6E3B"/>
    <w:rsid w:val="005C6F87"/>
    <w:rsid w:val="005C7B9C"/>
    <w:rsid w:val="005D0578"/>
    <w:rsid w:val="005D2FCF"/>
    <w:rsid w:val="005D474B"/>
    <w:rsid w:val="005D5112"/>
    <w:rsid w:val="005D5586"/>
    <w:rsid w:val="005D62E6"/>
    <w:rsid w:val="005D6369"/>
    <w:rsid w:val="005E085C"/>
    <w:rsid w:val="005E147D"/>
    <w:rsid w:val="005E22C2"/>
    <w:rsid w:val="005E39DF"/>
    <w:rsid w:val="005E4D10"/>
    <w:rsid w:val="005E573A"/>
    <w:rsid w:val="005E57BB"/>
    <w:rsid w:val="005E6547"/>
    <w:rsid w:val="005E717E"/>
    <w:rsid w:val="005E7694"/>
    <w:rsid w:val="005F0017"/>
    <w:rsid w:val="005F0042"/>
    <w:rsid w:val="005F10A6"/>
    <w:rsid w:val="005F10F9"/>
    <w:rsid w:val="005F16DF"/>
    <w:rsid w:val="005F1D3C"/>
    <w:rsid w:val="005F377B"/>
    <w:rsid w:val="005F4646"/>
    <w:rsid w:val="005F4DB0"/>
    <w:rsid w:val="005F59FB"/>
    <w:rsid w:val="005F5D4B"/>
    <w:rsid w:val="00600559"/>
    <w:rsid w:val="00600959"/>
    <w:rsid w:val="006014F1"/>
    <w:rsid w:val="00601A1A"/>
    <w:rsid w:val="006022CA"/>
    <w:rsid w:val="006025BF"/>
    <w:rsid w:val="00602ED6"/>
    <w:rsid w:val="00603B5B"/>
    <w:rsid w:val="00603C2B"/>
    <w:rsid w:val="006049B6"/>
    <w:rsid w:val="006052C1"/>
    <w:rsid w:val="0060654B"/>
    <w:rsid w:val="00606B7F"/>
    <w:rsid w:val="00607700"/>
    <w:rsid w:val="00607D6B"/>
    <w:rsid w:val="00611DB4"/>
    <w:rsid w:val="0061357B"/>
    <w:rsid w:val="00614464"/>
    <w:rsid w:val="00614A7D"/>
    <w:rsid w:val="006154F4"/>
    <w:rsid w:val="00616B81"/>
    <w:rsid w:val="0062035E"/>
    <w:rsid w:val="00621596"/>
    <w:rsid w:val="00624DDB"/>
    <w:rsid w:val="00625325"/>
    <w:rsid w:val="00625AC5"/>
    <w:rsid w:val="00625E3E"/>
    <w:rsid w:val="00630D8B"/>
    <w:rsid w:val="0063286C"/>
    <w:rsid w:val="00633A89"/>
    <w:rsid w:val="00633CED"/>
    <w:rsid w:val="00635E23"/>
    <w:rsid w:val="0063631C"/>
    <w:rsid w:val="0063757B"/>
    <w:rsid w:val="006377CE"/>
    <w:rsid w:val="0064071F"/>
    <w:rsid w:val="006427F9"/>
    <w:rsid w:val="00644328"/>
    <w:rsid w:val="006444DC"/>
    <w:rsid w:val="00644B37"/>
    <w:rsid w:val="00645808"/>
    <w:rsid w:val="0064703E"/>
    <w:rsid w:val="00647435"/>
    <w:rsid w:val="00647D54"/>
    <w:rsid w:val="00647FF9"/>
    <w:rsid w:val="00650281"/>
    <w:rsid w:val="00650842"/>
    <w:rsid w:val="006537D9"/>
    <w:rsid w:val="0065385A"/>
    <w:rsid w:val="006548A4"/>
    <w:rsid w:val="00656C1C"/>
    <w:rsid w:val="00656D9B"/>
    <w:rsid w:val="00656DB8"/>
    <w:rsid w:val="00661574"/>
    <w:rsid w:val="0066222A"/>
    <w:rsid w:val="00662D1C"/>
    <w:rsid w:val="00663A53"/>
    <w:rsid w:val="00664699"/>
    <w:rsid w:val="00664A48"/>
    <w:rsid w:val="00664CE3"/>
    <w:rsid w:val="00665DEF"/>
    <w:rsid w:val="0067110E"/>
    <w:rsid w:val="00673A95"/>
    <w:rsid w:val="00673D36"/>
    <w:rsid w:val="00675BB1"/>
    <w:rsid w:val="00675EA3"/>
    <w:rsid w:val="006775F1"/>
    <w:rsid w:val="00680CD4"/>
    <w:rsid w:val="0068109E"/>
    <w:rsid w:val="00684A77"/>
    <w:rsid w:val="00684D77"/>
    <w:rsid w:val="00686028"/>
    <w:rsid w:val="00686D9C"/>
    <w:rsid w:val="00687A11"/>
    <w:rsid w:val="00687B86"/>
    <w:rsid w:val="0069047E"/>
    <w:rsid w:val="00690F31"/>
    <w:rsid w:val="006913D2"/>
    <w:rsid w:val="00692AA7"/>
    <w:rsid w:val="0069679B"/>
    <w:rsid w:val="00697951"/>
    <w:rsid w:val="00697FEC"/>
    <w:rsid w:val="006A13D8"/>
    <w:rsid w:val="006A175F"/>
    <w:rsid w:val="006A44F5"/>
    <w:rsid w:val="006A65F7"/>
    <w:rsid w:val="006B1C6A"/>
    <w:rsid w:val="006B29B3"/>
    <w:rsid w:val="006B2B56"/>
    <w:rsid w:val="006B30F7"/>
    <w:rsid w:val="006B4537"/>
    <w:rsid w:val="006B4D00"/>
    <w:rsid w:val="006B5F85"/>
    <w:rsid w:val="006B6929"/>
    <w:rsid w:val="006B6D9D"/>
    <w:rsid w:val="006B709B"/>
    <w:rsid w:val="006C0BB7"/>
    <w:rsid w:val="006C333F"/>
    <w:rsid w:val="006C4B64"/>
    <w:rsid w:val="006C54AF"/>
    <w:rsid w:val="006C67DA"/>
    <w:rsid w:val="006C7C62"/>
    <w:rsid w:val="006C7FD2"/>
    <w:rsid w:val="006D0BB8"/>
    <w:rsid w:val="006D145B"/>
    <w:rsid w:val="006D14F1"/>
    <w:rsid w:val="006D16AD"/>
    <w:rsid w:val="006D1D1E"/>
    <w:rsid w:val="006D546C"/>
    <w:rsid w:val="006D5593"/>
    <w:rsid w:val="006E0181"/>
    <w:rsid w:val="006E0B96"/>
    <w:rsid w:val="006E0C66"/>
    <w:rsid w:val="006E1DF2"/>
    <w:rsid w:val="006E36EF"/>
    <w:rsid w:val="006E415C"/>
    <w:rsid w:val="006E41CD"/>
    <w:rsid w:val="006E4BD8"/>
    <w:rsid w:val="006E5229"/>
    <w:rsid w:val="006E5EE0"/>
    <w:rsid w:val="006E630F"/>
    <w:rsid w:val="006E6F24"/>
    <w:rsid w:val="006F06FB"/>
    <w:rsid w:val="006F1F59"/>
    <w:rsid w:val="006F2FC4"/>
    <w:rsid w:val="006F3470"/>
    <w:rsid w:val="006F3C63"/>
    <w:rsid w:val="006F3D6F"/>
    <w:rsid w:val="006F405E"/>
    <w:rsid w:val="006F4879"/>
    <w:rsid w:val="006F4E21"/>
    <w:rsid w:val="006F52EB"/>
    <w:rsid w:val="006F61D1"/>
    <w:rsid w:val="006F743A"/>
    <w:rsid w:val="006F764D"/>
    <w:rsid w:val="00700C0E"/>
    <w:rsid w:val="00702204"/>
    <w:rsid w:val="00704E6A"/>
    <w:rsid w:val="00705451"/>
    <w:rsid w:val="0070581D"/>
    <w:rsid w:val="00705CF9"/>
    <w:rsid w:val="00705DAD"/>
    <w:rsid w:val="00706A0E"/>
    <w:rsid w:val="00706D03"/>
    <w:rsid w:val="00707556"/>
    <w:rsid w:val="00710419"/>
    <w:rsid w:val="00720C8C"/>
    <w:rsid w:val="00720E1F"/>
    <w:rsid w:val="0072193D"/>
    <w:rsid w:val="00722644"/>
    <w:rsid w:val="00724250"/>
    <w:rsid w:val="007247B9"/>
    <w:rsid w:val="00726B87"/>
    <w:rsid w:val="00727D85"/>
    <w:rsid w:val="00730C96"/>
    <w:rsid w:val="007346C7"/>
    <w:rsid w:val="00735033"/>
    <w:rsid w:val="00735FA3"/>
    <w:rsid w:val="00736041"/>
    <w:rsid w:val="007408C7"/>
    <w:rsid w:val="007417B3"/>
    <w:rsid w:val="00741EA8"/>
    <w:rsid w:val="007429F3"/>
    <w:rsid w:val="0074321A"/>
    <w:rsid w:val="007465DA"/>
    <w:rsid w:val="00746936"/>
    <w:rsid w:val="0075190A"/>
    <w:rsid w:val="0075258B"/>
    <w:rsid w:val="007527E7"/>
    <w:rsid w:val="00752C7F"/>
    <w:rsid w:val="007540DD"/>
    <w:rsid w:val="0075457B"/>
    <w:rsid w:val="00761E74"/>
    <w:rsid w:val="00761FD6"/>
    <w:rsid w:val="0076209A"/>
    <w:rsid w:val="0076328B"/>
    <w:rsid w:val="007641D7"/>
    <w:rsid w:val="00764757"/>
    <w:rsid w:val="00764792"/>
    <w:rsid w:val="00764B09"/>
    <w:rsid w:val="00765EC5"/>
    <w:rsid w:val="00765F06"/>
    <w:rsid w:val="007662C2"/>
    <w:rsid w:val="00766CC1"/>
    <w:rsid w:val="0076797E"/>
    <w:rsid w:val="00770A76"/>
    <w:rsid w:val="00771E85"/>
    <w:rsid w:val="00772132"/>
    <w:rsid w:val="007723BD"/>
    <w:rsid w:val="00772500"/>
    <w:rsid w:val="0077290B"/>
    <w:rsid w:val="00776598"/>
    <w:rsid w:val="00776D90"/>
    <w:rsid w:val="00776F47"/>
    <w:rsid w:val="00777FCE"/>
    <w:rsid w:val="00781B33"/>
    <w:rsid w:val="007820F1"/>
    <w:rsid w:val="00783879"/>
    <w:rsid w:val="007838A0"/>
    <w:rsid w:val="0078410B"/>
    <w:rsid w:val="007851FA"/>
    <w:rsid w:val="00792948"/>
    <w:rsid w:val="00793496"/>
    <w:rsid w:val="00796E84"/>
    <w:rsid w:val="007A00A5"/>
    <w:rsid w:val="007A0C05"/>
    <w:rsid w:val="007A13C6"/>
    <w:rsid w:val="007A1600"/>
    <w:rsid w:val="007A3ADE"/>
    <w:rsid w:val="007A4262"/>
    <w:rsid w:val="007A42CF"/>
    <w:rsid w:val="007A4E48"/>
    <w:rsid w:val="007A5733"/>
    <w:rsid w:val="007A5774"/>
    <w:rsid w:val="007A58F3"/>
    <w:rsid w:val="007A5A0E"/>
    <w:rsid w:val="007A6D07"/>
    <w:rsid w:val="007B18BA"/>
    <w:rsid w:val="007B31E9"/>
    <w:rsid w:val="007B451B"/>
    <w:rsid w:val="007B5D2F"/>
    <w:rsid w:val="007B5E77"/>
    <w:rsid w:val="007B5FFD"/>
    <w:rsid w:val="007C03F1"/>
    <w:rsid w:val="007C0FED"/>
    <w:rsid w:val="007C1389"/>
    <w:rsid w:val="007C1963"/>
    <w:rsid w:val="007C359E"/>
    <w:rsid w:val="007C421F"/>
    <w:rsid w:val="007C5013"/>
    <w:rsid w:val="007C63B6"/>
    <w:rsid w:val="007C684E"/>
    <w:rsid w:val="007D1272"/>
    <w:rsid w:val="007D2D2A"/>
    <w:rsid w:val="007D350E"/>
    <w:rsid w:val="007D3985"/>
    <w:rsid w:val="007D6B67"/>
    <w:rsid w:val="007E08E9"/>
    <w:rsid w:val="007E0C8C"/>
    <w:rsid w:val="007E3BB5"/>
    <w:rsid w:val="007E5D84"/>
    <w:rsid w:val="007E6409"/>
    <w:rsid w:val="007E7F14"/>
    <w:rsid w:val="007F27FE"/>
    <w:rsid w:val="007F2B5D"/>
    <w:rsid w:val="007F310E"/>
    <w:rsid w:val="007F41D9"/>
    <w:rsid w:val="007F4F08"/>
    <w:rsid w:val="007F69D9"/>
    <w:rsid w:val="00801767"/>
    <w:rsid w:val="00801AF8"/>
    <w:rsid w:val="00801BC4"/>
    <w:rsid w:val="00801E74"/>
    <w:rsid w:val="00802860"/>
    <w:rsid w:val="00802F26"/>
    <w:rsid w:val="00803405"/>
    <w:rsid w:val="00804284"/>
    <w:rsid w:val="0080485E"/>
    <w:rsid w:val="0080552D"/>
    <w:rsid w:val="00807052"/>
    <w:rsid w:val="008101B8"/>
    <w:rsid w:val="008109BC"/>
    <w:rsid w:val="00810EDF"/>
    <w:rsid w:val="00811CC3"/>
    <w:rsid w:val="008131F7"/>
    <w:rsid w:val="00813AB6"/>
    <w:rsid w:val="008142B4"/>
    <w:rsid w:val="00814B98"/>
    <w:rsid w:val="0081671C"/>
    <w:rsid w:val="00817D1A"/>
    <w:rsid w:val="00817E40"/>
    <w:rsid w:val="00820432"/>
    <w:rsid w:val="00820F93"/>
    <w:rsid w:val="0082780E"/>
    <w:rsid w:val="00832324"/>
    <w:rsid w:val="00834269"/>
    <w:rsid w:val="00835337"/>
    <w:rsid w:val="00835A39"/>
    <w:rsid w:val="00835CB1"/>
    <w:rsid w:val="00836B09"/>
    <w:rsid w:val="00836F07"/>
    <w:rsid w:val="00837794"/>
    <w:rsid w:val="00840B10"/>
    <w:rsid w:val="00841B70"/>
    <w:rsid w:val="00842339"/>
    <w:rsid w:val="00842582"/>
    <w:rsid w:val="00842974"/>
    <w:rsid w:val="00842BCB"/>
    <w:rsid w:val="008432A0"/>
    <w:rsid w:val="00843634"/>
    <w:rsid w:val="008462AD"/>
    <w:rsid w:val="00846DCD"/>
    <w:rsid w:val="00850954"/>
    <w:rsid w:val="00851D85"/>
    <w:rsid w:val="00852352"/>
    <w:rsid w:val="008528B3"/>
    <w:rsid w:val="00853E75"/>
    <w:rsid w:val="00855887"/>
    <w:rsid w:val="00856DF4"/>
    <w:rsid w:val="00860890"/>
    <w:rsid w:val="00860CCB"/>
    <w:rsid w:val="00863414"/>
    <w:rsid w:val="00864B40"/>
    <w:rsid w:val="00864ECF"/>
    <w:rsid w:val="00865741"/>
    <w:rsid w:val="00866911"/>
    <w:rsid w:val="00867DDD"/>
    <w:rsid w:val="008701BC"/>
    <w:rsid w:val="008701D6"/>
    <w:rsid w:val="00870A1D"/>
    <w:rsid w:val="008740A3"/>
    <w:rsid w:val="0087432B"/>
    <w:rsid w:val="008748B4"/>
    <w:rsid w:val="00874E26"/>
    <w:rsid w:val="00874EA1"/>
    <w:rsid w:val="008756DC"/>
    <w:rsid w:val="00876295"/>
    <w:rsid w:val="0087785A"/>
    <w:rsid w:val="00877E38"/>
    <w:rsid w:val="00880393"/>
    <w:rsid w:val="00880DE2"/>
    <w:rsid w:val="00882A9B"/>
    <w:rsid w:val="00882BC0"/>
    <w:rsid w:val="00882D54"/>
    <w:rsid w:val="00883703"/>
    <w:rsid w:val="00886157"/>
    <w:rsid w:val="0089024A"/>
    <w:rsid w:val="00890A9D"/>
    <w:rsid w:val="0089183A"/>
    <w:rsid w:val="0089286B"/>
    <w:rsid w:val="0089297B"/>
    <w:rsid w:val="00893757"/>
    <w:rsid w:val="00897FC2"/>
    <w:rsid w:val="008A001C"/>
    <w:rsid w:val="008A089E"/>
    <w:rsid w:val="008A12B1"/>
    <w:rsid w:val="008A2075"/>
    <w:rsid w:val="008A2FCA"/>
    <w:rsid w:val="008A42BF"/>
    <w:rsid w:val="008A447F"/>
    <w:rsid w:val="008A4F45"/>
    <w:rsid w:val="008A583C"/>
    <w:rsid w:val="008A67DB"/>
    <w:rsid w:val="008B0100"/>
    <w:rsid w:val="008B0747"/>
    <w:rsid w:val="008B3D71"/>
    <w:rsid w:val="008B45B5"/>
    <w:rsid w:val="008B4F84"/>
    <w:rsid w:val="008B5186"/>
    <w:rsid w:val="008B5A58"/>
    <w:rsid w:val="008B5AF2"/>
    <w:rsid w:val="008C30DC"/>
    <w:rsid w:val="008C36CA"/>
    <w:rsid w:val="008C4338"/>
    <w:rsid w:val="008C4663"/>
    <w:rsid w:val="008C61F2"/>
    <w:rsid w:val="008C6292"/>
    <w:rsid w:val="008C66C1"/>
    <w:rsid w:val="008D0192"/>
    <w:rsid w:val="008D0A2B"/>
    <w:rsid w:val="008D4960"/>
    <w:rsid w:val="008D549C"/>
    <w:rsid w:val="008D5896"/>
    <w:rsid w:val="008D58FA"/>
    <w:rsid w:val="008D5AA8"/>
    <w:rsid w:val="008D6A20"/>
    <w:rsid w:val="008E14FA"/>
    <w:rsid w:val="008E3EBA"/>
    <w:rsid w:val="008E3F8C"/>
    <w:rsid w:val="008E68EE"/>
    <w:rsid w:val="008F0110"/>
    <w:rsid w:val="008F1992"/>
    <w:rsid w:val="008F346D"/>
    <w:rsid w:val="008F433E"/>
    <w:rsid w:val="008F44C5"/>
    <w:rsid w:val="008F5311"/>
    <w:rsid w:val="009013FF"/>
    <w:rsid w:val="00902FD0"/>
    <w:rsid w:val="00904845"/>
    <w:rsid w:val="00905003"/>
    <w:rsid w:val="009053D3"/>
    <w:rsid w:val="0090691F"/>
    <w:rsid w:val="009106B4"/>
    <w:rsid w:val="00910EDB"/>
    <w:rsid w:val="00913176"/>
    <w:rsid w:val="00914D87"/>
    <w:rsid w:val="00915EEA"/>
    <w:rsid w:val="00916077"/>
    <w:rsid w:val="00916942"/>
    <w:rsid w:val="00921262"/>
    <w:rsid w:val="00921903"/>
    <w:rsid w:val="009239A0"/>
    <w:rsid w:val="0092558E"/>
    <w:rsid w:val="00926263"/>
    <w:rsid w:val="00930E4A"/>
    <w:rsid w:val="0093111F"/>
    <w:rsid w:val="009332FD"/>
    <w:rsid w:val="00935689"/>
    <w:rsid w:val="0093574B"/>
    <w:rsid w:val="00936C2B"/>
    <w:rsid w:val="00936EBF"/>
    <w:rsid w:val="00937353"/>
    <w:rsid w:val="00937ACE"/>
    <w:rsid w:val="0094219E"/>
    <w:rsid w:val="00944D24"/>
    <w:rsid w:val="00944DA8"/>
    <w:rsid w:val="00945096"/>
    <w:rsid w:val="009471A3"/>
    <w:rsid w:val="00951401"/>
    <w:rsid w:val="0095303B"/>
    <w:rsid w:val="0095396C"/>
    <w:rsid w:val="00953F77"/>
    <w:rsid w:val="0095420F"/>
    <w:rsid w:val="00954823"/>
    <w:rsid w:val="00957050"/>
    <w:rsid w:val="00957BAE"/>
    <w:rsid w:val="00960336"/>
    <w:rsid w:val="0096170A"/>
    <w:rsid w:val="00962ABC"/>
    <w:rsid w:val="00964BC7"/>
    <w:rsid w:val="00965947"/>
    <w:rsid w:val="009663B6"/>
    <w:rsid w:val="0096694A"/>
    <w:rsid w:val="00966BC8"/>
    <w:rsid w:val="009670F9"/>
    <w:rsid w:val="00967197"/>
    <w:rsid w:val="00970548"/>
    <w:rsid w:val="0097125B"/>
    <w:rsid w:val="00973424"/>
    <w:rsid w:val="0097350D"/>
    <w:rsid w:val="0097356D"/>
    <w:rsid w:val="00974A47"/>
    <w:rsid w:val="00980286"/>
    <w:rsid w:val="0098089F"/>
    <w:rsid w:val="00981588"/>
    <w:rsid w:val="009819F7"/>
    <w:rsid w:val="00981A61"/>
    <w:rsid w:val="009822E1"/>
    <w:rsid w:val="00982BA3"/>
    <w:rsid w:val="00982D73"/>
    <w:rsid w:val="00984176"/>
    <w:rsid w:val="00984229"/>
    <w:rsid w:val="0098572F"/>
    <w:rsid w:val="0098697B"/>
    <w:rsid w:val="00990DCF"/>
    <w:rsid w:val="00990E0C"/>
    <w:rsid w:val="009915BE"/>
    <w:rsid w:val="00994023"/>
    <w:rsid w:val="00994AF2"/>
    <w:rsid w:val="009960BB"/>
    <w:rsid w:val="009971EB"/>
    <w:rsid w:val="009A0121"/>
    <w:rsid w:val="009A08CB"/>
    <w:rsid w:val="009A1F44"/>
    <w:rsid w:val="009A224B"/>
    <w:rsid w:val="009A359E"/>
    <w:rsid w:val="009A4CD6"/>
    <w:rsid w:val="009A537C"/>
    <w:rsid w:val="009A5A9E"/>
    <w:rsid w:val="009B0160"/>
    <w:rsid w:val="009B15E2"/>
    <w:rsid w:val="009B1AF8"/>
    <w:rsid w:val="009B2F98"/>
    <w:rsid w:val="009B49BF"/>
    <w:rsid w:val="009B756B"/>
    <w:rsid w:val="009C0886"/>
    <w:rsid w:val="009C12DF"/>
    <w:rsid w:val="009C1800"/>
    <w:rsid w:val="009C19EE"/>
    <w:rsid w:val="009C28D0"/>
    <w:rsid w:val="009C35F2"/>
    <w:rsid w:val="009C3B0B"/>
    <w:rsid w:val="009C7782"/>
    <w:rsid w:val="009C77F9"/>
    <w:rsid w:val="009D0DFA"/>
    <w:rsid w:val="009D0EA9"/>
    <w:rsid w:val="009D1ED5"/>
    <w:rsid w:val="009D2854"/>
    <w:rsid w:val="009D3421"/>
    <w:rsid w:val="009D4C13"/>
    <w:rsid w:val="009D4E93"/>
    <w:rsid w:val="009D625E"/>
    <w:rsid w:val="009D7010"/>
    <w:rsid w:val="009D78DB"/>
    <w:rsid w:val="009D7B3D"/>
    <w:rsid w:val="009D7E87"/>
    <w:rsid w:val="009E0391"/>
    <w:rsid w:val="009E0A40"/>
    <w:rsid w:val="009E0F51"/>
    <w:rsid w:val="009E21A7"/>
    <w:rsid w:val="009E2919"/>
    <w:rsid w:val="009E2A24"/>
    <w:rsid w:val="009E3176"/>
    <w:rsid w:val="009E3482"/>
    <w:rsid w:val="009E4EA1"/>
    <w:rsid w:val="009E52A6"/>
    <w:rsid w:val="009E5A18"/>
    <w:rsid w:val="009F0503"/>
    <w:rsid w:val="009F0585"/>
    <w:rsid w:val="009F0A08"/>
    <w:rsid w:val="009F12AF"/>
    <w:rsid w:val="009F166B"/>
    <w:rsid w:val="009F197E"/>
    <w:rsid w:val="009F2099"/>
    <w:rsid w:val="009F2D78"/>
    <w:rsid w:val="009F2DD4"/>
    <w:rsid w:val="009F3FB9"/>
    <w:rsid w:val="009F582C"/>
    <w:rsid w:val="009F5E34"/>
    <w:rsid w:val="009F74A4"/>
    <w:rsid w:val="009F7979"/>
    <w:rsid w:val="00A01603"/>
    <w:rsid w:val="00A01826"/>
    <w:rsid w:val="00A03794"/>
    <w:rsid w:val="00A05919"/>
    <w:rsid w:val="00A06C9B"/>
    <w:rsid w:val="00A07F17"/>
    <w:rsid w:val="00A103ED"/>
    <w:rsid w:val="00A13232"/>
    <w:rsid w:val="00A13683"/>
    <w:rsid w:val="00A13C10"/>
    <w:rsid w:val="00A13C60"/>
    <w:rsid w:val="00A14EAF"/>
    <w:rsid w:val="00A15134"/>
    <w:rsid w:val="00A172AA"/>
    <w:rsid w:val="00A17C8D"/>
    <w:rsid w:val="00A21079"/>
    <w:rsid w:val="00A233AC"/>
    <w:rsid w:val="00A241EE"/>
    <w:rsid w:val="00A24BE6"/>
    <w:rsid w:val="00A3256F"/>
    <w:rsid w:val="00A32A0C"/>
    <w:rsid w:val="00A341A3"/>
    <w:rsid w:val="00A34815"/>
    <w:rsid w:val="00A3494A"/>
    <w:rsid w:val="00A35800"/>
    <w:rsid w:val="00A35FC0"/>
    <w:rsid w:val="00A41ECA"/>
    <w:rsid w:val="00A42539"/>
    <w:rsid w:val="00A436C3"/>
    <w:rsid w:val="00A464B4"/>
    <w:rsid w:val="00A46FA4"/>
    <w:rsid w:val="00A47CD8"/>
    <w:rsid w:val="00A47FD6"/>
    <w:rsid w:val="00A516DC"/>
    <w:rsid w:val="00A51C58"/>
    <w:rsid w:val="00A52918"/>
    <w:rsid w:val="00A52B96"/>
    <w:rsid w:val="00A52E46"/>
    <w:rsid w:val="00A535E6"/>
    <w:rsid w:val="00A547B3"/>
    <w:rsid w:val="00A54DFE"/>
    <w:rsid w:val="00A56EB9"/>
    <w:rsid w:val="00A57A5C"/>
    <w:rsid w:val="00A621F0"/>
    <w:rsid w:val="00A62C45"/>
    <w:rsid w:val="00A64AF7"/>
    <w:rsid w:val="00A64F6B"/>
    <w:rsid w:val="00A65BC6"/>
    <w:rsid w:val="00A65F21"/>
    <w:rsid w:val="00A66893"/>
    <w:rsid w:val="00A66DB1"/>
    <w:rsid w:val="00A66E27"/>
    <w:rsid w:val="00A67622"/>
    <w:rsid w:val="00A67EF2"/>
    <w:rsid w:val="00A7040C"/>
    <w:rsid w:val="00A70445"/>
    <w:rsid w:val="00A70741"/>
    <w:rsid w:val="00A70E82"/>
    <w:rsid w:val="00A734CB"/>
    <w:rsid w:val="00A74D82"/>
    <w:rsid w:val="00A75CE5"/>
    <w:rsid w:val="00A7637D"/>
    <w:rsid w:val="00A76A55"/>
    <w:rsid w:val="00A80ABB"/>
    <w:rsid w:val="00A81B46"/>
    <w:rsid w:val="00A83524"/>
    <w:rsid w:val="00A84107"/>
    <w:rsid w:val="00A84CAD"/>
    <w:rsid w:val="00A85135"/>
    <w:rsid w:val="00A85752"/>
    <w:rsid w:val="00A85F40"/>
    <w:rsid w:val="00A87BA1"/>
    <w:rsid w:val="00A90E50"/>
    <w:rsid w:val="00A95CE6"/>
    <w:rsid w:val="00A95FA5"/>
    <w:rsid w:val="00A96529"/>
    <w:rsid w:val="00A96D92"/>
    <w:rsid w:val="00A976CE"/>
    <w:rsid w:val="00AA02AF"/>
    <w:rsid w:val="00AA0968"/>
    <w:rsid w:val="00AA11E8"/>
    <w:rsid w:val="00AA1214"/>
    <w:rsid w:val="00AA1D71"/>
    <w:rsid w:val="00AA3692"/>
    <w:rsid w:val="00AA47CD"/>
    <w:rsid w:val="00AA5672"/>
    <w:rsid w:val="00AA6DA6"/>
    <w:rsid w:val="00AA70A9"/>
    <w:rsid w:val="00AA7B9C"/>
    <w:rsid w:val="00AB1576"/>
    <w:rsid w:val="00AB1803"/>
    <w:rsid w:val="00AB199C"/>
    <w:rsid w:val="00AB3733"/>
    <w:rsid w:val="00AB588C"/>
    <w:rsid w:val="00AB7793"/>
    <w:rsid w:val="00AB7897"/>
    <w:rsid w:val="00AC093E"/>
    <w:rsid w:val="00AC1942"/>
    <w:rsid w:val="00AC4562"/>
    <w:rsid w:val="00AC5054"/>
    <w:rsid w:val="00AC506D"/>
    <w:rsid w:val="00AC5A5E"/>
    <w:rsid w:val="00AC6CA7"/>
    <w:rsid w:val="00AC76E5"/>
    <w:rsid w:val="00AD0421"/>
    <w:rsid w:val="00AD1A7C"/>
    <w:rsid w:val="00AD3242"/>
    <w:rsid w:val="00AD3D92"/>
    <w:rsid w:val="00AD4833"/>
    <w:rsid w:val="00AD527D"/>
    <w:rsid w:val="00AD5D71"/>
    <w:rsid w:val="00AD5DF2"/>
    <w:rsid w:val="00AD69C4"/>
    <w:rsid w:val="00AD7397"/>
    <w:rsid w:val="00AE0511"/>
    <w:rsid w:val="00AE0FD1"/>
    <w:rsid w:val="00AE1A5E"/>
    <w:rsid w:val="00AE25B0"/>
    <w:rsid w:val="00AE2F52"/>
    <w:rsid w:val="00AE4BAC"/>
    <w:rsid w:val="00AE53A9"/>
    <w:rsid w:val="00AE6DA4"/>
    <w:rsid w:val="00AE7716"/>
    <w:rsid w:val="00AF135A"/>
    <w:rsid w:val="00AF354B"/>
    <w:rsid w:val="00AF570F"/>
    <w:rsid w:val="00AF6859"/>
    <w:rsid w:val="00AF6FF6"/>
    <w:rsid w:val="00AF7F60"/>
    <w:rsid w:val="00B00E60"/>
    <w:rsid w:val="00B020AB"/>
    <w:rsid w:val="00B03229"/>
    <w:rsid w:val="00B034FC"/>
    <w:rsid w:val="00B04C7F"/>
    <w:rsid w:val="00B0501C"/>
    <w:rsid w:val="00B05279"/>
    <w:rsid w:val="00B05310"/>
    <w:rsid w:val="00B06147"/>
    <w:rsid w:val="00B07A05"/>
    <w:rsid w:val="00B07B2D"/>
    <w:rsid w:val="00B10785"/>
    <w:rsid w:val="00B10A0B"/>
    <w:rsid w:val="00B13626"/>
    <w:rsid w:val="00B14FCB"/>
    <w:rsid w:val="00B17483"/>
    <w:rsid w:val="00B17981"/>
    <w:rsid w:val="00B2191B"/>
    <w:rsid w:val="00B219E7"/>
    <w:rsid w:val="00B21A5E"/>
    <w:rsid w:val="00B24CC5"/>
    <w:rsid w:val="00B257F1"/>
    <w:rsid w:val="00B2760A"/>
    <w:rsid w:val="00B30762"/>
    <w:rsid w:val="00B30D85"/>
    <w:rsid w:val="00B320C9"/>
    <w:rsid w:val="00B32336"/>
    <w:rsid w:val="00B35A4A"/>
    <w:rsid w:val="00B37A3B"/>
    <w:rsid w:val="00B40181"/>
    <w:rsid w:val="00B41D61"/>
    <w:rsid w:val="00B42FE3"/>
    <w:rsid w:val="00B433E5"/>
    <w:rsid w:val="00B437F9"/>
    <w:rsid w:val="00B44BAC"/>
    <w:rsid w:val="00B453CF"/>
    <w:rsid w:val="00B460FA"/>
    <w:rsid w:val="00B47230"/>
    <w:rsid w:val="00B510D6"/>
    <w:rsid w:val="00B51D25"/>
    <w:rsid w:val="00B525AD"/>
    <w:rsid w:val="00B52A1A"/>
    <w:rsid w:val="00B52EC0"/>
    <w:rsid w:val="00B531E2"/>
    <w:rsid w:val="00B53EA1"/>
    <w:rsid w:val="00B54682"/>
    <w:rsid w:val="00B56299"/>
    <w:rsid w:val="00B57A2D"/>
    <w:rsid w:val="00B60C14"/>
    <w:rsid w:val="00B62948"/>
    <w:rsid w:val="00B63FD7"/>
    <w:rsid w:val="00B645A0"/>
    <w:rsid w:val="00B66678"/>
    <w:rsid w:val="00B66D3D"/>
    <w:rsid w:val="00B67F2F"/>
    <w:rsid w:val="00B7122A"/>
    <w:rsid w:val="00B7187B"/>
    <w:rsid w:val="00B71968"/>
    <w:rsid w:val="00B71B45"/>
    <w:rsid w:val="00B71D90"/>
    <w:rsid w:val="00B72303"/>
    <w:rsid w:val="00B7324E"/>
    <w:rsid w:val="00B73313"/>
    <w:rsid w:val="00B76768"/>
    <w:rsid w:val="00B76BE7"/>
    <w:rsid w:val="00B77060"/>
    <w:rsid w:val="00B779A4"/>
    <w:rsid w:val="00B8092A"/>
    <w:rsid w:val="00B816D9"/>
    <w:rsid w:val="00B81928"/>
    <w:rsid w:val="00B82AC4"/>
    <w:rsid w:val="00B84ED7"/>
    <w:rsid w:val="00B86B82"/>
    <w:rsid w:val="00B8729A"/>
    <w:rsid w:val="00B9120F"/>
    <w:rsid w:val="00B9216C"/>
    <w:rsid w:val="00B924A4"/>
    <w:rsid w:val="00B924E5"/>
    <w:rsid w:val="00B93300"/>
    <w:rsid w:val="00B94230"/>
    <w:rsid w:val="00B94275"/>
    <w:rsid w:val="00B96DB1"/>
    <w:rsid w:val="00BA2D8E"/>
    <w:rsid w:val="00BA2D96"/>
    <w:rsid w:val="00BA423A"/>
    <w:rsid w:val="00BA5964"/>
    <w:rsid w:val="00BA65CA"/>
    <w:rsid w:val="00BA712B"/>
    <w:rsid w:val="00BB0556"/>
    <w:rsid w:val="00BB0D1A"/>
    <w:rsid w:val="00BB0DFB"/>
    <w:rsid w:val="00BB0F75"/>
    <w:rsid w:val="00BB1AAD"/>
    <w:rsid w:val="00BB1D3B"/>
    <w:rsid w:val="00BB35AF"/>
    <w:rsid w:val="00BB5D54"/>
    <w:rsid w:val="00BB7335"/>
    <w:rsid w:val="00BC1E23"/>
    <w:rsid w:val="00BC266A"/>
    <w:rsid w:val="00BC28DB"/>
    <w:rsid w:val="00BC35ED"/>
    <w:rsid w:val="00BC4AE3"/>
    <w:rsid w:val="00BC4C65"/>
    <w:rsid w:val="00BC6962"/>
    <w:rsid w:val="00BC6E00"/>
    <w:rsid w:val="00BD03ED"/>
    <w:rsid w:val="00BD16E2"/>
    <w:rsid w:val="00BD39BD"/>
    <w:rsid w:val="00BD505F"/>
    <w:rsid w:val="00BD525D"/>
    <w:rsid w:val="00BD6E1D"/>
    <w:rsid w:val="00BE205A"/>
    <w:rsid w:val="00BE2FBC"/>
    <w:rsid w:val="00BE3802"/>
    <w:rsid w:val="00BE472B"/>
    <w:rsid w:val="00BE52CF"/>
    <w:rsid w:val="00BE5472"/>
    <w:rsid w:val="00BE5913"/>
    <w:rsid w:val="00BF0A7E"/>
    <w:rsid w:val="00BF0DDB"/>
    <w:rsid w:val="00BF0E02"/>
    <w:rsid w:val="00BF10E5"/>
    <w:rsid w:val="00BF238E"/>
    <w:rsid w:val="00BF2F4A"/>
    <w:rsid w:val="00BF4386"/>
    <w:rsid w:val="00BF544D"/>
    <w:rsid w:val="00BF572B"/>
    <w:rsid w:val="00BF79BE"/>
    <w:rsid w:val="00C0076F"/>
    <w:rsid w:val="00C02840"/>
    <w:rsid w:val="00C0301C"/>
    <w:rsid w:val="00C04327"/>
    <w:rsid w:val="00C04F15"/>
    <w:rsid w:val="00C050B6"/>
    <w:rsid w:val="00C060CE"/>
    <w:rsid w:val="00C07410"/>
    <w:rsid w:val="00C07758"/>
    <w:rsid w:val="00C10F12"/>
    <w:rsid w:val="00C11392"/>
    <w:rsid w:val="00C1251B"/>
    <w:rsid w:val="00C12667"/>
    <w:rsid w:val="00C12E8E"/>
    <w:rsid w:val="00C135B6"/>
    <w:rsid w:val="00C13B28"/>
    <w:rsid w:val="00C13D25"/>
    <w:rsid w:val="00C13D75"/>
    <w:rsid w:val="00C13E63"/>
    <w:rsid w:val="00C16512"/>
    <w:rsid w:val="00C1717F"/>
    <w:rsid w:val="00C17DAF"/>
    <w:rsid w:val="00C21AAB"/>
    <w:rsid w:val="00C21B9D"/>
    <w:rsid w:val="00C2221C"/>
    <w:rsid w:val="00C2449D"/>
    <w:rsid w:val="00C244D8"/>
    <w:rsid w:val="00C245EA"/>
    <w:rsid w:val="00C24A67"/>
    <w:rsid w:val="00C256F6"/>
    <w:rsid w:val="00C25E97"/>
    <w:rsid w:val="00C267D4"/>
    <w:rsid w:val="00C30743"/>
    <w:rsid w:val="00C3097E"/>
    <w:rsid w:val="00C31A47"/>
    <w:rsid w:val="00C323D9"/>
    <w:rsid w:val="00C327DA"/>
    <w:rsid w:val="00C32E95"/>
    <w:rsid w:val="00C33ACC"/>
    <w:rsid w:val="00C34E10"/>
    <w:rsid w:val="00C35ECC"/>
    <w:rsid w:val="00C3608D"/>
    <w:rsid w:val="00C361A8"/>
    <w:rsid w:val="00C41246"/>
    <w:rsid w:val="00C42589"/>
    <w:rsid w:val="00C43DC0"/>
    <w:rsid w:val="00C44DDD"/>
    <w:rsid w:val="00C45E5F"/>
    <w:rsid w:val="00C46291"/>
    <w:rsid w:val="00C5034B"/>
    <w:rsid w:val="00C50F14"/>
    <w:rsid w:val="00C55099"/>
    <w:rsid w:val="00C55CA1"/>
    <w:rsid w:val="00C56F3F"/>
    <w:rsid w:val="00C57D2F"/>
    <w:rsid w:val="00C57E4B"/>
    <w:rsid w:val="00C60756"/>
    <w:rsid w:val="00C614E5"/>
    <w:rsid w:val="00C62FA3"/>
    <w:rsid w:val="00C63412"/>
    <w:rsid w:val="00C63EC8"/>
    <w:rsid w:val="00C643B4"/>
    <w:rsid w:val="00C64426"/>
    <w:rsid w:val="00C64E16"/>
    <w:rsid w:val="00C653C8"/>
    <w:rsid w:val="00C66B30"/>
    <w:rsid w:val="00C67088"/>
    <w:rsid w:val="00C70185"/>
    <w:rsid w:val="00C70F62"/>
    <w:rsid w:val="00C71040"/>
    <w:rsid w:val="00C714D0"/>
    <w:rsid w:val="00C72A3B"/>
    <w:rsid w:val="00C72ACB"/>
    <w:rsid w:val="00C72C72"/>
    <w:rsid w:val="00C74C43"/>
    <w:rsid w:val="00C77DC3"/>
    <w:rsid w:val="00C80F08"/>
    <w:rsid w:val="00C815FF"/>
    <w:rsid w:val="00C82F04"/>
    <w:rsid w:val="00C82F0E"/>
    <w:rsid w:val="00C83583"/>
    <w:rsid w:val="00C84C87"/>
    <w:rsid w:val="00C86B68"/>
    <w:rsid w:val="00C879AF"/>
    <w:rsid w:val="00C90252"/>
    <w:rsid w:val="00C90B17"/>
    <w:rsid w:val="00C90EF4"/>
    <w:rsid w:val="00C91779"/>
    <w:rsid w:val="00C92900"/>
    <w:rsid w:val="00C92BAD"/>
    <w:rsid w:val="00C92D34"/>
    <w:rsid w:val="00C92D3E"/>
    <w:rsid w:val="00C92E6B"/>
    <w:rsid w:val="00C933DF"/>
    <w:rsid w:val="00C9378B"/>
    <w:rsid w:val="00C95AF7"/>
    <w:rsid w:val="00C95D58"/>
    <w:rsid w:val="00C975F8"/>
    <w:rsid w:val="00CA015A"/>
    <w:rsid w:val="00CA066D"/>
    <w:rsid w:val="00CA3E24"/>
    <w:rsid w:val="00CA5DE7"/>
    <w:rsid w:val="00CA6B23"/>
    <w:rsid w:val="00CB16AC"/>
    <w:rsid w:val="00CB17AA"/>
    <w:rsid w:val="00CB4D2E"/>
    <w:rsid w:val="00CB5640"/>
    <w:rsid w:val="00CB5FEE"/>
    <w:rsid w:val="00CB68EA"/>
    <w:rsid w:val="00CB7591"/>
    <w:rsid w:val="00CC0EA7"/>
    <w:rsid w:val="00CC1AA3"/>
    <w:rsid w:val="00CC32DF"/>
    <w:rsid w:val="00CC3563"/>
    <w:rsid w:val="00CC53CD"/>
    <w:rsid w:val="00CC6C97"/>
    <w:rsid w:val="00CD086E"/>
    <w:rsid w:val="00CD1882"/>
    <w:rsid w:val="00CD2428"/>
    <w:rsid w:val="00CD26F6"/>
    <w:rsid w:val="00CD3B13"/>
    <w:rsid w:val="00CD4486"/>
    <w:rsid w:val="00CD6276"/>
    <w:rsid w:val="00CD6967"/>
    <w:rsid w:val="00CD75A3"/>
    <w:rsid w:val="00CE1DB2"/>
    <w:rsid w:val="00CE392F"/>
    <w:rsid w:val="00CE3A8F"/>
    <w:rsid w:val="00CE3D60"/>
    <w:rsid w:val="00CE4834"/>
    <w:rsid w:val="00CE4A6A"/>
    <w:rsid w:val="00CE4ECB"/>
    <w:rsid w:val="00CE6B76"/>
    <w:rsid w:val="00CE6CA3"/>
    <w:rsid w:val="00CE71E4"/>
    <w:rsid w:val="00CE7321"/>
    <w:rsid w:val="00CF09DE"/>
    <w:rsid w:val="00CF2308"/>
    <w:rsid w:val="00CF28F9"/>
    <w:rsid w:val="00CF4564"/>
    <w:rsid w:val="00CF47EA"/>
    <w:rsid w:val="00CF507E"/>
    <w:rsid w:val="00CF58BD"/>
    <w:rsid w:val="00CF5A73"/>
    <w:rsid w:val="00CF5E22"/>
    <w:rsid w:val="00CF6FEF"/>
    <w:rsid w:val="00D007EE"/>
    <w:rsid w:val="00D0083A"/>
    <w:rsid w:val="00D014FE"/>
    <w:rsid w:val="00D03C6B"/>
    <w:rsid w:val="00D05C28"/>
    <w:rsid w:val="00D06A44"/>
    <w:rsid w:val="00D074D1"/>
    <w:rsid w:val="00D07B7A"/>
    <w:rsid w:val="00D07DFD"/>
    <w:rsid w:val="00D12911"/>
    <w:rsid w:val="00D144D4"/>
    <w:rsid w:val="00D151EB"/>
    <w:rsid w:val="00D170C5"/>
    <w:rsid w:val="00D200DC"/>
    <w:rsid w:val="00D20F80"/>
    <w:rsid w:val="00D21550"/>
    <w:rsid w:val="00D226B7"/>
    <w:rsid w:val="00D22C2C"/>
    <w:rsid w:val="00D2731C"/>
    <w:rsid w:val="00D27479"/>
    <w:rsid w:val="00D2758C"/>
    <w:rsid w:val="00D27C00"/>
    <w:rsid w:val="00D300E0"/>
    <w:rsid w:val="00D301AB"/>
    <w:rsid w:val="00D30392"/>
    <w:rsid w:val="00D313C3"/>
    <w:rsid w:val="00D33587"/>
    <w:rsid w:val="00D337D3"/>
    <w:rsid w:val="00D33DE3"/>
    <w:rsid w:val="00D34A0C"/>
    <w:rsid w:val="00D3649D"/>
    <w:rsid w:val="00D374CD"/>
    <w:rsid w:val="00D434BC"/>
    <w:rsid w:val="00D43C85"/>
    <w:rsid w:val="00D44F6C"/>
    <w:rsid w:val="00D474CC"/>
    <w:rsid w:val="00D47DCF"/>
    <w:rsid w:val="00D51CB9"/>
    <w:rsid w:val="00D526C2"/>
    <w:rsid w:val="00D5352F"/>
    <w:rsid w:val="00D5394F"/>
    <w:rsid w:val="00D54381"/>
    <w:rsid w:val="00D559CD"/>
    <w:rsid w:val="00D55FDE"/>
    <w:rsid w:val="00D60711"/>
    <w:rsid w:val="00D60FDA"/>
    <w:rsid w:val="00D6105C"/>
    <w:rsid w:val="00D613C8"/>
    <w:rsid w:val="00D618BA"/>
    <w:rsid w:val="00D63EC8"/>
    <w:rsid w:val="00D650CE"/>
    <w:rsid w:val="00D65739"/>
    <w:rsid w:val="00D671EE"/>
    <w:rsid w:val="00D676FF"/>
    <w:rsid w:val="00D7024D"/>
    <w:rsid w:val="00D7038E"/>
    <w:rsid w:val="00D71719"/>
    <w:rsid w:val="00D721EA"/>
    <w:rsid w:val="00D72DE6"/>
    <w:rsid w:val="00D74622"/>
    <w:rsid w:val="00D75721"/>
    <w:rsid w:val="00D75CAA"/>
    <w:rsid w:val="00D776DA"/>
    <w:rsid w:val="00D812D5"/>
    <w:rsid w:val="00D8193E"/>
    <w:rsid w:val="00D82205"/>
    <w:rsid w:val="00D8265F"/>
    <w:rsid w:val="00D8706E"/>
    <w:rsid w:val="00D8758B"/>
    <w:rsid w:val="00D87781"/>
    <w:rsid w:val="00D92479"/>
    <w:rsid w:val="00D92C17"/>
    <w:rsid w:val="00D942B3"/>
    <w:rsid w:val="00D94863"/>
    <w:rsid w:val="00D94A72"/>
    <w:rsid w:val="00D96756"/>
    <w:rsid w:val="00D96B91"/>
    <w:rsid w:val="00DA0756"/>
    <w:rsid w:val="00DA130B"/>
    <w:rsid w:val="00DA1A53"/>
    <w:rsid w:val="00DA1E1F"/>
    <w:rsid w:val="00DA3912"/>
    <w:rsid w:val="00DA3CDA"/>
    <w:rsid w:val="00DA55A4"/>
    <w:rsid w:val="00DA67BF"/>
    <w:rsid w:val="00DA7D09"/>
    <w:rsid w:val="00DA7F56"/>
    <w:rsid w:val="00DB0085"/>
    <w:rsid w:val="00DB1083"/>
    <w:rsid w:val="00DB28CC"/>
    <w:rsid w:val="00DB2F6D"/>
    <w:rsid w:val="00DB35C7"/>
    <w:rsid w:val="00DB4F97"/>
    <w:rsid w:val="00DB546F"/>
    <w:rsid w:val="00DC2630"/>
    <w:rsid w:val="00DC49E9"/>
    <w:rsid w:val="00DC55E4"/>
    <w:rsid w:val="00DC7D71"/>
    <w:rsid w:val="00DD01CF"/>
    <w:rsid w:val="00DD1038"/>
    <w:rsid w:val="00DD120D"/>
    <w:rsid w:val="00DD188C"/>
    <w:rsid w:val="00DD29A3"/>
    <w:rsid w:val="00DD48EE"/>
    <w:rsid w:val="00DD5319"/>
    <w:rsid w:val="00DD5490"/>
    <w:rsid w:val="00DD62A2"/>
    <w:rsid w:val="00DD6AC5"/>
    <w:rsid w:val="00DD6B69"/>
    <w:rsid w:val="00DD6D38"/>
    <w:rsid w:val="00DD7BA1"/>
    <w:rsid w:val="00DE0B96"/>
    <w:rsid w:val="00DE0FCE"/>
    <w:rsid w:val="00DE10B9"/>
    <w:rsid w:val="00DE19DE"/>
    <w:rsid w:val="00DE3F60"/>
    <w:rsid w:val="00DE7216"/>
    <w:rsid w:val="00DF0B13"/>
    <w:rsid w:val="00DF2DCC"/>
    <w:rsid w:val="00DF2EB8"/>
    <w:rsid w:val="00DF39A7"/>
    <w:rsid w:val="00DF3A50"/>
    <w:rsid w:val="00DF4A94"/>
    <w:rsid w:val="00DF5DEA"/>
    <w:rsid w:val="00DF6003"/>
    <w:rsid w:val="00DF7719"/>
    <w:rsid w:val="00DF7D5D"/>
    <w:rsid w:val="00E00095"/>
    <w:rsid w:val="00E00D5F"/>
    <w:rsid w:val="00E02139"/>
    <w:rsid w:val="00E02A57"/>
    <w:rsid w:val="00E03D6E"/>
    <w:rsid w:val="00E03DAE"/>
    <w:rsid w:val="00E04ACC"/>
    <w:rsid w:val="00E066C3"/>
    <w:rsid w:val="00E067D0"/>
    <w:rsid w:val="00E06DEE"/>
    <w:rsid w:val="00E07424"/>
    <w:rsid w:val="00E07457"/>
    <w:rsid w:val="00E07BB7"/>
    <w:rsid w:val="00E102C3"/>
    <w:rsid w:val="00E10785"/>
    <w:rsid w:val="00E10C1C"/>
    <w:rsid w:val="00E10D8C"/>
    <w:rsid w:val="00E113CD"/>
    <w:rsid w:val="00E12D15"/>
    <w:rsid w:val="00E1353A"/>
    <w:rsid w:val="00E14F9B"/>
    <w:rsid w:val="00E1502D"/>
    <w:rsid w:val="00E1564B"/>
    <w:rsid w:val="00E159FF"/>
    <w:rsid w:val="00E15A96"/>
    <w:rsid w:val="00E16F8B"/>
    <w:rsid w:val="00E173D7"/>
    <w:rsid w:val="00E208A0"/>
    <w:rsid w:val="00E20A97"/>
    <w:rsid w:val="00E21F8D"/>
    <w:rsid w:val="00E23E3F"/>
    <w:rsid w:val="00E24B1F"/>
    <w:rsid w:val="00E24C0C"/>
    <w:rsid w:val="00E24CA7"/>
    <w:rsid w:val="00E25963"/>
    <w:rsid w:val="00E25B49"/>
    <w:rsid w:val="00E264AF"/>
    <w:rsid w:val="00E27B2B"/>
    <w:rsid w:val="00E27DE3"/>
    <w:rsid w:val="00E31556"/>
    <w:rsid w:val="00E31EFE"/>
    <w:rsid w:val="00E337BE"/>
    <w:rsid w:val="00E343CA"/>
    <w:rsid w:val="00E35B32"/>
    <w:rsid w:val="00E35C69"/>
    <w:rsid w:val="00E3635D"/>
    <w:rsid w:val="00E371EA"/>
    <w:rsid w:val="00E41205"/>
    <w:rsid w:val="00E41512"/>
    <w:rsid w:val="00E45D15"/>
    <w:rsid w:val="00E463D3"/>
    <w:rsid w:val="00E55BCA"/>
    <w:rsid w:val="00E56706"/>
    <w:rsid w:val="00E567B1"/>
    <w:rsid w:val="00E56C55"/>
    <w:rsid w:val="00E57038"/>
    <w:rsid w:val="00E62C2E"/>
    <w:rsid w:val="00E62C45"/>
    <w:rsid w:val="00E64429"/>
    <w:rsid w:val="00E6479C"/>
    <w:rsid w:val="00E6701E"/>
    <w:rsid w:val="00E677DD"/>
    <w:rsid w:val="00E679A5"/>
    <w:rsid w:val="00E71688"/>
    <w:rsid w:val="00E7208D"/>
    <w:rsid w:val="00E73CC2"/>
    <w:rsid w:val="00E74CFE"/>
    <w:rsid w:val="00E753CC"/>
    <w:rsid w:val="00E753E8"/>
    <w:rsid w:val="00E7594B"/>
    <w:rsid w:val="00E764E6"/>
    <w:rsid w:val="00E7748E"/>
    <w:rsid w:val="00E82000"/>
    <w:rsid w:val="00E82365"/>
    <w:rsid w:val="00E853E5"/>
    <w:rsid w:val="00E866DE"/>
    <w:rsid w:val="00E8795E"/>
    <w:rsid w:val="00E905E6"/>
    <w:rsid w:val="00E907B1"/>
    <w:rsid w:val="00E90C73"/>
    <w:rsid w:val="00E91BCA"/>
    <w:rsid w:val="00E93D9D"/>
    <w:rsid w:val="00E94329"/>
    <w:rsid w:val="00E95FED"/>
    <w:rsid w:val="00E9682A"/>
    <w:rsid w:val="00E9785F"/>
    <w:rsid w:val="00EA1185"/>
    <w:rsid w:val="00EA1D54"/>
    <w:rsid w:val="00EA4DAA"/>
    <w:rsid w:val="00EA7981"/>
    <w:rsid w:val="00EA7E34"/>
    <w:rsid w:val="00EB1DB6"/>
    <w:rsid w:val="00EB20FA"/>
    <w:rsid w:val="00EB252E"/>
    <w:rsid w:val="00EB3626"/>
    <w:rsid w:val="00EB4688"/>
    <w:rsid w:val="00EB53C0"/>
    <w:rsid w:val="00EB681A"/>
    <w:rsid w:val="00EB6C07"/>
    <w:rsid w:val="00EC028D"/>
    <w:rsid w:val="00EC06C9"/>
    <w:rsid w:val="00EC092B"/>
    <w:rsid w:val="00EC12CB"/>
    <w:rsid w:val="00EC1AD9"/>
    <w:rsid w:val="00EC1AF3"/>
    <w:rsid w:val="00EC2F6D"/>
    <w:rsid w:val="00EC3509"/>
    <w:rsid w:val="00EC3528"/>
    <w:rsid w:val="00EC3678"/>
    <w:rsid w:val="00EC45CF"/>
    <w:rsid w:val="00EC4729"/>
    <w:rsid w:val="00ED10B9"/>
    <w:rsid w:val="00ED1BA1"/>
    <w:rsid w:val="00ED4BFD"/>
    <w:rsid w:val="00ED5BAD"/>
    <w:rsid w:val="00ED633B"/>
    <w:rsid w:val="00ED6680"/>
    <w:rsid w:val="00ED759F"/>
    <w:rsid w:val="00ED7B9F"/>
    <w:rsid w:val="00EE0E5B"/>
    <w:rsid w:val="00EE0F9F"/>
    <w:rsid w:val="00EE2BBB"/>
    <w:rsid w:val="00EE3FDE"/>
    <w:rsid w:val="00EE4312"/>
    <w:rsid w:val="00EE478C"/>
    <w:rsid w:val="00EE692D"/>
    <w:rsid w:val="00EE7AD7"/>
    <w:rsid w:val="00EF0158"/>
    <w:rsid w:val="00EF1323"/>
    <w:rsid w:val="00EF2D8B"/>
    <w:rsid w:val="00EF3E03"/>
    <w:rsid w:val="00EF44AF"/>
    <w:rsid w:val="00EF490C"/>
    <w:rsid w:val="00EF4B19"/>
    <w:rsid w:val="00EF6063"/>
    <w:rsid w:val="00EF62C2"/>
    <w:rsid w:val="00EF69DC"/>
    <w:rsid w:val="00EF6FF2"/>
    <w:rsid w:val="00EF7B32"/>
    <w:rsid w:val="00EF7C6E"/>
    <w:rsid w:val="00F02CD0"/>
    <w:rsid w:val="00F03D48"/>
    <w:rsid w:val="00F0440B"/>
    <w:rsid w:val="00F050EE"/>
    <w:rsid w:val="00F063DB"/>
    <w:rsid w:val="00F1132C"/>
    <w:rsid w:val="00F11580"/>
    <w:rsid w:val="00F1271C"/>
    <w:rsid w:val="00F130CC"/>
    <w:rsid w:val="00F15DB5"/>
    <w:rsid w:val="00F15DD5"/>
    <w:rsid w:val="00F1669B"/>
    <w:rsid w:val="00F17AD7"/>
    <w:rsid w:val="00F17D4B"/>
    <w:rsid w:val="00F20BBB"/>
    <w:rsid w:val="00F23139"/>
    <w:rsid w:val="00F24182"/>
    <w:rsid w:val="00F2633B"/>
    <w:rsid w:val="00F266BA"/>
    <w:rsid w:val="00F30D08"/>
    <w:rsid w:val="00F3125C"/>
    <w:rsid w:val="00F32A1C"/>
    <w:rsid w:val="00F335A2"/>
    <w:rsid w:val="00F336E6"/>
    <w:rsid w:val="00F33FD3"/>
    <w:rsid w:val="00F35EB0"/>
    <w:rsid w:val="00F41196"/>
    <w:rsid w:val="00F41F14"/>
    <w:rsid w:val="00F42978"/>
    <w:rsid w:val="00F4668A"/>
    <w:rsid w:val="00F5012D"/>
    <w:rsid w:val="00F50BF2"/>
    <w:rsid w:val="00F517E5"/>
    <w:rsid w:val="00F51CFB"/>
    <w:rsid w:val="00F52840"/>
    <w:rsid w:val="00F52D55"/>
    <w:rsid w:val="00F53E72"/>
    <w:rsid w:val="00F57D36"/>
    <w:rsid w:val="00F6070E"/>
    <w:rsid w:val="00F60B62"/>
    <w:rsid w:val="00F617A8"/>
    <w:rsid w:val="00F61A67"/>
    <w:rsid w:val="00F61B32"/>
    <w:rsid w:val="00F62794"/>
    <w:rsid w:val="00F63FA0"/>
    <w:rsid w:val="00F66025"/>
    <w:rsid w:val="00F66CD5"/>
    <w:rsid w:val="00F66E7F"/>
    <w:rsid w:val="00F672D7"/>
    <w:rsid w:val="00F676E5"/>
    <w:rsid w:val="00F67A9A"/>
    <w:rsid w:val="00F70F4E"/>
    <w:rsid w:val="00F712CC"/>
    <w:rsid w:val="00F73113"/>
    <w:rsid w:val="00F73C0F"/>
    <w:rsid w:val="00F75FC4"/>
    <w:rsid w:val="00F763B6"/>
    <w:rsid w:val="00F77997"/>
    <w:rsid w:val="00F82A8F"/>
    <w:rsid w:val="00F82BB0"/>
    <w:rsid w:val="00F836DF"/>
    <w:rsid w:val="00F83F21"/>
    <w:rsid w:val="00F84F99"/>
    <w:rsid w:val="00F85981"/>
    <w:rsid w:val="00F85B2C"/>
    <w:rsid w:val="00F8698E"/>
    <w:rsid w:val="00F87263"/>
    <w:rsid w:val="00F93725"/>
    <w:rsid w:val="00F93CB8"/>
    <w:rsid w:val="00F93E95"/>
    <w:rsid w:val="00F958DF"/>
    <w:rsid w:val="00FA3EC3"/>
    <w:rsid w:val="00FA4698"/>
    <w:rsid w:val="00FA4890"/>
    <w:rsid w:val="00FA4EAE"/>
    <w:rsid w:val="00FA7212"/>
    <w:rsid w:val="00FB0930"/>
    <w:rsid w:val="00FB1A69"/>
    <w:rsid w:val="00FB4036"/>
    <w:rsid w:val="00FB5577"/>
    <w:rsid w:val="00FB614B"/>
    <w:rsid w:val="00FB72EB"/>
    <w:rsid w:val="00FB77FA"/>
    <w:rsid w:val="00FC01E6"/>
    <w:rsid w:val="00FC0A7E"/>
    <w:rsid w:val="00FC176E"/>
    <w:rsid w:val="00FC3C70"/>
    <w:rsid w:val="00FC4A73"/>
    <w:rsid w:val="00FC559C"/>
    <w:rsid w:val="00FC564A"/>
    <w:rsid w:val="00FC6747"/>
    <w:rsid w:val="00FC7F0D"/>
    <w:rsid w:val="00FD1176"/>
    <w:rsid w:val="00FD14E4"/>
    <w:rsid w:val="00FD23A5"/>
    <w:rsid w:val="00FD2500"/>
    <w:rsid w:val="00FD5344"/>
    <w:rsid w:val="00FD7AAD"/>
    <w:rsid w:val="00FD7DFD"/>
    <w:rsid w:val="00FE0360"/>
    <w:rsid w:val="00FE07F1"/>
    <w:rsid w:val="00FE0F65"/>
    <w:rsid w:val="00FE22B5"/>
    <w:rsid w:val="00FE2953"/>
    <w:rsid w:val="00FE30AD"/>
    <w:rsid w:val="00FE3E44"/>
    <w:rsid w:val="00FE472D"/>
    <w:rsid w:val="00FE4D8A"/>
    <w:rsid w:val="00FE5FC5"/>
    <w:rsid w:val="00FE62CF"/>
    <w:rsid w:val="00FE645A"/>
    <w:rsid w:val="00FE7994"/>
    <w:rsid w:val="00FE7D45"/>
    <w:rsid w:val="00FF2663"/>
    <w:rsid w:val="00FF3FF6"/>
    <w:rsid w:val="00FF4A05"/>
    <w:rsid w:val="00FF4FBB"/>
    <w:rsid w:val="00FF5816"/>
    <w:rsid w:val="00FF5E1E"/>
    <w:rsid w:val="00FF6102"/>
    <w:rsid w:val="00FF611A"/>
    <w:rsid w:val="2C0CF38B"/>
    <w:rsid w:val="7C1ED07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05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3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81671C"/>
    <w:pPr>
      <w:spacing w:before="60" w:after="60"/>
    </w:pPr>
    <w:rPr>
      <w:lang w:val="en-US"/>
    </w:rPr>
  </w:style>
  <w:style w:type="character" w:customStyle="1" w:styleId="FiguretitleChar">
    <w:name w:val="Figure title Char"/>
    <w:basedOn w:val="TabletitleChar"/>
    <w:link w:val="Figuretitle"/>
    <w:rsid w:val="0081671C"/>
    <w:rPr>
      <w:b/>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aliases w:val="BulletPoints,Numbered para,Footnote,Bullet point,List Paragraph1,List Paragraph11,Recommendation,ES Paragraph,PBAC ES Paragraph,PBAC normal points,Bullet List,#List Paragraph,L,Bullet Level 1,Bullet Point,Bulletr List Paragraph,FooterText"/>
    <w:basedOn w:val="Normal"/>
    <w:link w:val="ListParagraphChar"/>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L Char"/>
    <w:link w:val="ListParagraph"/>
    <w:uiPriority w:val="34"/>
    <w:qFormat/>
    <w:locked/>
    <w:rsid w:val="000C7395"/>
    <w:rPr>
      <w:sz w:val="24"/>
      <w:szCs w:val="24"/>
    </w:rPr>
  </w:style>
  <w:style w:type="character" w:styleId="EndnoteReference">
    <w:name w:val="endnote reference"/>
    <w:basedOn w:val="DefaultParagraphFont"/>
    <w:uiPriority w:val="99"/>
    <w:semiHidden/>
    <w:unhideWhenUsed/>
    <w:rsid w:val="000C7395"/>
    <w:rPr>
      <w:vertAlign w:val="superscript"/>
    </w:rPr>
  </w:style>
  <w:style w:type="paragraph" w:styleId="EndnoteText">
    <w:name w:val="endnote text"/>
    <w:basedOn w:val="Normal"/>
    <w:link w:val="EndnoteTextChar"/>
    <w:uiPriority w:val="99"/>
    <w:unhideWhenUsed/>
    <w:rsid w:val="000C7395"/>
    <w:pPr>
      <w:spacing w:after="0"/>
    </w:pPr>
    <w:rPr>
      <w:sz w:val="20"/>
      <w:szCs w:val="20"/>
    </w:rPr>
  </w:style>
  <w:style w:type="character" w:customStyle="1" w:styleId="EndnoteTextChar">
    <w:name w:val="Endnote Text Char"/>
    <w:basedOn w:val="DefaultParagraphFont"/>
    <w:link w:val="EndnoteText"/>
    <w:uiPriority w:val="99"/>
    <w:rsid w:val="000C7395"/>
    <w:rPr>
      <w:sz w:val="20"/>
      <w:szCs w:val="20"/>
    </w:rPr>
  </w:style>
  <w:style w:type="character" w:styleId="Emphasis">
    <w:name w:val="Emphasis"/>
    <w:basedOn w:val="DefaultParagraphFont"/>
    <w:uiPriority w:val="20"/>
    <w:qFormat/>
    <w:rsid w:val="00D92479"/>
    <w:rPr>
      <w:i/>
      <w:iCs/>
    </w:rPr>
  </w:style>
  <w:style w:type="paragraph" w:styleId="NormalWeb">
    <w:name w:val="Normal (Web)"/>
    <w:basedOn w:val="Normal"/>
    <w:uiPriority w:val="99"/>
    <w:semiHidden/>
    <w:unhideWhenUsed/>
    <w:rsid w:val="0095396C"/>
    <w:pPr>
      <w:spacing w:before="100" w:beforeAutospacing="1" w:after="100" w:afterAutospacing="1"/>
    </w:pPr>
    <w:rPr>
      <w:rFonts w:ascii="Times New Roman" w:eastAsia="Times New Roman" w:hAnsi="Times New Roman" w:cs="Times New Roman"/>
    </w:rPr>
  </w:style>
  <w:style w:type="paragraph" w:customStyle="1" w:styleId="TableFooter">
    <w:name w:val="Table Footer"/>
    <w:basedOn w:val="Normal"/>
    <w:link w:val="TableFooterChar"/>
    <w:qFormat/>
    <w:rsid w:val="00D074D1"/>
    <w:pPr>
      <w:widowControl w:val="0"/>
      <w:spacing w:after="0"/>
      <w:jc w:val="both"/>
    </w:pPr>
    <w:rPr>
      <w:rFonts w:ascii="Arial Narrow" w:eastAsia="SimSun" w:hAnsi="Arial Narrow" w:cs="Arial"/>
      <w:snapToGrid w:val="0"/>
      <w:sz w:val="18"/>
      <w:szCs w:val="20"/>
      <w:lang w:eastAsia="en-US"/>
    </w:rPr>
  </w:style>
  <w:style w:type="table" w:customStyle="1" w:styleId="TableGrid1">
    <w:name w:val="Table Grid1"/>
    <w:basedOn w:val="TableNormal"/>
    <w:next w:val="TableGrid"/>
    <w:uiPriority w:val="59"/>
    <w:rsid w:val="008C30D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5AF7"/>
    <w:rPr>
      <w:color w:val="800080" w:themeColor="followedHyperlink"/>
      <w:u w:val="single"/>
    </w:rPr>
  </w:style>
  <w:style w:type="paragraph" w:styleId="Revision">
    <w:name w:val="Revision"/>
    <w:hidden/>
    <w:uiPriority w:val="99"/>
    <w:semiHidden/>
    <w:rsid w:val="00E93D9D"/>
    <w:pPr>
      <w:spacing w:after="0" w:line="240" w:lineRule="auto"/>
    </w:pPr>
    <w:rPr>
      <w:sz w:val="24"/>
      <w:szCs w:val="24"/>
    </w:rPr>
  </w:style>
  <w:style w:type="paragraph" w:customStyle="1" w:styleId="TableHeading0">
    <w:name w:val="TableHeading"/>
    <w:basedOn w:val="Normal"/>
    <w:uiPriority w:val="99"/>
    <w:qFormat/>
    <w:rsid w:val="00C25E97"/>
    <w:pPr>
      <w:keepNext/>
      <w:spacing w:after="60"/>
    </w:pPr>
    <w:rPr>
      <w:rFonts w:ascii="Arial Narrow" w:eastAsia="Times New Roman" w:hAnsi="Arial Narrow" w:cs="Arial Narrow"/>
      <w:b/>
      <w:bCs/>
      <w:sz w:val="20"/>
      <w:szCs w:val="20"/>
      <w:lang w:eastAsia="en-US"/>
    </w:rPr>
  </w:style>
  <w:style w:type="paragraph" w:customStyle="1" w:styleId="TableText">
    <w:name w:val="Table Text"/>
    <w:basedOn w:val="Normal"/>
    <w:link w:val="TableTextChar"/>
    <w:uiPriority w:val="99"/>
    <w:qFormat/>
    <w:rsid w:val="00C25E97"/>
    <w:pPr>
      <w:keepNext/>
      <w:spacing w:before="40" w:after="40"/>
    </w:pPr>
    <w:rPr>
      <w:rFonts w:ascii="Arial Narrow" w:eastAsiaTheme="minorHAnsi" w:hAnsi="Arial Narrow"/>
      <w:sz w:val="20"/>
      <w:szCs w:val="22"/>
      <w:lang w:eastAsia="en-US"/>
    </w:rPr>
  </w:style>
  <w:style w:type="character" w:customStyle="1" w:styleId="TableFooterChar">
    <w:name w:val="Table Footer Char"/>
    <w:link w:val="TableFooter"/>
    <w:rsid w:val="00C25E97"/>
    <w:rPr>
      <w:rFonts w:ascii="Arial Narrow" w:eastAsia="SimSun" w:hAnsi="Arial Narrow" w:cs="Arial"/>
      <w:snapToGrid w:val="0"/>
      <w:sz w:val="18"/>
      <w:szCs w:val="20"/>
      <w:lang w:eastAsia="en-US"/>
    </w:rPr>
  </w:style>
  <w:style w:type="character" w:customStyle="1" w:styleId="TableTextChar">
    <w:name w:val="Table Text Char"/>
    <w:link w:val="TableText"/>
    <w:uiPriority w:val="99"/>
    <w:rsid w:val="00C25E97"/>
    <w:rPr>
      <w:rFonts w:ascii="Arial Narrow" w:eastAsiaTheme="minorHAnsi" w:hAnsi="Arial Narrow"/>
      <w:sz w:val="20"/>
      <w:lang w:eastAsia="en-US"/>
    </w:rPr>
  </w:style>
  <w:style w:type="paragraph" w:customStyle="1" w:styleId="removeelement">
    <w:name w:val="removeelement"/>
    <w:basedOn w:val="Normal"/>
    <w:rsid w:val="00A42539"/>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1271C"/>
    <w:rPr>
      <w:color w:val="605E5C"/>
      <w:shd w:val="clear" w:color="auto" w:fill="E1DFDD"/>
    </w:rPr>
  </w:style>
  <w:style w:type="table" w:customStyle="1" w:styleId="ASDTable19">
    <w:name w:val="ASD Table19"/>
    <w:basedOn w:val="TableNormal"/>
    <w:next w:val="TableGrid"/>
    <w:rsid w:val="000D759E"/>
    <w:pPr>
      <w:spacing w:after="0" w:line="240" w:lineRule="auto"/>
      <w:jc w:val="both"/>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 footnote"/>
    <w:basedOn w:val="Normal"/>
    <w:link w:val="TablefootnoteChar"/>
    <w:qFormat/>
    <w:rsid w:val="000D759E"/>
    <w:pPr>
      <w:keepNext/>
      <w:keepLines/>
      <w:spacing w:after="360"/>
      <w:contextualSpacing/>
    </w:pPr>
    <w:rPr>
      <w:rFonts w:ascii="Arial Narrow" w:eastAsiaTheme="minorHAnsi" w:hAnsi="Arial Narrow" w:cs="Times New Roman"/>
      <w:sz w:val="16"/>
      <w:szCs w:val="16"/>
      <w:lang w:eastAsia="en-US"/>
    </w:rPr>
  </w:style>
  <w:style w:type="character" w:customStyle="1" w:styleId="TablefootnoteChar">
    <w:name w:val="Table footnote Char"/>
    <w:basedOn w:val="DefaultParagraphFont"/>
    <w:link w:val="Tablefootnote"/>
    <w:rsid w:val="000D759E"/>
    <w:rPr>
      <w:rFonts w:ascii="Arial Narrow" w:eastAsiaTheme="minorHAnsi" w:hAnsi="Arial Narrow" w:cs="Times New Roman"/>
      <w:sz w:val="16"/>
      <w:szCs w:val="16"/>
      <w:lang w:eastAsia="en-US"/>
    </w:rPr>
  </w:style>
  <w:style w:type="paragraph" w:customStyle="1" w:styleId="2Sections">
    <w:name w:val="2. Sections"/>
    <w:qFormat/>
    <w:rsid w:val="00EF6063"/>
    <w:pPr>
      <w:numPr>
        <w:numId w:val="31"/>
      </w:numPr>
      <w:spacing w:before="240" w:after="120" w:line="240" w:lineRule="auto"/>
      <w:outlineLvl w:val="0"/>
    </w:pPr>
    <w:rPr>
      <w:rFonts w:eastAsia="Times New Roman" w:cs="Arial"/>
      <w:b/>
      <w:snapToGrid w:val="0"/>
      <w:sz w:val="32"/>
      <w:szCs w:val="32"/>
      <w:lang w:eastAsia="en-US"/>
    </w:rPr>
  </w:style>
  <w:style w:type="paragraph" w:customStyle="1" w:styleId="Bodytextitalics">
    <w:name w:val="Body text italics"/>
    <w:basedOn w:val="BodyText"/>
    <w:qFormat/>
    <w:rsid w:val="00EF6063"/>
    <w:pPr>
      <w:numPr>
        <w:ilvl w:val="1"/>
        <w:numId w:val="31"/>
      </w:numPr>
      <w:tabs>
        <w:tab w:val="num" w:pos="360"/>
      </w:tabs>
      <w:ind w:left="0" w:firstLine="0"/>
    </w:pPr>
    <w:rPr>
      <w:rFonts w:eastAsiaTheme="minorHAnsi"/>
      <w:i/>
      <w:szCs w:val="22"/>
    </w:rPr>
  </w:style>
  <w:style w:type="paragraph" w:styleId="BodyText">
    <w:name w:val="Body Text"/>
    <w:basedOn w:val="Normal"/>
    <w:link w:val="BodyTextChar"/>
    <w:uiPriority w:val="99"/>
    <w:semiHidden/>
    <w:unhideWhenUsed/>
    <w:rsid w:val="00EF6063"/>
    <w:pPr>
      <w:spacing w:after="120"/>
    </w:pPr>
  </w:style>
  <w:style w:type="character" w:customStyle="1" w:styleId="BodyTextChar">
    <w:name w:val="Body Text Char"/>
    <w:basedOn w:val="DefaultParagraphFont"/>
    <w:link w:val="BodyText"/>
    <w:uiPriority w:val="99"/>
    <w:semiHidden/>
    <w:rsid w:val="00EF6063"/>
    <w:rPr>
      <w:sz w:val="24"/>
      <w:szCs w:val="24"/>
    </w:rPr>
  </w:style>
  <w:style w:type="character" w:customStyle="1" w:styleId="cf01">
    <w:name w:val="cf01"/>
    <w:basedOn w:val="DefaultParagraphFont"/>
    <w:rsid w:val="00B3076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9647">
      <w:bodyDiv w:val="1"/>
      <w:marLeft w:val="0"/>
      <w:marRight w:val="0"/>
      <w:marTop w:val="0"/>
      <w:marBottom w:val="0"/>
      <w:divBdr>
        <w:top w:val="none" w:sz="0" w:space="0" w:color="auto"/>
        <w:left w:val="none" w:sz="0" w:space="0" w:color="auto"/>
        <w:bottom w:val="none" w:sz="0" w:space="0" w:color="auto"/>
        <w:right w:val="none" w:sz="0" w:space="0" w:color="auto"/>
      </w:divBdr>
    </w:div>
    <w:div w:id="91246134">
      <w:bodyDiv w:val="1"/>
      <w:marLeft w:val="0"/>
      <w:marRight w:val="0"/>
      <w:marTop w:val="0"/>
      <w:marBottom w:val="0"/>
      <w:divBdr>
        <w:top w:val="none" w:sz="0" w:space="0" w:color="auto"/>
        <w:left w:val="none" w:sz="0" w:space="0" w:color="auto"/>
        <w:bottom w:val="none" w:sz="0" w:space="0" w:color="auto"/>
        <w:right w:val="none" w:sz="0" w:space="0" w:color="auto"/>
      </w:divBdr>
    </w:div>
    <w:div w:id="115294352">
      <w:bodyDiv w:val="1"/>
      <w:marLeft w:val="0"/>
      <w:marRight w:val="0"/>
      <w:marTop w:val="0"/>
      <w:marBottom w:val="0"/>
      <w:divBdr>
        <w:top w:val="none" w:sz="0" w:space="0" w:color="auto"/>
        <w:left w:val="none" w:sz="0" w:space="0" w:color="auto"/>
        <w:bottom w:val="none" w:sz="0" w:space="0" w:color="auto"/>
        <w:right w:val="none" w:sz="0" w:space="0" w:color="auto"/>
      </w:divBdr>
    </w:div>
    <w:div w:id="169757962">
      <w:bodyDiv w:val="1"/>
      <w:marLeft w:val="0"/>
      <w:marRight w:val="0"/>
      <w:marTop w:val="0"/>
      <w:marBottom w:val="0"/>
      <w:divBdr>
        <w:top w:val="none" w:sz="0" w:space="0" w:color="auto"/>
        <w:left w:val="none" w:sz="0" w:space="0" w:color="auto"/>
        <w:bottom w:val="none" w:sz="0" w:space="0" w:color="auto"/>
        <w:right w:val="none" w:sz="0" w:space="0" w:color="auto"/>
      </w:divBdr>
      <w:divsChild>
        <w:div w:id="337269678">
          <w:marLeft w:val="0"/>
          <w:marRight w:val="0"/>
          <w:marTop w:val="0"/>
          <w:marBottom w:val="0"/>
          <w:divBdr>
            <w:top w:val="none" w:sz="0" w:space="0" w:color="auto"/>
            <w:left w:val="none" w:sz="0" w:space="0" w:color="auto"/>
            <w:bottom w:val="none" w:sz="0" w:space="0" w:color="auto"/>
            <w:right w:val="none" w:sz="0" w:space="0" w:color="auto"/>
          </w:divBdr>
        </w:div>
        <w:div w:id="1328097873">
          <w:marLeft w:val="0"/>
          <w:marRight w:val="0"/>
          <w:marTop w:val="0"/>
          <w:marBottom w:val="0"/>
          <w:divBdr>
            <w:top w:val="none" w:sz="0" w:space="0" w:color="auto"/>
            <w:left w:val="none" w:sz="0" w:space="0" w:color="auto"/>
            <w:bottom w:val="none" w:sz="0" w:space="0" w:color="auto"/>
            <w:right w:val="none" w:sz="0" w:space="0" w:color="auto"/>
          </w:divBdr>
        </w:div>
      </w:divsChild>
    </w:div>
    <w:div w:id="186869798">
      <w:bodyDiv w:val="1"/>
      <w:marLeft w:val="0"/>
      <w:marRight w:val="0"/>
      <w:marTop w:val="0"/>
      <w:marBottom w:val="0"/>
      <w:divBdr>
        <w:top w:val="none" w:sz="0" w:space="0" w:color="auto"/>
        <w:left w:val="none" w:sz="0" w:space="0" w:color="auto"/>
        <w:bottom w:val="none" w:sz="0" w:space="0" w:color="auto"/>
        <w:right w:val="none" w:sz="0" w:space="0" w:color="auto"/>
      </w:divBdr>
    </w:div>
    <w:div w:id="187262929">
      <w:bodyDiv w:val="1"/>
      <w:marLeft w:val="0"/>
      <w:marRight w:val="0"/>
      <w:marTop w:val="0"/>
      <w:marBottom w:val="0"/>
      <w:divBdr>
        <w:top w:val="none" w:sz="0" w:space="0" w:color="auto"/>
        <w:left w:val="none" w:sz="0" w:space="0" w:color="auto"/>
        <w:bottom w:val="none" w:sz="0" w:space="0" w:color="auto"/>
        <w:right w:val="none" w:sz="0" w:space="0" w:color="auto"/>
      </w:divBdr>
    </w:div>
    <w:div w:id="207301469">
      <w:bodyDiv w:val="1"/>
      <w:marLeft w:val="0"/>
      <w:marRight w:val="0"/>
      <w:marTop w:val="0"/>
      <w:marBottom w:val="0"/>
      <w:divBdr>
        <w:top w:val="none" w:sz="0" w:space="0" w:color="auto"/>
        <w:left w:val="none" w:sz="0" w:space="0" w:color="auto"/>
        <w:bottom w:val="none" w:sz="0" w:space="0" w:color="auto"/>
        <w:right w:val="none" w:sz="0" w:space="0" w:color="auto"/>
      </w:divBdr>
    </w:div>
    <w:div w:id="224412136">
      <w:bodyDiv w:val="1"/>
      <w:marLeft w:val="0"/>
      <w:marRight w:val="0"/>
      <w:marTop w:val="0"/>
      <w:marBottom w:val="0"/>
      <w:divBdr>
        <w:top w:val="none" w:sz="0" w:space="0" w:color="auto"/>
        <w:left w:val="none" w:sz="0" w:space="0" w:color="auto"/>
        <w:bottom w:val="none" w:sz="0" w:space="0" w:color="auto"/>
        <w:right w:val="none" w:sz="0" w:space="0" w:color="auto"/>
      </w:divBdr>
    </w:div>
    <w:div w:id="235018640">
      <w:bodyDiv w:val="1"/>
      <w:marLeft w:val="0"/>
      <w:marRight w:val="0"/>
      <w:marTop w:val="0"/>
      <w:marBottom w:val="0"/>
      <w:divBdr>
        <w:top w:val="none" w:sz="0" w:space="0" w:color="auto"/>
        <w:left w:val="none" w:sz="0" w:space="0" w:color="auto"/>
        <w:bottom w:val="none" w:sz="0" w:space="0" w:color="auto"/>
        <w:right w:val="none" w:sz="0" w:space="0" w:color="auto"/>
      </w:divBdr>
    </w:div>
    <w:div w:id="312099871">
      <w:bodyDiv w:val="1"/>
      <w:marLeft w:val="0"/>
      <w:marRight w:val="0"/>
      <w:marTop w:val="0"/>
      <w:marBottom w:val="0"/>
      <w:divBdr>
        <w:top w:val="none" w:sz="0" w:space="0" w:color="auto"/>
        <w:left w:val="none" w:sz="0" w:space="0" w:color="auto"/>
        <w:bottom w:val="none" w:sz="0" w:space="0" w:color="auto"/>
        <w:right w:val="none" w:sz="0" w:space="0" w:color="auto"/>
      </w:divBdr>
    </w:div>
    <w:div w:id="332032819">
      <w:bodyDiv w:val="1"/>
      <w:marLeft w:val="0"/>
      <w:marRight w:val="0"/>
      <w:marTop w:val="0"/>
      <w:marBottom w:val="0"/>
      <w:divBdr>
        <w:top w:val="none" w:sz="0" w:space="0" w:color="auto"/>
        <w:left w:val="none" w:sz="0" w:space="0" w:color="auto"/>
        <w:bottom w:val="none" w:sz="0" w:space="0" w:color="auto"/>
        <w:right w:val="none" w:sz="0" w:space="0" w:color="auto"/>
      </w:divBdr>
    </w:div>
    <w:div w:id="382751931">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446387219">
      <w:bodyDiv w:val="1"/>
      <w:marLeft w:val="0"/>
      <w:marRight w:val="0"/>
      <w:marTop w:val="0"/>
      <w:marBottom w:val="0"/>
      <w:divBdr>
        <w:top w:val="none" w:sz="0" w:space="0" w:color="auto"/>
        <w:left w:val="none" w:sz="0" w:space="0" w:color="auto"/>
        <w:bottom w:val="none" w:sz="0" w:space="0" w:color="auto"/>
        <w:right w:val="none" w:sz="0" w:space="0" w:color="auto"/>
      </w:divBdr>
    </w:div>
    <w:div w:id="524757766">
      <w:bodyDiv w:val="1"/>
      <w:marLeft w:val="0"/>
      <w:marRight w:val="0"/>
      <w:marTop w:val="0"/>
      <w:marBottom w:val="0"/>
      <w:divBdr>
        <w:top w:val="none" w:sz="0" w:space="0" w:color="auto"/>
        <w:left w:val="none" w:sz="0" w:space="0" w:color="auto"/>
        <w:bottom w:val="none" w:sz="0" w:space="0" w:color="auto"/>
        <w:right w:val="none" w:sz="0" w:space="0" w:color="auto"/>
      </w:divBdr>
    </w:div>
    <w:div w:id="557323354">
      <w:bodyDiv w:val="1"/>
      <w:marLeft w:val="0"/>
      <w:marRight w:val="0"/>
      <w:marTop w:val="0"/>
      <w:marBottom w:val="0"/>
      <w:divBdr>
        <w:top w:val="none" w:sz="0" w:space="0" w:color="auto"/>
        <w:left w:val="none" w:sz="0" w:space="0" w:color="auto"/>
        <w:bottom w:val="none" w:sz="0" w:space="0" w:color="auto"/>
        <w:right w:val="none" w:sz="0" w:space="0" w:color="auto"/>
      </w:divBdr>
    </w:div>
    <w:div w:id="576020105">
      <w:bodyDiv w:val="1"/>
      <w:marLeft w:val="0"/>
      <w:marRight w:val="0"/>
      <w:marTop w:val="0"/>
      <w:marBottom w:val="0"/>
      <w:divBdr>
        <w:top w:val="none" w:sz="0" w:space="0" w:color="auto"/>
        <w:left w:val="none" w:sz="0" w:space="0" w:color="auto"/>
        <w:bottom w:val="none" w:sz="0" w:space="0" w:color="auto"/>
        <w:right w:val="none" w:sz="0" w:space="0" w:color="auto"/>
      </w:divBdr>
    </w:div>
    <w:div w:id="613754514">
      <w:bodyDiv w:val="1"/>
      <w:marLeft w:val="0"/>
      <w:marRight w:val="0"/>
      <w:marTop w:val="0"/>
      <w:marBottom w:val="0"/>
      <w:divBdr>
        <w:top w:val="none" w:sz="0" w:space="0" w:color="auto"/>
        <w:left w:val="none" w:sz="0" w:space="0" w:color="auto"/>
        <w:bottom w:val="none" w:sz="0" w:space="0" w:color="auto"/>
        <w:right w:val="none" w:sz="0" w:space="0" w:color="auto"/>
      </w:divBdr>
    </w:div>
    <w:div w:id="647130306">
      <w:bodyDiv w:val="1"/>
      <w:marLeft w:val="0"/>
      <w:marRight w:val="0"/>
      <w:marTop w:val="0"/>
      <w:marBottom w:val="0"/>
      <w:divBdr>
        <w:top w:val="none" w:sz="0" w:space="0" w:color="auto"/>
        <w:left w:val="none" w:sz="0" w:space="0" w:color="auto"/>
        <w:bottom w:val="none" w:sz="0" w:space="0" w:color="auto"/>
        <w:right w:val="none" w:sz="0" w:space="0" w:color="auto"/>
      </w:divBdr>
    </w:div>
    <w:div w:id="657346582">
      <w:bodyDiv w:val="1"/>
      <w:marLeft w:val="0"/>
      <w:marRight w:val="0"/>
      <w:marTop w:val="0"/>
      <w:marBottom w:val="0"/>
      <w:divBdr>
        <w:top w:val="none" w:sz="0" w:space="0" w:color="auto"/>
        <w:left w:val="none" w:sz="0" w:space="0" w:color="auto"/>
        <w:bottom w:val="none" w:sz="0" w:space="0" w:color="auto"/>
        <w:right w:val="none" w:sz="0" w:space="0" w:color="auto"/>
      </w:divBdr>
    </w:div>
    <w:div w:id="660472946">
      <w:bodyDiv w:val="1"/>
      <w:marLeft w:val="0"/>
      <w:marRight w:val="0"/>
      <w:marTop w:val="0"/>
      <w:marBottom w:val="0"/>
      <w:divBdr>
        <w:top w:val="none" w:sz="0" w:space="0" w:color="auto"/>
        <w:left w:val="none" w:sz="0" w:space="0" w:color="auto"/>
        <w:bottom w:val="none" w:sz="0" w:space="0" w:color="auto"/>
        <w:right w:val="none" w:sz="0" w:space="0" w:color="auto"/>
      </w:divBdr>
    </w:div>
    <w:div w:id="691802115">
      <w:bodyDiv w:val="1"/>
      <w:marLeft w:val="0"/>
      <w:marRight w:val="0"/>
      <w:marTop w:val="0"/>
      <w:marBottom w:val="0"/>
      <w:divBdr>
        <w:top w:val="none" w:sz="0" w:space="0" w:color="auto"/>
        <w:left w:val="none" w:sz="0" w:space="0" w:color="auto"/>
        <w:bottom w:val="none" w:sz="0" w:space="0" w:color="auto"/>
        <w:right w:val="none" w:sz="0" w:space="0" w:color="auto"/>
      </w:divBdr>
    </w:div>
    <w:div w:id="692464787">
      <w:bodyDiv w:val="1"/>
      <w:marLeft w:val="0"/>
      <w:marRight w:val="0"/>
      <w:marTop w:val="0"/>
      <w:marBottom w:val="0"/>
      <w:divBdr>
        <w:top w:val="none" w:sz="0" w:space="0" w:color="auto"/>
        <w:left w:val="none" w:sz="0" w:space="0" w:color="auto"/>
        <w:bottom w:val="none" w:sz="0" w:space="0" w:color="auto"/>
        <w:right w:val="none" w:sz="0" w:space="0" w:color="auto"/>
      </w:divBdr>
    </w:div>
    <w:div w:id="736367329">
      <w:bodyDiv w:val="1"/>
      <w:marLeft w:val="0"/>
      <w:marRight w:val="0"/>
      <w:marTop w:val="0"/>
      <w:marBottom w:val="0"/>
      <w:divBdr>
        <w:top w:val="none" w:sz="0" w:space="0" w:color="auto"/>
        <w:left w:val="none" w:sz="0" w:space="0" w:color="auto"/>
        <w:bottom w:val="none" w:sz="0" w:space="0" w:color="auto"/>
        <w:right w:val="none" w:sz="0" w:space="0" w:color="auto"/>
      </w:divBdr>
    </w:div>
    <w:div w:id="742411881">
      <w:bodyDiv w:val="1"/>
      <w:marLeft w:val="0"/>
      <w:marRight w:val="0"/>
      <w:marTop w:val="0"/>
      <w:marBottom w:val="0"/>
      <w:divBdr>
        <w:top w:val="none" w:sz="0" w:space="0" w:color="auto"/>
        <w:left w:val="none" w:sz="0" w:space="0" w:color="auto"/>
        <w:bottom w:val="none" w:sz="0" w:space="0" w:color="auto"/>
        <w:right w:val="none" w:sz="0" w:space="0" w:color="auto"/>
      </w:divBdr>
    </w:div>
    <w:div w:id="761604195">
      <w:bodyDiv w:val="1"/>
      <w:marLeft w:val="0"/>
      <w:marRight w:val="0"/>
      <w:marTop w:val="0"/>
      <w:marBottom w:val="0"/>
      <w:divBdr>
        <w:top w:val="none" w:sz="0" w:space="0" w:color="auto"/>
        <w:left w:val="none" w:sz="0" w:space="0" w:color="auto"/>
        <w:bottom w:val="none" w:sz="0" w:space="0" w:color="auto"/>
        <w:right w:val="none" w:sz="0" w:space="0" w:color="auto"/>
      </w:divBdr>
    </w:div>
    <w:div w:id="804542146">
      <w:bodyDiv w:val="1"/>
      <w:marLeft w:val="0"/>
      <w:marRight w:val="0"/>
      <w:marTop w:val="0"/>
      <w:marBottom w:val="0"/>
      <w:divBdr>
        <w:top w:val="none" w:sz="0" w:space="0" w:color="auto"/>
        <w:left w:val="none" w:sz="0" w:space="0" w:color="auto"/>
        <w:bottom w:val="none" w:sz="0" w:space="0" w:color="auto"/>
        <w:right w:val="none" w:sz="0" w:space="0" w:color="auto"/>
      </w:divBdr>
    </w:div>
    <w:div w:id="810681110">
      <w:bodyDiv w:val="1"/>
      <w:marLeft w:val="0"/>
      <w:marRight w:val="0"/>
      <w:marTop w:val="0"/>
      <w:marBottom w:val="0"/>
      <w:divBdr>
        <w:top w:val="none" w:sz="0" w:space="0" w:color="auto"/>
        <w:left w:val="none" w:sz="0" w:space="0" w:color="auto"/>
        <w:bottom w:val="none" w:sz="0" w:space="0" w:color="auto"/>
        <w:right w:val="none" w:sz="0" w:space="0" w:color="auto"/>
      </w:divBdr>
    </w:div>
    <w:div w:id="818037272">
      <w:bodyDiv w:val="1"/>
      <w:marLeft w:val="0"/>
      <w:marRight w:val="0"/>
      <w:marTop w:val="0"/>
      <w:marBottom w:val="0"/>
      <w:divBdr>
        <w:top w:val="none" w:sz="0" w:space="0" w:color="auto"/>
        <w:left w:val="none" w:sz="0" w:space="0" w:color="auto"/>
        <w:bottom w:val="none" w:sz="0" w:space="0" w:color="auto"/>
        <w:right w:val="none" w:sz="0" w:space="0" w:color="auto"/>
      </w:divBdr>
    </w:div>
    <w:div w:id="827592758">
      <w:bodyDiv w:val="1"/>
      <w:marLeft w:val="0"/>
      <w:marRight w:val="0"/>
      <w:marTop w:val="0"/>
      <w:marBottom w:val="0"/>
      <w:divBdr>
        <w:top w:val="none" w:sz="0" w:space="0" w:color="auto"/>
        <w:left w:val="none" w:sz="0" w:space="0" w:color="auto"/>
        <w:bottom w:val="none" w:sz="0" w:space="0" w:color="auto"/>
        <w:right w:val="none" w:sz="0" w:space="0" w:color="auto"/>
      </w:divBdr>
    </w:div>
    <w:div w:id="891693735">
      <w:bodyDiv w:val="1"/>
      <w:marLeft w:val="0"/>
      <w:marRight w:val="0"/>
      <w:marTop w:val="0"/>
      <w:marBottom w:val="0"/>
      <w:divBdr>
        <w:top w:val="none" w:sz="0" w:space="0" w:color="auto"/>
        <w:left w:val="none" w:sz="0" w:space="0" w:color="auto"/>
        <w:bottom w:val="none" w:sz="0" w:space="0" w:color="auto"/>
        <w:right w:val="none" w:sz="0" w:space="0" w:color="auto"/>
      </w:divBdr>
    </w:div>
    <w:div w:id="923608683">
      <w:bodyDiv w:val="1"/>
      <w:marLeft w:val="0"/>
      <w:marRight w:val="0"/>
      <w:marTop w:val="0"/>
      <w:marBottom w:val="0"/>
      <w:divBdr>
        <w:top w:val="none" w:sz="0" w:space="0" w:color="auto"/>
        <w:left w:val="none" w:sz="0" w:space="0" w:color="auto"/>
        <w:bottom w:val="none" w:sz="0" w:space="0" w:color="auto"/>
        <w:right w:val="none" w:sz="0" w:space="0" w:color="auto"/>
      </w:divBdr>
    </w:div>
    <w:div w:id="941184447">
      <w:bodyDiv w:val="1"/>
      <w:marLeft w:val="0"/>
      <w:marRight w:val="0"/>
      <w:marTop w:val="0"/>
      <w:marBottom w:val="0"/>
      <w:divBdr>
        <w:top w:val="none" w:sz="0" w:space="0" w:color="auto"/>
        <w:left w:val="none" w:sz="0" w:space="0" w:color="auto"/>
        <w:bottom w:val="none" w:sz="0" w:space="0" w:color="auto"/>
        <w:right w:val="none" w:sz="0" w:space="0" w:color="auto"/>
      </w:divBdr>
    </w:div>
    <w:div w:id="954092502">
      <w:bodyDiv w:val="1"/>
      <w:marLeft w:val="0"/>
      <w:marRight w:val="0"/>
      <w:marTop w:val="0"/>
      <w:marBottom w:val="0"/>
      <w:divBdr>
        <w:top w:val="none" w:sz="0" w:space="0" w:color="auto"/>
        <w:left w:val="none" w:sz="0" w:space="0" w:color="auto"/>
        <w:bottom w:val="none" w:sz="0" w:space="0" w:color="auto"/>
        <w:right w:val="none" w:sz="0" w:space="0" w:color="auto"/>
      </w:divBdr>
    </w:div>
    <w:div w:id="968440563">
      <w:bodyDiv w:val="1"/>
      <w:marLeft w:val="0"/>
      <w:marRight w:val="0"/>
      <w:marTop w:val="0"/>
      <w:marBottom w:val="0"/>
      <w:divBdr>
        <w:top w:val="none" w:sz="0" w:space="0" w:color="auto"/>
        <w:left w:val="none" w:sz="0" w:space="0" w:color="auto"/>
        <w:bottom w:val="none" w:sz="0" w:space="0" w:color="auto"/>
        <w:right w:val="none" w:sz="0" w:space="0" w:color="auto"/>
      </w:divBdr>
    </w:div>
    <w:div w:id="974679334">
      <w:bodyDiv w:val="1"/>
      <w:marLeft w:val="0"/>
      <w:marRight w:val="0"/>
      <w:marTop w:val="0"/>
      <w:marBottom w:val="0"/>
      <w:divBdr>
        <w:top w:val="none" w:sz="0" w:space="0" w:color="auto"/>
        <w:left w:val="none" w:sz="0" w:space="0" w:color="auto"/>
        <w:bottom w:val="none" w:sz="0" w:space="0" w:color="auto"/>
        <w:right w:val="none" w:sz="0" w:space="0" w:color="auto"/>
      </w:divBdr>
    </w:div>
    <w:div w:id="987979517">
      <w:bodyDiv w:val="1"/>
      <w:marLeft w:val="0"/>
      <w:marRight w:val="0"/>
      <w:marTop w:val="0"/>
      <w:marBottom w:val="0"/>
      <w:divBdr>
        <w:top w:val="none" w:sz="0" w:space="0" w:color="auto"/>
        <w:left w:val="none" w:sz="0" w:space="0" w:color="auto"/>
        <w:bottom w:val="none" w:sz="0" w:space="0" w:color="auto"/>
        <w:right w:val="none" w:sz="0" w:space="0" w:color="auto"/>
      </w:divBdr>
    </w:div>
    <w:div w:id="1033724909">
      <w:bodyDiv w:val="1"/>
      <w:marLeft w:val="0"/>
      <w:marRight w:val="0"/>
      <w:marTop w:val="0"/>
      <w:marBottom w:val="0"/>
      <w:divBdr>
        <w:top w:val="none" w:sz="0" w:space="0" w:color="auto"/>
        <w:left w:val="none" w:sz="0" w:space="0" w:color="auto"/>
        <w:bottom w:val="none" w:sz="0" w:space="0" w:color="auto"/>
        <w:right w:val="none" w:sz="0" w:space="0" w:color="auto"/>
      </w:divBdr>
    </w:div>
    <w:div w:id="1038579576">
      <w:bodyDiv w:val="1"/>
      <w:marLeft w:val="0"/>
      <w:marRight w:val="0"/>
      <w:marTop w:val="0"/>
      <w:marBottom w:val="0"/>
      <w:divBdr>
        <w:top w:val="none" w:sz="0" w:space="0" w:color="auto"/>
        <w:left w:val="none" w:sz="0" w:space="0" w:color="auto"/>
        <w:bottom w:val="none" w:sz="0" w:space="0" w:color="auto"/>
        <w:right w:val="none" w:sz="0" w:space="0" w:color="auto"/>
      </w:divBdr>
    </w:div>
    <w:div w:id="1043601763">
      <w:bodyDiv w:val="1"/>
      <w:marLeft w:val="0"/>
      <w:marRight w:val="0"/>
      <w:marTop w:val="0"/>
      <w:marBottom w:val="0"/>
      <w:divBdr>
        <w:top w:val="none" w:sz="0" w:space="0" w:color="auto"/>
        <w:left w:val="none" w:sz="0" w:space="0" w:color="auto"/>
        <w:bottom w:val="none" w:sz="0" w:space="0" w:color="auto"/>
        <w:right w:val="none" w:sz="0" w:space="0" w:color="auto"/>
      </w:divBdr>
    </w:div>
    <w:div w:id="1045638032">
      <w:bodyDiv w:val="1"/>
      <w:marLeft w:val="0"/>
      <w:marRight w:val="0"/>
      <w:marTop w:val="0"/>
      <w:marBottom w:val="0"/>
      <w:divBdr>
        <w:top w:val="none" w:sz="0" w:space="0" w:color="auto"/>
        <w:left w:val="none" w:sz="0" w:space="0" w:color="auto"/>
        <w:bottom w:val="none" w:sz="0" w:space="0" w:color="auto"/>
        <w:right w:val="none" w:sz="0" w:space="0" w:color="auto"/>
      </w:divBdr>
    </w:div>
    <w:div w:id="1057896775">
      <w:bodyDiv w:val="1"/>
      <w:marLeft w:val="0"/>
      <w:marRight w:val="0"/>
      <w:marTop w:val="0"/>
      <w:marBottom w:val="0"/>
      <w:divBdr>
        <w:top w:val="none" w:sz="0" w:space="0" w:color="auto"/>
        <w:left w:val="none" w:sz="0" w:space="0" w:color="auto"/>
        <w:bottom w:val="none" w:sz="0" w:space="0" w:color="auto"/>
        <w:right w:val="none" w:sz="0" w:space="0" w:color="auto"/>
      </w:divBdr>
    </w:div>
    <w:div w:id="1080636623">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175610105">
      <w:bodyDiv w:val="1"/>
      <w:marLeft w:val="0"/>
      <w:marRight w:val="0"/>
      <w:marTop w:val="0"/>
      <w:marBottom w:val="0"/>
      <w:divBdr>
        <w:top w:val="none" w:sz="0" w:space="0" w:color="auto"/>
        <w:left w:val="none" w:sz="0" w:space="0" w:color="auto"/>
        <w:bottom w:val="none" w:sz="0" w:space="0" w:color="auto"/>
        <w:right w:val="none" w:sz="0" w:space="0" w:color="auto"/>
      </w:divBdr>
    </w:div>
    <w:div w:id="1258713476">
      <w:bodyDiv w:val="1"/>
      <w:marLeft w:val="0"/>
      <w:marRight w:val="0"/>
      <w:marTop w:val="0"/>
      <w:marBottom w:val="0"/>
      <w:divBdr>
        <w:top w:val="none" w:sz="0" w:space="0" w:color="auto"/>
        <w:left w:val="none" w:sz="0" w:space="0" w:color="auto"/>
        <w:bottom w:val="none" w:sz="0" w:space="0" w:color="auto"/>
        <w:right w:val="none" w:sz="0" w:space="0" w:color="auto"/>
      </w:divBdr>
    </w:div>
    <w:div w:id="1266038317">
      <w:bodyDiv w:val="1"/>
      <w:marLeft w:val="0"/>
      <w:marRight w:val="0"/>
      <w:marTop w:val="0"/>
      <w:marBottom w:val="0"/>
      <w:divBdr>
        <w:top w:val="none" w:sz="0" w:space="0" w:color="auto"/>
        <w:left w:val="none" w:sz="0" w:space="0" w:color="auto"/>
        <w:bottom w:val="none" w:sz="0" w:space="0" w:color="auto"/>
        <w:right w:val="none" w:sz="0" w:space="0" w:color="auto"/>
      </w:divBdr>
    </w:div>
    <w:div w:id="1296838304">
      <w:bodyDiv w:val="1"/>
      <w:marLeft w:val="0"/>
      <w:marRight w:val="0"/>
      <w:marTop w:val="0"/>
      <w:marBottom w:val="0"/>
      <w:divBdr>
        <w:top w:val="none" w:sz="0" w:space="0" w:color="auto"/>
        <w:left w:val="none" w:sz="0" w:space="0" w:color="auto"/>
        <w:bottom w:val="none" w:sz="0" w:space="0" w:color="auto"/>
        <w:right w:val="none" w:sz="0" w:space="0" w:color="auto"/>
      </w:divBdr>
    </w:div>
    <w:div w:id="1320574689">
      <w:bodyDiv w:val="1"/>
      <w:marLeft w:val="0"/>
      <w:marRight w:val="0"/>
      <w:marTop w:val="0"/>
      <w:marBottom w:val="0"/>
      <w:divBdr>
        <w:top w:val="none" w:sz="0" w:space="0" w:color="auto"/>
        <w:left w:val="none" w:sz="0" w:space="0" w:color="auto"/>
        <w:bottom w:val="none" w:sz="0" w:space="0" w:color="auto"/>
        <w:right w:val="none" w:sz="0" w:space="0" w:color="auto"/>
      </w:divBdr>
    </w:div>
    <w:div w:id="1358389972">
      <w:bodyDiv w:val="1"/>
      <w:marLeft w:val="0"/>
      <w:marRight w:val="0"/>
      <w:marTop w:val="0"/>
      <w:marBottom w:val="0"/>
      <w:divBdr>
        <w:top w:val="none" w:sz="0" w:space="0" w:color="auto"/>
        <w:left w:val="none" w:sz="0" w:space="0" w:color="auto"/>
        <w:bottom w:val="none" w:sz="0" w:space="0" w:color="auto"/>
        <w:right w:val="none" w:sz="0" w:space="0" w:color="auto"/>
      </w:divBdr>
    </w:div>
    <w:div w:id="1385059859">
      <w:bodyDiv w:val="1"/>
      <w:marLeft w:val="0"/>
      <w:marRight w:val="0"/>
      <w:marTop w:val="0"/>
      <w:marBottom w:val="0"/>
      <w:divBdr>
        <w:top w:val="none" w:sz="0" w:space="0" w:color="auto"/>
        <w:left w:val="none" w:sz="0" w:space="0" w:color="auto"/>
        <w:bottom w:val="none" w:sz="0" w:space="0" w:color="auto"/>
        <w:right w:val="none" w:sz="0" w:space="0" w:color="auto"/>
      </w:divBdr>
    </w:div>
    <w:div w:id="1396398009">
      <w:bodyDiv w:val="1"/>
      <w:marLeft w:val="0"/>
      <w:marRight w:val="0"/>
      <w:marTop w:val="0"/>
      <w:marBottom w:val="0"/>
      <w:divBdr>
        <w:top w:val="none" w:sz="0" w:space="0" w:color="auto"/>
        <w:left w:val="none" w:sz="0" w:space="0" w:color="auto"/>
        <w:bottom w:val="none" w:sz="0" w:space="0" w:color="auto"/>
        <w:right w:val="none" w:sz="0" w:space="0" w:color="auto"/>
      </w:divBdr>
    </w:div>
    <w:div w:id="1399783679">
      <w:bodyDiv w:val="1"/>
      <w:marLeft w:val="0"/>
      <w:marRight w:val="0"/>
      <w:marTop w:val="0"/>
      <w:marBottom w:val="0"/>
      <w:divBdr>
        <w:top w:val="none" w:sz="0" w:space="0" w:color="auto"/>
        <w:left w:val="none" w:sz="0" w:space="0" w:color="auto"/>
        <w:bottom w:val="none" w:sz="0" w:space="0" w:color="auto"/>
        <w:right w:val="none" w:sz="0" w:space="0" w:color="auto"/>
      </w:divBdr>
    </w:div>
    <w:div w:id="1404642700">
      <w:bodyDiv w:val="1"/>
      <w:marLeft w:val="0"/>
      <w:marRight w:val="0"/>
      <w:marTop w:val="0"/>
      <w:marBottom w:val="0"/>
      <w:divBdr>
        <w:top w:val="none" w:sz="0" w:space="0" w:color="auto"/>
        <w:left w:val="none" w:sz="0" w:space="0" w:color="auto"/>
        <w:bottom w:val="none" w:sz="0" w:space="0" w:color="auto"/>
        <w:right w:val="none" w:sz="0" w:space="0" w:color="auto"/>
      </w:divBdr>
    </w:div>
    <w:div w:id="1444231221">
      <w:bodyDiv w:val="1"/>
      <w:marLeft w:val="0"/>
      <w:marRight w:val="0"/>
      <w:marTop w:val="0"/>
      <w:marBottom w:val="0"/>
      <w:divBdr>
        <w:top w:val="none" w:sz="0" w:space="0" w:color="auto"/>
        <w:left w:val="none" w:sz="0" w:space="0" w:color="auto"/>
        <w:bottom w:val="none" w:sz="0" w:space="0" w:color="auto"/>
        <w:right w:val="none" w:sz="0" w:space="0" w:color="auto"/>
      </w:divBdr>
    </w:div>
    <w:div w:id="1517962919">
      <w:bodyDiv w:val="1"/>
      <w:marLeft w:val="0"/>
      <w:marRight w:val="0"/>
      <w:marTop w:val="0"/>
      <w:marBottom w:val="0"/>
      <w:divBdr>
        <w:top w:val="none" w:sz="0" w:space="0" w:color="auto"/>
        <w:left w:val="none" w:sz="0" w:space="0" w:color="auto"/>
        <w:bottom w:val="none" w:sz="0" w:space="0" w:color="auto"/>
        <w:right w:val="none" w:sz="0" w:space="0" w:color="auto"/>
      </w:divBdr>
    </w:div>
    <w:div w:id="1521511223">
      <w:bodyDiv w:val="1"/>
      <w:marLeft w:val="0"/>
      <w:marRight w:val="0"/>
      <w:marTop w:val="0"/>
      <w:marBottom w:val="0"/>
      <w:divBdr>
        <w:top w:val="none" w:sz="0" w:space="0" w:color="auto"/>
        <w:left w:val="none" w:sz="0" w:space="0" w:color="auto"/>
        <w:bottom w:val="none" w:sz="0" w:space="0" w:color="auto"/>
        <w:right w:val="none" w:sz="0" w:space="0" w:color="auto"/>
      </w:divBdr>
    </w:div>
    <w:div w:id="1569269954">
      <w:bodyDiv w:val="1"/>
      <w:marLeft w:val="0"/>
      <w:marRight w:val="0"/>
      <w:marTop w:val="0"/>
      <w:marBottom w:val="0"/>
      <w:divBdr>
        <w:top w:val="none" w:sz="0" w:space="0" w:color="auto"/>
        <w:left w:val="none" w:sz="0" w:space="0" w:color="auto"/>
        <w:bottom w:val="none" w:sz="0" w:space="0" w:color="auto"/>
        <w:right w:val="none" w:sz="0" w:space="0" w:color="auto"/>
      </w:divBdr>
    </w:div>
    <w:div w:id="1589267605">
      <w:bodyDiv w:val="1"/>
      <w:marLeft w:val="0"/>
      <w:marRight w:val="0"/>
      <w:marTop w:val="0"/>
      <w:marBottom w:val="0"/>
      <w:divBdr>
        <w:top w:val="none" w:sz="0" w:space="0" w:color="auto"/>
        <w:left w:val="none" w:sz="0" w:space="0" w:color="auto"/>
        <w:bottom w:val="none" w:sz="0" w:space="0" w:color="auto"/>
        <w:right w:val="none" w:sz="0" w:space="0" w:color="auto"/>
      </w:divBdr>
    </w:div>
    <w:div w:id="1610510513">
      <w:bodyDiv w:val="1"/>
      <w:marLeft w:val="0"/>
      <w:marRight w:val="0"/>
      <w:marTop w:val="0"/>
      <w:marBottom w:val="0"/>
      <w:divBdr>
        <w:top w:val="none" w:sz="0" w:space="0" w:color="auto"/>
        <w:left w:val="none" w:sz="0" w:space="0" w:color="auto"/>
        <w:bottom w:val="none" w:sz="0" w:space="0" w:color="auto"/>
        <w:right w:val="none" w:sz="0" w:space="0" w:color="auto"/>
      </w:divBdr>
    </w:div>
    <w:div w:id="1639991030">
      <w:bodyDiv w:val="1"/>
      <w:marLeft w:val="0"/>
      <w:marRight w:val="0"/>
      <w:marTop w:val="0"/>
      <w:marBottom w:val="0"/>
      <w:divBdr>
        <w:top w:val="none" w:sz="0" w:space="0" w:color="auto"/>
        <w:left w:val="none" w:sz="0" w:space="0" w:color="auto"/>
        <w:bottom w:val="none" w:sz="0" w:space="0" w:color="auto"/>
        <w:right w:val="none" w:sz="0" w:space="0" w:color="auto"/>
      </w:divBdr>
    </w:div>
    <w:div w:id="1643123109">
      <w:bodyDiv w:val="1"/>
      <w:marLeft w:val="0"/>
      <w:marRight w:val="0"/>
      <w:marTop w:val="0"/>
      <w:marBottom w:val="0"/>
      <w:divBdr>
        <w:top w:val="none" w:sz="0" w:space="0" w:color="auto"/>
        <w:left w:val="none" w:sz="0" w:space="0" w:color="auto"/>
        <w:bottom w:val="none" w:sz="0" w:space="0" w:color="auto"/>
        <w:right w:val="none" w:sz="0" w:space="0" w:color="auto"/>
      </w:divBdr>
    </w:div>
    <w:div w:id="1719011933">
      <w:bodyDiv w:val="1"/>
      <w:marLeft w:val="0"/>
      <w:marRight w:val="0"/>
      <w:marTop w:val="0"/>
      <w:marBottom w:val="0"/>
      <w:divBdr>
        <w:top w:val="none" w:sz="0" w:space="0" w:color="auto"/>
        <w:left w:val="none" w:sz="0" w:space="0" w:color="auto"/>
        <w:bottom w:val="none" w:sz="0" w:space="0" w:color="auto"/>
        <w:right w:val="none" w:sz="0" w:space="0" w:color="auto"/>
      </w:divBdr>
    </w:div>
    <w:div w:id="1760910160">
      <w:bodyDiv w:val="1"/>
      <w:marLeft w:val="0"/>
      <w:marRight w:val="0"/>
      <w:marTop w:val="0"/>
      <w:marBottom w:val="0"/>
      <w:divBdr>
        <w:top w:val="none" w:sz="0" w:space="0" w:color="auto"/>
        <w:left w:val="none" w:sz="0" w:space="0" w:color="auto"/>
        <w:bottom w:val="none" w:sz="0" w:space="0" w:color="auto"/>
        <w:right w:val="none" w:sz="0" w:space="0" w:color="auto"/>
      </w:divBdr>
    </w:div>
    <w:div w:id="1765609707">
      <w:bodyDiv w:val="1"/>
      <w:marLeft w:val="0"/>
      <w:marRight w:val="0"/>
      <w:marTop w:val="0"/>
      <w:marBottom w:val="0"/>
      <w:divBdr>
        <w:top w:val="none" w:sz="0" w:space="0" w:color="auto"/>
        <w:left w:val="none" w:sz="0" w:space="0" w:color="auto"/>
        <w:bottom w:val="none" w:sz="0" w:space="0" w:color="auto"/>
        <w:right w:val="none" w:sz="0" w:space="0" w:color="auto"/>
      </w:divBdr>
    </w:div>
    <w:div w:id="1776633848">
      <w:bodyDiv w:val="1"/>
      <w:marLeft w:val="0"/>
      <w:marRight w:val="0"/>
      <w:marTop w:val="0"/>
      <w:marBottom w:val="0"/>
      <w:divBdr>
        <w:top w:val="none" w:sz="0" w:space="0" w:color="auto"/>
        <w:left w:val="none" w:sz="0" w:space="0" w:color="auto"/>
        <w:bottom w:val="none" w:sz="0" w:space="0" w:color="auto"/>
        <w:right w:val="none" w:sz="0" w:space="0" w:color="auto"/>
      </w:divBdr>
    </w:div>
    <w:div w:id="1827236795">
      <w:bodyDiv w:val="1"/>
      <w:marLeft w:val="0"/>
      <w:marRight w:val="0"/>
      <w:marTop w:val="0"/>
      <w:marBottom w:val="0"/>
      <w:divBdr>
        <w:top w:val="none" w:sz="0" w:space="0" w:color="auto"/>
        <w:left w:val="none" w:sz="0" w:space="0" w:color="auto"/>
        <w:bottom w:val="none" w:sz="0" w:space="0" w:color="auto"/>
        <w:right w:val="none" w:sz="0" w:space="0" w:color="auto"/>
      </w:divBdr>
    </w:div>
    <w:div w:id="1851143198">
      <w:bodyDiv w:val="1"/>
      <w:marLeft w:val="0"/>
      <w:marRight w:val="0"/>
      <w:marTop w:val="0"/>
      <w:marBottom w:val="0"/>
      <w:divBdr>
        <w:top w:val="none" w:sz="0" w:space="0" w:color="auto"/>
        <w:left w:val="none" w:sz="0" w:space="0" w:color="auto"/>
        <w:bottom w:val="none" w:sz="0" w:space="0" w:color="auto"/>
        <w:right w:val="none" w:sz="0" w:space="0" w:color="auto"/>
      </w:divBdr>
    </w:div>
    <w:div w:id="1910650409">
      <w:bodyDiv w:val="1"/>
      <w:marLeft w:val="0"/>
      <w:marRight w:val="0"/>
      <w:marTop w:val="0"/>
      <w:marBottom w:val="0"/>
      <w:divBdr>
        <w:top w:val="none" w:sz="0" w:space="0" w:color="auto"/>
        <w:left w:val="none" w:sz="0" w:space="0" w:color="auto"/>
        <w:bottom w:val="none" w:sz="0" w:space="0" w:color="auto"/>
        <w:right w:val="none" w:sz="0" w:space="0" w:color="auto"/>
      </w:divBdr>
    </w:div>
    <w:div w:id="1921912774">
      <w:bodyDiv w:val="1"/>
      <w:marLeft w:val="0"/>
      <w:marRight w:val="0"/>
      <w:marTop w:val="0"/>
      <w:marBottom w:val="0"/>
      <w:divBdr>
        <w:top w:val="none" w:sz="0" w:space="0" w:color="auto"/>
        <w:left w:val="none" w:sz="0" w:space="0" w:color="auto"/>
        <w:bottom w:val="none" w:sz="0" w:space="0" w:color="auto"/>
        <w:right w:val="none" w:sz="0" w:space="0" w:color="auto"/>
      </w:divBdr>
    </w:div>
    <w:div w:id="1944070332">
      <w:bodyDiv w:val="1"/>
      <w:marLeft w:val="0"/>
      <w:marRight w:val="0"/>
      <w:marTop w:val="0"/>
      <w:marBottom w:val="0"/>
      <w:divBdr>
        <w:top w:val="none" w:sz="0" w:space="0" w:color="auto"/>
        <w:left w:val="none" w:sz="0" w:space="0" w:color="auto"/>
        <w:bottom w:val="none" w:sz="0" w:space="0" w:color="auto"/>
        <w:right w:val="none" w:sz="0" w:space="0" w:color="auto"/>
      </w:divBdr>
    </w:div>
    <w:div w:id="1997605154">
      <w:bodyDiv w:val="1"/>
      <w:marLeft w:val="0"/>
      <w:marRight w:val="0"/>
      <w:marTop w:val="0"/>
      <w:marBottom w:val="0"/>
      <w:divBdr>
        <w:top w:val="none" w:sz="0" w:space="0" w:color="auto"/>
        <w:left w:val="none" w:sz="0" w:space="0" w:color="auto"/>
        <w:bottom w:val="none" w:sz="0" w:space="0" w:color="auto"/>
        <w:right w:val="none" w:sz="0" w:space="0" w:color="auto"/>
      </w:divBdr>
    </w:div>
    <w:div w:id="2020230619">
      <w:bodyDiv w:val="1"/>
      <w:marLeft w:val="0"/>
      <w:marRight w:val="0"/>
      <w:marTop w:val="0"/>
      <w:marBottom w:val="0"/>
      <w:divBdr>
        <w:top w:val="none" w:sz="0" w:space="0" w:color="auto"/>
        <w:left w:val="none" w:sz="0" w:space="0" w:color="auto"/>
        <w:bottom w:val="none" w:sz="0" w:space="0" w:color="auto"/>
        <w:right w:val="none" w:sz="0" w:space="0" w:color="auto"/>
      </w:divBdr>
    </w:div>
    <w:div w:id="2026588997">
      <w:bodyDiv w:val="1"/>
      <w:marLeft w:val="0"/>
      <w:marRight w:val="0"/>
      <w:marTop w:val="0"/>
      <w:marBottom w:val="0"/>
      <w:divBdr>
        <w:top w:val="none" w:sz="0" w:space="0" w:color="auto"/>
        <w:left w:val="none" w:sz="0" w:space="0" w:color="auto"/>
        <w:bottom w:val="none" w:sz="0" w:space="0" w:color="auto"/>
        <w:right w:val="none" w:sz="0" w:space="0" w:color="auto"/>
      </w:divBdr>
    </w:div>
    <w:div w:id="2050101695">
      <w:bodyDiv w:val="1"/>
      <w:marLeft w:val="0"/>
      <w:marRight w:val="0"/>
      <w:marTop w:val="0"/>
      <w:marBottom w:val="0"/>
      <w:divBdr>
        <w:top w:val="none" w:sz="0" w:space="0" w:color="auto"/>
        <w:left w:val="none" w:sz="0" w:space="0" w:color="auto"/>
        <w:bottom w:val="none" w:sz="0" w:space="0" w:color="auto"/>
        <w:right w:val="none" w:sz="0" w:space="0" w:color="auto"/>
      </w:divBdr>
    </w:div>
    <w:div w:id="2079087394">
      <w:bodyDiv w:val="1"/>
      <w:marLeft w:val="0"/>
      <w:marRight w:val="0"/>
      <w:marTop w:val="0"/>
      <w:marBottom w:val="0"/>
      <w:divBdr>
        <w:top w:val="none" w:sz="0" w:space="0" w:color="auto"/>
        <w:left w:val="none" w:sz="0" w:space="0" w:color="auto"/>
        <w:bottom w:val="none" w:sz="0" w:space="0" w:color="auto"/>
        <w:right w:val="none" w:sz="0" w:space="0" w:color="auto"/>
      </w:divBdr>
    </w:div>
    <w:div w:id="2084450587">
      <w:bodyDiv w:val="1"/>
      <w:marLeft w:val="0"/>
      <w:marRight w:val="0"/>
      <w:marTop w:val="0"/>
      <w:marBottom w:val="0"/>
      <w:divBdr>
        <w:top w:val="none" w:sz="0" w:space="0" w:color="auto"/>
        <w:left w:val="none" w:sz="0" w:space="0" w:color="auto"/>
        <w:bottom w:val="none" w:sz="0" w:space="0" w:color="auto"/>
        <w:right w:val="none" w:sz="0" w:space="0" w:color="auto"/>
      </w:divBdr>
    </w:div>
    <w:div w:id="2085300998">
      <w:bodyDiv w:val="1"/>
      <w:marLeft w:val="0"/>
      <w:marRight w:val="0"/>
      <w:marTop w:val="0"/>
      <w:marBottom w:val="0"/>
      <w:divBdr>
        <w:top w:val="none" w:sz="0" w:space="0" w:color="auto"/>
        <w:left w:val="none" w:sz="0" w:space="0" w:color="auto"/>
        <w:bottom w:val="none" w:sz="0" w:space="0" w:color="auto"/>
        <w:right w:val="none" w:sz="0" w:space="0" w:color="auto"/>
      </w:divBdr>
    </w:div>
    <w:div w:id="2090997708">
      <w:bodyDiv w:val="1"/>
      <w:marLeft w:val="0"/>
      <w:marRight w:val="0"/>
      <w:marTop w:val="0"/>
      <w:marBottom w:val="0"/>
      <w:divBdr>
        <w:top w:val="none" w:sz="0" w:space="0" w:color="auto"/>
        <w:left w:val="none" w:sz="0" w:space="0" w:color="auto"/>
        <w:bottom w:val="none" w:sz="0" w:space="0" w:color="auto"/>
        <w:right w:val="none" w:sz="0" w:space="0" w:color="auto"/>
      </w:divBdr>
    </w:div>
    <w:div w:id="2102677805">
      <w:bodyDiv w:val="1"/>
      <w:marLeft w:val="0"/>
      <w:marRight w:val="0"/>
      <w:marTop w:val="0"/>
      <w:marBottom w:val="0"/>
      <w:divBdr>
        <w:top w:val="none" w:sz="0" w:space="0" w:color="auto"/>
        <w:left w:val="none" w:sz="0" w:space="0" w:color="auto"/>
        <w:bottom w:val="none" w:sz="0" w:space="0" w:color="auto"/>
        <w:right w:val="none" w:sz="0" w:space="0" w:color="auto"/>
      </w:divBdr>
    </w:div>
    <w:div w:id="2104641132">
      <w:bodyDiv w:val="1"/>
      <w:marLeft w:val="0"/>
      <w:marRight w:val="0"/>
      <w:marTop w:val="0"/>
      <w:marBottom w:val="0"/>
      <w:divBdr>
        <w:top w:val="none" w:sz="0" w:space="0" w:color="auto"/>
        <w:left w:val="none" w:sz="0" w:space="0" w:color="auto"/>
        <w:bottom w:val="none" w:sz="0" w:space="0" w:color="auto"/>
        <w:right w:val="none" w:sz="0" w:space="0" w:color="auto"/>
      </w:divBdr>
    </w:div>
    <w:div w:id="2117021324">
      <w:bodyDiv w:val="1"/>
      <w:marLeft w:val="0"/>
      <w:marRight w:val="0"/>
      <w:marTop w:val="0"/>
      <w:marBottom w:val="0"/>
      <w:divBdr>
        <w:top w:val="none" w:sz="0" w:space="0" w:color="auto"/>
        <w:left w:val="none" w:sz="0" w:space="0" w:color="auto"/>
        <w:bottom w:val="none" w:sz="0" w:space="0" w:color="auto"/>
        <w:right w:val="none" w:sz="0" w:space="0" w:color="auto"/>
      </w:divBdr>
    </w:div>
    <w:div w:id="2140604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products/australian-register-therapeutic-goods-artg/product-information" TargetMode="Externa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chart" Target="charts/chart22.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footer" Target="footer2.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footer" Target="footer1.xml"/><Relationship Id="rId38" Type="http://schemas.openxmlformats.org/officeDocument/2006/relationships/chart" Target="charts/chart2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41" Type="http://schemas.openxmlformats.org/officeDocument/2006/relationships/hyperlink" Target="http://www.pbs.gov.au/pbs/industry/listing/elements/pbac-meet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plore.data.abs.gov.au/vis?tm=quarterly%20population&amp;pg=0&amp;df%5bds%5d=ABS_ABS_TOPICS&amp;df%5bid%5d=ERP_Q&amp;df%5bag%5d=ABS&amp;df%5bvs%5d=1.0.0&amp;hc%5bFrequency%5d=Quarterly&amp;pd=2019-Q2%2C&amp;dq=1.3.TOT..Q&amp;ly%5bcl%5d=TIME_PERIOD&amp;ly%5brw%5d=REGION" TargetMode="External"/><Relationship Id="rId24" Type="http://schemas.openxmlformats.org/officeDocument/2006/relationships/chart" Target="charts/chart13.xml"/><Relationship Id="rId32" Type="http://schemas.openxmlformats.org/officeDocument/2006/relationships/header" Target="header2.xml"/><Relationship Id="rId37" Type="http://schemas.openxmlformats.org/officeDocument/2006/relationships/chart" Target="charts/chart20.xml"/><Relationship Id="rId40" Type="http://schemas.openxmlformats.org/officeDocument/2006/relationships/chart" Target="charts/chart2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footer" Target="footer3.xml"/><Relationship Id="rId10" Type="http://schemas.openxmlformats.org/officeDocument/2006/relationships/hyperlink" Target="http://www.pbs.gov.au" TargetMode="External"/><Relationship Id="rId19" Type="http://schemas.openxmlformats.org/officeDocument/2006/relationships/chart" Target="charts/chart8.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ga.gov.au/products/australian-register-therapeutic-goods-artg/consumer-medicines-information-cmi" TargetMode="Externa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header" Target="header3.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bs.tga.gov.au/ebs/picmi/picmirepository.nsf/pdf?OpenAgent&amp;id=CP-2010-PI-04269-3" TargetMode="External"/><Relationship Id="rId13" Type="http://schemas.openxmlformats.org/officeDocument/2006/relationships/hyperlink" Target="http://www.pbs.gov.au/info/industry/listing/elements/pbac-meetings/pbac-outcomes/2005-03/positive-recommendations" TargetMode="External"/><Relationship Id="rId18" Type="http://schemas.openxmlformats.org/officeDocument/2006/relationships/hyperlink" Target="http://www.pbs.gov.au/info/industry/listing/elements/pbac-meetings/psd/2008-07/pbac-psd-atomoxetine-hydrochloride-july08" TargetMode="External"/><Relationship Id="rId3" Type="http://schemas.openxmlformats.org/officeDocument/2006/relationships/hyperlink" Target="https://aadpa.com.au/adhd-stimulant-prescribing-regulations-in-australia-new-zealand/" TargetMode="External"/><Relationship Id="rId21" Type="http://schemas.openxmlformats.org/officeDocument/2006/relationships/hyperlink" Target="https://www.pbs.gov.au/pbs/industry/listing/elements/pbac-meetings/psd/2019-07/lisdexamfetamine-capsule-containing-lisdexamfetamine-dimesi" TargetMode="External"/><Relationship Id="rId7" Type="http://schemas.openxmlformats.org/officeDocument/2006/relationships/hyperlink" Target="https://www.ebs.tga.gov.au/ebs/picmi/picmirepository.nsf/pdf?OpenAgent&amp;id=CP-2013-PI-02051-1" TargetMode="External"/><Relationship Id="rId12" Type="http://schemas.openxmlformats.org/officeDocument/2006/relationships/hyperlink" Target="https://www.pbs.gov.au/info/industry/listing/participants/public-release-docs/2021-06/guanfacine-for-attention-deficit-hyperactivity-disorder-jun" TargetMode="External"/><Relationship Id="rId17" Type="http://schemas.openxmlformats.org/officeDocument/2006/relationships/hyperlink" Target="http://www.pbs.gov.au/info/industry/listing/elements/pbac-meetings/psd/2006-11/pbac-psd-atomoxetine-nov06" TargetMode="External"/><Relationship Id="rId2" Type="http://schemas.openxmlformats.org/officeDocument/2006/relationships/hyperlink" Target="https://tgldcdp.tg.org.au/viewTopic?topicfile=attention-deficit-hyperactivity-disorder&amp;guidelineName=Psychotropic&amp;topicNavigation=navigateTopic" TargetMode="External"/><Relationship Id="rId16" Type="http://schemas.openxmlformats.org/officeDocument/2006/relationships/hyperlink" Target="http://www.pbs.gov.au/info/industry/listing/elements/pbac-meetings/pbac-outcomes/2007-11/positive-recommendations" TargetMode="External"/><Relationship Id="rId20" Type="http://schemas.openxmlformats.org/officeDocument/2006/relationships/hyperlink" Target="https://www.pbs.gov.au/pbs/industry/listing/elements/pbac-meetings/psd/2014-07/lisdexamfetamine-dimesilate-psd-07-2014" TargetMode="External"/><Relationship Id="rId1" Type="http://schemas.openxmlformats.org/officeDocument/2006/relationships/hyperlink" Target="https://adhdguideline.aadpa.com.au/wp-content/uploads/2022/10/ADHD-Clinical-Practice-Guide-041022.pdf" TargetMode="External"/><Relationship Id="rId6" Type="http://schemas.openxmlformats.org/officeDocument/2006/relationships/hyperlink" Target="https://www.ebs.tga.gov.au/ebs/picmi/picmirepository.nsf/pdf?OpenAgent&amp;id=CP-2010-PI-03175-3" TargetMode="External"/><Relationship Id="rId11" Type="http://schemas.openxmlformats.org/officeDocument/2006/relationships/hyperlink" Target="https://www.pbs.gov.au/pbs/industry/listing/participants/public-release-docs/2018-05/attention-deficit-hyperactivity-disorder" TargetMode="External"/><Relationship Id="rId5" Type="http://schemas.openxmlformats.org/officeDocument/2006/relationships/hyperlink" Target="https://www.ebs.tga.gov.au/ebs/picmi/picmirepository.nsf/pdf?OpenAgent&amp;id=CP-2017-PI-01667-1" TargetMode="External"/><Relationship Id="rId15" Type="http://schemas.openxmlformats.org/officeDocument/2006/relationships/hyperlink" Target="http://www.pbs.gov.au/info/industry/listing/elements/pbac-meetings/psd/2012-07/methylphenidate-hydrochloride" TargetMode="External"/><Relationship Id="rId10" Type="http://schemas.openxmlformats.org/officeDocument/2006/relationships/hyperlink" Target="http://www.pbs.gov.au/pbs/industry/listing/participants/public-release-docs/2015-06/attention-deficit-hyperactivity-disorder-2015-06-prd" TargetMode="External"/><Relationship Id="rId19" Type="http://schemas.openxmlformats.org/officeDocument/2006/relationships/hyperlink" Target="http://www.pbs.gov.au/info/industry/listing/elements/pbac-meetings/pbac-outcomes/pbac-recommendations-march-2014" TargetMode="External"/><Relationship Id="rId4" Type="http://schemas.openxmlformats.org/officeDocument/2006/relationships/hyperlink" Target="https://amhonline.amh.net.au/chapters/cardiovascular-drugs/antihypertensives/other-antihypertensives/clonidine-cardiovascular" TargetMode="External"/><Relationship Id="rId9" Type="http://schemas.openxmlformats.org/officeDocument/2006/relationships/hyperlink" Target="https://www.ebs.tga.gov.au/ebs/picmi/picmirepository.nsf/PICMI?OpenForm&amp;t=&amp;q=clonidine" TargetMode="External"/><Relationship Id="rId14" Type="http://schemas.openxmlformats.org/officeDocument/2006/relationships/hyperlink" Target="http://www.pbs.gov.au/info/industry/listing/elements/pbac-meetings/psd/2006-11/pbac-psd-methylphenidate-nov06" TargetMode="External"/><Relationship Id="rId22" Type="http://schemas.openxmlformats.org/officeDocument/2006/relationships/hyperlink" Target="https://www.pbs.gov.au/pbs/industry/listing/elements/pbac-meetings/psd/2020-03/lisdexamfetamine-capsule-containing-lisdexamfetamin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20.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3.xml"/><Relationship Id="rId1" Type="http://schemas.microsoft.com/office/2011/relationships/chartStyle" Target="style23.xm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4505706175161517"/>
          <c:y val="3.7472321580650655E-2"/>
          <c:w val="0.83056890767005553"/>
          <c:h val="0.68096220982085975"/>
        </c:manualLayout>
      </c:layout>
      <c:lineChart>
        <c:grouping val="standard"/>
        <c:varyColors val="0"/>
        <c:ser>
          <c:idx val="6"/>
          <c:order val="0"/>
          <c:tx>
            <c:v>Atomoxetine</c:v>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Lit>
              <c:ptCount val="10"/>
              <c:pt idx="0">
                <c:v>2013/14</c:v>
              </c:pt>
              <c:pt idx="1">
                <c:v>2014/15</c:v>
              </c:pt>
              <c:pt idx="2">
                <c:v>2015/16</c:v>
              </c:pt>
              <c:pt idx="3">
                <c:v>2016/17</c:v>
              </c:pt>
              <c:pt idx="4">
                <c:v>2017/18</c:v>
              </c:pt>
              <c:pt idx="5">
                <c:v>2018/19</c:v>
              </c:pt>
              <c:pt idx="6">
                <c:v>2019/20</c:v>
              </c:pt>
              <c:pt idx="7">
                <c:v>2020/21</c:v>
              </c:pt>
              <c:pt idx="8">
                <c:v>2021/22</c:v>
              </c:pt>
              <c:pt idx="9">
                <c:v>2022/23</c:v>
              </c:pt>
            </c:strLit>
          </c:cat>
          <c:val>
            <c:numLit>
              <c:formatCode>General</c:formatCode>
              <c:ptCount val="10"/>
              <c:pt idx="0">
                <c:v>37981</c:v>
              </c:pt>
              <c:pt idx="1">
                <c:v>41461</c:v>
              </c:pt>
              <c:pt idx="2">
                <c:v>45005</c:v>
              </c:pt>
              <c:pt idx="3">
                <c:v>49245</c:v>
              </c:pt>
              <c:pt idx="4">
                <c:v>53950</c:v>
              </c:pt>
              <c:pt idx="5">
                <c:v>54663</c:v>
              </c:pt>
              <c:pt idx="6">
                <c:v>56882</c:v>
              </c:pt>
              <c:pt idx="7">
                <c:v>63282</c:v>
              </c:pt>
              <c:pt idx="8">
                <c:v>69940</c:v>
              </c:pt>
              <c:pt idx="9">
                <c:v>76965</c:v>
              </c:pt>
            </c:numLit>
          </c:val>
          <c:smooth val="0"/>
          <c:extLst>
            <c:ext xmlns:c16="http://schemas.microsoft.com/office/drawing/2014/chart" uri="{C3380CC4-5D6E-409C-BE32-E72D297353CC}">
              <c16:uniqueId val="{00000000-25D6-4D9B-B1B5-AEA77B07B26F}"/>
            </c:ext>
          </c:extLst>
        </c:ser>
        <c:ser>
          <c:idx val="3"/>
          <c:order val="1"/>
          <c:tx>
            <c:v>Clonidine</c:v>
          </c:tx>
          <c:spPr>
            <a:ln w="28575" cap="rnd">
              <a:solidFill>
                <a:schemeClr val="bg1">
                  <a:lumMod val="65000"/>
                </a:schemeClr>
              </a:solidFill>
              <a:round/>
            </a:ln>
            <a:effectLst/>
          </c:spPr>
          <c:marker>
            <c:symbol val="circle"/>
            <c:size val="5"/>
            <c:spPr>
              <a:solidFill>
                <a:schemeClr val="bg1">
                  <a:lumMod val="65000"/>
                </a:schemeClr>
              </a:solidFill>
              <a:ln w="9525">
                <a:solidFill>
                  <a:schemeClr val="bg1">
                    <a:lumMod val="65000"/>
                  </a:schemeClr>
                </a:solidFill>
              </a:ln>
              <a:effectLst/>
            </c:spPr>
          </c:marker>
          <c:cat>
            <c:strLit>
              <c:ptCount val="10"/>
              <c:pt idx="0">
                <c:v>2013/14</c:v>
              </c:pt>
              <c:pt idx="1">
                <c:v>2014/15</c:v>
              </c:pt>
              <c:pt idx="2">
                <c:v>2015/16</c:v>
              </c:pt>
              <c:pt idx="3">
                <c:v>2016/17</c:v>
              </c:pt>
              <c:pt idx="4">
                <c:v>2017/18</c:v>
              </c:pt>
              <c:pt idx="5">
                <c:v>2018/19</c:v>
              </c:pt>
              <c:pt idx="6">
                <c:v>2019/20</c:v>
              </c:pt>
              <c:pt idx="7">
                <c:v>2020/21</c:v>
              </c:pt>
              <c:pt idx="8">
                <c:v>2021/22</c:v>
              </c:pt>
              <c:pt idx="9">
                <c:v>2022/23</c:v>
              </c:pt>
            </c:strLit>
          </c:cat>
          <c:val>
            <c:numLit>
              <c:formatCode>General</c:formatCode>
              <c:ptCount val="10"/>
              <c:pt idx="0">
                <c:v>169985</c:v>
              </c:pt>
              <c:pt idx="1">
                <c:v>181152</c:v>
              </c:pt>
              <c:pt idx="2">
                <c:v>197330</c:v>
              </c:pt>
              <c:pt idx="3">
                <c:v>218846</c:v>
              </c:pt>
              <c:pt idx="4">
                <c:v>244327</c:v>
              </c:pt>
              <c:pt idx="5">
                <c:v>270579</c:v>
              </c:pt>
              <c:pt idx="6">
                <c:v>301644</c:v>
              </c:pt>
              <c:pt idx="7">
                <c:v>346193</c:v>
              </c:pt>
              <c:pt idx="8">
                <c:v>394309</c:v>
              </c:pt>
              <c:pt idx="9">
                <c:v>456552</c:v>
              </c:pt>
            </c:numLit>
          </c:val>
          <c:smooth val="0"/>
          <c:extLst>
            <c:ext xmlns:c16="http://schemas.microsoft.com/office/drawing/2014/chart" uri="{C3380CC4-5D6E-409C-BE32-E72D297353CC}">
              <c16:uniqueId val="{00000001-25D6-4D9B-B1B5-AEA77B07B26F}"/>
            </c:ext>
          </c:extLst>
        </c:ser>
        <c:ser>
          <c:idx val="2"/>
          <c:order val="2"/>
          <c:tx>
            <c:v>Dexamfetamine</c:v>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Lit>
              <c:ptCount val="10"/>
              <c:pt idx="0">
                <c:v>2013/14</c:v>
              </c:pt>
              <c:pt idx="1">
                <c:v>2014/15</c:v>
              </c:pt>
              <c:pt idx="2">
                <c:v>2015/16</c:v>
              </c:pt>
              <c:pt idx="3">
                <c:v>2016/17</c:v>
              </c:pt>
              <c:pt idx="4">
                <c:v>2017/18</c:v>
              </c:pt>
              <c:pt idx="5">
                <c:v>2018/19</c:v>
              </c:pt>
              <c:pt idx="6">
                <c:v>2019/20</c:v>
              </c:pt>
              <c:pt idx="7">
                <c:v>2020/21</c:v>
              </c:pt>
              <c:pt idx="8">
                <c:v>2021/22</c:v>
              </c:pt>
              <c:pt idx="9">
                <c:v>2022/23</c:v>
              </c:pt>
            </c:strLit>
          </c:cat>
          <c:val>
            <c:numLit>
              <c:formatCode>General</c:formatCode>
              <c:ptCount val="10"/>
              <c:pt idx="0">
                <c:v>220577</c:v>
              </c:pt>
              <c:pt idx="1">
                <c:v>226397</c:v>
              </c:pt>
              <c:pt idx="2">
                <c:v>238632</c:v>
              </c:pt>
              <c:pt idx="3">
                <c:v>247725</c:v>
              </c:pt>
              <c:pt idx="4">
                <c:v>264419</c:v>
              </c:pt>
              <c:pt idx="5">
                <c:v>289854</c:v>
              </c:pt>
              <c:pt idx="6">
                <c:v>326755</c:v>
              </c:pt>
              <c:pt idx="7">
                <c:v>381688</c:v>
              </c:pt>
              <c:pt idx="8">
                <c:v>460378</c:v>
              </c:pt>
              <c:pt idx="9">
                <c:v>566381</c:v>
              </c:pt>
            </c:numLit>
          </c:val>
          <c:smooth val="0"/>
          <c:extLst>
            <c:ext xmlns:c16="http://schemas.microsoft.com/office/drawing/2014/chart" uri="{C3380CC4-5D6E-409C-BE32-E72D297353CC}">
              <c16:uniqueId val="{00000002-25D6-4D9B-B1B5-AEA77B07B26F}"/>
            </c:ext>
          </c:extLst>
        </c:ser>
        <c:ser>
          <c:idx val="5"/>
          <c:order val="3"/>
          <c:tx>
            <c:v>Guanfacine</c:v>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Lit>
              <c:ptCount val="10"/>
              <c:pt idx="0">
                <c:v>2013/14</c:v>
              </c:pt>
              <c:pt idx="1">
                <c:v>2014/15</c:v>
              </c:pt>
              <c:pt idx="2">
                <c:v>2015/16</c:v>
              </c:pt>
              <c:pt idx="3">
                <c:v>2016/17</c:v>
              </c:pt>
              <c:pt idx="4">
                <c:v>2017/18</c:v>
              </c:pt>
              <c:pt idx="5">
                <c:v>2018/19</c:v>
              </c:pt>
              <c:pt idx="6">
                <c:v>2019/20</c:v>
              </c:pt>
              <c:pt idx="7">
                <c:v>2020/21</c:v>
              </c:pt>
              <c:pt idx="8">
                <c:v>2021/22</c:v>
              </c:pt>
              <c:pt idx="9">
                <c:v>2022/23</c:v>
              </c:pt>
            </c:strLit>
          </c:cat>
          <c:val>
            <c:numLit>
              <c:formatCode>General</c:formatCode>
              <c:ptCount val="10"/>
              <c:pt idx="0">
                <c:v>0</c:v>
              </c:pt>
              <c:pt idx="1">
                <c:v>0</c:v>
              </c:pt>
              <c:pt idx="2">
                <c:v>0</c:v>
              </c:pt>
              <c:pt idx="3">
                <c:v>0</c:v>
              </c:pt>
              <c:pt idx="4">
                <c:v>0</c:v>
              </c:pt>
              <c:pt idx="5">
                <c:v>51592</c:v>
              </c:pt>
              <c:pt idx="6">
                <c:v>165238</c:v>
              </c:pt>
              <c:pt idx="7">
                <c:v>236289</c:v>
              </c:pt>
              <c:pt idx="8">
                <c:v>316701</c:v>
              </c:pt>
              <c:pt idx="9">
                <c:v>409535</c:v>
              </c:pt>
            </c:numLit>
          </c:val>
          <c:smooth val="0"/>
          <c:extLst>
            <c:ext xmlns:c16="http://schemas.microsoft.com/office/drawing/2014/chart" uri="{C3380CC4-5D6E-409C-BE32-E72D297353CC}">
              <c16:uniqueId val="{00000003-25D6-4D9B-B1B5-AEA77B07B26F}"/>
            </c:ext>
          </c:extLst>
        </c:ser>
        <c:ser>
          <c:idx val="1"/>
          <c:order val="4"/>
          <c:tx>
            <c:v>Lisdexamfetamine</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Lit>
              <c:ptCount val="10"/>
              <c:pt idx="0">
                <c:v>2013/14</c:v>
              </c:pt>
              <c:pt idx="1">
                <c:v>2014/15</c:v>
              </c:pt>
              <c:pt idx="2">
                <c:v>2015/16</c:v>
              </c:pt>
              <c:pt idx="3">
                <c:v>2016/17</c:v>
              </c:pt>
              <c:pt idx="4">
                <c:v>2017/18</c:v>
              </c:pt>
              <c:pt idx="5">
                <c:v>2018/19</c:v>
              </c:pt>
              <c:pt idx="6">
                <c:v>2019/20</c:v>
              </c:pt>
              <c:pt idx="7">
                <c:v>2020/21</c:v>
              </c:pt>
              <c:pt idx="8">
                <c:v>2021/22</c:v>
              </c:pt>
              <c:pt idx="9">
                <c:v>2022/23</c:v>
              </c:pt>
            </c:strLit>
          </c:cat>
          <c:val>
            <c:numLit>
              <c:formatCode>General</c:formatCode>
              <c:ptCount val="10"/>
              <c:pt idx="0">
                <c:v>0</c:v>
              </c:pt>
              <c:pt idx="1">
                <c:v>0</c:v>
              </c:pt>
              <c:pt idx="2">
                <c:v>62490</c:v>
              </c:pt>
              <c:pt idx="3">
                <c:v>146266</c:v>
              </c:pt>
              <c:pt idx="4">
                <c:v>210318</c:v>
              </c:pt>
              <c:pt idx="5">
                <c:v>271989</c:v>
              </c:pt>
              <c:pt idx="6">
                <c:v>335809</c:v>
              </c:pt>
              <c:pt idx="7">
                <c:v>466775</c:v>
              </c:pt>
              <c:pt idx="8">
                <c:v>783443</c:v>
              </c:pt>
              <c:pt idx="9">
                <c:v>1176452</c:v>
              </c:pt>
            </c:numLit>
          </c:val>
          <c:smooth val="0"/>
          <c:extLst>
            <c:ext xmlns:c16="http://schemas.microsoft.com/office/drawing/2014/chart" uri="{C3380CC4-5D6E-409C-BE32-E72D297353CC}">
              <c16:uniqueId val="{00000004-25D6-4D9B-B1B5-AEA77B07B26F}"/>
            </c:ext>
          </c:extLst>
        </c:ser>
        <c:ser>
          <c:idx val="4"/>
          <c:order val="5"/>
          <c:tx>
            <c:v>MPH-IR</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Lit>
              <c:ptCount val="10"/>
              <c:pt idx="0">
                <c:v>2013/14</c:v>
              </c:pt>
              <c:pt idx="1">
                <c:v>2014/15</c:v>
              </c:pt>
              <c:pt idx="2">
                <c:v>2015/16</c:v>
              </c:pt>
              <c:pt idx="3">
                <c:v>2016/17</c:v>
              </c:pt>
              <c:pt idx="4">
                <c:v>2017/18</c:v>
              </c:pt>
              <c:pt idx="5">
                <c:v>2018/19</c:v>
              </c:pt>
              <c:pt idx="6">
                <c:v>2019/20</c:v>
              </c:pt>
              <c:pt idx="7">
                <c:v>2020/21</c:v>
              </c:pt>
              <c:pt idx="8">
                <c:v>2021/22</c:v>
              </c:pt>
              <c:pt idx="9">
                <c:v>2022/23</c:v>
              </c:pt>
            </c:strLit>
          </c:cat>
          <c:val>
            <c:numLit>
              <c:formatCode>General</c:formatCode>
              <c:ptCount val="10"/>
              <c:pt idx="0">
                <c:v>151956</c:v>
              </c:pt>
              <c:pt idx="1">
                <c:v>165733</c:v>
              </c:pt>
              <c:pt idx="2">
                <c:v>178526</c:v>
              </c:pt>
              <c:pt idx="3">
                <c:v>187614</c:v>
              </c:pt>
              <c:pt idx="4">
                <c:v>204821</c:v>
              </c:pt>
              <c:pt idx="5">
                <c:v>229910</c:v>
              </c:pt>
              <c:pt idx="6">
                <c:v>264222</c:v>
              </c:pt>
              <c:pt idx="7">
                <c:v>312093</c:v>
              </c:pt>
              <c:pt idx="8">
                <c:v>364582</c:v>
              </c:pt>
              <c:pt idx="9">
                <c:v>440693</c:v>
              </c:pt>
            </c:numLit>
          </c:val>
          <c:smooth val="0"/>
          <c:extLst>
            <c:ext xmlns:c16="http://schemas.microsoft.com/office/drawing/2014/chart" uri="{C3380CC4-5D6E-409C-BE32-E72D297353CC}">
              <c16:uniqueId val="{00000005-25D6-4D9B-B1B5-AEA77B07B26F}"/>
            </c:ext>
          </c:extLst>
        </c:ser>
        <c:ser>
          <c:idx val="0"/>
          <c:order val="6"/>
          <c:tx>
            <c:v>MPH-MR</c:v>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Lit>
              <c:ptCount val="10"/>
              <c:pt idx="0">
                <c:v>2013/14</c:v>
              </c:pt>
              <c:pt idx="1">
                <c:v>2014/15</c:v>
              </c:pt>
              <c:pt idx="2">
                <c:v>2015/16</c:v>
              </c:pt>
              <c:pt idx="3">
                <c:v>2016/17</c:v>
              </c:pt>
              <c:pt idx="4">
                <c:v>2017/18</c:v>
              </c:pt>
              <c:pt idx="5">
                <c:v>2018/19</c:v>
              </c:pt>
              <c:pt idx="6">
                <c:v>2019/20</c:v>
              </c:pt>
              <c:pt idx="7">
                <c:v>2020/21</c:v>
              </c:pt>
              <c:pt idx="8">
                <c:v>2021/22</c:v>
              </c:pt>
              <c:pt idx="9">
                <c:v>2022/23</c:v>
              </c:pt>
            </c:strLit>
          </c:cat>
          <c:val>
            <c:numLit>
              <c:formatCode>General</c:formatCode>
              <c:ptCount val="10"/>
              <c:pt idx="0">
                <c:v>423772</c:v>
              </c:pt>
              <c:pt idx="1">
                <c:v>455502</c:v>
              </c:pt>
              <c:pt idx="2">
                <c:v>484562</c:v>
              </c:pt>
              <c:pt idx="3">
                <c:v>503316</c:v>
              </c:pt>
              <c:pt idx="4">
                <c:v>531006</c:v>
              </c:pt>
              <c:pt idx="5">
                <c:v>568111</c:v>
              </c:pt>
              <c:pt idx="6">
                <c:v>627354</c:v>
              </c:pt>
              <c:pt idx="7">
                <c:v>715128</c:v>
              </c:pt>
              <c:pt idx="8">
                <c:v>801637</c:v>
              </c:pt>
              <c:pt idx="9">
                <c:v>942260</c:v>
              </c:pt>
            </c:numLit>
          </c:val>
          <c:smooth val="0"/>
          <c:extLst>
            <c:ext xmlns:c16="http://schemas.microsoft.com/office/drawing/2014/chart" uri="{C3380CC4-5D6E-409C-BE32-E72D297353CC}">
              <c16:uniqueId val="{00000006-25D6-4D9B-B1B5-AEA77B07B26F}"/>
            </c:ext>
          </c:extLst>
        </c:ser>
        <c:dLbls>
          <c:showLegendKey val="0"/>
          <c:showVal val="0"/>
          <c:showCatName val="0"/>
          <c:showSerName val="0"/>
          <c:showPercent val="0"/>
          <c:showBubbleSize val="0"/>
        </c:dLbls>
        <c:marker val="1"/>
        <c:smooth val="0"/>
        <c:axId val="309192360"/>
        <c:axId val="369584912"/>
      </c:lineChart>
      <c:catAx>
        <c:axId val="3091923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 of supply</a:t>
                </a:r>
              </a:p>
            </c:rich>
          </c:tx>
          <c:layout>
            <c:manualLayout>
              <c:xMode val="edge"/>
              <c:yMode val="edge"/>
              <c:x val="0.49335166474454378"/>
              <c:y val="0.811087461793387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9584912"/>
        <c:crosses val="autoZero"/>
        <c:auto val="1"/>
        <c:lblAlgn val="ctr"/>
        <c:lblOffset val="100"/>
        <c:noMultiLvlLbl val="0"/>
      </c:catAx>
      <c:valAx>
        <c:axId val="369584912"/>
        <c:scaling>
          <c:orientation val="minMax"/>
          <c:max val="12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Prescriptions</a:t>
                </a:r>
              </a:p>
            </c:rich>
          </c:tx>
          <c:layout>
            <c:manualLayout>
              <c:xMode val="edge"/>
              <c:yMode val="edge"/>
              <c:x val="1.3294925769997783E-2"/>
              <c:y val="0.2776554182643368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192360"/>
        <c:crosses val="autoZero"/>
        <c:crossBetween val="between"/>
      </c:valAx>
      <c:spPr>
        <a:noFill/>
        <a:ln>
          <a:noFill/>
        </a:ln>
        <a:effectLst/>
      </c:spPr>
    </c:plotArea>
    <c:legend>
      <c:legendPos val="b"/>
      <c:layout>
        <c:manualLayout>
          <c:xMode val="edge"/>
          <c:yMode val="edge"/>
          <c:x val="9.2310228892560603E-2"/>
          <c:y val="0.89013716157222811"/>
          <c:w val="0.84418521471654062"/>
          <c:h val="8.601681560372148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598763818104664"/>
          <c:y val="2.3525716267424147E-2"/>
          <c:w val="0.82040025889523749"/>
          <c:h val="0.72460774761014402"/>
        </c:manualLayout>
      </c:layout>
      <c:lineChart>
        <c:grouping val="standard"/>
        <c:varyColors val="0"/>
        <c:ser>
          <c:idx val="0"/>
          <c:order val="0"/>
          <c:tx>
            <c:v>MPH-MR</c:v>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Lit>
              <c:ptCount val="40"/>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pt idx="32">
                <c:v>2021Q3</c:v>
              </c:pt>
              <c:pt idx="33">
                <c:v>2021Q4</c:v>
              </c:pt>
              <c:pt idx="34">
                <c:v>2022Q1</c:v>
              </c:pt>
              <c:pt idx="35">
                <c:v>2022Q2</c:v>
              </c:pt>
              <c:pt idx="36">
                <c:v>2022Q3</c:v>
              </c:pt>
              <c:pt idx="37">
                <c:v>2022Q4</c:v>
              </c:pt>
              <c:pt idx="38">
                <c:v>2023Q1</c:v>
              </c:pt>
              <c:pt idx="39">
                <c:v>2023Q2</c:v>
              </c:pt>
            </c:strLit>
          </c:cat>
          <c:val>
            <c:numLit>
              <c:formatCode>General</c:formatCode>
              <c:ptCount val="40"/>
              <c:pt idx="0">
                <c:v>38758</c:v>
              </c:pt>
              <c:pt idx="1">
                <c:v>38592</c:v>
              </c:pt>
              <c:pt idx="2">
                <c:v>38280</c:v>
              </c:pt>
              <c:pt idx="3">
                <c:v>39508</c:v>
              </c:pt>
              <c:pt idx="4">
                <c:v>40796</c:v>
              </c:pt>
              <c:pt idx="5">
                <c:v>41015</c:v>
              </c:pt>
              <c:pt idx="6">
                <c:v>40994</c:v>
              </c:pt>
              <c:pt idx="7">
                <c:v>42432</c:v>
              </c:pt>
              <c:pt idx="8">
                <c:v>43879</c:v>
              </c:pt>
              <c:pt idx="9">
                <c:v>43315</c:v>
              </c:pt>
              <c:pt idx="10">
                <c:v>42685</c:v>
              </c:pt>
              <c:pt idx="11">
                <c:v>43647</c:v>
              </c:pt>
              <c:pt idx="12">
                <c:v>44527</c:v>
              </c:pt>
              <c:pt idx="13">
                <c:v>44264</c:v>
              </c:pt>
              <c:pt idx="14">
                <c:v>44018</c:v>
              </c:pt>
              <c:pt idx="15">
                <c:v>44938</c:v>
              </c:pt>
              <c:pt idx="16">
                <c:v>46029</c:v>
              </c:pt>
              <c:pt idx="17">
                <c:v>45892</c:v>
              </c:pt>
              <c:pt idx="18">
                <c:v>45776</c:v>
              </c:pt>
              <c:pt idx="19">
                <c:v>47422</c:v>
              </c:pt>
              <c:pt idx="20">
                <c:v>48559</c:v>
              </c:pt>
              <c:pt idx="21">
                <c:v>48979</c:v>
              </c:pt>
              <c:pt idx="22">
                <c:v>49142</c:v>
              </c:pt>
              <c:pt idx="23">
                <c:v>51087</c:v>
              </c:pt>
              <c:pt idx="24">
                <c:v>52913</c:v>
              </c:pt>
              <c:pt idx="25">
                <c:v>53519</c:v>
              </c:pt>
              <c:pt idx="26">
                <c:v>55348</c:v>
              </c:pt>
              <c:pt idx="27">
                <c:v>55449</c:v>
              </c:pt>
              <c:pt idx="28">
                <c:v>59136</c:v>
              </c:pt>
              <c:pt idx="29">
                <c:v>60590</c:v>
              </c:pt>
              <c:pt idx="30">
                <c:v>62638</c:v>
              </c:pt>
              <c:pt idx="31">
                <c:v>65758</c:v>
              </c:pt>
              <c:pt idx="32">
                <c:v>67471</c:v>
              </c:pt>
              <c:pt idx="33">
                <c:v>69607</c:v>
              </c:pt>
              <c:pt idx="34">
                <c:v>69895</c:v>
              </c:pt>
              <c:pt idx="35">
                <c:v>73576</c:v>
              </c:pt>
              <c:pt idx="36">
                <c:v>77612</c:v>
              </c:pt>
              <c:pt idx="37">
                <c:v>79669</c:v>
              </c:pt>
              <c:pt idx="38">
                <c:v>84092</c:v>
              </c:pt>
              <c:pt idx="39">
                <c:v>88445</c:v>
              </c:pt>
            </c:numLit>
          </c:val>
          <c:smooth val="0"/>
          <c:extLst>
            <c:ext xmlns:c16="http://schemas.microsoft.com/office/drawing/2014/chart" uri="{C3380CC4-5D6E-409C-BE32-E72D297353CC}">
              <c16:uniqueId val="{00000000-1FCB-4AB8-88CC-411BDE0C03F7}"/>
            </c:ext>
          </c:extLst>
        </c:ser>
        <c:ser>
          <c:idx val="1"/>
          <c:order val="1"/>
          <c:tx>
            <c:v>MPH-IR</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Lit>
              <c:ptCount val="40"/>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pt idx="32">
                <c:v>2021Q3</c:v>
              </c:pt>
              <c:pt idx="33">
                <c:v>2021Q4</c:v>
              </c:pt>
              <c:pt idx="34">
                <c:v>2022Q1</c:v>
              </c:pt>
              <c:pt idx="35">
                <c:v>2022Q2</c:v>
              </c:pt>
              <c:pt idx="36">
                <c:v>2022Q3</c:v>
              </c:pt>
              <c:pt idx="37">
                <c:v>2022Q4</c:v>
              </c:pt>
              <c:pt idx="38">
                <c:v>2023Q1</c:v>
              </c:pt>
              <c:pt idx="39">
                <c:v>2023Q2</c:v>
              </c:pt>
            </c:strLit>
          </c:cat>
          <c:val>
            <c:numLit>
              <c:formatCode>General</c:formatCode>
              <c:ptCount val="40"/>
              <c:pt idx="0">
                <c:v>18922</c:v>
              </c:pt>
              <c:pt idx="1">
                <c:v>18405</c:v>
              </c:pt>
              <c:pt idx="2">
                <c:v>18047</c:v>
              </c:pt>
              <c:pt idx="3">
                <c:v>19020</c:v>
              </c:pt>
              <c:pt idx="4">
                <c:v>20212</c:v>
              </c:pt>
              <c:pt idx="5">
                <c:v>20032</c:v>
              </c:pt>
              <c:pt idx="6">
                <c:v>19744</c:v>
              </c:pt>
              <c:pt idx="7">
                <c:v>21017</c:v>
              </c:pt>
              <c:pt idx="8">
                <c:v>22218</c:v>
              </c:pt>
              <c:pt idx="9">
                <c:v>21305</c:v>
              </c:pt>
              <c:pt idx="10">
                <c:v>20655</c:v>
              </c:pt>
              <c:pt idx="11">
                <c:v>21822</c:v>
              </c:pt>
              <c:pt idx="12">
                <c:v>22696</c:v>
              </c:pt>
              <c:pt idx="13">
                <c:v>22037</c:v>
              </c:pt>
              <c:pt idx="14">
                <c:v>21766</c:v>
              </c:pt>
              <c:pt idx="15">
                <c:v>22874</c:v>
              </c:pt>
              <c:pt idx="16">
                <c:v>24110</c:v>
              </c:pt>
              <c:pt idx="17">
                <c:v>23694</c:v>
              </c:pt>
              <c:pt idx="18">
                <c:v>23953</c:v>
              </c:pt>
              <c:pt idx="19">
                <c:v>25648</c:v>
              </c:pt>
              <c:pt idx="20">
                <c:v>27180</c:v>
              </c:pt>
              <c:pt idx="21">
                <c:v>26983</c:v>
              </c:pt>
              <c:pt idx="22">
                <c:v>26766</c:v>
              </c:pt>
              <c:pt idx="23">
                <c:v>28644</c:v>
              </c:pt>
              <c:pt idx="24">
                <c:v>30802</c:v>
              </c:pt>
              <c:pt idx="25">
                <c:v>31122</c:v>
              </c:pt>
              <c:pt idx="26">
                <c:v>31870</c:v>
              </c:pt>
              <c:pt idx="27">
                <c:v>31236</c:v>
              </c:pt>
              <c:pt idx="28">
                <c:v>35303</c:v>
              </c:pt>
              <c:pt idx="29">
                <c:v>35534</c:v>
              </c:pt>
              <c:pt idx="30">
                <c:v>36062</c:v>
              </c:pt>
              <c:pt idx="31">
                <c:v>38847</c:v>
              </c:pt>
              <c:pt idx="32">
                <c:v>41106</c:v>
              </c:pt>
              <c:pt idx="33">
                <c:v>41415</c:v>
              </c:pt>
              <c:pt idx="34">
                <c:v>41388</c:v>
              </c:pt>
              <c:pt idx="35">
                <c:v>44205</c:v>
              </c:pt>
              <c:pt idx="36">
                <c:v>49423</c:v>
              </c:pt>
              <c:pt idx="37">
                <c:v>48757</c:v>
              </c:pt>
              <c:pt idx="38">
                <c:v>50198</c:v>
              </c:pt>
              <c:pt idx="39">
                <c:v>53175</c:v>
              </c:pt>
            </c:numLit>
          </c:val>
          <c:smooth val="0"/>
          <c:extLst>
            <c:ext xmlns:c16="http://schemas.microsoft.com/office/drawing/2014/chart" uri="{C3380CC4-5D6E-409C-BE32-E72D297353CC}">
              <c16:uniqueId val="{00000001-1FCB-4AB8-88CC-411BDE0C03F7}"/>
            </c:ext>
          </c:extLst>
        </c:ser>
        <c:ser>
          <c:idx val="2"/>
          <c:order val="2"/>
          <c:tx>
            <c:v>Lisdexamfetamine</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Lit>
              <c:ptCount val="40"/>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pt idx="32">
                <c:v>2021Q3</c:v>
              </c:pt>
              <c:pt idx="33">
                <c:v>2021Q4</c:v>
              </c:pt>
              <c:pt idx="34">
                <c:v>2022Q1</c:v>
              </c:pt>
              <c:pt idx="35">
                <c:v>2022Q2</c:v>
              </c:pt>
              <c:pt idx="36">
                <c:v>2022Q3</c:v>
              </c:pt>
              <c:pt idx="37">
                <c:v>2022Q4</c:v>
              </c:pt>
              <c:pt idx="38">
                <c:v>2023Q1</c:v>
              </c:pt>
              <c:pt idx="39">
                <c:v>2023Q2</c:v>
              </c:pt>
            </c:strLit>
          </c:cat>
          <c:val>
            <c:numLit>
              <c:formatCode>General</c:formatCode>
              <c:ptCount val="40"/>
              <c:pt idx="0">
                <c:v>0</c:v>
              </c:pt>
              <c:pt idx="1">
                <c:v>0</c:v>
              </c:pt>
              <c:pt idx="2">
                <c:v>0</c:v>
              </c:pt>
              <c:pt idx="3">
                <c:v>0</c:v>
              </c:pt>
              <c:pt idx="4">
                <c:v>0</c:v>
              </c:pt>
              <c:pt idx="5">
                <c:v>0</c:v>
              </c:pt>
              <c:pt idx="6">
                <c:v>0</c:v>
              </c:pt>
              <c:pt idx="7">
                <c:v>0</c:v>
              </c:pt>
              <c:pt idx="8">
                <c:v>2195</c:v>
              </c:pt>
              <c:pt idx="9">
                <c:v>6129</c:v>
              </c:pt>
              <c:pt idx="10">
                <c:v>7668</c:v>
              </c:pt>
              <c:pt idx="11">
                <c:v>9515</c:v>
              </c:pt>
              <c:pt idx="12">
                <c:v>11698</c:v>
              </c:pt>
              <c:pt idx="13">
                <c:v>12909</c:v>
              </c:pt>
              <c:pt idx="14">
                <c:v>14001</c:v>
              </c:pt>
              <c:pt idx="15">
                <c:v>15587</c:v>
              </c:pt>
              <c:pt idx="16">
                <c:v>17446</c:v>
              </c:pt>
              <c:pt idx="17">
                <c:v>18319</c:v>
              </c:pt>
              <c:pt idx="18">
                <c:v>19171</c:v>
              </c:pt>
              <c:pt idx="19">
                <c:v>21134</c:v>
              </c:pt>
              <c:pt idx="20">
                <c:v>22776</c:v>
              </c:pt>
              <c:pt idx="21">
                <c:v>23286</c:v>
              </c:pt>
              <c:pt idx="22">
                <c:v>23681</c:v>
              </c:pt>
              <c:pt idx="23">
                <c:v>25422</c:v>
              </c:pt>
              <c:pt idx="24">
                <c:v>27475</c:v>
              </c:pt>
              <c:pt idx="25">
                <c:v>28071</c:v>
              </c:pt>
              <c:pt idx="26">
                <c:v>28815</c:v>
              </c:pt>
              <c:pt idx="27">
                <c:v>29801</c:v>
              </c:pt>
              <c:pt idx="28">
                <c:v>32954</c:v>
              </c:pt>
              <c:pt idx="29">
                <c:v>34248</c:v>
              </c:pt>
              <c:pt idx="30">
                <c:v>35619</c:v>
              </c:pt>
              <c:pt idx="31">
                <c:v>38617</c:v>
              </c:pt>
              <c:pt idx="32">
                <c:v>41077</c:v>
              </c:pt>
              <c:pt idx="33">
                <c:v>42741</c:v>
              </c:pt>
              <c:pt idx="34">
                <c:v>44054</c:v>
              </c:pt>
              <c:pt idx="35">
                <c:v>46909</c:v>
              </c:pt>
              <c:pt idx="36">
                <c:v>51122</c:v>
              </c:pt>
              <c:pt idx="37">
                <c:v>53176</c:v>
              </c:pt>
              <c:pt idx="38">
                <c:v>55897</c:v>
              </c:pt>
              <c:pt idx="39">
                <c:v>60344</c:v>
              </c:pt>
            </c:numLit>
          </c:val>
          <c:smooth val="0"/>
          <c:extLst>
            <c:ext xmlns:c16="http://schemas.microsoft.com/office/drawing/2014/chart" uri="{C3380CC4-5D6E-409C-BE32-E72D297353CC}">
              <c16:uniqueId val="{00000002-1FCB-4AB8-88CC-411BDE0C03F7}"/>
            </c:ext>
          </c:extLst>
        </c:ser>
        <c:ser>
          <c:idx val="3"/>
          <c:order val="3"/>
          <c:tx>
            <c:v>Guanfacine</c:v>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Lit>
              <c:ptCount val="40"/>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pt idx="32">
                <c:v>2021Q3</c:v>
              </c:pt>
              <c:pt idx="33">
                <c:v>2021Q4</c:v>
              </c:pt>
              <c:pt idx="34">
                <c:v>2022Q1</c:v>
              </c:pt>
              <c:pt idx="35">
                <c:v>2022Q2</c:v>
              </c:pt>
              <c:pt idx="36">
                <c:v>2022Q3</c:v>
              </c:pt>
              <c:pt idx="37">
                <c:v>2022Q4</c:v>
              </c:pt>
              <c:pt idx="38">
                <c:v>2023Q1</c:v>
              </c:pt>
              <c:pt idx="39">
                <c:v>2023Q2</c:v>
              </c:pt>
            </c:strLit>
          </c:cat>
          <c:val>
            <c:numLit>
              <c:formatCode>General</c:formatCode>
              <c:ptCount val="4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889</c:v>
              </c:pt>
              <c:pt idx="21">
                <c:v>3476</c:v>
              </c:pt>
              <c:pt idx="22">
                <c:v>5789</c:v>
              </c:pt>
              <c:pt idx="23">
                <c:v>9099</c:v>
              </c:pt>
              <c:pt idx="24">
                <c:v>11574</c:v>
              </c:pt>
              <c:pt idx="25">
                <c:v>12975</c:v>
              </c:pt>
              <c:pt idx="26">
                <c:v>13963</c:v>
              </c:pt>
              <c:pt idx="27">
                <c:v>15155</c:v>
              </c:pt>
              <c:pt idx="28">
                <c:v>17113</c:v>
              </c:pt>
              <c:pt idx="29">
                <c:v>18417</c:v>
              </c:pt>
              <c:pt idx="30">
                <c:v>19289</c:v>
              </c:pt>
              <c:pt idx="31">
                <c:v>21188</c:v>
              </c:pt>
              <c:pt idx="32">
                <c:v>22900</c:v>
              </c:pt>
              <c:pt idx="33">
                <c:v>24824</c:v>
              </c:pt>
              <c:pt idx="34">
                <c:v>25496</c:v>
              </c:pt>
              <c:pt idx="35">
                <c:v>27232</c:v>
              </c:pt>
              <c:pt idx="36">
                <c:v>29458</c:v>
              </c:pt>
              <c:pt idx="37">
                <c:v>31416</c:v>
              </c:pt>
              <c:pt idx="38">
                <c:v>32781</c:v>
              </c:pt>
              <c:pt idx="39">
                <c:v>35384</c:v>
              </c:pt>
            </c:numLit>
          </c:val>
          <c:smooth val="0"/>
          <c:extLst>
            <c:ext xmlns:c16="http://schemas.microsoft.com/office/drawing/2014/chart" uri="{C3380CC4-5D6E-409C-BE32-E72D297353CC}">
              <c16:uniqueId val="{00000003-1FCB-4AB8-88CC-411BDE0C03F7}"/>
            </c:ext>
          </c:extLst>
        </c:ser>
        <c:ser>
          <c:idx val="4"/>
          <c:order val="4"/>
          <c:tx>
            <c:v>Dexamfetamine</c:v>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Lit>
              <c:ptCount val="40"/>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pt idx="32">
                <c:v>2021Q3</c:v>
              </c:pt>
              <c:pt idx="33">
                <c:v>2021Q4</c:v>
              </c:pt>
              <c:pt idx="34">
                <c:v>2022Q1</c:v>
              </c:pt>
              <c:pt idx="35">
                <c:v>2022Q2</c:v>
              </c:pt>
              <c:pt idx="36">
                <c:v>2022Q3</c:v>
              </c:pt>
              <c:pt idx="37">
                <c:v>2022Q4</c:v>
              </c:pt>
              <c:pt idx="38">
                <c:v>2023Q1</c:v>
              </c:pt>
              <c:pt idx="39">
                <c:v>2023Q2</c:v>
              </c:pt>
            </c:strLit>
          </c:cat>
          <c:val>
            <c:numLit>
              <c:formatCode>General</c:formatCode>
              <c:ptCount val="40"/>
              <c:pt idx="0">
                <c:v>6012</c:v>
              </c:pt>
              <c:pt idx="1">
                <c:v>5812</c:v>
              </c:pt>
              <c:pt idx="2">
                <c:v>5606</c:v>
              </c:pt>
              <c:pt idx="3">
                <c:v>5793</c:v>
              </c:pt>
              <c:pt idx="4">
                <c:v>6004</c:v>
              </c:pt>
              <c:pt idx="5">
                <c:v>5851</c:v>
              </c:pt>
              <c:pt idx="6">
                <c:v>5778</c:v>
              </c:pt>
              <c:pt idx="7">
                <c:v>5872</c:v>
              </c:pt>
              <c:pt idx="8">
                <c:v>6034</c:v>
              </c:pt>
              <c:pt idx="9">
                <c:v>5700</c:v>
              </c:pt>
              <c:pt idx="10">
                <c:v>5262</c:v>
              </c:pt>
              <c:pt idx="11">
                <c:v>5348</c:v>
              </c:pt>
              <c:pt idx="12">
                <c:v>5405</c:v>
              </c:pt>
              <c:pt idx="13">
                <c:v>5130</c:v>
              </c:pt>
              <c:pt idx="14">
                <c:v>5084</c:v>
              </c:pt>
              <c:pt idx="15">
                <c:v>5248</c:v>
              </c:pt>
              <c:pt idx="16">
                <c:v>5502</c:v>
              </c:pt>
              <c:pt idx="17">
                <c:v>5514</c:v>
              </c:pt>
              <c:pt idx="18">
                <c:v>5473</c:v>
              </c:pt>
              <c:pt idx="19">
                <c:v>5766</c:v>
              </c:pt>
              <c:pt idx="20">
                <c:v>6038</c:v>
              </c:pt>
              <c:pt idx="21">
                <c:v>5931</c:v>
              </c:pt>
              <c:pt idx="22">
                <c:v>5895</c:v>
              </c:pt>
              <c:pt idx="23">
                <c:v>6277</c:v>
              </c:pt>
              <c:pt idx="24">
                <c:v>6709</c:v>
              </c:pt>
              <c:pt idx="25">
                <c:v>6797</c:v>
              </c:pt>
              <c:pt idx="26">
                <c:v>7008</c:v>
              </c:pt>
              <c:pt idx="27">
                <c:v>6935</c:v>
              </c:pt>
              <c:pt idx="28">
                <c:v>7949</c:v>
              </c:pt>
              <c:pt idx="29">
                <c:v>7952</c:v>
              </c:pt>
              <c:pt idx="30">
                <c:v>8397</c:v>
              </c:pt>
              <c:pt idx="31">
                <c:v>8874</c:v>
              </c:pt>
              <c:pt idx="32">
                <c:v>9638</c:v>
              </c:pt>
              <c:pt idx="33">
                <c:v>9755</c:v>
              </c:pt>
              <c:pt idx="34">
                <c:v>10072</c:v>
              </c:pt>
              <c:pt idx="35">
                <c:v>10917</c:v>
              </c:pt>
              <c:pt idx="36">
                <c:v>12048</c:v>
              </c:pt>
              <c:pt idx="37">
                <c:v>12374</c:v>
              </c:pt>
              <c:pt idx="38">
                <c:v>12918</c:v>
              </c:pt>
              <c:pt idx="39">
                <c:v>14182</c:v>
              </c:pt>
            </c:numLit>
          </c:val>
          <c:smooth val="0"/>
          <c:extLst>
            <c:ext xmlns:c16="http://schemas.microsoft.com/office/drawing/2014/chart" uri="{C3380CC4-5D6E-409C-BE32-E72D297353CC}">
              <c16:uniqueId val="{00000004-1FCB-4AB8-88CC-411BDE0C03F7}"/>
            </c:ext>
          </c:extLst>
        </c:ser>
        <c:ser>
          <c:idx val="5"/>
          <c:order val="5"/>
          <c:tx>
            <c:v>Atomoxetine</c:v>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Lit>
              <c:ptCount val="40"/>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pt idx="32">
                <c:v>2021Q3</c:v>
              </c:pt>
              <c:pt idx="33">
                <c:v>2021Q4</c:v>
              </c:pt>
              <c:pt idx="34">
                <c:v>2022Q1</c:v>
              </c:pt>
              <c:pt idx="35">
                <c:v>2022Q2</c:v>
              </c:pt>
              <c:pt idx="36">
                <c:v>2022Q3</c:v>
              </c:pt>
              <c:pt idx="37">
                <c:v>2022Q4</c:v>
              </c:pt>
              <c:pt idx="38">
                <c:v>2023Q1</c:v>
              </c:pt>
              <c:pt idx="39">
                <c:v>2023Q2</c:v>
              </c:pt>
            </c:strLit>
          </c:cat>
          <c:val>
            <c:numLit>
              <c:formatCode>General</c:formatCode>
              <c:ptCount val="40"/>
              <c:pt idx="0">
                <c:v>4224</c:v>
              </c:pt>
              <c:pt idx="1">
                <c:v>4017</c:v>
              </c:pt>
              <c:pt idx="2">
                <c:v>3747</c:v>
              </c:pt>
              <c:pt idx="3">
                <c:v>3954</c:v>
              </c:pt>
              <c:pt idx="4">
                <c:v>4074</c:v>
              </c:pt>
              <c:pt idx="5">
                <c:v>4176</c:v>
              </c:pt>
              <c:pt idx="6">
                <c:v>3997</c:v>
              </c:pt>
              <c:pt idx="7">
                <c:v>4126</c:v>
              </c:pt>
              <c:pt idx="8">
                <c:v>4223</c:v>
              </c:pt>
              <c:pt idx="9">
                <c:v>4073</c:v>
              </c:pt>
              <c:pt idx="10">
                <c:v>3928</c:v>
              </c:pt>
              <c:pt idx="11">
                <c:v>4057</c:v>
              </c:pt>
              <c:pt idx="12">
                <c:v>4159</c:v>
              </c:pt>
              <c:pt idx="13">
                <c:v>4131</c:v>
              </c:pt>
              <c:pt idx="14">
                <c:v>4099</c:v>
              </c:pt>
              <c:pt idx="15">
                <c:v>4267</c:v>
              </c:pt>
              <c:pt idx="16">
                <c:v>4335</c:v>
              </c:pt>
              <c:pt idx="17">
                <c:v>4382</c:v>
              </c:pt>
              <c:pt idx="18">
                <c:v>4408</c:v>
              </c:pt>
              <c:pt idx="19">
                <c:v>4506</c:v>
              </c:pt>
              <c:pt idx="20">
                <c:v>4462</c:v>
              </c:pt>
              <c:pt idx="21">
                <c:v>4402</c:v>
              </c:pt>
              <c:pt idx="22">
                <c:v>4205</c:v>
              </c:pt>
              <c:pt idx="23">
                <c:v>4270</c:v>
              </c:pt>
              <c:pt idx="24">
                <c:v>4274</c:v>
              </c:pt>
              <c:pt idx="25">
                <c:v>4221</c:v>
              </c:pt>
              <c:pt idx="26">
                <c:v>4186</c:v>
              </c:pt>
              <c:pt idx="27">
                <c:v>4172</c:v>
              </c:pt>
              <c:pt idx="28">
                <c:v>4424</c:v>
              </c:pt>
              <c:pt idx="29">
                <c:v>4444</c:v>
              </c:pt>
              <c:pt idx="30">
                <c:v>4400</c:v>
              </c:pt>
              <c:pt idx="31">
                <c:v>4565</c:v>
              </c:pt>
              <c:pt idx="32">
                <c:v>4673</c:v>
              </c:pt>
              <c:pt idx="33">
                <c:v>4630</c:v>
              </c:pt>
              <c:pt idx="34">
                <c:v>4443</c:v>
              </c:pt>
              <c:pt idx="35">
                <c:v>4673</c:v>
              </c:pt>
              <c:pt idx="36">
                <c:v>4928</c:v>
              </c:pt>
              <c:pt idx="37">
                <c:v>4965</c:v>
              </c:pt>
              <c:pt idx="38">
                <c:v>4779</c:v>
              </c:pt>
              <c:pt idx="39">
                <c:v>4313</c:v>
              </c:pt>
            </c:numLit>
          </c:val>
          <c:smooth val="0"/>
          <c:extLst>
            <c:ext xmlns:c16="http://schemas.microsoft.com/office/drawing/2014/chart" uri="{C3380CC4-5D6E-409C-BE32-E72D297353CC}">
              <c16:uniqueId val="{00000005-1FCB-4AB8-88CC-411BDE0C03F7}"/>
            </c:ext>
          </c:extLst>
        </c:ser>
        <c:dLbls>
          <c:showLegendKey val="0"/>
          <c:showVal val="0"/>
          <c:showCatName val="0"/>
          <c:showSerName val="0"/>
          <c:showPercent val="0"/>
          <c:showBubbleSize val="0"/>
        </c:dLbls>
        <c:marker val="1"/>
        <c:smooth val="0"/>
        <c:axId val="915059048"/>
        <c:axId val="915062984"/>
      </c:lineChart>
      <c:catAx>
        <c:axId val="9150590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Quarter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062984"/>
        <c:crosses val="autoZero"/>
        <c:auto val="1"/>
        <c:lblAlgn val="ctr"/>
        <c:lblOffset val="100"/>
        <c:noMultiLvlLbl val="0"/>
      </c:catAx>
      <c:valAx>
        <c:axId val="915062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patients ≤18 years old </a:t>
                </a:r>
              </a:p>
            </c:rich>
          </c:tx>
          <c:layout>
            <c:manualLayout>
              <c:xMode val="edge"/>
              <c:yMode val="edge"/>
              <c:x val="1.908332226027544E-2"/>
              <c:y val="0.1486221789165986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059048"/>
        <c:crosses val="autoZero"/>
        <c:crossBetween val="between"/>
      </c:valAx>
      <c:spPr>
        <a:noFill/>
        <a:ln>
          <a:noFill/>
        </a:ln>
        <a:effectLst/>
      </c:spPr>
    </c:plotArea>
    <c:legend>
      <c:legendPos val="b"/>
      <c:layout>
        <c:manualLayout>
          <c:xMode val="edge"/>
          <c:yMode val="edge"/>
          <c:x val="1.3352650461425038E-2"/>
          <c:y val="0.93227345745661383"/>
          <c:w val="0.97329469907714994"/>
          <c:h val="6.438206093803493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[D1498_PATCNTBY_FORM &amp; SUPP_Year, idvar=age_supp age18 pat_sex - fig5 ,tables 2,3&amp;4 excl clonidine.xlsx]Sheet1 (2)!PivotTable5</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1848486277266512"/>
          <c:y val="3.678929765886288E-2"/>
          <c:w val="0.85756304141895168"/>
          <c:h val="0.67950938824954588"/>
        </c:manualLayout>
      </c:layout>
      <c:barChart>
        <c:barDir val="col"/>
        <c:grouping val="stacked"/>
        <c:varyColors val="0"/>
        <c:ser>
          <c:idx val="0"/>
          <c:order val="0"/>
          <c:tx>
            <c:strRef>
              <c:f>'Sheet1 (2)'!$B$4:$B$5</c:f>
              <c:strCache>
                <c:ptCount val="1"/>
                <c:pt idx="0">
                  <c:v>Male</c:v>
                </c:pt>
              </c:strCache>
            </c:strRef>
          </c:tx>
          <c:spPr>
            <a:solidFill>
              <a:schemeClr val="accent1"/>
            </a:solidFill>
            <a:ln>
              <a:noFill/>
            </a:ln>
            <a:effectLst/>
          </c:spPr>
          <c:invertIfNegative val="0"/>
          <c:cat>
            <c:multiLvlStrRef>
              <c:f>'Sheet1 (2)'!$A$6:$A$50</c:f>
              <c:multiLvlStrCache>
                <c:ptCount val="40"/>
                <c:lvl>
                  <c:pt idx="0">
                    <c:v>2013/14</c:v>
                  </c:pt>
                  <c:pt idx="1">
                    <c:v>2014/15</c:v>
                  </c:pt>
                  <c:pt idx="2">
                    <c:v>2015/16</c:v>
                  </c:pt>
                  <c:pt idx="3">
                    <c:v>2016/17</c:v>
                  </c:pt>
                  <c:pt idx="4">
                    <c:v>2017/18</c:v>
                  </c:pt>
                  <c:pt idx="5">
                    <c:v>2018/19</c:v>
                  </c:pt>
                  <c:pt idx="6">
                    <c:v>2019/20</c:v>
                  </c:pt>
                  <c:pt idx="7">
                    <c:v>2020/21</c:v>
                  </c:pt>
                  <c:pt idx="8">
                    <c:v>2021/22</c:v>
                  </c:pt>
                  <c:pt idx="9">
                    <c:v>2022/23</c:v>
                  </c:pt>
                  <c:pt idx="10">
                    <c:v>2013/14</c:v>
                  </c:pt>
                  <c:pt idx="11">
                    <c:v>2014/15</c:v>
                  </c:pt>
                  <c:pt idx="12">
                    <c:v>2015/16</c:v>
                  </c:pt>
                  <c:pt idx="13">
                    <c:v>2016/17</c:v>
                  </c:pt>
                  <c:pt idx="14">
                    <c:v>2017/18</c:v>
                  </c:pt>
                  <c:pt idx="15">
                    <c:v>2018/19</c:v>
                  </c:pt>
                  <c:pt idx="16">
                    <c:v>2019/20</c:v>
                  </c:pt>
                  <c:pt idx="17">
                    <c:v>2020/21</c:v>
                  </c:pt>
                  <c:pt idx="18">
                    <c:v>2021/22</c:v>
                  </c:pt>
                  <c:pt idx="19">
                    <c:v>2022/23</c:v>
                  </c:pt>
                  <c:pt idx="20">
                    <c:v>2013/14</c:v>
                  </c:pt>
                  <c:pt idx="21">
                    <c:v>2014/15</c:v>
                  </c:pt>
                  <c:pt idx="22">
                    <c:v>2015/16</c:v>
                  </c:pt>
                  <c:pt idx="23">
                    <c:v>2016/17</c:v>
                  </c:pt>
                  <c:pt idx="24">
                    <c:v>2017/18</c:v>
                  </c:pt>
                  <c:pt idx="25">
                    <c:v>2018/19</c:v>
                  </c:pt>
                  <c:pt idx="26">
                    <c:v>2019/20</c:v>
                  </c:pt>
                  <c:pt idx="27">
                    <c:v>2020/21</c:v>
                  </c:pt>
                  <c:pt idx="28">
                    <c:v>2021/22</c:v>
                  </c:pt>
                  <c:pt idx="29">
                    <c:v>2022/23</c:v>
                  </c:pt>
                  <c:pt idx="30">
                    <c:v>2013/14</c:v>
                  </c:pt>
                  <c:pt idx="31">
                    <c:v>2014/15</c:v>
                  </c:pt>
                  <c:pt idx="32">
                    <c:v>2015/16</c:v>
                  </c:pt>
                  <c:pt idx="33">
                    <c:v>2016/17</c:v>
                  </c:pt>
                  <c:pt idx="34">
                    <c:v>2017/18</c:v>
                  </c:pt>
                  <c:pt idx="35">
                    <c:v>2018/19</c:v>
                  </c:pt>
                  <c:pt idx="36">
                    <c:v>2019/20</c:v>
                  </c:pt>
                  <c:pt idx="37">
                    <c:v>2020/21</c:v>
                  </c:pt>
                  <c:pt idx="38">
                    <c:v>2021/22</c:v>
                  </c:pt>
                  <c:pt idx="39">
                    <c:v>2022/23</c:v>
                  </c:pt>
                </c:lvl>
                <c:lvl>
                  <c:pt idx="0">
                    <c:v>&lt;6 yrs</c:v>
                  </c:pt>
                  <c:pt idx="10">
                    <c:v>6-12 yrs</c:v>
                  </c:pt>
                  <c:pt idx="20">
                    <c:v>13-18 yrs</c:v>
                  </c:pt>
                  <c:pt idx="30">
                    <c:v>&gt;18 yrs</c:v>
                  </c:pt>
                </c:lvl>
              </c:multiLvlStrCache>
            </c:multiLvlStrRef>
          </c:cat>
          <c:val>
            <c:numRef>
              <c:f>'Sheet1 (2)'!$B$6:$B$50</c:f>
              <c:numCache>
                <c:formatCode>General</c:formatCode>
                <c:ptCount val="40"/>
                <c:pt idx="0">
                  <c:v>2278</c:v>
                </c:pt>
                <c:pt idx="1">
                  <c:v>2320</c:v>
                </c:pt>
                <c:pt idx="2">
                  <c:v>2492</c:v>
                </c:pt>
                <c:pt idx="3">
                  <c:v>2704</c:v>
                </c:pt>
                <c:pt idx="4">
                  <c:v>3096</c:v>
                </c:pt>
                <c:pt idx="5">
                  <c:v>3653</c:v>
                </c:pt>
                <c:pt idx="6">
                  <c:v>4218</c:v>
                </c:pt>
                <c:pt idx="7">
                  <c:v>4690</c:v>
                </c:pt>
                <c:pt idx="8">
                  <c:v>5124</c:v>
                </c:pt>
                <c:pt idx="9">
                  <c:v>6106</c:v>
                </c:pt>
                <c:pt idx="10">
                  <c:v>39517</c:v>
                </c:pt>
                <c:pt idx="11">
                  <c:v>42733</c:v>
                </c:pt>
                <c:pt idx="12">
                  <c:v>47984</c:v>
                </c:pt>
                <c:pt idx="13">
                  <c:v>53171</c:v>
                </c:pt>
                <c:pt idx="14">
                  <c:v>59315</c:v>
                </c:pt>
                <c:pt idx="15">
                  <c:v>67485</c:v>
                </c:pt>
                <c:pt idx="16">
                  <c:v>76047</c:v>
                </c:pt>
                <c:pt idx="17">
                  <c:v>86544</c:v>
                </c:pt>
                <c:pt idx="18">
                  <c:v>97718</c:v>
                </c:pt>
                <c:pt idx="19">
                  <c:v>112437</c:v>
                </c:pt>
                <c:pt idx="20">
                  <c:v>21414</c:v>
                </c:pt>
                <c:pt idx="21">
                  <c:v>22095</c:v>
                </c:pt>
                <c:pt idx="22">
                  <c:v>23979</c:v>
                </c:pt>
                <c:pt idx="23">
                  <c:v>25855</c:v>
                </c:pt>
                <c:pt idx="24">
                  <c:v>28332</c:v>
                </c:pt>
                <c:pt idx="25">
                  <c:v>32040</c:v>
                </c:pt>
                <c:pt idx="26">
                  <c:v>37268</c:v>
                </c:pt>
                <c:pt idx="27">
                  <c:v>43862</c:v>
                </c:pt>
                <c:pt idx="28">
                  <c:v>52332</c:v>
                </c:pt>
                <c:pt idx="29">
                  <c:v>62429</c:v>
                </c:pt>
                <c:pt idx="30">
                  <c:v>23400</c:v>
                </c:pt>
                <c:pt idx="31">
                  <c:v>24589</c:v>
                </c:pt>
                <c:pt idx="32">
                  <c:v>28071</c:v>
                </c:pt>
                <c:pt idx="33">
                  <c:v>31392</c:v>
                </c:pt>
                <c:pt idx="34">
                  <c:v>35070</c:v>
                </c:pt>
                <c:pt idx="35">
                  <c:v>40049</c:v>
                </c:pt>
                <c:pt idx="36">
                  <c:v>46591</c:v>
                </c:pt>
                <c:pt idx="37">
                  <c:v>58820</c:v>
                </c:pt>
                <c:pt idx="38">
                  <c:v>77636</c:v>
                </c:pt>
                <c:pt idx="39">
                  <c:v>101295</c:v>
                </c:pt>
              </c:numCache>
            </c:numRef>
          </c:val>
          <c:extLst>
            <c:ext xmlns:c16="http://schemas.microsoft.com/office/drawing/2014/chart" uri="{C3380CC4-5D6E-409C-BE32-E72D297353CC}">
              <c16:uniqueId val="{00000000-96C3-4810-AA9B-4EB664BBAF31}"/>
            </c:ext>
          </c:extLst>
        </c:ser>
        <c:ser>
          <c:idx val="1"/>
          <c:order val="1"/>
          <c:tx>
            <c:strRef>
              <c:f>'Sheet1 (2)'!$C$4:$C$5</c:f>
              <c:strCache>
                <c:ptCount val="1"/>
                <c:pt idx="0">
                  <c:v>Female</c:v>
                </c:pt>
              </c:strCache>
            </c:strRef>
          </c:tx>
          <c:spPr>
            <a:solidFill>
              <a:schemeClr val="accent2"/>
            </a:solidFill>
            <a:ln>
              <a:noFill/>
            </a:ln>
            <a:effectLst/>
          </c:spPr>
          <c:invertIfNegative val="0"/>
          <c:cat>
            <c:multiLvlStrRef>
              <c:f>'Sheet1 (2)'!$A$6:$A$50</c:f>
              <c:multiLvlStrCache>
                <c:ptCount val="40"/>
                <c:lvl>
                  <c:pt idx="0">
                    <c:v>2013/14</c:v>
                  </c:pt>
                  <c:pt idx="1">
                    <c:v>2014/15</c:v>
                  </c:pt>
                  <c:pt idx="2">
                    <c:v>2015/16</c:v>
                  </c:pt>
                  <c:pt idx="3">
                    <c:v>2016/17</c:v>
                  </c:pt>
                  <c:pt idx="4">
                    <c:v>2017/18</c:v>
                  </c:pt>
                  <c:pt idx="5">
                    <c:v>2018/19</c:v>
                  </c:pt>
                  <c:pt idx="6">
                    <c:v>2019/20</c:v>
                  </c:pt>
                  <c:pt idx="7">
                    <c:v>2020/21</c:v>
                  </c:pt>
                  <c:pt idx="8">
                    <c:v>2021/22</c:v>
                  </c:pt>
                  <c:pt idx="9">
                    <c:v>2022/23</c:v>
                  </c:pt>
                  <c:pt idx="10">
                    <c:v>2013/14</c:v>
                  </c:pt>
                  <c:pt idx="11">
                    <c:v>2014/15</c:v>
                  </c:pt>
                  <c:pt idx="12">
                    <c:v>2015/16</c:v>
                  </c:pt>
                  <c:pt idx="13">
                    <c:v>2016/17</c:v>
                  </c:pt>
                  <c:pt idx="14">
                    <c:v>2017/18</c:v>
                  </c:pt>
                  <c:pt idx="15">
                    <c:v>2018/19</c:v>
                  </c:pt>
                  <c:pt idx="16">
                    <c:v>2019/20</c:v>
                  </c:pt>
                  <c:pt idx="17">
                    <c:v>2020/21</c:v>
                  </c:pt>
                  <c:pt idx="18">
                    <c:v>2021/22</c:v>
                  </c:pt>
                  <c:pt idx="19">
                    <c:v>2022/23</c:v>
                  </c:pt>
                  <c:pt idx="20">
                    <c:v>2013/14</c:v>
                  </c:pt>
                  <c:pt idx="21">
                    <c:v>2014/15</c:v>
                  </c:pt>
                  <c:pt idx="22">
                    <c:v>2015/16</c:v>
                  </c:pt>
                  <c:pt idx="23">
                    <c:v>2016/17</c:v>
                  </c:pt>
                  <c:pt idx="24">
                    <c:v>2017/18</c:v>
                  </c:pt>
                  <c:pt idx="25">
                    <c:v>2018/19</c:v>
                  </c:pt>
                  <c:pt idx="26">
                    <c:v>2019/20</c:v>
                  </c:pt>
                  <c:pt idx="27">
                    <c:v>2020/21</c:v>
                  </c:pt>
                  <c:pt idx="28">
                    <c:v>2021/22</c:v>
                  </c:pt>
                  <c:pt idx="29">
                    <c:v>2022/23</c:v>
                  </c:pt>
                  <c:pt idx="30">
                    <c:v>2013/14</c:v>
                  </c:pt>
                  <c:pt idx="31">
                    <c:v>2014/15</c:v>
                  </c:pt>
                  <c:pt idx="32">
                    <c:v>2015/16</c:v>
                  </c:pt>
                  <c:pt idx="33">
                    <c:v>2016/17</c:v>
                  </c:pt>
                  <c:pt idx="34">
                    <c:v>2017/18</c:v>
                  </c:pt>
                  <c:pt idx="35">
                    <c:v>2018/19</c:v>
                  </c:pt>
                  <c:pt idx="36">
                    <c:v>2019/20</c:v>
                  </c:pt>
                  <c:pt idx="37">
                    <c:v>2020/21</c:v>
                  </c:pt>
                  <c:pt idx="38">
                    <c:v>2021/22</c:v>
                  </c:pt>
                  <c:pt idx="39">
                    <c:v>2022/23</c:v>
                  </c:pt>
                </c:lvl>
                <c:lvl>
                  <c:pt idx="0">
                    <c:v>&lt;6 yrs</c:v>
                  </c:pt>
                  <c:pt idx="10">
                    <c:v>6-12 yrs</c:v>
                  </c:pt>
                  <c:pt idx="20">
                    <c:v>13-18 yrs</c:v>
                  </c:pt>
                  <c:pt idx="30">
                    <c:v>&gt;18 yrs</c:v>
                  </c:pt>
                </c:lvl>
              </c:multiLvlStrCache>
            </c:multiLvlStrRef>
          </c:cat>
          <c:val>
            <c:numRef>
              <c:f>'Sheet1 (2)'!$C$6:$C$50</c:f>
              <c:numCache>
                <c:formatCode>General</c:formatCode>
                <c:ptCount val="40"/>
                <c:pt idx="0">
                  <c:v>518</c:v>
                </c:pt>
                <c:pt idx="1">
                  <c:v>558</c:v>
                </c:pt>
                <c:pt idx="2">
                  <c:v>649</c:v>
                </c:pt>
                <c:pt idx="3">
                  <c:v>636</c:v>
                </c:pt>
                <c:pt idx="4">
                  <c:v>664</c:v>
                </c:pt>
                <c:pt idx="5">
                  <c:v>801</c:v>
                </c:pt>
                <c:pt idx="6">
                  <c:v>1016</c:v>
                </c:pt>
                <c:pt idx="7">
                  <c:v>1179</c:v>
                </c:pt>
                <c:pt idx="8">
                  <c:v>1443</c:v>
                </c:pt>
                <c:pt idx="9">
                  <c:v>1663</c:v>
                </c:pt>
                <c:pt idx="10">
                  <c:v>10133</c:v>
                </c:pt>
                <c:pt idx="11">
                  <c:v>10884</c:v>
                </c:pt>
                <c:pt idx="12">
                  <c:v>12495</c:v>
                </c:pt>
                <c:pt idx="13">
                  <c:v>14136</c:v>
                </c:pt>
                <c:pt idx="14">
                  <c:v>16386</c:v>
                </c:pt>
                <c:pt idx="15">
                  <c:v>19313</c:v>
                </c:pt>
                <c:pt idx="16">
                  <c:v>22784</c:v>
                </c:pt>
                <c:pt idx="17">
                  <c:v>27193</c:v>
                </c:pt>
                <c:pt idx="18">
                  <c:v>33292</c:v>
                </c:pt>
                <c:pt idx="19">
                  <c:v>41494</c:v>
                </c:pt>
                <c:pt idx="20">
                  <c:v>6238</c:v>
                </c:pt>
                <c:pt idx="21">
                  <c:v>6664</c:v>
                </c:pt>
                <c:pt idx="22">
                  <c:v>7476</c:v>
                </c:pt>
                <c:pt idx="23">
                  <c:v>8309</c:v>
                </c:pt>
                <c:pt idx="24">
                  <c:v>9480</c:v>
                </c:pt>
                <c:pt idx="25">
                  <c:v>11274</c:v>
                </c:pt>
                <c:pt idx="26">
                  <c:v>14188</c:v>
                </c:pt>
                <c:pt idx="27">
                  <c:v>19902</c:v>
                </c:pt>
                <c:pt idx="28">
                  <c:v>27755</c:v>
                </c:pt>
                <c:pt idx="29">
                  <c:v>36581</c:v>
                </c:pt>
                <c:pt idx="30">
                  <c:v>14245</c:v>
                </c:pt>
                <c:pt idx="31">
                  <c:v>14911</c:v>
                </c:pt>
                <c:pt idx="32">
                  <c:v>16963</c:v>
                </c:pt>
                <c:pt idx="33">
                  <c:v>19284</c:v>
                </c:pt>
                <c:pt idx="34">
                  <c:v>22002</c:v>
                </c:pt>
                <c:pt idx="35">
                  <c:v>25737</c:v>
                </c:pt>
                <c:pt idx="36">
                  <c:v>31494</c:v>
                </c:pt>
                <c:pt idx="37">
                  <c:v>45538</c:v>
                </c:pt>
                <c:pt idx="38">
                  <c:v>72134</c:v>
                </c:pt>
                <c:pt idx="39">
                  <c:v>108269</c:v>
                </c:pt>
              </c:numCache>
            </c:numRef>
          </c:val>
          <c:extLst>
            <c:ext xmlns:c16="http://schemas.microsoft.com/office/drawing/2014/chart" uri="{C3380CC4-5D6E-409C-BE32-E72D297353CC}">
              <c16:uniqueId val="{00000001-96C3-4810-AA9B-4EB664BBAF31}"/>
            </c:ext>
          </c:extLst>
        </c:ser>
        <c:dLbls>
          <c:showLegendKey val="0"/>
          <c:showVal val="0"/>
          <c:showCatName val="0"/>
          <c:showSerName val="0"/>
          <c:showPercent val="0"/>
          <c:showBubbleSize val="0"/>
        </c:dLbls>
        <c:gapWidth val="219"/>
        <c:overlap val="100"/>
        <c:axId val="775273680"/>
        <c:axId val="775263512"/>
      </c:barChart>
      <c:catAx>
        <c:axId val="7752736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Financial years</a:t>
                </a:r>
              </a:p>
            </c:rich>
          </c:tx>
          <c:layout>
            <c:manualLayout>
              <c:xMode val="edge"/>
              <c:yMode val="edge"/>
              <c:x val="0.45282440130476342"/>
              <c:y val="0.896052985015669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263512"/>
        <c:crosses val="autoZero"/>
        <c:auto val="1"/>
        <c:lblAlgn val="ctr"/>
        <c:lblOffset val="100"/>
        <c:noMultiLvlLbl val="0"/>
      </c:catAx>
      <c:valAx>
        <c:axId val="775263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patients</a:t>
                </a:r>
              </a:p>
            </c:rich>
          </c:tx>
          <c:layout>
            <c:manualLayout>
              <c:xMode val="edge"/>
              <c:yMode val="edge"/>
              <c:x val="4.3549265106151338E-3"/>
              <c:y val="0.2018950306796934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273680"/>
        <c:crosses val="autoZero"/>
        <c:crossBetween val="between"/>
      </c:valAx>
      <c:spPr>
        <a:noFill/>
        <a:ln>
          <a:noFill/>
        </a:ln>
        <a:effectLst/>
      </c:spPr>
    </c:plotArea>
    <c:legend>
      <c:legendPos val="b"/>
      <c:layout>
        <c:manualLayout>
          <c:xMode val="edge"/>
          <c:yMode val="edge"/>
          <c:x val="0.1886446148504709"/>
          <c:y val="0.94356147789218658"/>
          <c:w val="0.6706147904620251"/>
          <c:h val="5.643852210781344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7"/>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8"/>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0"/>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1"/>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2"/>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3"/>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6"/>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7"/>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8"/>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9"/>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0"/>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1822356718202821"/>
          <c:y val="3.6770850743774029E-2"/>
          <c:w val="0.8551952644460542"/>
          <c:h val="0.74381219228759698"/>
        </c:manualLayout>
      </c:layout>
      <c:lineChart>
        <c:grouping val="standard"/>
        <c:varyColors val="0"/>
        <c:ser>
          <c:idx val="0"/>
          <c:order val="0"/>
          <c:tx>
            <c:v>Atomoxetine</c:v>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Lit>
              <c:ptCount val="6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&gt; 65</c:v>
              </c:pt>
            </c:strLit>
          </c:cat>
          <c:val>
            <c:numLit>
              <c:formatCode>General</c:formatCode>
              <c:ptCount val="67"/>
              <c:pt idx="0">
                <c:v>0</c:v>
              </c:pt>
              <c:pt idx="1">
                <c:v>0</c:v>
              </c:pt>
              <c:pt idx="2">
                <c:v>0</c:v>
              </c:pt>
              <c:pt idx="3">
                <c:v>0</c:v>
              </c:pt>
              <c:pt idx="4">
                <c:v>2</c:v>
              </c:pt>
              <c:pt idx="5">
                <c:v>42</c:v>
              </c:pt>
              <c:pt idx="6">
                <c:v>191</c:v>
              </c:pt>
              <c:pt idx="7">
                <c:v>311</c:v>
              </c:pt>
              <c:pt idx="8">
                <c:v>320</c:v>
              </c:pt>
              <c:pt idx="9">
                <c:v>334</c:v>
              </c:pt>
              <c:pt idx="10">
                <c:v>275</c:v>
              </c:pt>
              <c:pt idx="11">
                <c:v>266</c:v>
              </c:pt>
              <c:pt idx="12">
                <c:v>222</c:v>
              </c:pt>
              <c:pt idx="13">
                <c:v>176</c:v>
              </c:pt>
              <c:pt idx="14">
                <c:v>212</c:v>
              </c:pt>
              <c:pt idx="15">
                <c:v>208</c:v>
              </c:pt>
              <c:pt idx="16">
                <c:v>172</c:v>
              </c:pt>
              <c:pt idx="17">
                <c:v>150</c:v>
              </c:pt>
              <c:pt idx="18">
                <c:v>100</c:v>
              </c:pt>
              <c:pt idx="19">
                <c:v>107</c:v>
              </c:pt>
              <c:pt idx="20">
                <c:v>80</c:v>
              </c:pt>
              <c:pt idx="21">
                <c:v>107</c:v>
              </c:pt>
              <c:pt idx="22">
                <c:v>75</c:v>
              </c:pt>
              <c:pt idx="23">
                <c:v>92</c:v>
              </c:pt>
              <c:pt idx="24">
                <c:v>85</c:v>
              </c:pt>
              <c:pt idx="25">
                <c:v>97</c:v>
              </c:pt>
              <c:pt idx="26">
                <c:v>73</c:v>
              </c:pt>
              <c:pt idx="27">
                <c:v>80</c:v>
              </c:pt>
              <c:pt idx="28">
                <c:v>76</c:v>
              </c:pt>
              <c:pt idx="29">
                <c:v>68</c:v>
              </c:pt>
              <c:pt idx="30">
                <c:v>60</c:v>
              </c:pt>
              <c:pt idx="31">
                <c:v>66</c:v>
              </c:pt>
              <c:pt idx="32">
                <c:v>82</c:v>
              </c:pt>
              <c:pt idx="33">
                <c:v>62</c:v>
              </c:pt>
              <c:pt idx="34">
                <c:v>58</c:v>
              </c:pt>
              <c:pt idx="35">
                <c:v>51</c:v>
              </c:pt>
              <c:pt idx="36">
                <c:v>52</c:v>
              </c:pt>
              <c:pt idx="37">
                <c:v>65</c:v>
              </c:pt>
              <c:pt idx="38">
                <c:v>68</c:v>
              </c:pt>
              <c:pt idx="39">
                <c:v>54</c:v>
              </c:pt>
              <c:pt idx="40">
                <c:v>56</c:v>
              </c:pt>
              <c:pt idx="41">
                <c:v>36</c:v>
              </c:pt>
              <c:pt idx="42">
                <c:v>42</c:v>
              </c:pt>
              <c:pt idx="43">
                <c:v>33</c:v>
              </c:pt>
              <c:pt idx="44">
                <c:v>32</c:v>
              </c:pt>
              <c:pt idx="45">
                <c:v>33</c:v>
              </c:pt>
              <c:pt idx="46">
                <c:v>34</c:v>
              </c:pt>
              <c:pt idx="47">
                <c:v>22</c:v>
              </c:pt>
              <c:pt idx="48">
                <c:v>25</c:v>
              </c:pt>
              <c:pt idx="49">
                <c:v>28</c:v>
              </c:pt>
              <c:pt idx="50">
                <c:v>17</c:v>
              </c:pt>
              <c:pt idx="51">
                <c:v>19</c:v>
              </c:pt>
              <c:pt idx="52">
                <c:v>14</c:v>
              </c:pt>
              <c:pt idx="53">
                <c:v>22</c:v>
              </c:pt>
              <c:pt idx="54">
                <c:v>12</c:v>
              </c:pt>
              <c:pt idx="55">
                <c:v>9</c:v>
              </c:pt>
              <c:pt idx="56">
                <c:v>5</c:v>
              </c:pt>
              <c:pt idx="57">
                <c:v>6</c:v>
              </c:pt>
              <c:pt idx="58">
                <c:v>7</c:v>
              </c:pt>
              <c:pt idx="59">
                <c:v>7</c:v>
              </c:pt>
              <c:pt idx="60">
                <c:v>6</c:v>
              </c:pt>
              <c:pt idx="61">
                <c:v>6</c:v>
              </c:pt>
              <c:pt idx="62">
                <c:v>10</c:v>
              </c:pt>
              <c:pt idx="63">
                <c:v>4</c:v>
              </c:pt>
              <c:pt idx="64">
                <c:v>5</c:v>
              </c:pt>
              <c:pt idx="65">
                <c:v>4</c:v>
              </c:pt>
              <c:pt idx="66">
                <c:v>12</c:v>
              </c:pt>
            </c:numLit>
          </c:val>
          <c:smooth val="0"/>
          <c:extLst>
            <c:ext xmlns:c16="http://schemas.microsoft.com/office/drawing/2014/chart" uri="{C3380CC4-5D6E-409C-BE32-E72D297353CC}">
              <c16:uniqueId val="{00000000-B94E-444A-9C92-FB7AA286C7A9}"/>
            </c:ext>
          </c:extLst>
        </c:ser>
        <c:ser>
          <c:idx val="1"/>
          <c:order val="1"/>
          <c:tx>
            <c:v>Clonidine</c:v>
          </c:tx>
          <c:spPr>
            <a:ln w="28575" cap="rnd">
              <a:solidFill>
                <a:schemeClr val="bg1">
                  <a:lumMod val="65000"/>
                </a:schemeClr>
              </a:solidFill>
              <a:round/>
            </a:ln>
            <a:effectLst/>
          </c:spPr>
          <c:marker>
            <c:symbol val="circle"/>
            <c:size val="5"/>
            <c:spPr>
              <a:solidFill>
                <a:schemeClr val="bg1">
                  <a:lumMod val="65000"/>
                </a:schemeClr>
              </a:solidFill>
              <a:ln w="9525">
                <a:solidFill>
                  <a:schemeClr val="bg1">
                    <a:lumMod val="65000"/>
                  </a:schemeClr>
                </a:solidFill>
              </a:ln>
              <a:effectLst/>
            </c:spPr>
          </c:marker>
          <c:cat>
            <c:strLit>
              <c:ptCount val="6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&gt; 65</c:v>
              </c:pt>
            </c:strLit>
          </c:cat>
          <c:val>
            <c:numLit>
              <c:formatCode>General</c:formatCode>
              <c:ptCount val="67"/>
              <c:pt idx="0">
                <c:v>14</c:v>
              </c:pt>
              <c:pt idx="1">
                <c:v>42</c:v>
              </c:pt>
              <c:pt idx="2">
                <c:v>161</c:v>
              </c:pt>
              <c:pt idx="3">
                <c:v>414</c:v>
              </c:pt>
              <c:pt idx="4">
                <c:v>822</c:v>
              </c:pt>
              <c:pt idx="5">
                <c:v>1013</c:v>
              </c:pt>
              <c:pt idx="6">
                <c:v>1164</c:v>
              </c:pt>
              <c:pt idx="7">
                <c:v>1216</c:v>
              </c:pt>
              <c:pt idx="8">
                <c:v>1147</c:v>
              </c:pt>
              <c:pt idx="9">
                <c:v>1059</c:v>
              </c:pt>
              <c:pt idx="10">
                <c:v>965</c:v>
              </c:pt>
              <c:pt idx="11">
                <c:v>790</c:v>
              </c:pt>
              <c:pt idx="12">
                <c:v>709</c:v>
              </c:pt>
              <c:pt idx="13">
                <c:v>641</c:v>
              </c:pt>
              <c:pt idx="14">
                <c:v>591</c:v>
              </c:pt>
              <c:pt idx="15">
                <c:v>511</c:v>
              </c:pt>
              <c:pt idx="16">
                <c:v>524</c:v>
              </c:pt>
              <c:pt idx="17">
                <c:v>430</c:v>
              </c:pt>
              <c:pt idx="18">
                <c:v>258</c:v>
              </c:pt>
              <c:pt idx="19">
                <c:v>212</c:v>
              </c:pt>
              <c:pt idx="20">
                <c:v>281</c:v>
              </c:pt>
              <c:pt idx="21">
                <c:v>242</c:v>
              </c:pt>
              <c:pt idx="22">
                <c:v>223</c:v>
              </c:pt>
              <c:pt idx="23">
                <c:v>259</c:v>
              </c:pt>
              <c:pt idx="24">
                <c:v>278</c:v>
              </c:pt>
              <c:pt idx="25">
                <c:v>273</c:v>
              </c:pt>
              <c:pt idx="26">
                <c:v>260</c:v>
              </c:pt>
              <c:pt idx="27">
                <c:v>263</c:v>
              </c:pt>
              <c:pt idx="28">
                <c:v>287</c:v>
              </c:pt>
              <c:pt idx="29">
                <c:v>260</c:v>
              </c:pt>
              <c:pt idx="30">
                <c:v>258</c:v>
              </c:pt>
              <c:pt idx="31">
                <c:v>328</c:v>
              </c:pt>
              <c:pt idx="32">
                <c:v>262</c:v>
              </c:pt>
              <c:pt idx="33">
                <c:v>280</c:v>
              </c:pt>
              <c:pt idx="34">
                <c:v>294</c:v>
              </c:pt>
              <c:pt idx="35">
                <c:v>301</c:v>
              </c:pt>
              <c:pt idx="36">
                <c:v>296</c:v>
              </c:pt>
              <c:pt idx="37">
                <c:v>301</c:v>
              </c:pt>
              <c:pt idx="38">
                <c:v>295</c:v>
              </c:pt>
              <c:pt idx="39">
                <c:v>289</c:v>
              </c:pt>
              <c:pt idx="40">
                <c:v>298</c:v>
              </c:pt>
              <c:pt idx="41">
                <c:v>320</c:v>
              </c:pt>
              <c:pt idx="42">
                <c:v>299</c:v>
              </c:pt>
              <c:pt idx="43">
                <c:v>310</c:v>
              </c:pt>
              <c:pt idx="44">
                <c:v>342</c:v>
              </c:pt>
              <c:pt idx="45">
                <c:v>424</c:v>
              </c:pt>
              <c:pt idx="46">
                <c:v>402</c:v>
              </c:pt>
              <c:pt idx="47">
                <c:v>480</c:v>
              </c:pt>
              <c:pt idx="48">
                <c:v>596</c:v>
              </c:pt>
              <c:pt idx="49">
                <c:v>592</c:v>
              </c:pt>
              <c:pt idx="50">
                <c:v>616</c:v>
              </c:pt>
              <c:pt idx="51">
                <c:v>674</c:v>
              </c:pt>
              <c:pt idx="52">
                <c:v>662</c:v>
              </c:pt>
              <c:pt idx="53">
                <c:v>614</c:v>
              </c:pt>
              <c:pt idx="54">
                <c:v>526</c:v>
              </c:pt>
              <c:pt idx="55">
                <c:v>491</c:v>
              </c:pt>
              <c:pt idx="56">
                <c:v>415</c:v>
              </c:pt>
              <c:pt idx="57">
                <c:v>414</c:v>
              </c:pt>
              <c:pt idx="58">
                <c:v>363</c:v>
              </c:pt>
              <c:pt idx="59">
                <c:v>363</c:v>
              </c:pt>
              <c:pt idx="60">
                <c:v>326</c:v>
              </c:pt>
              <c:pt idx="61">
                <c:v>293</c:v>
              </c:pt>
              <c:pt idx="62">
                <c:v>288</c:v>
              </c:pt>
              <c:pt idx="63">
                <c:v>265</c:v>
              </c:pt>
              <c:pt idx="64">
                <c:v>269</c:v>
              </c:pt>
              <c:pt idx="65">
                <c:v>266</c:v>
              </c:pt>
              <c:pt idx="66">
                <c:v>3127</c:v>
              </c:pt>
            </c:numLit>
          </c:val>
          <c:smooth val="0"/>
          <c:extLst>
            <c:ext xmlns:c16="http://schemas.microsoft.com/office/drawing/2014/chart" uri="{C3380CC4-5D6E-409C-BE32-E72D297353CC}">
              <c16:uniqueId val="{00000001-B94E-444A-9C92-FB7AA286C7A9}"/>
            </c:ext>
          </c:extLst>
        </c:ser>
        <c:ser>
          <c:idx val="2"/>
          <c:order val="2"/>
          <c:tx>
            <c:v>Dexamfetamine</c:v>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Lit>
              <c:ptCount val="6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&gt; 65</c:v>
              </c:pt>
            </c:strLit>
          </c:cat>
          <c:val>
            <c:numLit>
              <c:formatCode>General</c:formatCode>
              <c:ptCount val="67"/>
              <c:pt idx="0">
                <c:v>0</c:v>
              </c:pt>
              <c:pt idx="1">
                <c:v>1</c:v>
              </c:pt>
              <c:pt idx="2">
                <c:v>4</c:v>
              </c:pt>
              <c:pt idx="3">
                <c:v>40</c:v>
              </c:pt>
              <c:pt idx="4">
                <c:v>262</c:v>
              </c:pt>
              <c:pt idx="5">
                <c:v>628</c:v>
              </c:pt>
              <c:pt idx="6">
                <c:v>565</c:v>
              </c:pt>
              <c:pt idx="7">
                <c:v>645</c:v>
              </c:pt>
              <c:pt idx="8">
                <c:v>554</c:v>
              </c:pt>
              <c:pt idx="9">
                <c:v>437</c:v>
              </c:pt>
              <c:pt idx="10">
                <c:v>348</c:v>
              </c:pt>
              <c:pt idx="11">
                <c:v>309</c:v>
              </c:pt>
              <c:pt idx="12">
                <c:v>295</c:v>
              </c:pt>
              <c:pt idx="13">
                <c:v>283</c:v>
              </c:pt>
              <c:pt idx="14">
                <c:v>270</c:v>
              </c:pt>
              <c:pt idx="15">
                <c:v>294</c:v>
              </c:pt>
              <c:pt idx="16">
                <c:v>380</c:v>
              </c:pt>
              <c:pt idx="17">
                <c:v>485</c:v>
              </c:pt>
              <c:pt idx="18">
                <c:v>351</c:v>
              </c:pt>
              <c:pt idx="19">
                <c:v>382</c:v>
              </c:pt>
              <c:pt idx="20">
                <c:v>409</c:v>
              </c:pt>
              <c:pt idx="21">
                <c:v>417</c:v>
              </c:pt>
              <c:pt idx="22">
                <c:v>370</c:v>
              </c:pt>
              <c:pt idx="23">
                <c:v>399</c:v>
              </c:pt>
              <c:pt idx="24">
                <c:v>383</c:v>
              </c:pt>
              <c:pt idx="25">
                <c:v>413</c:v>
              </c:pt>
              <c:pt idx="26">
                <c:v>421</c:v>
              </c:pt>
              <c:pt idx="27">
                <c:v>413</c:v>
              </c:pt>
              <c:pt idx="28">
                <c:v>408</c:v>
              </c:pt>
              <c:pt idx="29">
                <c:v>407</c:v>
              </c:pt>
              <c:pt idx="30">
                <c:v>378</c:v>
              </c:pt>
              <c:pt idx="31">
                <c:v>389</c:v>
              </c:pt>
              <c:pt idx="32">
                <c:v>332</c:v>
              </c:pt>
              <c:pt idx="33">
                <c:v>338</c:v>
              </c:pt>
              <c:pt idx="34">
                <c:v>293</c:v>
              </c:pt>
              <c:pt idx="35">
                <c:v>331</c:v>
              </c:pt>
              <c:pt idx="36">
                <c:v>317</c:v>
              </c:pt>
              <c:pt idx="37">
                <c:v>352</c:v>
              </c:pt>
              <c:pt idx="38">
                <c:v>306</c:v>
              </c:pt>
              <c:pt idx="39">
                <c:v>232</c:v>
              </c:pt>
              <c:pt idx="40">
                <c:v>232</c:v>
              </c:pt>
              <c:pt idx="41">
                <c:v>238</c:v>
              </c:pt>
              <c:pt idx="42">
                <c:v>242</c:v>
              </c:pt>
              <c:pt idx="43">
                <c:v>225</c:v>
              </c:pt>
              <c:pt idx="44">
                <c:v>222</c:v>
              </c:pt>
              <c:pt idx="45">
                <c:v>217</c:v>
              </c:pt>
              <c:pt idx="46">
                <c:v>202</c:v>
              </c:pt>
              <c:pt idx="47">
                <c:v>192</c:v>
              </c:pt>
              <c:pt idx="48">
                <c:v>195</c:v>
              </c:pt>
              <c:pt idx="49">
                <c:v>145</c:v>
              </c:pt>
              <c:pt idx="50">
                <c:v>152</c:v>
              </c:pt>
              <c:pt idx="51">
                <c:v>126</c:v>
              </c:pt>
              <c:pt idx="52">
                <c:v>117</c:v>
              </c:pt>
              <c:pt idx="53">
                <c:v>104</c:v>
              </c:pt>
              <c:pt idx="54">
                <c:v>69</c:v>
              </c:pt>
              <c:pt idx="55">
                <c:v>57</c:v>
              </c:pt>
              <c:pt idx="56">
                <c:v>65</c:v>
              </c:pt>
              <c:pt idx="57">
                <c:v>67</c:v>
              </c:pt>
              <c:pt idx="58">
                <c:v>59</c:v>
              </c:pt>
              <c:pt idx="59">
                <c:v>37</c:v>
              </c:pt>
              <c:pt idx="60">
                <c:v>33</c:v>
              </c:pt>
              <c:pt idx="61">
                <c:v>25</c:v>
              </c:pt>
              <c:pt idx="62">
                <c:v>38</c:v>
              </c:pt>
              <c:pt idx="63">
                <c:v>25</c:v>
              </c:pt>
              <c:pt idx="64">
                <c:v>20</c:v>
              </c:pt>
              <c:pt idx="65">
                <c:v>23</c:v>
              </c:pt>
              <c:pt idx="66">
                <c:v>128</c:v>
              </c:pt>
            </c:numLit>
          </c:val>
          <c:smooth val="0"/>
          <c:extLst>
            <c:ext xmlns:c16="http://schemas.microsoft.com/office/drawing/2014/chart" uri="{C3380CC4-5D6E-409C-BE32-E72D297353CC}">
              <c16:uniqueId val="{00000002-B94E-444A-9C92-FB7AA286C7A9}"/>
            </c:ext>
          </c:extLst>
        </c:ser>
        <c:ser>
          <c:idx val="3"/>
          <c:order val="3"/>
          <c:tx>
            <c:v>Guanfacine</c:v>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Lit>
              <c:ptCount val="6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&gt; 65</c:v>
              </c:pt>
            </c:strLit>
          </c:cat>
          <c:val>
            <c:numLit>
              <c:formatCode>General</c:formatCode>
              <c:ptCount val="67"/>
              <c:pt idx="0">
                <c:v>0</c:v>
              </c:pt>
              <c:pt idx="1">
                <c:v>0</c:v>
              </c:pt>
              <c:pt idx="2">
                <c:v>3</c:v>
              </c:pt>
              <c:pt idx="3">
                <c:v>9</c:v>
              </c:pt>
              <c:pt idx="4">
                <c:v>23</c:v>
              </c:pt>
              <c:pt idx="5">
                <c:v>249</c:v>
              </c:pt>
              <c:pt idx="6">
                <c:v>1087</c:v>
              </c:pt>
              <c:pt idx="7">
                <c:v>1365</c:v>
              </c:pt>
              <c:pt idx="8">
                <c:v>1454</c:v>
              </c:pt>
              <c:pt idx="9">
                <c:v>1464</c:v>
              </c:pt>
              <c:pt idx="10">
                <c:v>1372</c:v>
              </c:pt>
              <c:pt idx="11">
                <c:v>1185</c:v>
              </c:pt>
              <c:pt idx="12">
                <c:v>1095</c:v>
              </c:pt>
              <c:pt idx="13">
                <c:v>956</c:v>
              </c:pt>
              <c:pt idx="14">
                <c:v>760</c:v>
              </c:pt>
              <c:pt idx="15">
                <c:v>551</c:v>
              </c:pt>
              <c:pt idx="16">
                <c:v>415</c:v>
              </c:pt>
              <c:pt idx="17">
                <c:v>281</c:v>
              </c:pt>
              <c:pt idx="18">
                <c:v>113</c:v>
              </c:pt>
              <c:pt idx="19">
                <c:v>94</c:v>
              </c:pt>
              <c:pt idx="20">
                <c:v>83</c:v>
              </c:pt>
              <c:pt idx="21">
                <c:v>57</c:v>
              </c:pt>
              <c:pt idx="22">
                <c:v>50</c:v>
              </c:pt>
              <c:pt idx="23">
                <c:v>53</c:v>
              </c:pt>
              <c:pt idx="24">
                <c:v>47</c:v>
              </c:pt>
              <c:pt idx="25">
                <c:v>40</c:v>
              </c:pt>
              <c:pt idx="26">
                <c:v>36</c:v>
              </c:pt>
              <c:pt idx="27">
                <c:v>29</c:v>
              </c:pt>
              <c:pt idx="28">
                <c:v>31</c:v>
              </c:pt>
              <c:pt idx="29">
                <c:v>21</c:v>
              </c:pt>
              <c:pt idx="30">
                <c:v>22</c:v>
              </c:pt>
              <c:pt idx="31">
                <c:v>43</c:v>
              </c:pt>
              <c:pt idx="32">
                <c:v>19</c:v>
              </c:pt>
              <c:pt idx="33">
                <c:v>25</c:v>
              </c:pt>
              <c:pt idx="34">
                <c:v>25</c:v>
              </c:pt>
              <c:pt idx="35">
                <c:v>21</c:v>
              </c:pt>
              <c:pt idx="36">
                <c:v>22</c:v>
              </c:pt>
              <c:pt idx="37">
                <c:v>19</c:v>
              </c:pt>
              <c:pt idx="38">
                <c:v>19</c:v>
              </c:pt>
              <c:pt idx="39">
                <c:v>27</c:v>
              </c:pt>
              <c:pt idx="40">
                <c:v>28</c:v>
              </c:pt>
              <c:pt idx="41">
                <c:v>22</c:v>
              </c:pt>
              <c:pt idx="42">
                <c:v>15</c:v>
              </c:pt>
              <c:pt idx="43">
                <c:v>18</c:v>
              </c:pt>
              <c:pt idx="44">
                <c:v>14</c:v>
              </c:pt>
              <c:pt idx="45">
                <c:v>25</c:v>
              </c:pt>
              <c:pt idx="46">
                <c:v>17</c:v>
              </c:pt>
              <c:pt idx="47">
                <c:v>19</c:v>
              </c:pt>
              <c:pt idx="48">
                <c:v>16</c:v>
              </c:pt>
              <c:pt idx="49">
                <c:v>14</c:v>
              </c:pt>
              <c:pt idx="50">
                <c:v>9</c:v>
              </c:pt>
              <c:pt idx="51">
                <c:v>6</c:v>
              </c:pt>
              <c:pt idx="52">
                <c:v>8</c:v>
              </c:pt>
              <c:pt idx="53">
                <c:v>9</c:v>
              </c:pt>
              <c:pt idx="54">
                <c:v>6</c:v>
              </c:pt>
              <c:pt idx="55">
                <c:v>3</c:v>
              </c:pt>
              <c:pt idx="56">
                <c:v>3</c:v>
              </c:pt>
              <c:pt idx="57">
                <c:v>5</c:v>
              </c:pt>
              <c:pt idx="58">
                <c:v>5</c:v>
              </c:pt>
              <c:pt idx="59">
                <c:v>3</c:v>
              </c:pt>
              <c:pt idx="60">
                <c:v>5</c:v>
              </c:pt>
              <c:pt idx="61">
                <c:v>3</c:v>
              </c:pt>
              <c:pt idx="62">
                <c:v>2</c:v>
              </c:pt>
              <c:pt idx="63">
                <c:v>4</c:v>
              </c:pt>
              <c:pt idx="64">
                <c:v>1</c:v>
              </c:pt>
              <c:pt idx="65">
                <c:v>2</c:v>
              </c:pt>
              <c:pt idx="66">
                <c:v>15</c:v>
              </c:pt>
            </c:numLit>
          </c:val>
          <c:smooth val="0"/>
          <c:extLst>
            <c:ext xmlns:c16="http://schemas.microsoft.com/office/drawing/2014/chart" uri="{C3380CC4-5D6E-409C-BE32-E72D297353CC}">
              <c16:uniqueId val="{00000003-B94E-444A-9C92-FB7AA286C7A9}"/>
            </c:ext>
          </c:extLst>
        </c:ser>
        <c:ser>
          <c:idx val="4"/>
          <c:order val="4"/>
          <c:tx>
            <c:v>Lisdexamfetamine</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Lit>
              <c:ptCount val="6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&gt; 65</c:v>
              </c:pt>
            </c:strLit>
          </c:cat>
          <c:val>
            <c:numLit>
              <c:formatCode>General</c:formatCode>
              <c:ptCount val="67"/>
              <c:pt idx="0">
                <c:v>0</c:v>
              </c:pt>
              <c:pt idx="1">
                <c:v>0</c:v>
              </c:pt>
              <c:pt idx="2">
                <c:v>1</c:v>
              </c:pt>
              <c:pt idx="3">
                <c:v>1</c:v>
              </c:pt>
              <c:pt idx="4">
                <c:v>11</c:v>
              </c:pt>
              <c:pt idx="5">
                <c:v>88</c:v>
              </c:pt>
              <c:pt idx="6">
                <c:v>1519</c:v>
              </c:pt>
              <c:pt idx="7">
                <c:v>1444</c:v>
              </c:pt>
              <c:pt idx="8">
                <c:v>1512</c:v>
              </c:pt>
              <c:pt idx="9">
                <c:v>1432</c:v>
              </c:pt>
              <c:pt idx="10">
                <c:v>1252</c:v>
              </c:pt>
              <c:pt idx="11">
                <c:v>1267</c:v>
              </c:pt>
              <c:pt idx="12">
                <c:v>1317</c:v>
              </c:pt>
              <c:pt idx="13">
                <c:v>1300</c:v>
              </c:pt>
              <c:pt idx="14">
                <c:v>1136</c:v>
              </c:pt>
              <c:pt idx="15">
                <c:v>990</c:v>
              </c:pt>
              <c:pt idx="16">
                <c:v>924</c:v>
              </c:pt>
              <c:pt idx="17">
                <c:v>768</c:v>
              </c:pt>
              <c:pt idx="18">
                <c:v>337</c:v>
              </c:pt>
              <c:pt idx="19">
                <c:v>267</c:v>
              </c:pt>
              <c:pt idx="20">
                <c:v>203</c:v>
              </c:pt>
              <c:pt idx="21">
                <c:v>196</c:v>
              </c:pt>
              <c:pt idx="22">
                <c:v>175</c:v>
              </c:pt>
              <c:pt idx="23">
                <c:v>196</c:v>
              </c:pt>
              <c:pt idx="24">
                <c:v>173</c:v>
              </c:pt>
              <c:pt idx="25">
                <c:v>169</c:v>
              </c:pt>
              <c:pt idx="26">
                <c:v>146</c:v>
              </c:pt>
              <c:pt idx="27">
                <c:v>157</c:v>
              </c:pt>
              <c:pt idx="28">
                <c:v>131</c:v>
              </c:pt>
              <c:pt idx="29">
                <c:v>171</c:v>
              </c:pt>
              <c:pt idx="30">
                <c:v>155</c:v>
              </c:pt>
              <c:pt idx="31">
                <c:v>128</c:v>
              </c:pt>
              <c:pt idx="32">
                <c:v>122</c:v>
              </c:pt>
              <c:pt idx="33">
                <c:v>135</c:v>
              </c:pt>
              <c:pt idx="34">
                <c:v>120</c:v>
              </c:pt>
              <c:pt idx="35">
                <c:v>121</c:v>
              </c:pt>
              <c:pt idx="36">
                <c:v>119</c:v>
              </c:pt>
              <c:pt idx="37">
                <c:v>114</c:v>
              </c:pt>
              <c:pt idx="38">
                <c:v>102</c:v>
              </c:pt>
              <c:pt idx="39">
                <c:v>70</c:v>
              </c:pt>
              <c:pt idx="40">
                <c:v>77</c:v>
              </c:pt>
              <c:pt idx="41">
                <c:v>73</c:v>
              </c:pt>
              <c:pt idx="42">
                <c:v>49</c:v>
              </c:pt>
              <c:pt idx="43">
                <c:v>57</c:v>
              </c:pt>
              <c:pt idx="44">
                <c:v>49</c:v>
              </c:pt>
              <c:pt idx="45">
                <c:v>52</c:v>
              </c:pt>
              <c:pt idx="46">
                <c:v>45</c:v>
              </c:pt>
              <c:pt idx="47">
                <c:v>42</c:v>
              </c:pt>
              <c:pt idx="48">
                <c:v>44</c:v>
              </c:pt>
              <c:pt idx="49">
                <c:v>47</c:v>
              </c:pt>
              <c:pt idx="50">
                <c:v>33</c:v>
              </c:pt>
              <c:pt idx="51">
                <c:v>29</c:v>
              </c:pt>
              <c:pt idx="52">
                <c:v>23</c:v>
              </c:pt>
              <c:pt idx="53">
                <c:v>20</c:v>
              </c:pt>
              <c:pt idx="54">
                <c:v>18</c:v>
              </c:pt>
              <c:pt idx="55">
                <c:v>20</c:v>
              </c:pt>
              <c:pt idx="56">
                <c:v>10</c:v>
              </c:pt>
              <c:pt idx="57">
                <c:v>15</c:v>
              </c:pt>
              <c:pt idx="58">
                <c:v>10</c:v>
              </c:pt>
              <c:pt idx="59">
                <c:v>10</c:v>
              </c:pt>
              <c:pt idx="60">
                <c:v>8</c:v>
              </c:pt>
              <c:pt idx="61">
                <c:v>6</c:v>
              </c:pt>
              <c:pt idx="62">
                <c:v>10</c:v>
              </c:pt>
              <c:pt idx="63">
                <c:v>8</c:v>
              </c:pt>
              <c:pt idx="64">
                <c:v>5</c:v>
              </c:pt>
              <c:pt idx="65">
                <c:v>2</c:v>
              </c:pt>
              <c:pt idx="66">
                <c:v>22</c:v>
              </c:pt>
            </c:numLit>
          </c:val>
          <c:smooth val="0"/>
          <c:extLst>
            <c:ext xmlns:c16="http://schemas.microsoft.com/office/drawing/2014/chart" uri="{C3380CC4-5D6E-409C-BE32-E72D297353CC}">
              <c16:uniqueId val="{00000004-B94E-444A-9C92-FB7AA286C7A9}"/>
            </c:ext>
          </c:extLst>
        </c:ser>
        <c:ser>
          <c:idx val="5"/>
          <c:order val="5"/>
          <c:tx>
            <c:v>MPH-IR</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Lit>
              <c:ptCount val="6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&gt; 65</c:v>
              </c:pt>
            </c:strLit>
          </c:cat>
          <c:val>
            <c:numLit>
              <c:formatCode>General</c:formatCode>
              <c:ptCount val="67"/>
              <c:pt idx="0">
                <c:v>0</c:v>
              </c:pt>
              <c:pt idx="1">
                <c:v>3</c:v>
              </c:pt>
              <c:pt idx="2">
                <c:v>4</c:v>
              </c:pt>
              <c:pt idx="3">
                <c:v>87</c:v>
              </c:pt>
              <c:pt idx="4">
                <c:v>569</c:v>
              </c:pt>
              <c:pt idx="5">
                <c:v>2316</c:v>
              </c:pt>
              <c:pt idx="6">
                <c:v>4590</c:v>
              </c:pt>
              <c:pt idx="7">
                <c:v>4255</c:v>
              </c:pt>
              <c:pt idx="8">
                <c:v>3461</c:v>
              </c:pt>
              <c:pt idx="9">
                <c:v>2823</c:v>
              </c:pt>
              <c:pt idx="10">
                <c:v>2010</c:v>
              </c:pt>
              <c:pt idx="11">
                <c:v>1463</c:v>
              </c:pt>
              <c:pt idx="12">
                <c:v>1147</c:v>
              </c:pt>
              <c:pt idx="13">
                <c:v>1136</c:v>
              </c:pt>
              <c:pt idx="14">
                <c:v>911</c:v>
              </c:pt>
              <c:pt idx="15">
                <c:v>790</c:v>
              </c:pt>
              <c:pt idx="16">
                <c:v>811</c:v>
              </c:pt>
              <c:pt idx="17">
                <c:v>794</c:v>
              </c:pt>
              <c:pt idx="18">
                <c:v>373</c:v>
              </c:pt>
              <c:pt idx="19">
                <c:v>354</c:v>
              </c:pt>
              <c:pt idx="20">
                <c:v>378</c:v>
              </c:pt>
              <c:pt idx="21">
                <c:v>337</c:v>
              </c:pt>
              <c:pt idx="22">
                <c:v>341</c:v>
              </c:pt>
              <c:pt idx="23">
                <c:v>322</c:v>
              </c:pt>
              <c:pt idx="24">
                <c:v>315</c:v>
              </c:pt>
              <c:pt idx="25">
                <c:v>316</c:v>
              </c:pt>
              <c:pt idx="26">
                <c:v>301</c:v>
              </c:pt>
              <c:pt idx="27">
                <c:v>314</c:v>
              </c:pt>
              <c:pt idx="28">
                <c:v>312</c:v>
              </c:pt>
              <c:pt idx="29">
                <c:v>284</c:v>
              </c:pt>
              <c:pt idx="30">
                <c:v>325</c:v>
              </c:pt>
              <c:pt idx="31">
                <c:v>242</c:v>
              </c:pt>
              <c:pt idx="32">
                <c:v>236</c:v>
              </c:pt>
              <c:pt idx="33">
                <c:v>258</c:v>
              </c:pt>
              <c:pt idx="34">
                <c:v>216</c:v>
              </c:pt>
              <c:pt idx="35">
                <c:v>221</c:v>
              </c:pt>
              <c:pt idx="36">
                <c:v>225</c:v>
              </c:pt>
              <c:pt idx="37">
                <c:v>203</c:v>
              </c:pt>
              <c:pt idx="38">
                <c:v>197</c:v>
              </c:pt>
              <c:pt idx="39">
                <c:v>193</c:v>
              </c:pt>
              <c:pt idx="40">
                <c:v>159</c:v>
              </c:pt>
              <c:pt idx="41">
                <c:v>160</c:v>
              </c:pt>
              <c:pt idx="42">
                <c:v>175</c:v>
              </c:pt>
              <c:pt idx="43">
                <c:v>147</c:v>
              </c:pt>
              <c:pt idx="44">
                <c:v>157</c:v>
              </c:pt>
              <c:pt idx="45">
                <c:v>176</c:v>
              </c:pt>
              <c:pt idx="46">
                <c:v>163</c:v>
              </c:pt>
              <c:pt idx="47">
                <c:v>138</c:v>
              </c:pt>
              <c:pt idx="48">
                <c:v>141</c:v>
              </c:pt>
              <c:pt idx="49">
                <c:v>106</c:v>
              </c:pt>
              <c:pt idx="50">
                <c:v>94</c:v>
              </c:pt>
              <c:pt idx="51">
                <c:v>68</c:v>
              </c:pt>
              <c:pt idx="52">
                <c:v>74</c:v>
              </c:pt>
              <c:pt idx="53">
                <c:v>77</c:v>
              </c:pt>
              <c:pt idx="54">
                <c:v>55</c:v>
              </c:pt>
              <c:pt idx="55">
                <c:v>46</c:v>
              </c:pt>
              <c:pt idx="56">
                <c:v>49</c:v>
              </c:pt>
              <c:pt idx="57">
                <c:v>41</c:v>
              </c:pt>
              <c:pt idx="58">
                <c:v>48</c:v>
              </c:pt>
              <c:pt idx="59">
                <c:v>47</c:v>
              </c:pt>
              <c:pt idx="60">
                <c:v>25</c:v>
              </c:pt>
              <c:pt idx="61">
                <c:v>23</c:v>
              </c:pt>
              <c:pt idx="62">
                <c:v>18</c:v>
              </c:pt>
              <c:pt idx="63">
                <c:v>14</c:v>
              </c:pt>
              <c:pt idx="64">
                <c:v>11</c:v>
              </c:pt>
              <c:pt idx="65">
                <c:v>14</c:v>
              </c:pt>
              <c:pt idx="66">
                <c:v>90</c:v>
              </c:pt>
            </c:numLit>
          </c:val>
          <c:smooth val="0"/>
          <c:extLst>
            <c:ext xmlns:c16="http://schemas.microsoft.com/office/drawing/2014/chart" uri="{C3380CC4-5D6E-409C-BE32-E72D297353CC}">
              <c16:uniqueId val="{00000005-B94E-444A-9C92-FB7AA286C7A9}"/>
            </c:ext>
          </c:extLst>
        </c:ser>
        <c:ser>
          <c:idx val="6"/>
          <c:order val="6"/>
          <c:tx>
            <c:v>MPH-MR</c:v>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Lit>
              <c:ptCount val="6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&gt; 65</c:v>
              </c:pt>
            </c:strLit>
          </c:cat>
          <c:val>
            <c:numLit>
              <c:formatCode>General</c:formatCode>
              <c:ptCount val="67"/>
              <c:pt idx="0">
                <c:v>0</c:v>
              </c:pt>
              <c:pt idx="1">
                <c:v>0</c:v>
              </c:pt>
              <c:pt idx="2">
                <c:v>2</c:v>
              </c:pt>
              <c:pt idx="3">
                <c:v>4</c:v>
              </c:pt>
              <c:pt idx="4">
                <c:v>21</c:v>
              </c:pt>
              <c:pt idx="5">
                <c:v>212</c:v>
              </c:pt>
              <c:pt idx="6">
                <c:v>2575</c:v>
              </c:pt>
              <c:pt idx="7">
                <c:v>2858</c:v>
              </c:pt>
              <c:pt idx="8">
                <c:v>2850</c:v>
              </c:pt>
              <c:pt idx="9">
                <c:v>2470</c:v>
              </c:pt>
              <c:pt idx="10">
                <c:v>1994</c:v>
              </c:pt>
              <c:pt idx="11">
                <c:v>1741</c:v>
              </c:pt>
              <c:pt idx="12">
                <c:v>1348</c:v>
              </c:pt>
              <c:pt idx="13">
                <c:v>1136</c:v>
              </c:pt>
              <c:pt idx="14">
                <c:v>849</c:v>
              </c:pt>
              <c:pt idx="15">
                <c:v>681</c:v>
              </c:pt>
              <c:pt idx="16">
                <c:v>563</c:v>
              </c:pt>
              <c:pt idx="17">
                <c:v>475</c:v>
              </c:pt>
              <c:pt idx="18">
                <c:v>169</c:v>
              </c:pt>
              <c:pt idx="19">
                <c:v>160</c:v>
              </c:pt>
              <c:pt idx="20">
                <c:v>115</c:v>
              </c:pt>
              <c:pt idx="21">
                <c:v>111</c:v>
              </c:pt>
              <c:pt idx="22">
                <c:v>100</c:v>
              </c:pt>
              <c:pt idx="23">
                <c:v>99</c:v>
              </c:pt>
              <c:pt idx="24">
                <c:v>101</c:v>
              </c:pt>
              <c:pt idx="25">
                <c:v>105</c:v>
              </c:pt>
              <c:pt idx="26">
                <c:v>92</c:v>
              </c:pt>
              <c:pt idx="27">
                <c:v>91</c:v>
              </c:pt>
              <c:pt idx="28">
                <c:v>109</c:v>
              </c:pt>
              <c:pt idx="29">
                <c:v>114</c:v>
              </c:pt>
              <c:pt idx="30">
                <c:v>99</c:v>
              </c:pt>
              <c:pt idx="31">
                <c:v>77</c:v>
              </c:pt>
              <c:pt idx="32">
                <c:v>84</c:v>
              </c:pt>
              <c:pt idx="33">
                <c:v>82</c:v>
              </c:pt>
              <c:pt idx="34">
                <c:v>68</c:v>
              </c:pt>
              <c:pt idx="35">
                <c:v>63</c:v>
              </c:pt>
              <c:pt idx="36">
                <c:v>48</c:v>
              </c:pt>
              <c:pt idx="37">
                <c:v>89</c:v>
              </c:pt>
              <c:pt idx="38">
                <c:v>58</c:v>
              </c:pt>
              <c:pt idx="39">
                <c:v>65</c:v>
              </c:pt>
              <c:pt idx="40">
                <c:v>69</c:v>
              </c:pt>
              <c:pt idx="41">
                <c:v>37</c:v>
              </c:pt>
              <c:pt idx="42">
                <c:v>49</c:v>
              </c:pt>
              <c:pt idx="43">
                <c:v>44</c:v>
              </c:pt>
              <c:pt idx="44">
                <c:v>41</c:v>
              </c:pt>
              <c:pt idx="45">
                <c:v>45</c:v>
              </c:pt>
              <c:pt idx="46">
                <c:v>41</c:v>
              </c:pt>
              <c:pt idx="47">
                <c:v>45</c:v>
              </c:pt>
              <c:pt idx="48">
                <c:v>42</c:v>
              </c:pt>
              <c:pt idx="49">
                <c:v>45</c:v>
              </c:pt>
              <c:pt idx="50">
                <c:v>30</c:v>
              </c:pt>
              <c:pt idx="51">
                <c:v>29</c:v>
              </c:pt>
              <c:pt idx="52">
                <c:v>17</c:v>
              </c:pt>
              <c:pt idx="53">
                <c:v>17</c:v>
              </c:pt>
              <c:pt idx="54">
                <c:v>11</c:v>
              </c:pt>
              <c:pt idx="55">
                <c:v>11</c:v>
              </c:pt>
              <c:pt idx="56">
                <c:v>12</c:v>
              </c:pt>
              <c:pt idx="57">
                <c:v>12</c:v>
              </c:pt>
              <c:pt idx="58">
                <c:v>8</c:v>
              </c:pt>
              <c:pt idx="59">
                <c:v>13</c:v>
              </c:pt>
              <c:pt idx="60">
                <c:v>6</c:v>
              </c:pt>
              <c:pt idx="61">
                <c:v>4</c:v>
              </c:pt>
              <c:pt idx="62">
                <c:v>1</c:v>
              </c:pt>
              <c:pt idx="63">
                <c:v>3</c:v>
              </c:pt>
              <c:pt idx="64">
                <c:v>5</c:v>
              </c:pt>
              <c:pt idx="65">
                <c:v>4</c:v>
              </c:pt>
              <c:pt idx="66">
                <c:v>32</c:v>
              </c:pt>
            </c:numLit>
          </c:val>
          <c:smooth val="0"/>
          <c:extLst>
            <c:ext xmlns:c16="http://schemas.microsoft.com/office/drawing/2014/chart" uri="{C3380CC4-5D6E-409C-BE32-E72D297353CC}">
              <c16:uniqueId val="{00000006-B94E-444A-9C92-FB7AA286C7A9}"/>
            </c:ext>
          </c:extLst>
        </c:ser>
        <c:dLbls>
          <c:showLegendKey val="0"/>
          <c:showVal val="0"/>
          <c:showCatName val="0"/>
          <c:showSerName val="0"/>
          <c:showPercent val="0"/>
          <c:showBubbleSize val="0"/>
        </c:dLbls>
        <c:marker val="1"/>
        <c:smooth val="0"/>
        <c:axId val="915059048"/>
        <c:axId val="915062984"/>
      </c:lineChart>
      <c:catAx>
        <c:axId val="9150590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 age</a:t>
                </a:r>
              </a:p>
            </c:rich>
          </c:tx>
          <c:layout>
            <c:manualLayout>
              <c:xMode val="edge"/>
              <c:yMode val="edge"/>
              <c:x val="0.48547794889819501"/>
              <c:y val="0.8309412100689486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062984"/>
        <c:crosses val="autoZero"/>
        <c:auto val="1"/>
        <c:lblAlgn val="ctr"/>
        <c:lblOffset val="100"/>
        <c:noMultiLvlLbl val="0"/>
      </c:catAx>
      <c:valAx>
        <c:axId val="915062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059048"/>
        <c:crosses val="autoZero"/>
        <c:crossBetween val="between"/>
      </c:valAx>
      <c:spPr>
        <a:noFill/>
        <a:ln>
          <a:noFill/>
        </a:ln>
        <a:effectLst/>
      </c:spPr>
    </c:plotArea>
    <c:legend>
      <c:legendPos val="b"/>
      <c:layout>
        <c:manualLayout>
          <c:xMode val="edge"/>
          <c:yMode val="edge"/>
          <c:x val="4.4901711385531826E-2"/>
          <c:y val="0.89400308748804036"/>
          <c:w val="0.92113938111811222"/>
          <c:h val="8.956031590819658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7"/>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8"/>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0"/>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1"/>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2"/>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3"/>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6"/>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7"/>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8"/>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9"/>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0"/>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1822356718202821"/>
          <c:y val="3.6770850743774029E-2"/>
          <c:w val="0.8551952644460542"/>
          <c:h val="0.70006521912033726"/>
        </c:manualLayout>
      </c:layout>
      <c:lineChart>
        <c:grouping val="standard"/>
        <c:varyColors val="0"/>
        <c:ser>
          <c:idx val="0"/>
          <c:order val="0"/>
          <c:tx>
            <c:v>Atomoxetine</c:v>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Lit>
              <c:ptCount val="6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&gt; 65</c:v>
              </c:pt>
            </c:strLit>
          </c:cat>
          <c:val>
            <c:numLit>
              <c:formatCode>General</c:formatCode>
              <c:ptCount val="67"/>
              <c:pt idx="0">
                <c:v>0</c:v>
              </c:pt>
              <c:pt idx="1">
                <c:v>0</c:v>
              </c:pt>
              <c:pt idx="2">
                <c:v>1</c:v>
              </c:pt>
              <c:pt idx="3">
                <c:v>0</c:v>
              </c:pt>
              <c:pt idx="4">
                <c:v>2</c:v>
              </c:pt>
              <c:pt idx="5">
                <c:v>44</c:v>
              </c:pt>
              <c:pt idx="6">
                <c:v>216</c:v>
              </c:pt>
              <c:pt idx="7">
                <c:v>285</c:v>
              </c:pt>
              <c:pt idx="8">
                <c:v>314</c:v>
              </c:pt>
              <c:pt idx="9">
                <c:v>321</c:v>
              </c:pt>
              <c:pt idx="10">
                <c:v>314</c:v>
              </c:pt>
              <c:pt idx="11">
                <c:v>287</c:v>
              </c:pt>
              <c:pt idx="12">
                <c:v>289</c:v>
              </c:pt>
              <c:pt idx="13">
                <c:v>295</c:v>
              </c:pt>
              <c:pt idx="14">
                <c:v>261</c:v>
              </c:pt>
              <c:pt idx="15">
                <c:v>318</c:v>
              </c:pt>
              <c:pt idx="16">
                <c:v>329</c:v>
              </c:pt>
              <c:pt idx="17">
                <c:v>262</c:v>
              </c:pt>
              <c:pt idx="18">
                <c:v>232</c:v>
              </c:pt>
              <c:pt idx="19">
                <c:v>221</c:v>
              </c:pt>
              <c:pt idx="20">
                <c:v>183</c:v>
              </c:pt>
              <c:pt idx="21">
                <c:v>162</c:v>
              </c:pt>
              <c:pt idx="22">
                <c:v>231</c:v>
              </c:pt>
              <c:pt idx="23">
                <c:v>191</c:v>
              </c:pt>
              <c:pt idx="24">
                <c:v>174</c:v>
              </c:pt>
              <c:pt idx="25">
                <c:v>175</c:v>
              </c:pt>
              <c:pt idx="26">
                <c:v>167</c:v>
              </c:pt>
              <c:pt idx="27">
                <c:v>192</c:v>
              </c:pt>
              <c:pt idx="28">
                <c:v>176</c:v>
              </c:pt>
              <c:pt idx="29">
                <c:v>178</c:v>
              </c:pt>
              <c:pt idx="30">
                <c:v>151</c:v>
              </c:pt>
              <c:pt idx="31">
                <c:v>150</c:v>
              </c:pt>
              <c:pt idx="32">
                <c:v>169</c:v>
              </c:pt>
              <c:pt idx="33">
                <c:v>153</c:v>
              </c:pt>
              <c:pt idx="34">
                <c:v>120</c:v>
              </c:pt>
              <c:pt idx="35">
                <c:v>132</c:v>
              </c:pt>
              <c:pt idx="36">
                <c:v>125</c:v>
              </c:pt>
              <c:pt idx="37">
                <c:v>117</c:v>
              </c:pt>
              <c:pt idx="38">
                <c:v>125</c:v>
              </c:pt>
              <c:pt idx="39">
                <c:v>118</c:v>
              </c:pt>
              <c:pt idx="40">
                <c:v>110</c:v>
              </c:pt>
              <c:pt idx="41">
                <c:v>98</c:v>
              </c:pt>
              <c:pt idx="42">
                <c:v>88</c:v>
              </c:pt>
              <c:pt idx="43">
                <c:v>81</c:v>
              </c:pt>
              <c:pt idx="44">
                <c:v>72</c:v>
              </c:pt>
              <c:pt idx="45">
                <c:v>78</c:v>
              </c:pt>
              <c:pt idx="46">
                <c:v>68</c:v>
              </c:pt>
              <c:pt idx="47">
                <c:v>58</c:v>
              </c:pt>
              <c:pt idx="48">
                <c:v>52</c:v>
              </c:pt>
              <c:pt idx="49">
                <c:v>44</c:v>
              </c:pt>
              <c:pt idx="50">
                <c:v>43</c:v>
              </c:pt>
              <c:pt idx="51">
                <c:v>59</c:v>
              </c:pt>
              <c:pt idx="52">
                <c:v>38</c:v>
              </c:pt>
              <c:pt idx="53">
                <c:v>22</c:v>
              </c:pt>
              <c:pt idx="54">
                <c:v>26</c:v>
              </c:pt>
              <c:pt idx="55">
                <c:v>34</c:v>
              </c:pt>
              <c:pt idx="56">
                <c:v>21</c:v>
              </c:pt>
              <c:pt idx="57">
                <c:v>19</c:v>
              </c:pt>
              <c:pt idx="58">
                <c:v>14</c:v>
              </c:pt>
              <c:pt idx="59">
                <c:v>17</c:v>
              </c:pt>
              <c:pt idx="60">
                <c:v>19</c:v>
              </c:pt>
              <c:pt idx="61">
                <c:v>14</c:v>
              </c:pt>
              <c:pt idx="62">
                <c:v>11</c:v>
              </c:pt>
              <c:pt idx="63">
                <c:v>9</c:v>
              </c:pt>
              <c:pt idx="64">
                <c:v>6</c:v>
              </c:pt>
              <c:pt idx="65">
                <c:v>9</c:v>
              </c:pt>
              <c:pt idx="66">
                <c:v>34</c:v>
              </c:pt>
            </c:numLit>
          </c:val>
          <c:smooth val="0"/>
          <c:extLst>
            <c:ext xmlns:c16="http://schemas.microsoft.com/office/drawing/2014/chart" uri="{C3380CC4-5D6E-409C-BE32-E72D297353CC}">
              <c16:uniqueId val="{00000000-46EE-4374-B9E5-C3DFD541E192}"/>
            </c:ext>
          </c:extLst>
        </c:ser>
        <c:ser>
          <c:idx val="1"/>
          <c:order val="1"/>
          <c:tx>
            <c:v>Clonidine</c:v>
          </c:tx>
          <c:spPr>
            <a:ln w="28575" cap="rnd">
              <a:solidFill>
                <a:schemeClr val="bg1">
                  <a:lumMod val="65000"/>
                </a:schemeClr>
              </a:solidFill>
              <a:round/>
            </a:ln>
            <a:effectLst/>
          </c:spPr>
          <c:marker>
            <c:symbol val="circle"/>
            <c:size val="5"/>
            <c:spPr>
              <a:solidFill>
                <a:schemeClr val="bg1">
                  <a:lumMod val="65000"/>
                </a:schemeClr>
              </a:solidFill>
              <a:ln w="9525">
                <a:solidFill>
                  <a:schemeClr val="bg1">
                    <a:lumMod val="65000"/>
                  </a:schemeClr>
                </a:solidFill>
              </a:ln>
              <a:effectLst/>
            </c:spPr>
          </c:marker>
          <c:cat>
            <c:strLit>
              <c:ptCount val="6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&gt; 65</c:v>
              </c:pt>
            </c:strLit>
          </c:cat>
          <c:val>
            <c:numLit>
              <c:formatCode>General</c:formatCode>
              <c:ptCount val="67"/>
              <c:pt idx="0">
                <c:v>18</c:v>
              </c:pt>
              <c:pt idx="1">
                <c:v>39</c:v>
              </c:pt>
              <c:pt idx="2">
                <c:v>207</c:v>
              </c:pt>
              <c:pt idx="3">
                <c:v>631</c:v>
              </c:pt>
              <c:pt idx="4">
                <c:v>1172</c:v>
              </c:pt>
              <c:pt idx="5">
                <c:v>1496</c:v>
              </c:pt>
              <c:pt idx="6">
                <c:v>1487</c:v>
              </c:pt>
              <c:pt idx="7">
                <c:v>1617</c:v>
              </c:pt>
              <c:pt idx="8">
                <c:v>1609</c:v>
              </c:pt>
              <c:pt idx="9">
                <c:v>1410</c:v>
              </c:pt>
              <c:pt idx="10">
                <c:v>1366</c:v>
              </c:pt>
              <c:pt idx="11">
                <c:v>1188</c:v>
              </c:pt>
              <c:pt idx="12">
                <c:v>1066</c:v>
              </c:pt>
              <c:pt idx="13">
                <c:v>1117</c:v>
              </c:pt>
              <c:pt idx="14">
                <c:v>1062</c:v>
              </c:pt>
              <c:pt idx="15">
                <c:v>1055</c:v>
              </c:pt>
              <c:pt idx="16">
                <c:v>959</c:v>
              </c:pt>
              <c:pt idx="17">
                <c:v>863</c:v>
              </c:pt>
              <c:pt idx="18">
                <c:v>680</c:v>
              </c:pt>
              <c:pt idx="19">
                <c:v>625</c:v>
              </c:pt>
              <c:pt idx="20">
                <c:v>713</c:v>
              </c:pt>
              <c:pt idx="21">
                <c:v>720</c:v>
              </c:pt>
              <c:pt idx="22">
                <c:v>700</c:v>
              </c:pt>
              <c:pt idx="23">
                <c:v>778</c:v>
              </c:pt>
              <c:pt idx="24">
                <c:v>757</c:v>
              </c:pt>
              <c:pt idx="25">
                <c:v>769</c:v>
              </c:pt>
              <c:pt idx="26">
                <c:v>787</c:v>
              </c:pt>
              <c:pt idx="27">
                <c:v>843</c:v>
              </c:pt>
              <c:pt idx="28">
                <c:v>822</c:v>
              </c:pt>
              <c:pt idx="29">
                <c:v>834</c:v>
              </c:pt>
              <c:pt idx="30">
                <c:v>842</c:v>
              </c:pt>
              <c:pt idx="31">
                <c:v>816</c:v>
              </c:pt>
              <c:pt idx="32">
                <c:v>819</c:v>
              </c:pt>
              <c:pt idx="33">
                <c:v>850</c:v>
              </c:pt>
              <c:pt idx="34">
                <c:v>788</c:v>
              </c:pt>
              <c:pt idx="35">
                <c:v>835</c:v>
              </c:pt>
              <c:pt idx="36">
                <c:v>847</c:v>
              </c:pt>
              <c:pt idx="37">
                <c:v>750</c:v>
              </c:pt>
              <c:pt idx="38">
                <c:v>783</c:v>
              </c:pt>
              <c:pt idx="39">
                <c:v>749</c:v>
              </c:pt>
              <c:pt idx="40">
                <c:v>758</c:v>
              </c:pt>
              <c:pt idx="41">
                <c:v>741</c:v>
              </c:pt>
              <c:pt idx="42">
                <c:v>711</c:v>
              </c:pt>
              <c:pt idx="43">
                <c:v>706</c:v>
              </c:pt>
              <c:pt idx="44">
                <c:v>660</c:v>
              </c:pt>
              <c:pt idx="45">
                <c:v>708</c:v>
              </c:pt>
              <c:pt idx="46">
                <c:v>699</c:v>
              </c:pt>
              <c:pt idx="47">
                <c:v>724</c:v>
              </c:pt>
              <c:pt idx="48">
                <c:v>872</c:v>
              </c:pt>
              <c:pt idx="49">
                <c:v>916</c:v>
              </c:pt>
              <c:pt idx="50">
                <c:v>1038</c:v>
              </c:pt>
              <c:pt idx="51">
                <c:v>1028</c:v>
              </c:pt>
              <c:pt idx="52">
                <c:v>971</c:v>
              </c:pt>
              <c:pt idx="53">
                <c:v>931</c:v>
              </c:pt>
              <c:pt idx="54">
                <c:v>840</c:v>
              </c:pt>
              <c:pt idx="55">
                <c:v>727</c:v>
              </c:pt>
              <c:pt idx="56">
                <c:v>596</c:v>
              </c:pt>
              <c:pt idx="57">
                <c:v>537</c:v>
              </c:pt>
              <c:pt idx="58">
                <c:v>557</c:v>
              </c:pt>
              <c:pt idx="59">
                <c:v>498</c:v>
              </c:pt>
              <c:pt idx="60">
                <c:v>484</c:v>
              </c:pt>
              <c:pt idx="61">
                <c:v>435</c:v>
              </c:pt>
              <c:pt idx="62">
                <c:v>378</c:v>
              </c:pt>
              <c:pt idx="63">
                <c:v>383</c:v>
              </c:pt>
              <c:pt idx="64">
                <c:v>361</c:v>
              </c:pt>
              <c:pt idx="65">
                <c:v>321</c:v>
              </c:pt>
              <c:pt idx="66">
                <c:v>4030</c:v>
              </c:pt>
            </c:numLit>
          </c:val>
          <c:smooth val="0"/>
          <c:extLst>
            <c:ext xmlns:c16="http://schemas.microsoft.com/office/drawing/2014/chart" uri="{C3380CC4-5D6E-409C-BE32-E72D297353CC}">
              <c16:uniqueId val="{00000001-46EE-4374-B9E5-C3DFD541E192}"/>
            </c:ext>
          </c:extLst>
        </c:ser>
        <c:ser>
          <c:idx val="2"/>
          <c:order val="2"/>
          <c:tx>
            <c:v>Dexamfetamine</c:v>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Lit>
              <c:ptCount val="6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&gt; 65</c:v>
              </c:pt>
            </c:strLit>
          </c:cat>
          <c:val>
            <c:numLit>
              <c:formatCode>General</c:formatCode>
              <c:ptCount val="67"/>
              <c:pt idx="0">
                <c:v>0</c:v>
              </c:pt>
              <c:pt idx="1">
                <c:v>0</c:v>
              </c:pt>
              <c:pt idx="2">
                <c:v>4</c:v>
              </c:pt>
              <c:pt idx="3">
                <c:v>53</c:v>
              </c:pt>
              <c:pt idx="4">
                <c:v>373</c:v>
              </c:pt>
              <c:pt idx="5">
                <c:v>1078</c:v>
              </c:pt>
              <c:pt idx="6">
                <c:v>1043</c:v>
              </c:pt>
              <c:pt idx="7">
                <c:v>1069</c:v>
              </c:pt>
              <c:pt idx="8">
                <c:v>1019</c:v>
              </c:pt>
              <c:pt idx="9">
                <c:v>863</c:v>
              </c:pt>
              <c:pt idx="10">
                <c:v>744</c:v>
              </c:pt>
              <c:pt idx="11">
                <c:v>667</c:v>
              </c:pt>
              <c:pt idx="12">
                <c:v>689</c:v>
              </c:pt>
              <c:pt idx="13">
                <c:v>752</c:v>
              </c:pt>
              <c:pt idx="14">
                <c:v>865</c:v>
              </c:pt>
              <c:pt idx="15">
                <c:v>1026</c:v>
              </c:pt>
              <c:pt idx="16">
                <c:v>1129</c:v>
              </c:pt>
              <c:pt idx="17">
                <c:v>1346</c:v>
              </c:pt>
              <c:pt idx="18">
                <c:v>992</c:v>
              </c:pt>
              <c:pt idx="19">
                <c:v>968</c:v>
              </c:pt>
              <c:pt idx="20">
                <c:v>1015</c:v>
              </c:pt>
              <c:pt idx="21">
                <c:v>1102</c:v>
              </c:pt>
              <c:pt idx="22">
                <c:v>1218</c:v>
              </c:pt>
              <c:pt idx="23">
                <c:v>1237</c:v>
              </c:pt>
              <c:pt idx="24">
                <c:v>1133</c:v>
              </c:pt>
              <c:pt idx="25">
                <c:v>1196</c:v>
              </c:pt>
              <c:pt idx="26">
                <c:v>1159</c:v>
              </c:pt>
              <c:pt idx="27">
                <c:v>1235</c:v>
              </c:pt>
              <c:pt idx="28">
                <c:v>1263</c:v>
              </c:pt>
              <c:pt idx="29">
                <c:v>1234</c:v>
              </c:pt>
              <c:pt idx="30">
                <c:v>1305</c:v>
              </c:pt>
              <c:pt idx="31">
                <c:v>1259</c:v>
              </c:pt>
              <c:pt idx="32">
                <c:v>1269</c:v>
              </c:pt>
              <c:pt idx="33">
                <c:v>1186</c:v>
              </c:pt>
              <c:pt idx="34">
                <c:v>1103</c:v>
              </c:pt>
              <c:pt idx="35">
                <c:v>1094</c:v>
              </c:pt>
              <c:pt idx="36">
                <c:v>1014</c:v>
              </c:pt>
              <c:pt idx="37">
                <c:v>1017</c:v>
              </c:pt>
              <c:pt idx="38">
                <c:v>1008</c:v>
              </c:pt>
              <c:pt idx="39">
                <c:v>919</c:v>
              </c:pt>
              <c:pt idx="40">
                <c:v>838</c:v>
              </c:pt>
              <c:pt idx="41">
                <c:v>833</c:v>
              </c:pt>
              <c:pt idx="42">
                <c:v>749</c:v>
              </c:pt>
              <c:pt idx="43">
                <c:v>630</c:v>
              </c:pt>
              <c:pt idx="44">
                <c:v>616</c:v>
              </c:pt>
              <c:pt idx="45">
                <c:v>583</c:v>
              </c:pt>
              <c:pt idx="46">
                <c:v>500</c:v>
              </c:pt>
              <c:pt idx="47">
                <c:v>470</c:v>
              </c:pt>
              <c:pt idx="48">
                <c:v>433</c:v>
              </c:pt>
              <c:pt idx="49">
                <c:v>408</c:v>
              </c:pt>
              <c:pt idx="50">
                <c:v>361</c:v>
              </c:pt>
              <c:pt idx="51">
                <c:v>364</c:v>
              </c:pt>
              <c:pt idx="52">
                <c:v>306</c:v>
              </c:pt>
              <c:pt idx="53">
                <c:v>268</c:v>
              </c:pt>
              <c:pt idx="54">
                <c:v>227</c:v>
              </c:pt>
              <c:pt idx="55">
                <c:v>200</c:v>
              </c:pt>
              <c:pt idx="56">
                <c:v>186</c:v>
              </c:pt>
              <c:pt idx="57">
                <c:v>125</c:v>
              </c:pt>
              <c:pt idx="58">
                <c:v>137</c:v>
              </c:pt>
              <c:pt idx="59">
                <c:v>118</c:v>
              </c:pt>
              <c:pt idx="60">
                <c:v>111</c:v>
              </c:pt>
              <c:pt idx="61">
                <c:v>71</c:v>
              </c:pt>
              <c:pt idx="62">
                <c:v>71</c:v>
              </c:pt>
              <c:pt idx="63">
                <c:v>67</c:v>
              </c:pt>
              <c:pt idx="64">
                <c:v>67</c:v>
              </c:pt>
              <c:pt idx="65">
                <c:v>37</c:v>
              </c:pt>
              <c:pt idx="66">
                <c:v>249</c:v>
              </c:pt>
            </c:numLit>
          </c:val>
          <c:smooth val="0"/>
          <c:extLst>
            <c:ext xmlns:c16="http://schemas.microsoft.com/office/drawing/2014/chart" uri="{C3380CC4-5D6E-409C-BE32-E72D297353CC}">
              <c16:uniqueId val="{00000002-46EE-4374-B9E5-C3DFD541E192}"/>
            </c:ext>
          </c:extLst>
        </c:ser>
        <c:ser>
          <c:idx val="3"/>
          <c:order val="3"/>
          <c:tx>
            <c:v>Guanfacine</c:v>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Lit>
              <c:ptCount val="6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&gt; 65</c:v>
              </c:pt>
            </c:strLit>
          </c:cat>
          <c:val>
            <c:numLit>
              <c:formatCode>General</c:formatCode>
              <c:ptCount val="67"/>
              <c:pt idx="0">
                <c:v>0</c:v>
              </c:pt>
              <c:pt idx="1">
                <c:v>0</c:v>
              </c:pt>
              <c:pt idx="2">
                <c:v>4</c:v>
              </c:pt>
              <c:pt idx="3">
                <c:v>16</c:v>
              </c:pt>
              <c:pt idx="4">
                <c:v>84</c:v>
              </c:pt>
              <c:pt idx="5">
                <c:v>399</c:v>
              </c:pt>
              <c:pt idx="6">
                <c:v>1979</c:v>
              </c:pt>
              <c:pt idx="7">
                <c:v>2279</c:v>
              </c:pt>
              <c:pt idx="8">
                <c:v>2269</c:v>
              </c:pt>
              <c:pt idx="9">
                <c:v>2099</c:v>
              </c:pt>
              <c:pt idx="10">
                <c:v>1884</c:v>
              </c:pt>
              <c:pt idx="11">
                <c:v>1526</c:v>
              </c:pt>
              <c:pt idx="12">
                <c:v>1396</c:v>
              </c:pt>
              <c:pt idx="13">
                <c:v>1298</c:v>
              </c:pt>
              <c:pt idx="14">
                <c:v>1094</c:v>
              </c:pt>
              <c:pt idx="15">
                <c:v>953</c:v>
              </c:pt>
              <c:pt idx="16">
                <c:v>762</c:v>
              </c:pt>
              <c:pt idx="17">
                <c:v>547</c:v>
              </c:pt>
              <c:pt idx="18">
                <c:v>246</c:v>
              </c:pt>
              <c:pt idx="19">
                <c:v>176</c:v>
              </c:pt>
              <c:pt idx="20">
                <c:v>131</c:v>
              </c:pt>
              <c:pt idx="21">
                <c:v>107</c:v>
              </c:pt>
              <c:pt idx="22">
                <c:v>107</c:v>
              </c:pt>
              <c:pt idx="23">
                <c:v>96</c:v>
              </c:pt>
              <c:pt idx="24">
                <c:v>97</c:v>
              </c:pt>
              <c:pt idx="25">
                <c:v>103</c:v>
              </c:pt>
              <c:pt idx="26">
                <c:v>96</c:v>
              </c:pt>
              <c:pt idx="27">
                <c:v>100</c:v>
              </c:pt>
              <c:pt idx="28">
                <c:v>107</c:v>
              </c:pt>
              <c:pt idx="29">
                <c:v>91</c:v>
              </c:pt>
              <c:pt idx="30">
                <c:v>86</c:v>
              </c:pt>
              <c:pt idx="31">
                <c:v>92</c:v>
              </c:pt>
              <c:pt idx="32">
                <c:v>85</c:v>
              </c:pt>
              <c:pt idx="33">
                <c:v>94</c:v>
              </c:pt>
              <c:pt idx="34">
                <c:v>82</c:v>
              </c:pt>
              <c:pt idx="35">
                <c:v>77</c:v>
              </c:pt>
              <c:pt idx="36">
                <c:v>71</c:v>
              </c:pt>
              <c:pt idx="37">
                <c:v>61</c:v>
              </c:pt>
              <c:pt idx="38">
                <c:v>59</c:v>
              </c:pt>
              <c:pt idx="39">
                <c:v>86</c:v>
              </c:pt>
              <c:pt idx="40">
                <c:v>75</c:v>
              </c:pt>
              <c:pt idx="41">
                <c:v>65</c:v>
              </c:pt>
              <c:pt idx="42">
                <c:v>59</c:v>
              </c:pt>
              <c:pt idx="43">
                <c:v>49</c:v>
              </c:pt>
              <c:pt idx="44">
                <c:v>53</c:v>
              </c:pt>
              <c:pt idx="45">
                <c:v>41</c:v>
              </c:pt>
              <c:pt idx="46">
                <c:v>45</c:v>
              </c:pt>
              <c:pt idx="47">
                <c:v>31</c:v>
              </c:pt>
              <c:pt idx="48">
                <c:v>34</c:v>
              </c:pt>
              <c:pt idx="49">
                <c:v>32</c:v>
              </c:pt>
              <c:pt idx="50">
                <c:v>31</c:v>
              </c:pt>
              <c:pt idx="51">
                <c:v>34</c:v>
              </c:pt>
              <c:pt idx="52">
                <c:v>30</c:v>
              </c:pt>
              <c:pt idx="53">
                <c:v>16</c:v>
              </c:pt>
              <c:pt idx="54">
                <c:v>23</c:v>
              </c:pt>
              <c:pt idx="55">
                <c:v>20</c:v>
              </c:pt>
              <c:pt idx="56">
                <c:v>8</c:v>
              </c:pt>
              <c:pt idx="57">
                <c:v>10</c:v>
              </c:pt>
              <c:pt idx="58">
                <c:v>11</c:v>
              </c:pt>
              <c:pt idx="59">
                <c:v>11</c:v>
              </c:pt>
              <c:pt idx="60">
                <c:v>7</c:v>
              </c:pt>
              <c:pt idx="61">
                <c:v>8</c:v>
              </c:pt>
              <c:pt idx="62">
                <c:v>8</c:v>
              </c:pt>
              <c:pt idx="63">
                <c:v>3</c:v>
              </c:pt>
              <c:pt idx="64">
                <c:v>5</c:v>
              </c:pt>
              <c:pt idx="65">
                <c:v>5</c:v>
              </c:pt>
              <c:pt idx="66">
                <c:v>52</c:v>
              </c:pt>
            </c:numLit>
          </c:val>
          <c:smooth val="0"/>
          <c:extLst>
            <c:ext xmlns:c16="http://schemas.microsoft.com/office/drawing/2014/chart" uri="{C3380CC4-5D6E-409C-BE32-E72D297353CC}">
              <c16:uniqueId val="{00000003-46EE-4374-B9E5-C3DFD541E192}"/>
            </c:ext>
          </c:extLst>
        </c:ser>
        <c:ser>
          <c:idx val="4"/>
          <c:order val="4"/>
          <c:tx>
            <c:v>Lisdexamfetamine</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Lit>
              <c:ptCount val="6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&gt; 65</c:v>
              </c:pt>
            </c:strLit>
          </c:cat>
          <c:val>
            <c:numLit>
              <c:formatCode>General</c:formatCode>
              <c:ptCount val="67"/>
              <c:pt idx="0">
                <c:v>0</c:v>
              </c:pt>
              <c:pt idx="1">
                <c:v>0</c:v>
              </c:pt>
              <c:pt idx="2">
                <c:v>1</c:v>
              </c:pt>
              <c:pt idx="3">
                <c:v>2</c:v>
              </c:pt>
              <c:pt idx="4">
                <c:v>5</c:v>
              </c:pt>
              <c:pt idx="5">
                <c:v>13</c:v>
              </c:pt>
              <c:pt idx="6">
                <c:v>2186</c:v>
              </c:pt>
              <c:pt idx="7">
                <c:v>2222</c:v>
              </c:pt>
              <c:pt idx="8">
                <c:v>2413</c:v>
              </c:pt>
              <c:pt idx="9">
                <c:v>2482</c:v>
              </c:pt>
              <c:pt idx="10">
                <c:v>2297</c:v>
              </c:pt>
              <c:pt idx="11">
                <c:v>2453</c:v>
              </c:pt>
              <c:pt idx="12">
                <c:v>2828</c:v>
              </c:pt>
              <c:pt idx="13">
                <c:v>3108</c:v>
              </c:pt>
              <c:pt idx="14">
                <c:v>2965</c:v>
              </c:pt>
              <c:pt idx="15">
                <c:v>2777</c:v>
              </c:pt>
              <c:pt idx="16">
                <c:v>2454</c:v>
              </c:pt>
              <c:pt idx="17">
                <c:v>2312</c:v>
              </c:pt>
              <c:pt idx="18">
                <c:v>1457</c:v>
              </c:pt>
              <c:pt idx="19">
                <c:v>1417</c:v>
              </c:pt>
              <c:pt idx="20">
                <c:v>1623</c:v>
              </c:pt>
              <c:pt idx="21">
                <c:v>1635</c:v>
              </c:pt>
              <c:pt idx="22">
                <c:v>1716</c:v>
              </c:pt>
              <c:pt idx="23">
                <c:v>1859</c:v>
              </c:pt>
              <c:pt idx="24">
                <c:v>1879</c:v>
              </c:pt>
              <c:pt idx="25">
                <c:v>1843</c:v>
              </c:pt>
              <c:pt idx="26">
                <c:v>1927</c:v>
              </c:pt>
              <c:pt idx="27">
                <c:v>2037</c:v>
              </c:pt>
              <c:pt idx="28">
                <c:v>1951</c:v>
              </c:pt>
              <c:pt idx="29">
                <c:v>1955</c:v>
              </c:pt>
              <c:pt idx="30">
                <c:v>1944</c:v>
              </c:pt>
              <c:pt idx="31">
                <c:v>1882</c:v>
              </c:pt>
              <c:pt idx="32">
                <c:v>1820</c:v>
              </c:pt>
              <c:pt idx="33">
                <c:v>1737</c:v>
              </c:pt>
              <c:pt idx="34">
                <c:v>1655</c:v>
              </c:pt>
              <c:pt idx="35">
                <c:v>1578</c:v>
              </c:pt>
              <c:pt idx="36">
                <c:v>1540</c:v>
              </c:pt>
              <c:pt idx="37">
                <c:v>1528</c:v>
              </c:pt>
              <c:pt idx="38">
                <c:v>1475</c:v>
              </c:pt>
              <c:pt idx="39">
                <c:v>1363</c:v>
              </c:pt>
              <c:pt idx="40">
                <c:v>1284</c:v>
              </c:pt>
              <c:pt idx="41">
                <c:v>1185</c:v>
              </c:pt>
              <c:pt idx="42">
                <c:v>1071</c:v>
              </c:pt>
              <c:pt idx="43">
                <c:v>999</c:v>
              </c:pt>
              <c:pt idx="44">
                <c:v>910</c:v>
              </c:pt>
              <c:pt idx="45">
                <c:v>868</c:v>
              </c:pt>
              <c:pt idx="46">
                <c:v>723</c:v>
              </c:pt>
              <c:pt idx="47">
                <c:v>691</c:v>
              </c:pt>
              <c:pt idx="48">
                <c:v>644</c:v>
              </c:pt>
              <c:pt idx="49">
                <c:v>596</c:v>
              </c:pt>
              <c:pt idx="50">
                <c:v>590</c:v>
              </c:pt>
              <c:pt idx="51">
                <c:v>551</c:v>
              </c:pt>
              <c:pt idx="52">
                <c:v>430</c:v>
              </c:pt>
              <c:pt idx="53">
                <c:v>386</c:v>
              </c:pt>
              <c:pt idx="54">
                <c:v>344</c:v>
              </c:pt>
              <c:pt idx="55">
                <c:v>286</c:v>
              </c:pt>
              <c:pt idx="56">
                <c:v>261</c:v>
              </c:pt>
              <c:pt idx="57">
                <c:v>196</c:v>
              </c:pt>
              <c:pt idx="58">
                <c:v>178</c:v>
              </c:pt>
              <c:pt idx="59">
                <c:v>166</c:v>
              </c:pt>
              <c:pt idx="60">
                <c:v>142</c:v>
              </c:pt>
              <c:pt idx="61">
                <c:v>122</c:v>
              </c:pt>
              <c:pt idx="62">
                <c:v>81</c:v>
              </c:pt>
              <c:pt idx="63">
                <c:v>74</c:v>
              </c:pt>
              <c:pt idx="64">
                <c:v>82</c:v>
              </c:pt>
              <c:pt idx="65">
                <c:v>60</c:v>
              </c:pt>
              <c:pt idx="66">
                <c:v>281</c:v>
              </c:pt>
            </c:numLit>
          </c:val>
          <c:smooth val="0"/>
          <c:extLst>
            <c:ext xmlns:c16="http://schemas.microsoft.com/office/drawing/2014/chart" uri="{C3380CC4-5D6E-409C-BE32-E72D297353CC}">
              <c16:uniqueId val="{00000004-46EE-4374-B9E5-C3DFD541E192}"/>
            </c:ext>
          </c:extLst>
        </c:ser>
        <c:ser>
          <c:idx val="5"/>
          <c:order val="5"/>
          <c:tx>
            <c:v>MPH-IR</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Lit>
              <c:ptCount val="6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&gt; 65</c:v>
              </c:pt>
            </c:strLit>
          </c:cat>
          <c:val>
            <c:numLit>
              <c:formatCode>General</c:formatCode>
              <c:ptCount val="67"/>
              <c:pt idx="0">
                <c:v>1</c:v>
              </c:pt>
              <c:pt idx="1">
                <c:v>2</c:v>
              </c:pt>
              <c:pt idx="2">
                <c:v>3</c:v>
              </c:pt>
              <c:pt idx="3">
                <c:v>68</c:v>
              </c:pt>
              <c:pt idx="4">
                <c:v>781</c:v>
              </c:pt>
              <c:pt idx="5">
                <c:v>3649</c:v>
              </c:pt>
              <c:pt idx="6">
                <c:v>7496</c:v>
              </c:pt>
              <c:pt idx="7">
                <c:v>6754</c:v>
              </c:pt>
              <c:pt idx="8">
                <c:v>5717</c:v>
              </c:pt>
              <c:pt idx="9">
                <c:v>4410</c:v>
              </c:pt>
              <c:pt idx="10">
                <c:v>3581</c:v>
              </c:pt>
              <c:pt idx="11">
                <c:v>2841</c:v>
              </c:pt>
              <c:pt idx="12">
                <c:v>2230</c:v>
              </c:pt>
              <c:pt idx="13">
                <c:v>2259</c:v>
              </c:pt>
              <c:pt idx="14">
                <c:v>2087</c:v>
              </c:pt>
              <c:pt idx="15">
                <c:v>1992</c:v>
              </c:pt>
              <c:pt idx="16">
                <c:v>1992</c:v>
              </c:pt>
              <c:pt idx="17">
                <c:v>1758</c:v>
              </c:pt>
              <c:pt idx="18">
                <c:v>793</c:v>
              </c:pt>
              <c:pt idx="19">
                <c:v>664</c:v>
              </c:pt>
              <c:pt idx="20">
                <c:v>733</c:v>
              </c:pt>
              <c:pt idx="21">
                <c:v>684</c:v>
              </c:pt>
              <c:pt idx="22">
                <c:v>794</c:v>
              </c:pt>
              <c:pt idx="23">
                <c:v>737</c:v>
              </c:pt>
              <c:pt idx="24">
                <c:v>720</c:v>
              </c:pt>
              <c:pt idx="25">
                <c:v>730</c:v>
              </c:pt>
              <c:pt idx="26">
                <c:v>761</c:v>
              </c:pt>
              <c:pt idx="27">
                <c:v>761</c:v>
              </c:pt>
              <c:pt idx="28">
                <c:v>718</c:v>
              </c:pt>
              <c:pt idx="29">
                <c:v>751</c:v>
              </c:pt>
              <c:pt idx="30">
                <c:v>717</c:v>
              </c:pt>
              <c:pt idx="31">
                <c:v>733</c:v>
              </c:pt>
              <c:pt idx="32">
                <c:v>710</c:v>
              </c:pt>
              <c:pt idx="33">
                <c:v>698</c:v>
              </c:pt>
              <c:pt idx="34">
                <c:v>639</c:v>
              </c:pt>
              <c:pt idx="35">
                <c:v>603</c:v>
              </c:pt>
              <c:pt idx="36">
                <c:v>587</c:v>
              </c:pt>
              <c:pt idx="37">
                <c:v>533</c:v>
              </c:pt>
              <c:pt idx="38">
                <c:v>609</c:v>
              </c:pt>
              <c:pt idx="39">
                <c:v>546</c:v>
              </c:pt>
              <c:pt idx="40">
                <c:v>511</c:v>
              </c:pt>
              <c:pt idx="41">
                <c:v>471</c:v>
              </c:pt>
              <c:pt idx="42">
                <c:v>421</c:v>
              </c:pt>
              <c:pt idx="43">
                <c:v>407</c:v>
              </c:pt>
              <c:pt idx="44">
                <c:v>375</c:v>
              </c:pt>
              <c:pt idx="45">
                <c:v>348</c:v>
              </c:pt>
              <c:pt idx="46">
                <c:v>279</c:v>
              </c:pt>
              <c:pt idx="47">
                <c:v>286</c:v>
              </c:pt>
              <c:pt idx="48">
                <c:v>278</c:v>
              </c:pt>
              <c:pt idx="49">
                <c:v>258</c:v>
              </c:pt>
              <c:pt idx="50">
                <c:v>251</c:v>
              </c:pt>
              <c:pt idx="51">
                <c:v>198</c:v>
              </c:pt>
              <c:pt idx="52">
                <c:v>183</c:v>
              </c:pt>
              <c:pt idx="53">
                <c:v>175</c:v>
              </c:pt>
              <c:pt idx="54">
                <c:v>119</c:v>
              </c:pt>
              <c:pt idx="55">
                <c:v>132</c:v>
              </c:pt>
              <c:pt idx="56">
                <c:v>110</c:v>
              </c:pt>
              <c:pt idx="57">
                <c:v>105</c:v>
              </c:pt>
              <c:pt idx="58">
                <c:v>73</c:v>
              </c:pt>
              <c:pt idx="59">
                <c:v>75</c:v>
              </c:pt>
              <c:pt idx="60">
                <c:v>62</c:v>
              </c:pt>
              <c:pt idx="61">
                <c:v>40</c:v>
              </c:pt>
              <c:pt idx="62">
                <c:v>51</c:v>
              </c:pt>
              <c:pt idx="63">
                <c:v>43</c:v>
              </c:pt>
              <c:pt idx="64">
                <c:v>43</c:v>
              </c:pt>
              <c:pt idx="65">
                <c:v>29</c:v>
              </c:pt>
              <c:pt idx="66">
                <c:v>176</c:v>
              </c:pt>
            </c:numLit>
          </c:val>
          <c:smooth val="0"/>
          <c:extLst>
            <c:ext xmlns:c16="http://schemas.microsoft.com/office/drawing/2014/chart" uri="{C3380CC4-5D6E-409C-BE32-E72D297353CC}">
              <c16:uniqueId val="{00000005-46EE-4374-B9E5-C3DFD541E192}"/>
            </c:ext>
          </c:extLst>
        </c:ser>
        <c:ser>
          <c:idx val="6"/>
          <c:order val="6"/>
          <c:tx>
            <c:v>MPH-MR</c:v>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Lit>
              <c:ptCount val="6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&gt; 65</c:v>
              </c:pt>
            </c:strLit>
          </c:cat>
          <c:val>
            <c:numLit>
              <c:formatCode>General</c:formatCode>
              <c:ptCount val="67"/>
              <c:pt idx="0">
                <c:v>0</c:v>
              </c:pt>
              <c:pt idx="1">
                <c:v>0</c:v>
              </c:pt>
              <c:pt idx="2">
                <c:v>2</c:v>
              </c:pt>
              <c:pt idx="3">
                <c:v>3</c:v>
              </c:pt>
              <c:pt idx="4">
                <c:v>10</c:v>
              </c:pt>
              <c:pt idx="5">
                <c:v>36</c:v>
              </c:pt>
              <c:pt idx="6">
                <c:v>4069</c:v>
              </c:pt>
              <c:pt idx="7">
                <c:v>4328</c:v>
              </c:pt>
              <c:pt idx="8">
                <c:v>4253</c:v>
              </c:pt>
              <c:pt idx="9">
                <c:v>3955</c:v>
              </c:pt>
              <c:pt idx="10">
                <c:v>3540</c:v>
              </c:pt>
              <c:pt idx="11">
                <c:v>3236</c:v>
              </c:pt>
              <c:pt idx="12">
                <c:v>2608</c:v>
              </c:pt>
              <c:pt idx="13">
                <c:v>2147</c:v>
              </c:pt>
              <c:pt idx="14">
                <c:v>1898</c:v>
              </c:pt>
              <c:pt idx="15">
                <c:v>1611</c:v>
              </c:pt>
              <c:pt idx="16">
                <c:v>1505</c:v>
              </c:pt>
              <c:pt idx="17">
                <c:v>1172</c:v>
              </c:pt>
              <c:pt idx="18">
                <c:v>453</c:v>
              </c:pt>
              <c:pt idx="19">
                <c:v>307</c:v>
              </c:pt>
              <c:pt idx="20">
                <c:v>253</c:v>
              </c:pt>
              <c:pt idx="21">
                <c:v>236</c:v>
              </c:pt>
              <c:pt idx="22">
                <c:v>251</c:v>
              </c:pt>
              <c:pt idx="23">
                <c:v>240</c:v>
              </c:pt>
              <c:pt idx="24">
                <c:v>191</c:v>
              </c:pt>
              <c:pt idx="25">
                <c:v>229</c:v>
              </c:pt>
              <c:pt idx="26">
                <c:v>219</c:v>
              </c:pt>
              <c:pt idx="27">
                <c:v>279</c:v>
              </c:pt>
              <c:pt idx="28">
                <c:v>226</c:v>
              </c:pt>
              <c:pt idx="29">
                <c:v>226</c:v>
              </c:pt>
              <c:pt idx="30">
                <c:v>222</c:v>
              </c:pt>
              <c:pt idx="31">
                <c:v>230</c:v>
              </c:pt>
              <c:pt idx="32">
                <c:v>208</c:v>
              </c:pt>
              <c:pt idx="33">
                <c:v>223</c:v>
              </c:pt>
              <c:pt idx="34">
                <c:v>234</c:v>
              </c:pt>
              <c:pt idx="35">
                <c:v>204</c:v>
              </c:pt>
              <c:pt idx="36">
                <c:v>178</c:v>
              </c:pt>
              <c:pt idx="37">
                <c:v>156</c:v>
              </c:pt>
              <c:pt idx="38">
                <c:v>193</c:v>
              </c:pt>
              <c:pt idx="39">
                <c:v>183</c:v>
              </c:pt>
              <c:pt idx="40">
                <c:v>189</c:v>
              </c:pt>
              <c:pt idx="41">
                <c:v>148</c:v>
              </c:pt>
              <c:pt idx="42">
                <c:v>116</c:v>
              </c:pt>
              <c:pt idx="43">
                <c:v>112</c:v>
              </c:pt>
              <c:pt idx="44">
                <c:v>114</c:v>
              </c:pt>
              <c:pt idx="45">
                <c:v>97</c:v>
              </c:pt>
              <c:pt idx="46">
                <c:v>96</c:v>
              </c:pt>
              <c:pt idx="47">
                <c:v>83</c:v>
              </c:pt>
              <c:pt idx="48">
                <c:v>91</c:v>
              </c:pt>
              <c:pt idx="49">
                <c:v>63</c:v>
              </c:pt>
              <c:pt idx="50">
                <c:v>69</c:v>
              </c:pt>
              <c:pt idx="51">
                <c:v>69</c:v>
              </c:pt>
              <c:pt idx="52">
                <c:v>74</c:v>
              </c:pt>
              <c:pt idx="53">
                <c:v>43</c:v>
              </c:pt>
              <c:pt idx="54">
                <c:v>34</c:v>
              </c:pt>
              <c:pt idx="55">
                <c:v>53</c:v>
              </c:pt>
              <c:pt idx="56">
                <c:v>39</c:v>
              </c:pt>
              <c:pt idx="57">
                <c:v>19</c:v>
              </c:pt>
              <c:pt idx="58">
                <c:v>22</c:v>
              </c:pt>
              <c:pt idx="59">
                <c:v>28</c:v>
              </c:pt>
              <c:pt idx="60">
                <c:v>22</c:v>
              </c:pt>
              <c:pt idx="61">
                <c:v>14</c:v>
              </c:pt>
              <c:pt idx="62">
                <c:v>16</c:v>
              </c:pt>
              <c:pt idx="63">
                <c:v>9</c:v>
              </c:pt>
              <c:pt idx="64">
                <c:v>8</c:v>
              </c:pt>
              <c:pt idx="65">
                <c:v>13</c:v>
              </c:pt>
              <c:pt idx="66">
                <c:v>66</c:v>
              </c:pt>
            </c:numLit>
          </c:val>
          <c:smooth val="0"/>
          <c:extLst>
            <c:ext xmlns:c16="http://schemas.microsoft.com/office/drawing/2014/chart" uri="{C3380CC4-5D6E-409C-BE32-E72D297353CC}">
              <c16:uniqueId val="{00000006-46EE-4374-B9E5-C3DFD541E192}"/>
            </c:ext>
          </c:extLst>
        </c:ser>
        <c:dLbls>
          <c:showLegendKey val="0"/>
          <c:showVal val="0"/>
          <c:showCatName val="0"/>
          <c:showSerName val="0"/>
          <c:showPercent val="0"/>
          <c:showBubbleSize val="0"/>
        </c:dLbls>
        <c:marker val="1"/>
        <c:smooth val="0"/>
        <c:axId val="915059048"/>
        <c:axId val="915062984"/>
      </c:lineChart>
      <c:catAx>
        <c:axId val="9150590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 age</a:t>
                </a:r>
              </a:p>
            </c:rich>
          </c:tx>
          <c:layout>
            <c:manualLayout>
              <c:xMode val="edge"/>
              <c:yMode val="edge"/>
              <c:x val="0.46317558154985661"/>
              <c:y val="0.8177731823926049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062984"/>
        <c:crosses val="autoZero"/>
        <c:auto val="1"/>
        <c:lblAlgn val="ctr"/>
        <c:lblOffset val="100"/>
        <c:noMultiLvlLbl val="0"/>
      </c:catAx>
      <c:valAx>
        <c:axId val="915062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059048"/>
        <c:crosses val="autoZero"/>
        <c:crossBetween val="between"/>
      </c:valAx>
      <c:spPr>
        <a:noFill/>
        <a:ln>
          <a:noFill/>
        </a:ln>
        <a:effectLst/>
      </c:spPr>
    </c:plotArea>
    <c:legend>
      <c:legendPos val="b"/>
      <c:layout>
        <c:manualLayout>
          <c:xMode val="edge"/>
          <c:yMode val="edge"/>
          <c:x val="3.8331662943064407E-2"/>
          <c:y val="0.88716243802857975"/>
          <c:w val="0.92113938111811222"/>
          <c:h val="0.10312503866309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6"/>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7"/>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8"/>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9"/>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0"/>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1"/>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2815279962623072"/>
          <c:y val="3.911111111111111E-2"/>
          <c:w val="0.84526603200185169"/>
          <c:h val="0.69550726159230092"/>
        </c:manualLayout>
      </c:layout>
      <c:lineChart>
        <c:grouping val="standard"/>
        <c:varyColors val="0"/>
        <c:ser>
          <c:idx val="0"/>
          <c:order val="0"/>
          <c:tx>
            <c:v>Atomoxetine</c:v>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Lit>
              <c:ptCount val="6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&gt; 65</c:v>
              </c:pt>
            </c:strLit>
          </c:cat>
          <c:val>
            <c:numLit>
              <c:formatCode>General</c:formatCode>
              <c:ptCount val="67"/>
              <c:pt idx="0">
                <c:v>1</c:v>
              </c:pt>
              <c:pt idx="1">
                <c:v>0</c:v>
              </c:pt>
              <c:pt idx="2">
                <c:v>0</c:v>
              </c:pt>
              <c:pt idx="3">
                <c:v>0</c:v>
              </c:pt>
              <c:pt idx="4">
                <c:v>4</c:v>
              </c:pt>
              <c:pt idx="5">
                <c:v>53</c:v>
              </c:pt>
              <c:pt idx="6">
                <c:v>268</c:v>
              </c:pt>
              <c:pt idx="7">
                <c:v>496</c:v>
              </c:pt>
              <c:pt idx="8">
                <c:v>587</c:v>
              </c:pt>
              <c:pt idx="9">
                <c:v>656</c:v>
              </c:pt>
              <c:pt idx="10">
                <c:v>670</c:v>
              </c:pt>
              <c:pt idx="11">
                <c:v>695</c:v>
              </c:pt>
              <c:pt idx="12">
                <c:v>665</c:v>
              </c:pt>
              <c:pt idx="13">
                <c:v>599</c:v>
              </c:pt>
              <c:pt idx="14">
                <c:v>591</c:v>
              </c:pt>
              <c:pt idx="15">
                <c:v>532</c:v>
              </c:pt>
              <c:pt idx="16">
                <c:v>451</c:v>
              </c:pt>
              <c:pt idx="17">
                <c:v>390</c:v>
              </c:pt>
              <c:pt idx="18">
                <c:v>246</c:v>
              </c:pt>
              <c:pt idx="19">
                <c:v>250</c:v>
              </c:pt>
              <c:pt idx="20">
                <c:v>200</c:v>
              </c:pt>
              <c:pt idx="21">
                <c:v>220</c:v>
              </c:pt>
              <c:pt idx="22">
                <c:v>171</c:v>
              </c:pt>
              <c:pt idx="23">
                <c:v>209</c:v>
              </c:pt>
              <c:pt idx="24">
                <c:v>193</c:v>
              </c:pt>
              <c:pt idx="25">
                <c:v>173</c:v>
              </c:pt>
              <c:pt idx="26">
                <c:v>159</c:v>
              </c:pt>
              <c:pt idx="27">
                <c:v>145</c:v>
              </c:pt>
              <c:pt idx="28">
                <c:v>143</c:v>
              </c:pt>
              <c:pt idx="29">
                <c:v>148</c:v>
              </c:pt>
              <c:pt idx="30">
                <c:v>112</c:v>
              </c:pt>
              <c:pt idx="31">
                <c:v>124</c:v>
              </c:pt>
              <c:pt idx="32">
                <c:v>136</c:v>
              </c:pt>
              <c:pt idx="33">
                <c:v>130</c:v>
              </c:pt>
              <c:pt idx="34">
                <c:v>111</c:v>
              </c:pt>
              <c:pt idx="35">
                <c:v>121</c:v>
              </c:pt>
              <c:pt idx="36">
                <c:v>103</c:v>
              </c:pt>
              <c:pt idx="37">
                <c:v>104</c:v>
              </c:pt>
              <c:pt idx="38">
                <c:v>111</c:v>
              </c:pt>
              <c:pt idx="39">
                <c:v>89</c:v>
              </c:pt>
              <c:pt idx="40">
                <c:v>96</c:v>
              </c:pt>
              <c:pt idx="41">
                <c:v>77</c:v>
              </c:pt>
              <c:pt idx="42">
                <c:v>66</c:v>
              </c:pt>
              <c:pt idx="43">
                <c:v>61</c:v>
              </c:pt>
              <c:pt idx="44">
                <c:v>62</c:v>
              </c:pt>
              <c:pt idx="45">
                <c:v>60</c:v>
              </c:pt>
              <c:pt idx="46">
                <c:v>62</c:v>
              </c:pt>
              <c:pt idx="47">
                <c:v>50</c:v>
              </c:pt>
              <c:pt idx="48">
                <c:v>51</c:v>
              </c:pt>
              <c:pt idx="49">
                <c:v>52</c:v>
              </c:pt>
              <c:pt idx="50">
                <c:v>46</c:v>
              </c:pt>
              <c:pt idx="51">
                <c:v>36</c:v>
              </c:pt>
              <c:pt idx="52">
                <c:v>31</c:v>
              </c:pt>
              <c:pt idx="53">
                <c:v>35</c:v>
              </c:pt>
              <c:pt idx="54">
                <c:v>21</c:v>
              </c:pt>
              <c:pt idx="55">
                <c:v>19</c:v>
              </c:pt>
              <c:pt idx="56">
                <c:v>14</c:v>
              </c:pt>
              <c:pt idx="57">
                <c:v>14</c:v>
              </c:pt>
              <c:pt idx="58">
                <c:v>15</c:v>
              </c:pt>
              <c:pt idx="59">
                <c:v>15</c:v>
              </c:pt>
              <c:pt idx="60">
                <c:v>13</c:v>
              </c:pt>
              <c:pt idx="61">
                <c:v>13</c:v>
              </c:pt>
              <c:pt idx="62">
                <c:v>15</c:v>
              </c:pt>
              <c:pt idx="63">
                <c:v>9</c:v>
              </c:pt>
              <c:pt idx="64">
                <c:v>9</c:v>
              </c:pt>
              <c:pt idx="65">
                <c:v>9</c:v>
              </c:pt>
              <c:pt idx="66">
                <c:v>37</c:v>
              </c:pt>
            </c:numLit>
          </c:val>
          <c:smooth val="0"/>
          <c:extLst>
            <c:ext xmlns:c16="http://schemas.microsoft.com/office/drawing/2014/chart" uri="{C3380CC4-5D6E-409C-BE32-E72D297353CC}">
              <c16:uniqueId val="{00000000-6422-40EC-A8A0-CEC85A3A4EBE}"/>
            </c:ext>
          </c:extLst>
        </c:ser>
        <c:ser>
          <c:idx val="1"/>
          <c:order val="1"/>
          <c:tx>
            <c:v>Clonidine</c:v>
          </c:tx>
          <c:spPr>
            <a:ln w="28575" cap="rnd">
              <a:solidFill>
                <a:schemeClr val="bg1">
                  <a:lumMod val="65000"/>
                </a:schemeClr>
              </a:solidFill>
              <a:round/>
            </a:ln>
            <a:effectLst/>
          </c:spPr>
          <c:marker>
            <c:symbol val="circle"/>
            <c:size val="5"/>
            <c:spPr>
              <a:solidFill>
                <a:schemeClr val="bg1">
                  <a:lumMod val="65000"/>
                </a:schemeClr>
              </a:solidFill>
              <a:ln w="9525">
                <a:solidFill>
                  <a:schemeClr val="bg1">
                    <a:lumMod val="65000"/>
                  </a:schemeClr>
                </a:solidFill>
              </a:ln>
              <a:effectLst/>
            </c:spPr>
          </c:marker>
          <c:cat>
            <c:strLit>
              <c:ptCount val="6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&gt; 65</c:v>
              </c:pt>
            </c:strLit>
          </c:cat>
          <c:val>
            <c:numLit>
              <c:formatCode>General</c:formatCode>
              <c:ptCount val="67"/>
              <c:pt idx="0">
                <c:v>14</c:v>
              </c:pt>
              <c:pt idx="1">
                <c:v>47</c:v>
              </c:pt>
              <c:pt idx="2">
                <c:v>184</c:v>
              </c:pt>
              <c:pt idx="3">
                <c:v>550</c:v>
              </c:pt>
              <c:pt idx="4">
                <c:v>1223</c:v>
              </c:pt>
              <c:pt idx="5">
                <c:v>1882</c:v>
              </c:pt>
              <c:pt idx="6">
                <c:v>2421</c:v>
              </c:pt>
              <c:pt idx="7">
                <c:v>3056</c:v>
              </c:pt>
              <c:pt idx="8">
                <c:v>3279</c:v>
              </c:pt>
              <c:pt idx="9">
                <c:v>3576</c:v>
              </c:pt>
              <c:pt idx="10">
                <c:v>3711</c:v>
              </c:pt>
              <c:pt idx="11">
                <c:v>3479</c:v>
              </c:pt>
              <c:pt idx="12">
                <c:v>3263</c:v>
              </c:pt>
              <c:pt idx="13">
                <c:v>2915</c:v>
              </c:pt>
              <c:pt idx="14">
                <c:v>2512</c:v>
              </c:pt>
              <c:pt idx="15">
                <c:v>2009</c:v>
              </c:pt>
              <c:pt idx="16">
                <c:v>1750</c:v>
              </c:pt>
              <c:pt idx="17">
                <c:v>1371</c:v>
              </c:pt>
              <c:pt idx="18">
                <c:v>938</c:v>
              </c:pt>
              <c:pt idx="19">
                <c:v>780</c:v>
              </c:pt>
              <c:pt idx="20">
                <c:v>719</c:v>
              </c:pt>
              <c:pt idx="21">
                <c:v>583</c:v>
              </c:pt>
              <c:pt idx="22">
                <c:v>555</c:v>
              </c:pt>
              <c:pt idx="23">
                <c:v>526</c:v>
              </c:pt>
              <c:pt idx="24">
                <c:v>539</c:v>
              </c:pt>
              <c:pt idx="25">
                <c:v>536</c:v>
              </c:pt>
              <c:pt idx="26">
                <c:v>514</c:v>
              </c:pt>
              <c:pt idx="27">
                <c:v>524</c:v>
              </c:pt>
              <c:pt idx="28">
                <c:v>550</c:v>
              </c:pt>
              <c:pt idx="29">
                <c:v>486</c:v>
              </c:pt>
              <c:pt idx="30">
                <c:v>488</c:v>
              </c:pt>
              <c:pt idx="31">
                <c:v>551</c:v>
              </c:pt>
              <c:pt idx="32">
                <c:v>471</c:v>
              </c:pt>
              <c:pt idx="33">
                <c:v>507</c:v>
              </c:pt>
              <c:pt idx="34">
                <c:v>576</c:v>
              </c:pt>
              <c:pt idx="35">
                <c:v>567</c:v>
              </c:pt>
              <c:pt idx="36">
                <c:v>548</c:v>
              </c:pt>
              <c:pt idx="37">
                <c:v>553</c:v>
              </c:pt>
              <c:pt idx="38">
                <c:v>570</c:v>
              </c:pt>
              <c:pt idx="39">
                <c:v>584</c:v>
              </c:pt>
              <c:pt idx="40">
                <c:v>544</c:v>
              </c:pt>
              <c:pt idx="41">
                <c:v>606</c:v>
              </c:pt>
              <c:pt idx="42">
                <c:v>573</c:v>
              </c:pt>
              <c:pt idx="43">
                <c:v>593</c:v>
              </c:pt>
              <c:pt idx="44">
                <c:v>645</c:v>
              </c:pt>
              <c:pt idx="45">
                <c:v>762</c:v>
              </c:pt>
              <c:pt idx="46">
                <c:v>790</c:v>
              </c:pt>
              <c:pt idx="47">
                <c:v>881</c:v>
              </c:pt>
              <c:pt idx="48">
                <c:v>1068</c:v>
              </c:pt>
              <c:pt idx="49">
                <c:v>1085</c:v>
              </c:pt>
              <c:pt idx="50">
                <c:v>1159</c:v>
              </c:pt>
              <c:pt idx="51">
                <c:v>1276</c:v>
              </c:pt>
              <c:pt idx="52">
                <c:v>1301</c:v>
              </c:pt>
              <c:pt idx="53">
                <c:v>1249</c:v>
              </c:pt>
              <c:pt idx="54">
                <c:v>1213</c:v>
              </c:pt>
              <c:pt idx="55">
                <c:v>1151</c:v>
              </c:pt>
              <c:pt idx="56">
                <c:v>1119</c:v>
              </c:pt>
              <c:pt idx="57">
                <c:v>1075</c:v>
              </c:pt>
              <c:pt idx="58">
                <c:v>1020</c:v>
              </c:pt>
              <c:pt idx="59">
                <c:v>974</c:v>
              </c:pt>
              <c:pt idx="60">
                <c:v>915</c:v>
              </c:pt>
              <c:pt idx="61">
                <c:v>876</c:v>
              </c:pt>
              <c:pt idx="62">
                <c:v>823</c:v>
              </c:pt>
              <c:pt idx="63">
                <c:v>762</c:v>
              </c:pt>
              <c:pt idx="64">
                <c:v>762</c:v>
              </c:pt>
              <c:pt idx="65">
                <c:v>715</c:v>
              </c:pt>
              <c:pt idx="66">
                <c:v>9251</c:v>
              </c:pt>
            </c:numLit>
          </c:val>
          <c:smooth val="0"/>
          <c:extLst>
            <c:ext xmlns:c16="http://schemas.microsoft.com/office/drawing/2014/chart" uri="{C3380CC4-5D6E-409C-BE32-E72D297353CC}">
              <c16:uniqueId val="{00000001-6422-40EC-A8A0-CEC85A3A4EBE}"/>
            </c:ext>
          </c:extLst>
        </c:ser>
        <c:ser>
          <c:idx val="2"/>
          <c:order val="2"/>
          <c:tx>
            <c:v>Dexamfetamine</c:v>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Lit>
              <c:ptCount val="6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&gt; 65</c:v>
              </c:pt>
            </c:strLit>
          </c:cat>
          <c:val>
            <c:numLit>
              <c:formatCode>General</c:formatCode>
              <c:ptCount val="67"/>
              <c:pt idx="0">
                <c:v>0</c:v>
              </c:pt>
              <c:pt idx="1">
                <c:v>1</c:v>
              </c:pt>
              <c:pt idx="2">
                <c:v>5</c:v>
              </c:pt>
              <c:pt idx="3">
                <c:v>45</c:v>
              </c:pt>
              <c:pt idx="4">
                <c:v>320</c:v>
              </c:pt>
              <c:pt idx="5">
                <c:v>926</c:v>
              </c:pt>
              <c:pt idx="6">
                <c:v>1001</c:v>
              </c:pt>
              <c:pt idx="7">
                <c:v>1215</c:v>
              </c:pt>
              <c:pt idx="8">
                <c:v>1154</c:v>
              </c:pt>
              <c:pt idx="9">
                <c:v>1084</c:v>
              </c:pt>
              <c:pt idx="10">
                <c:v>1008</c:v>
              </c:pt>
              <c:pt idx="11">
                <c:v>896</c:v>
              </c:pt>
              <c:pt idx="12">
                <c:v>841</c:v>
              </c:pt>
              <c:pt idx="13">
                <c:v>663</c:v>
              </c:pt>
              <c:pt idx="14">
                <c:v>637</c:v>
              </c:pt>
              <c:pt idx="15">
                <c:v>642</c:v>
              </c:pt>
              <c:pt idx="16">
                <c:v>773</c:v>
              </c:pt>
              <c:pt idx="17">
                <c:v>918</c:v>
              </c:pt>
              <c:pt idx="18">
                <c:v>738</c:v>
              </c:pt>
              <c:pt idx="19">
                <c:v>852</c:v>
              </c:pt>
              <c:pt idx="20">
                <c:v>958</c:v>
              </c:pt>
              <c:pt idx="21">
                <c:v>1038</c:v>
              </c:pt>
              <c:pt idx="22">
                <c:v>1035</c:v>
              </c:pt>
              <c:pt idx="23">
                <c:v>1092</c:v>
              </c:pt>
              <c:pt idx="24">
                <c:v>1200</c:v>
              </c:pt>
              <c:pt idx="25">
                <c:v>1303</c:v>
              </c:pt>
              <c:pt idx="26">
                <c:v>1366</c:v>
              </c:pt>
              <c:pt idx="27">
                <c:v>1405</c:v>
              </c:pt>
              <c:pt idx="28">
                <c:v>1376</c:v>
              </c:pt>
              <c:pt idx="29">
                <c:v>1523</c:v>
              </c:pt>
              <c:pt idx="30">
                <c:v>1472</c:v>
              </c:pt>
              <c:pt idx="31">
                <c:v>1444</c:v>
              </c:pt>
              <c:pt idx="32">
                <c:v>1406</c:v>
              </c:pt>
              <c:pt idx="33">
                <c:v>1488</c:v>
              </c:pt>
              <c:pt idx="34">
                <c:v>1372</c:v>
              </c:pt>
              <c:pt idx="35">
                <c:v>1410</c:v>
              </c:pt>
              <c:pt idx="36">
                <c:v>1328</c:v>
              </c:pt>
              <c:pt idx="37">
                <c:v>1339</c:v>
              </c:pt>
              <c:pt idx="38">
                <c:v>1237</c:v>
              </c:pt>
              <c:pt idx="39">
                <c:v>1096</c:v>
              </c:pt>
              <c:pt idx="40">
                <c:v>1009</c:v>
              </c:pt>
              <c:pt idx="41">
                <c:v>1053</c:v>
              </c:pt>
              <c:pt idx="42">
                <c:v>1004</c:v>
              </c:pt>
              <c:pt idx="43">
                <c:v>874</c:v>
              </c:pt>
              <c:pt idx="44">
                <c:v>921</c:v>
              </c:pt>
              <c:pt idx="45">
                <c:v>905</c:v>
              </c:pt>
              <c:pt idx="46">
                <c:v>863</c:v>
              </c:pt>
              <c:pt idx="47">
                <c:v>850</c:v>
              </c:pt>
              <c:pt idx="48">
                <c:v>859</c:v>
              </c:pt>
              <c:pt idx="49">
                <c:v>761</c:v>
              </c:pt>
              <c:pt idx="50">
                <c:v>695</c:v>
              </c:pt>
              <c:pt idx="51">
                <c:v>611</c:v>
              </c:pt>
              <c:pt idx="52">
                <c:v>587</c:v>
              </c:pt>
              <c:pt idx="53">
                <c:v>505</c:v>
              </c:pt>
              <c:pt idx="54">
                <c:v>488</c:v>
              </c:pt>
              <c:pt idx="55">
                <c:v>442</c:v>
              </c:pt>
              <c:pt idx="56">
                <c:v>397</c:v>
              </c:pt>
              <c:pt idx="57">
                <c:v>385</c:v>
              </c:pt>
              <c:pt idx="58">
                <c:v>402</c:v>
              </c:pt>
              <c:pt idx="59">
                <c:v>336</c:v>
              </c:pt>
              <c:pt idx="60">
                <c:v>306</c:v>
              </c:pt>
              <c:pt idx="61">
                <c:v>258</c:v>
              </c:pt>
              <c:pt idx="62">
                <c:v>233</c:v>
              </c:pt>
              <c:pt idx="63">
                <c:v>222</c:v>
              </c:pt>
              <c:pt idx="64">
                <c:v>202</c:v>
              </c:pt>
              <c:pt idx="65">
                <c:v>171</c:v>
              </c:pt>
              <c:pt idx="66">
                <c:v>989</c:v>
              </c:pt>
            </c:numLit>
          </c:val>
          <c:smooth val="0"/>
          <c:extLst>
            <c:ext xmlns:c16="http://schemas.microsoft.com/office/drawing/2014/chart" uri="{C3380CC4-5D6E-409C-BE32-E72D297353CC}">
              <c16:uniqueId val="{00000002-6422-40EC-A8A0-CEC85A3A4EBE}"/>
            </c:ext>
          </c:extLst>
        </c:ser>
        <c:ser>
          <c:idx val="3"/>
          <c:order val="3"/>
          <c:tx>
            <c:v>Guanfacine</c:v>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Lit>
              <c:ptCount val="6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&gt; 65</c:v>
              </c:pt>
            </c:strLit>
          </c:cat>
          <c:val>
            <c:numLit>
              <c:formatCode>General</c:formatCode>
              <c:ptCount val="67"/>
              <c:pt idx="0">
                <c:v>0</c:v>
              </c:pt>
              <c:pt idx="1">
                <c:v>0</c:v>
              </c:pt>
              <c:pt idx="2">
                <c:v>3</c:v>
              </c:pt>
              <c:pt idx="3">
                <c:v>9</c:v>
              </c:pt>
              <c:pt idx="4">
                <c:v>36</c:v>
              </c:pt>
              <c:pt idx="5">
                <c:v>306</c:v>
              </c:pt>
              <c:pt idx="6">
                <c:v>1510</c:v>
              </c:pt>
              <c:pt idx="7">
                <c:v>2160</c:v>
              </c:pt>
              <c:pt idx="8">
                <c:v>2403</c:v>
              </c:pt>
              <c:pt idx="9">
                <c:v>2496</c:v>
              </c:pt>
              <c:pt idx="10">
                <c:v>2398</c:v>
              </c:pt>
              <c:pt idx="11">
                <c:v>2074</c:v>
              </c:pt>
              <c:pt idx="12">
                <c:v>1913</c:v>
              </c:pt>
              <c:pt idx="13">
                <c:v>1689</c:v>
              </c:pt>
              <c:pt idx="14">
                <c:v>1279</c:v>
              </c:pt>
              <c:pt idx="15">
                <c:v>951</c:v>
              </c:pt>
              <c:pt idx="16">
                <c:v>666</c:v>
              </c:pt>
              <c:pt idx="17">
                <c:v>466</c:v>
              </c:pt>
              <c:pt idx="18">
                <c:v>185</c:v>
              </c:pt>
              <c:pt idx="19">
                <c:v>137</c:v>
              </c:pt>
              <c:pt idx="20">
                <c:v>104</c:v>
              </c:pt>
              <c:pt idx="21">
                <c:v>72</c:v>
              </c:pt>
              <c:pt idx="22">
                <c:v>63</c:v>
              </c:pt>
              <c:pt idx="23">
                <c:v>65</c:v>
              </c:pt>
              <c:pt idx="24">
                <c:v>56</c:v>
              </c:pt>
              <c:pt idx="25">
                <c:v>48</c:v>
              </c:pt>
              <c:pt idx="26">
                <c:v>52</c:v>
              </c:pt>
              <c:pt idx="27">
                <c:v>43</c:v>
              </c:pt>
              <c:pt idx="28">
                <c:v>41</c:v>
              </c:pt>
              <c:pt idx="29">
                <c:v>34</c:v>
              </c:pt>
              <c:pt idx="30">
                <c:v>33</c:v>
              </c:pt>
              <c:pt idx="31">
                <c:v>52</c:v>
              </c:pt>
              <c:pt idx="32">
                <c:v>26</c:v>
              </c:pt>
              <c:pt idx="33">
                <c:v>31</c:v>
              </c:pt>
              <c:pt idx="34">
                <c:v>32</c:v>
              </c:pt>
              <c:pt idx="35">
                <c:v>31</c:v>
              </c:pt>
              <c:pt idx="36">
                <c:v>27</c:v>
              </c:pt>
              <c:pt idx="37">
                <c:v>24</c:v>
              </c:pt>
              <c:pt idx="38">
                <c:v>20</c:v>
              </c:pt>
              <c:pt idx="39">
                <c:v>34</c:v>
              </c:pt>
              <c:pt idx="40">
                <c:v>31</c:v>
              </c:pt>
              <c:pt idx="41">
                <c:v>28</c:v>
              </c:pt>
              <c:pt idx="42">
                <c:v>19</c:v>
              </c:pt>
              <c:pt idx="43">
                <c:v>23</c:v>
              </c:pt>
              <c:pt idx="44">
                <c:v>20</c:v>
              </c:pt>
              <c:pt idx="45">
                <c:v>29</c:v>
              </c:pt>
              <c:pt idx="46">
                <c:v>25</c:v>
              </c:pt>
              <c:pt idx="47">
                <c:v>23</c:v>
              </c:pt>
              <c:pt idx="48">
                <c:v>19</c:v>
              </c:pt>
              <c:pt idx="49">
                <c:v>18</c:v>
              </c:pt>
              <c:pt idx="50">
                <c:v>13</c:v>
              </c:pt>
              <c:pt idx="51">
                <c:v>14</c:v>
              </c:pt>
              <c:pt idx="52">
                <c:v>8</c:v>
              </c:pt>
              <c:pt idx="53">
                <c:v>11</c:v>
              </c:pt>
              <c:pt idx="54">
                <c:v>6</c:v>
              </c:pt>
              <c:pt idx="55">
                <c:v>7</c:v>
              </c:pt>
              <c:pt idx="56">
                <c:v>5</c:v>
              </c:pt>
              <c:pt idx="57">
                <c:v>5</c:v>
              </c:pt>
              <c:pt idx="58">
                <c:v>11</c:v>
              </c:pt>
              <c:pt idx="59">
                <c:v>6</c:v>
              </c:pt>
              <c:pt idx="60">
                <c:v>6</c:v>
              </c:pt>
              <c:pt idx="61">
                <c:v>3</c:v>
              </c:pt>
              <c:pt idx="62">
                <c:v>4</c:v>
              </c:pt>
              <c:pt idx="63">
                <c:v>7</c:v>
              </c:pt>
              <c:pt idx="64">
                <c:v>4</c:v>
              </c:pt>
              <c:pt idx="65">
                <c:v>3</c:v>
              </c:pt>
              <c:pt idx="66">
                <c:v>20</c:v>
              </c:pt>
            </c:numLit>
          </c:val>
          <c:smooth val="0"/>
          <c:extLst>
            <c:ext xmlns:c16="http://schemas.microsoft.com/office/drawing/2014/chart" uri="{C3380CC4-5D6E-409C-BE32-E72D297353CC}">
              <c16:uniqueId val="{00000003-6422-40EC-A8A0-CEC85A3A4EBE}"/>
            </c:ext>
          </c:extLst>
        </c:ser>
        <c:ser>
          <c:idx val="4"/>
          <c:order val="4"/>
          <c:tx>
            <c:v>Lisdexamfetamine</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Lit>
              <c:ptCount val="6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&gt; 65</c:v>
              </c:pt>
            </c:strLit>
          </c:cat>
          <c:val>
            <c:numLit>
              <c:formatCode>General</c:formatCode>
              <c:ptCount val="67"/>
              <c:pt idx="0">
                <c:v>0</c:v>
              </c:pt>
              <c:pt idx="1">
                <c:v>0</c:v>
              </c:pt>
              <c:pt idx="2">
                <c:v>1</c:v>
              </c:pt>
              <c:pt idx="3">
                <c:v>1</c:v>
              </c:pt>
              <c:pt idx="4">
                <c:v>12</c:v>
              </c:pt>
              <c:pt idx="5">
                <c:v>108</c:v>
              </c:pt>
              <c:pt idx="6">
                <c:v>2003</c:v>
              </c:pt>
              <c:pt idx="7">
                <c:v>2718</c:v>
              </c:pt>
              <c:pt idx="8">
                <c:v>3307</c:v>
              </c:pt>
              <c:pt idx="9">
                <c:v>3713</c:v>
              </c:pt>
              <c:pt idx="10">
                <c:v>3884</c:v>
              </c:pt>
              <c:pt idx="11">
                <c:v>4007</c:v>
              </c:pt>
              <c:pt idx="12">
                <c:v>4081</c:v>
              </c:pt>
              <c:pt idx="13">
                <c:v>3913</c:v>
              </c:pt>
              <c:pt idx="14">
                <c:v>3589</c:v>
              </c:pt>
              <c:pt idx="15">
                <c:v>3026</c:v>
              </c:pt>
              <c:pt idx="16">
                <c:v>2764</c:v>
              </c:pt>
              <c:pt idx="17">
                <c:v>2298</c:v>
              </c:pt>
              <c:pt idx="18">
                <c:v>1322</c:v>
              </c:pt>
              <c:pt idx="19">
                <c:v>968</c:v>
              </c:pt>
              <c:pt idx="20">
                <c:v>768</c:v>
              </c:pt>
              <c:pt idx="21">
                <c:v>578</c:v>
              </c:pt>
              <c:pt idx="22">
                <c:v>471</c:v>
              </c:pt>
              <c:pt idx="23">
                <c:v>481</c:v>
              </c:pt>
              <c:pt idx="24">
                <c:v>442</c:v>
              </c:pt>
              <c:pt idx="25">
                <c:v>417</c:v>
              </c:pt>
              <c:pt idx="26">
                <c:v>389</c:v>
              </c:pt>
              <c:pt idx="27">
                <c:v>387</c:v>
              </c:pt>
              <c:pt idx="28">
                <c:v>348</c:v>
              </c:pt>
              <c:pt idx="29">
                <c:v>385</c:v>
              </c:pt>
              <c:pt idx="30">
                <c:v>368</c:v>
              </c:pt>
              <c:pt idx="31">
                <c:v>335</c:v>
              </c:pt>
              <c:pt idx="32">
                <c:v>317</c:v>
              </c:pt>
              <c:pt idx="33">
                <c:v>338</c:v>
              </c:pt>
              <c:pt idx="34">
                <c:v>298</c:v>
              </c:pt>
              <c:pt idx="35">
                <c:v>246</c:v>
              </c:pt>
              <c:pt idx="36">
                <c:v>267</c:v>
              </c:pt>
              <c:pt idx="37">
                <c:v>235</c:v>
              </c:pt>
              <c:pt idx="38">
                <c:v>214</c:v>
              </c:pt>
              <c:pt idx="39">
                <c:v>193</c:v>
              </c:pt>
              <c:pt idx="40">
                <c:v>178</c:v>
              </c:pt>
              <c:pt idx="41">
                <c:v>157</c:v>
              </c:pt>
              <c:pt idx="42">
                <c:v>121</c:v>
              </c:pt>
              <c:pt idx="43">
                <c:v>121</c:v>
              </c:pt>
              <c:pt idx="44">
                <c:v>118</c:v>
              </c:pt>
              <c:pt idx="45">
                <c:v>116</c:v>
              </c:pt>
              <c:pt idx="46">
                <c:v>103</c:v>
              </c:pt>
              <c:pt idx="47">
                <c:v>94</c:v>
              </c:pt>
              <c:pt idx="48">
                <c:v>110</c:v>
              </c:pt>
              <c:pt idx="49">
                <c:v>87</c:v>
              </c:pt>
              <c:pt idx="50">
                <c:v>87</c:v>
              </c:pt>
              <c:pt idx="51">
                <c:v>62</c:v>
              </c:pt>
              <c:pt idx="52">
                <c:v>54</c:v>
              </c:pt>
              <c:pt idx="53">
                <c:v>31</c:v>
              </c:pt>
              <c:pt idx="54">
                <c:v>39</c:v>
              </c:pt>
              <c:pt idx="55">
                <c:v>42</c:v>
              </c:pt>
              <c:pt idx="56">
                <c:v>26</c:v>
              </c:pt>
              <c:pt idx="57">
                <c:v>33</c:v>
              </c:pt>
              <c:pt idx="58">
                <c:v>25</c:v>
              </c:pt>
              <c:pt idx="59">
                <c:v>23</c:v>
              </c:pt>
              <c:pt idx="60">
                <c:v>17</c:v>
              </c:pt>
              <c:pt idx="61">
                <c:v>15</c:v>
              </c:pt>
              <c:pt idx="62">
                <c:v>17</c:v>
              </c:pt>
              <c:pt idx="63">
                <c:v>14</c:v>
              </c:pt>
              <c:pt idx="64">
                <c:v>10</c:v>
              </c:pt>
              <c:pt idx="65">
                <c:v>9</c:v>
              </c:pt>
              <c:pt idx="66">
                <c:v>41</c:v>
              </c:pt>
            </c:numLit>
          </c:val>
          <c:smooth val="0"/>
          <c:extLst>
            <c:ext xmlns:c16="http://schemas.microsoft.com/office/drawing/2014/chart" uri="{C3380CC4-5D6E-409C-BE32-E72D297353CC}">
              <c16:uniqueId val="{00000004-6422-40EC-A8A0-CEC85A3A4EBE}"/>
            </c:ext>
          </c:extLst>
        </c:ser>
        <c:ser>
          <c:idx val="5"/>
          <c:order val="5"/>
          <c:tx>
            <c:v>MPH-IR</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Lit>
              <c:ptCount val="6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&gt; 65</c:v>
              </c:pt>
            </c:strLit>
          </c:cat>
          <c:val>
            <c:numLit>
              <c:formatCode>General</c:formatCode>
              <c:ptCount val="67"/>
              <c:pt idx="0">
                <c:v>0</c:v>
              </c:pt>
              <c:pt idx="1">
                <c:v>3</c:v>
              </c:pt>
              <c:pt idx="2">
                <c:v>6</c:v>
              </c:pt>
              <c:pt idx="3">
                <c:v>94</c:v>
              </c:pt>
              <c:pt idx="4">
                <c:v>673</c:v>
              </c:pt>
              <c:pt idx="5">
                <c:v>3091</c:v>
              </c:pt>
              <c:pt idx="6">
                <c:v>6786</c:v>
              </c:pt>
              <c:pt idx="7">
                <c:v>7915</c:v>
              </c:pt>
              <c:pt idx="8">
                <c:v>7734</c:v>
              </c:pt>
              <c:pt idx="9">
                <c:v>7161</c:v>
              </c:pt>
              <c:pt idx="10">
                <c:v>5947</c:v>
              </c:pt>
              <c:pt idx="11">
                <c:v>4770</c:v>
              </c:pt>
              <c:pt idx="12">
                <c:v>3748</c:v>
              </c:pt>
              <c:pt idx="13">
                <c:v>3070</c:v>
              </c:pt>
              <c:pt idx="14">
                <c:v>2368</c:v>
              </c:pt>
              <c:pt idx="15">
                <c:v>2094</c:v>
              </c:pt>
              <c:pt idx="16">
                <c:v>1905</c:v>
              </c:pt>
              <c:pt idx="17">
                <c:v>1799</c:v>
              </c:pt>
              <c:pt idx="18">
                <c:v>1078</c:v>
              </c:pt>
              <c:pt idx="19">
                <c:v>909</c:v>
              </c:pt>
              <c:pt idx="20">
                <c:v>852</c:v>
              </c:pt>
              <c:pt idx="21">
                <c:v>810</c:v>
              </c:pt>
              <c:pt idx="22">
                <c:v>782</c:v>
              </c:pt>
              <c:pt idx="23">
                <c:v>711</c:v>
              </c:pt>
              <c:pt idx="24">
                <c:v>723</c:v>
              </c:pt>
              <c:pt idx="25">
                <c:v>729</c:v>
              </c:pt>
              <c:pt idx="26">
                <c:v>654</c:v>
              </c:pt>
              <c:pt idx="27">
                <c:v>690</c:v>
              </c:pt>
              <c:pt idx="28">
                <c:v>707</c:v>
              </c:pt>
              <c:pt idx="29">
                <c:v>653</c:v>
              </c:pt>
              <c:pt idx="30">
                <c:v>657</c:v>
              </c:pt>
              <c:pt idx="31">
                <c:v>533</c:v>
              </c:pt>
              <c:pt idx="32">
                <c:v>558</c:v>
              </c:pt>
              <c:pt idx="33">
                <c:v>563</c:v>
              </c:pt>
              <c:pt idx="34">
                <c:v>499</c:v>
              </c:pt>
              <c:pt idx="35">
                <c:v>513</c:v>
              </c:pt>
              <c:pt idx="36">
                <c:v>504</c:v>
              </c:pt>
              <c:pt idx="37">
                <c:v>470</c:v>
              </c:pt>
              <c:pt idx="38">
                <c:v>462</c:v>
              </c:pt>
              <c:pt idx="39">
                <c:v>452</c:v>
              </c:pt>
              <c:pt idx="40">
                <c:v>377</c:v>
              </c:pt>
              <c:pt idx="41">
                <c:v>374</c:v>
              </c:pt>
              <c:pt idx="42">
                <c:v>410</c:v>
              </c:pt>
              <c:pt idx="43">
                <c:v>353</c:v>
              </c:pt>
              <c:pt idx="44">
                <c:v>362</c:v>
              </c:pt>
              <c:pt idx="45">
                <c:v>394</c:v>
              </c:pt>
              <c:pt idx="46">
                <c:v>377</c:v>
              </c:pt>
              <c:pt idx="47">
                <c:v>354</c:v>
              </c:pt>
              <c:pt idx="48">
                <c:v>346</c:v>
              </c:pt>
              <c:pt idx="49">
                <c:v>311</c:v>
              </c:pt>
              <c:pt idx="50">
                <c:v>283</c:v>
              </c:pt>
              <c:pt idx="51">
                <c:v>228</c:v>
              </c:pt>
              <c:pt idx="52">
                <c:v>248</c:v>
              </c:pt>
              <c:pt idx="53">
                <c:v>210</c:v>
              </c:pt>
              <c:pt idx="54">
                <c:v>172</c:v>
              </c:pt>
              <c:pt idx="55">
                <c:v>182</c:v>
              </c:pt>
              <c:pt idx="56">
                <c:v>157</c:v>
              </c:pt>
              <c:pt idx="57">
                <c:v>148</c:v>
              </c:pt>
              <c:pt idx="58">
                <c:v>133</c:v>
              </c:pt>
              <c:pt idx="59">
                <c:v>129</c:v>
              </c:pt>
              <c:pt idx="60">
                <c:v>108</c:v>
              </c:pt>
              <c:pt idx="61">
                <c:v>87</c:v>
              </c:pt>
              <c:pt idx="62">
                <c:v>80</c:v>
              </c:pt>
              <c:pt idx="63">
                <c:v>77</c:v>
              </c:pt>
              <c:pt idx="64">
                <c:v>53</c:v>
              </c:pt>
              <c:pt idx="65">
                <c:v>60</c:v>
              </c:pt>
              <c:pt idx="66">
                <c:v>353</c:v>
              </c:pt>
            </c:numLit>
          </c:val>
          <c:smooth val="0"/>
          <c:extLst>
            <c:ext xmlns:c16="http://schemas.microsoft.com/office/drawing/2014/chart" uri="{C3380CC4-5D6E-409C-BE32-E72D297353CC}">
              <c16:uniqueId val="{00000005-6422-40EC-A8A0-CEC85A3A4EBE}"/>
            </c:ext>
          </c:extLst>
        </c:ser>
        <c:ser>
          <c:idx val="6"/>
          <c:order val="6"/>
          <c:tx>
            <c:v>MPH-MR</c:v>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Lit>
              <c:ptCount val="6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&gt; 65</c:v>
              </c:pt>
            </c:strLit>
          </c:cat>
          <c:val>
            <c:numLit>
              <c:formatCode>General</c:formatCode>
              <c:ptCount val="67"/>
              <c:pt idx="0">
                <c:v>0</c:v>
              </c:pt>
              <c:pt idx="1">
                <c:v>1</c:v>
              </c:pt>
              <c:pt idx="2">
                <c:v>5</c:v>
              </c:pt>
              <c:pt idx="3">
                <c:v>6</c:v>
              </c:pt>
              <c:pt idx="4">
                <c:v>25</c:v>
              </c:pt>
              <c:pt idx="5">
                <c:v>259</c:v>
              </c:pt>
              <c:pt idx="6">
                <c:v>3501</c:v>
              </c:pt>
              <c:pt idx="7">
                <c:v>5318</c:v>
              </c:pt>
              <c:pt idx="8">
                <c:v>6635</c:v>
              </c:pt>
              <c:pt idx="9">
                <c:v>7398</c:v>
              </c:pt>
              <c:pt idx="10">
                <c:v>7773</c:v>
              </c:pt>
              <c:pt idx="11">
                <c:v>7920</c:v>
              </c:pt>
              <c:pt idx="12">
                <c:v>7622</c:v>
              </c:pt>
              <c:pt idx="13">
                <c:v>7001</c:v>
              </c:pt>
              <c:pt idx="14">
                <c:v>5833</c:v>
              </c:pt>
              <c:pt idx="15">
                <c:v>4791</c:v>
              </c:pt>
              <c:pt idx="16">
                <c:v>3905</c:v>
              </c:pt>
              <c:pt idx="17">
                <c:v>3130</c:v>
              </c:pt>
              <c:pt idx="18">
                <c:v>1866</c:v>
              </c:pt>
              <c:pt idx="19">
                <c:v>1361</c:v>
              </c:pt>
              <c:pt idx="20">
                <c:v>1144</c:v>
              </c:pt>
              <c:pt idx="21">
                <c:v>913</c:v>
              </c:pt>
              <c:pt idx="22">
                <c:v>761</c:v>
              </c:pt>
              <c:pt idx="23">
                <c:v>708</c:v>
              </c:pt>
              <c:pt idx="24">
                <c:v>612</c:v>
              </c:pt>
              <c:pt idx="25">
                <c:v>586</c:v>
              </c:pt>
              <c:pt idx="26">
                <c:v>485</c:v>
              </c:pt>
              <c:pt idx="27">
                <c:v>441</c:v>
              </c:pt>
              <c:pt idx="28">
                <c:v>431</c:v>
              </c:pt>
              <c:pt idx="29">
                <c:v>400</c:v>
              </c:pt>
              <c:pt idx="30">
                <c:v>313</c:v>
              </c:pt>
              <c:pt idx="31">
                <c:v>308</c:v>
              </c:pt>
              <c:pt idx="32">
                <c:v>296</c:v>
              </c:pt>
              <c:pt idx="33">
                <c:v>265</c:v>
              </c:pt>
              <c:pt idx="34">
                <c:v>240</c:v>
              </c:pt>
              <c:pt idx="35">
                <c:v>182</c:v>
              </c:pt>
              <c:pt idx="36">
                <c:v>191</c:v>
              </c:pt>
              <c:pt idx="37">
                <c:v>192</c:v>
              </c:pt>
              <c:pt idx="38">
                <c:v>155</c:v>
              </c:pt>
              <c:pt idx="39">
                <c:v>161</c:v>
              </c:pt>
              <c:pt idx="40">
                <c:v>149</c:v>
              </c:pt>
              <c:pt idx="41">
                <c:v>126</c:v>
              </c:pt>
              <c:pt idx="42">
                <c:v>126</c:v>
              </c:pt>
              <c:pt idx="43">
                <c:v>109</c:v>
              </c:pt>
              <c:pt idx="44">
                <c:v>116</c:v>
              </c:pt>
              <c:pt idx="45">
                <c:v>120</c:v>
              </c:pt>
              <c:pt idx="46">
                <c:v>114</c:v>
              </c:pt>
              <c:pt idx="47">
                <c:v>125</c:v>
              </c:pt>
              <c:pt idx="48">
                <c:v>112</c:v>
              </c:pt>
              <c:pt idx="49">
                <c:v>100</c:v>
              </c:pt>
              <c:pt idx="50">
                <c:v>92</c:v>
              </c:pt>
              <c:pt idx="51">
                <c:v>72</c:v>
              </c:pt>
              <c:pt idx="52">
                <c:v>52</c:v>
              </c:pt>
              <c:pt idx="53">
                <c:v>60</c:v>
              </c:pt>
              <c:pt idx="54">
                <c:v>49</c:v>
              </c:pt>
              <c:pt idx="55">
                <c:v>32</c:v>
              </c:pt>
              <c:pt idx="56">
                <c:v>44</c:v>
              </c:pt>
              <c:pt idx="57">
                <c:v>36</c:v>
              </c:pt>
              <c:pt idx="58">
                <c:v>27</c:v>
              </c:pt>
              <c:pt idx="59">
                <c:v>28</c:v>
              </c:pt>
              <c:pt idx="60">
                <c:v>26</c:v>
              </c:pt>
              <c:pt idx="61">
                <c:v>20</c:v>
              </c:pt>
              <c:pt idx="62">
                <c:v>13</c:v>
              </c:pt>
              <c:pt idx="63">
                <c:v>18</c:v>
              </c:pt>
              <c:pt idx="64">
                <c:v>14</c:v>
              </c:pt>
              <c:pt idx="65">
                <c:v>7</c:v>
              </c:pt>
              <c:pt idx="66">
                <c:v>78</c:v>
              </c:pt>
            </c:numLit>
          </c:val>
          <c:smooth val="0"/>
          <c:extLst>
            <c:ext xmlns:c16="http://schemas.microsoft.com/office/drawing/2014/chart" uri="{C3380CC4-5D6E-409C-BE32-E72D297353CC}">
              <c16:uniqueId val="{00000006-6422-40EC-A8A0-CEC85A3A4EBE}"/>
            </c:ext>
          </c:extLst>
        </c:ser>
        <c:dLbls>
          <c:showLegendKey val="0"/>
          <c:showVal val="0"/>
          <c:showCatName val="0"/>
          <c:showSerName val="0"/>
          <c:showPercent val="0"/>
          <c:showBubbleSize val="0"/>
        </c:dLbls>
        <c:marker val="1"/>
        <c:smooth val="0"/>
        <c:axId val="915059048"/>
        <c:axId val="915062984"/>
      </c:lineChart>
      <c:catAx>
        <c:axId val="9150590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 age</a:t>
                </a:r>
              </a:p>
            </c:rich>
          </c:tx>
          <c:layout>
            <c:manualLayout>
              <c:xMode val="edge"/>
              <c:yMode val="edge"/>
              <c:x val="0.4922200266610659"/>
              <c:y val="0.7946880678376740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062984"/>
        <c:crosses val="autoZero"/>
        <c:auto val="1"/>
        <c:lblAlgn val="ctr"/>
        <c:lblOffset val="100"/>
        <c:noMultiLvlLbl val="0"/>
      </c:catAx>
      <c:valAx>
        <c:axId val="915062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059048"/>
        <c:crosses val="autoZero"/>
        <c:crossBetween val="between"/>
      </c:valAx>
      <c:spPr>
        <a:noFill/>
        <a:ln>
          <a:noFill/>
        </a:ln>
        <a:effectLst/>
      </c:spPr>
    </c:plotArea>
    <c:legend>
      <c:legendPos val="b"/>
      <c:layout>
        <c:manualLayout>
          <c:xMode val="edge"/>
          <c:yMode val="edge"/>
          <c:x val="3.1866231745528273E-2"/>
          <c:y val="0.87207278856029269"/>
          <c:w val="0.94062229156575894"/>
          <c:h val="0.107860321807600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6"/>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7"/>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8"/>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9"/>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0"/>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1"/>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2815279962623072"/>
          <c:y val="4.2145593869731802E-2"/>
          <c:w val="0.84526603200185169"/>
          <c:h val="0.71019700123691432"/>
        </c:manualLayout>
      </c:layout>
      <c:lineChart>
        <c:grouping val="standard"/>
        <c:varyColors val="0"/>
        <c:ser>
          <c:idx val="0"/>
          <c:order val="0"/>
          <c:tx>
            <c:v>Atomoxetine</c:v>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Lit>
              <c:ptCount val="6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&gt; 65</c:v>
              </c:pt>
            </c:strLit>
          </c:cat>
          <c:val>
            <c:numLit>
              <c:formatCode>General</c:formatCode>
              <c:ptCount val="67"/>
              <c:pt idx="0">
                <c:v>0</c:v>
              </c:pt>
              <c:pt idx="1">
                <c:v>0</c:v>
              </c:pt>
              <c:pt idx="2">
                <c:v>1</c:v>
              </c:pt>
              <c:pt idx="3">
                <c:v>0</c:v>
              </c:pt>
              <c:pt idx="4">
                <c:v>3</c:v>
              </c:pt>
              <c:pt idx="5">
                <c:v>52</c:v>
              </c:pt>
              <c:pt idx="6">
                <c:v>284</c:v>
              </c:pt>
              <c:pt idx="7">
                <c:v>420</c:v>
              </c:pt>
              <c:pt idx="8">
                <c:v>577</c:v>
              </c:pt>
              <c:pt idx="9">
                <c:v>683</c:v>
              </c:pt>
              <c:pt idx="10">
                <c:v>747</c:v>
              </c:pt>
              <c:pt idx="11">
                <c:v>752</c:v>
              </c:pt>
              <c:pt idx="12">
                <c:v>717</c:v>
              </c:pt>
              <c:pt idx="13">
                <c:v>707</c:v>
              </c:pt>
              <c:pt idx="14">
                <c:v>670</c:v>
              </c:pt>
              <c:pt idx="15">
                <c:v>733</c:v>
              </c:pt>
              <c:pt idx="16">
                <c:v>675</c:v>
              </c:pt>
              <c:pt idx="17">
                <c:v>586</c:v>
              </c:pt>
              <c:pt idx="18">
                <c:v>472</c:v>
              </c:pt>
              <c:pt idx="19">
                <c:v>402</c:v>
              </c:pt>
              <c:pt idx="20">
                <c:v>369</c:v>
              </c:pt>
              <c:pt idx="21">
                <c:v>338</c:v>
              </c:pt>
              <c:pt idx="22">
                <c:v>402</c:v>
              </c:pt>
              <c:pt idx="23">
                <c:v>358</c:v>
              </c:pt>
              <c:pt idx="24">
                <c:v>324</c:v>
              </c:pt>
              <c:pt idx="25">
                <c:v>310</c:v>
              </c:pt>
              <c:pt idx="26">
                <c:v>315</c:v>
              </c:pt>
              <c:pt idx="27">
                <c:v>335</c:v>
              </c:pt>
              <c:pt idx="28">
                <c:v>308</c:v>
              </c:pt>
              <c:pt idx="29">
                <c:v>316</c:v>
              </c:pt>
              <c:pt idx="30">
                <c:v>279</c:v>
              </c:pt>
              <c:pt idx="31">
                <c:v>274</c:v>
              </c:pt>
              <c:pt idx="32">
                <c:v>286</c:v>
              </c:pt>
              <c:pt idx="33">
                <c:v>266</c:v>
              </c:pt>
              <c:pt idx="34">
                <c:v>211</c:v>
              </c:pt>
              <c:pt idx="35">
                <c:v>233</c:v>
              </c:pt>
              <c:pt idx="36">
                <c:v>233</c:v>
              </c:pt>
              <c:pt idx="37">
                <c:v>209</c:v>
              </c:pt>
              <c:pt idx="38">
                <c:v>217</c:v>
              </c:pt>
              <c:pt idx="39">
                <c:v>181</c:v>
              </c:pt>
              <c:pt idx="40">
                <c:v>193</c:v>
              </c:pt>
              <c:pt idx="41">
                <c:v>176</c:v>
              </c:pt>
              <c:pt idx="42">
                <c:v>156</c:v>
              </c:pt>
              <c:pt idx="43">
                <c:v>154</c:v>
              </c:pt>
              <c:pt idx="44">
                <c:v>145</c:v>
              </c:pt>
              <c:pt idx="45">
                <c:v>131</c:v>
              </c:pt>
              <c:pt idx="46">
                <c:v>114</c:v>
              </c:pt>
              <c:pt idx="47">
                <c:v>99</c:v>
              </c:pt>
              <c:pt idx="48">
                <c:v>109</c:v>
              </c:pt>
              <c:pt idx="49">
                <c:v>86</c:v>
              </c:pt>
              <c:pt idx="50">
                <c:v>86</c:v>
              </c:pt>
              <c:pt idx="51">
                <c:v>94</c:v>
              </c:pt>
              <c:pt idx="52">
                <c:v>78</c:v>
              </c:pt>
              <c:pt idx="53">
                <c:v>61</c:v>
              </c:pt>
              <c:pt idx="54">
                <c:v>52</c:v>
              </c:pt>
              <c:pt idx="55">
                <c:v>74</c:v>
              </c:pt>
              <c:pt idx="56">
                <c:v>40</c:v>
              </c:pt>
              <c:pt idx="57">
                <c:v>44</c:v>
              </c:pt>
              <c:pt idx="58">
                <c:v>35</c:v>
              </c:pt>
              <c:pt idx="59">
                <c:v>31</c:v>
              </c:pt>
              <c:pt idx="60">
                <c:v>28</c:v>
              </c:pt>
              <c:pt idx="61">
                <c:v>30</c:v>
              </c:pt>
              <c:pt idx="62">
                <c:v>25</c:v>
              </c:pt>
              <c:pt idx="63">
                <c:v>17</c:v>
              </c:pt>
              <c:pt idx="64">
                <c:v>16</c:v>
              </c:pt>
              <c:pt idx="65">
                <c:v>13</c:v>
              </c:pt>
              <c:pt idx="66">
                <c:v>80</c:v>
              </c:pt>
            </c:numLit>
          </c:val>
          <c:smooth val="0"/>
          <c:extLst>
            <c:ext xmlns:c16="http://schemas.microsoft.com/office/drawing/2014/chart" uri="{C3380CC4-5D6E-409C-BE32-E72D297353CC}">
              <c16:uniqueId val="{00000000-6F49-44AF-B6E4-F6F69F9DE36C}"/>
            </c:ext>
          </c:extLst>
        </c:ser>
        <c:ser>
          <c:idx val="1"/>
          <c:order val="1"/>
          <c:tx>
            <c:v>Clonidine</c:v>
          </c:tx>
          <c:spPr>
            <a:ln w="28575" cap="rnd">
              <a:solidFill>
                <a:schemeClr val="bg1">
                  <a:lumMod val="65000"/>
                </a:schemeClr>
              </a:solidFill>
              <a:round/>
            </a:ln>
            <a:effectLst/>
          </c:spPr>
          <c:marker>
            <c:symbol val="circle"/>
            <c:size val="5"/>
            <c:spPr>
              <a:solidFill>
                <a:schemeClr val="bg1">
                  <a:lumMod val="65000"/>
                </a:schemeClr>
              </a:solidFill>
              <a:ln w="9525">
                <a:solidFill>
                  <a:schemeClr val="bg1">
                    <a:lumMod val="65000"/>
                  </a:schemeClr>
                </a:solidFill>
              </a:ln>
              <a:effectLst/>
            </c:spPr>
          </c:marker>
          <c:cat>
            <c:strLit>
              <c:ptCount val="6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&gt; 65</c:v>
              </c:pt>
            </c:strLit>
          </c:cat>
          <c:val>
            <c:numLit>
              <c:formatCode>General</c:formatCode>
              <c:ptCount val="67"/>
              <c:pt idx="0">
                <c:v>19</c:v>
              </c:pt>
              <c:pt idx="1">
                <c:v>50</c:v>
              </c:pt>
              <c:pt idx="2">
                <c:v>259</c:v>
              </c:pt>
              <c:pt idx="3">
                <c:v>828</c:v>
              </c:pt>
              <c:pt idx="4">
                <c:v>1776</c:v>
              </c:pt>
              <c:pt idx="5">
                <c:v>2724</c:v>
              </c:pt>
              <c:pt idx="6">
                <c:v>3340</c:v>
              </c:pt>
              <c:pt idx="7">
                <c:v>4086</c:v>
              </c:pt>
              <c:pt idx="8">
                <c:v>4817</c:v>
              </c:pt>
              <c:pt idx="9">
                <c:v>4861</c:v>
              </c:pt>
              <c:pt idx="10">
                <c:v>5102</c:v>
              </c:pt>
              <c:pt idx="11">
                <c:v>4786</c:v>
              </c:pt>
              <c:pt idx="12">
                <c:v>4602</c:v>
              </c:pt>
              <c:pt idx="13">
                <c:v>4540</c:v>
              </c:pt>
              <c:pt idx="14">
                <c:v>3955</c:v>
              </c:pt>
              <c:pt idx="15">
                <c:v>3753</c:v>
              </c:pt>
              <c:pt idx="16">
                <c:v>3101</c:v>
              </c:pt>
              <c:pt idx="17">
                <c:v>2621</c:v>
              </c:pt>
              <c:pt idx="18">
                <c:v>1982</c:v>
              </c:pt>
              <c:pt idx="19">
                <c:v>1694</c:v>
              </c:pt>
              <c:pt idx="20">
                <c:v>1658</c:v>
              </c:pt>
              <c:pt idx="21">
                <c:v>1510</c:v>
              </c:pt>
              <c:pt idx="22">
                <c:v>1477</c:v>
              </c:pt>
              <c:pt idx="23">
                <c:v>1510</c:v>
              </c:pt>
              <c:pt idx="24">
                <c:v>1395</c:v>
              </c:pt>
              <c:pt idx="25">
                <c:v>1402</c:v>
              </c:pt>
              <c:pt idx="26">
                <c:v>1378</c:v>
              </c:pt>
              <c:pt idx="27">
                <c:v>1457</c:v>
              </c:pt>
              <c:pt idx="28">
                <c:v>1417</c:v>
              </c:pt>
              <c:pt idx="29">
                <c:v>1452</c:v>
              </c:pt>
              <c:pt idx="30">
                <c:v>1451</c:v>
              </c:pt>
              <c:pt idx="31">
                <c:v>1448</c:v>
              </c:pt>
              <c:pt idx="32">
                <c:v>1382</c:v>
              </c:pt>
              <c:pt idx="33">
                <c:v>1437</c:v>
              </c:pt>
              <c:pt idx="34">
                <c:v>1331</c:v>
              </c:pt>
              <c:pt idx="35">
                <c:v>1352</c:v>
              </c:pt>
              <c:pt idx="36">
                <c:v>1362</c:v>
              </c:pt>
              <c:pt idx="37">
                <c:v>1326</c:v>
              </c:pt>
              <c:pt idx="38">
                <c:v>1348</c:v>
              </c:pt>
              <c:pt idx="39">
                <c:v>1339</c:v>
              </c:pt>
              <c:pt idx="40">
                <c:v>1313</c:v>
              </c:pt>
              <c:pt idx="41">
                <c:v>1339</c:v>
              </c:pt>
              <c:pt idx="42">
                <c:v>1259</c:v>
              </c:pt>
              <c:pt idx="43">
                <c:v>1256</c:v>
              </c:pt>
              <c:pt idx="44">
                <c:v>1207</c:v>
              </c:pt>
              <c:pt idx="45">
                <c:v>1295</c:v>
              </c:pt>
              <c:pt idx="46">
                <c:v>1277</c:v>
              </c:pt>
              <c:pt idx="47">
                <c:v>1362</c:v>
              </c:pt>
              <c:pt idx="48">
                <c:v>1569</c:v>
              </c:pt>
              <c:pt idx="49">
                <c:v>1666</c:v>
              </c:pt>
              <c:pt idx="50">
                <c:v>1848</c:v>
              </c:pt>
              <c:pt idx="51">
                <c:v>1986</c:v>
              </c:pt>
              <c:pt idx="52">
                <c:v>1904</c:v>
              </c:pt>
              <c:pt idx="53">
                <c:v>1916</c:v>
              </c:pt>
              <c:pt idx="54">
                <c:v>1797</c:v>
              </c:pt>
              <c:pt idx="55">
                <c:v>1625</c:v>
              </c:pt>
              <c:pt idx="56">
                <c:v>1463</c:v>
              </c:pt>
              <c:pt idx="57">
                <c:v>1416</c:v>
              </c:pt>
              <c:pt idx="58">
                <c:v>1359</c:v>
              </c:pt>
              <c:pt idx="59">
                <c:v>1295</c:v>
              </c:pt>
              <c:pt idx="60">
                <c:v>1255</c:v>
              </c:pt>
              <c:pt idx="61">
                <c:v>1193</c:v>
              </c:pt>
              <c:pt idx="62">
                <c:v>1035</c:v>
              </c:pt>
              <c:pt idx="63">
                <c:v>1069</c:v>
              </c:pt>
              <c:pt idx="64">
                <c:v>983</c:v>
              </c:pt>
              <c:pt idx="65">
                <c:v>896</c:v>
              </c:pt>
              <c:pt idx="66">
                <c:v>11475</c:v>
              </c:pt>
            </c:numLit>
          </c:val>
          <c:smooth val="0"/>
          <c:extLst>
            <c:ext xmlns:c16="http://schemas.microsoft.com/office/drawing/2014/chart" uri="{C3380CC4-5D6E-409C-BE32-E72D297353CC}">
              <c16:uniqueId val="{00000001-6F49-44AF-B6E4-F6F69F9DE36C}"/>
            </c:ext>
          </c:extLst>
        </c:ser>
        <c:ser>
          <c:idx val="2"/>
          <c:order val="2"/>
          <c:tx>
            <c:v>Dexamfetamine</c:v>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Lit>
              <c:ptCount val="6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&gt; 65</c:v>
              </c:pt>
            </c:strLit>
          </c:cat>
          <c:val>
            <c:numLit>
              <c:formatCode>General</c:formatCode>
              <c:ptCount val="67"/>
              <c:pt idx="0">
                <c:v>0</c:v>
              </c:pt>
              <c:pt idx="1">
                <c:v>0</c:v>
              </c:pt>
              <c:pt idx="2">
                <c:v>4</c:v>
              </c:pt>
              <c:pt idx="3">
                <c:v>57</c:v>
              </c:pt>
              <c:pt idx="4">
                <c:v>449</c:v>
              </c:pt>
              <c:pt idx="5">
                <c:v>1429</c:v>
              </c:pt>
              <c:pt idx="6">
                <c:v>1689</c:v>
              </c:pt>
              <c:pt idx="7">
                <c:v>1928</c:v>
              </c:pt>
              <c:pt idx="8">
                <c:v>1987</c:v>
              </c:pt>
              <c:pt idx="9">
                <c:v>1875</c:v>
              </c:pt>
              <c:pt idx="10">
                <c:v>1809</c:v>
              </c:pt>
              <c:pt idx="11">
                <c:v>1621</c:v>
              </c:pt>
              <c:pt idx="12">
                <c:v>1479</c:v>
              </c:pt>
              <c:pt idx="13">
                <c:v>1522</c:v>
              </c:pt>
              <c:pt idx="14">
                <c:v>1632</c:v>
              </c:pt>
              <c:pt idx="15">
                <c:v>1819</c:v>
              </c:pt>
              <c:pt idx="16">
                <c:v>1952</c:v>
              </c:pt>
              <c:pt idx="17">
                <c:v>2381</c:v>
              </c:pt>
              <c:pt idx="18">
                <c:v>1960</c:v>
              </c:pt>
              <c:pt idx="19">
                <c:v>2028</c:v>
              </c:pt>
              <c:pt idx="20">
                <c:v>2192</c:v>
              </c:pt>
              <c:pt idx="21">
                <c:v>2409</c:v>
              </c:pt>
              <c:pt idx="22">
                <c:v>2680</c:v>
              </c:pt>
              <c:pt idx="23">
                <c:v>2769</c:v>
              </c:pt>
              <c:pt idx="24">
                <c:v>2761</c:v>
              </c:pt>
              <c:pt idx="25">
                <c:v>2881</c:v>
              </c:pt>
              <c:pt idx="26">
                <c:v>2871</c:v>
              </c:pt>
              <c:pt idx="27">
                <c:v>3059</c:v>
              </c:pt>
              <c:pt idx="28">
                <c:v>3119</c:v>
              </c:pt>
              <c:pt idx="29">
                <c:v>3225</c:v>
              </c:pt>
              <c:pt idx="30">
                <c:v>3321</c:v>
              </c:pt>
              <c:pt idx="31">
                <c:v>3214</c:v>
              </c:pt>
              <c:pt idx="32">
                <c:v>3330</c:v>
              </c:pt>
              <c:pt idx="33">
                <c:v>3226</c:v>
              </c:pt>
              <c:pt idx="34">
                <c:v>2994</c:v>
              </c:pt>
              <c:pt idx="35">
                <c:v>2998</c:v>
              </c:pt>
              <c:pt idx="36">
                <c:v>2928</c:v>
              </c:pt>
              <c:pt idx="37">
                <c:v>2893</c:v>
              </c:pt>
              <c:pt idx="38">
                <c:v>2768</c:v>
              </c:pt>
              <c:pt idx="39">
                <c:v>2674</c:v>
              </c:pt>
              <c:pt idx="40">
                <c:v>2491</c:v>
              </c:pt>
              <c:pt idx="41">
                <c:v>2310</c:v>
              </c:pt>
              <c:pt idx="42">
                <c:v>2108</c:v>
              </c:pt>
              <c:pt idx="43">
                <c:v>1902</c:v>
              </c:pt>
              <c:pt idx="44">
                <c:v>1866</c:v>
              </c:pt>
              <c:pt idx="45">
                <c:v>1797</c:v>
              </c:pt>
              <c:pt idx="46">
                <c:v>1575</c:v>
              </c:pt>
              <c:pt idx="47">
                <c:v>1509</c:v>
              </c:pt>
              <c:pt idx="48">
                <c:v>1420</c:v>
              </c:pt>
              <c:pt idx="49">
                <c:v>1350</c:v>
              </c:pt>
              <c:pt idx="50">
                <c:v>1266</c:v>
              </c:pt>
              <c:pt idx="51">
                <c:v>1237</c:v>
              </c:pt>
              <c:pt idx="52">
                <c:v>1049</c:v>
              </c:pt>
              <c:pt idx="53">
                <c:v>970</c:v>
              </c:pt>
              <c:pt idx="54">
                <c:v>877</c:v>
              </c:pt>
              <c:pt idx="55">
                <c:v>769</c:v>
              </c:pt>
              <c:pt idx="56">
                <c:v>684</c:v>
              </c:pt>
              <c:pt idx="57">
                <c:v>608</c:v>
              </c:pt>
              <c:pt idx="58">
                <c:v>580</c:v>
              </c:pt>
              <c:pt idx="59">
                <c:v>525</c:v>
              </c:pt>
              <c:pt idx="60">
                <c:v>497</c:v>
              </c:pt>
              <c:pt idx="61">
                <c:v>451</c:v>
              </c:pt>
              <c:pt idx="62">
                <c:v>383</c:v>
              </c:pt>
              <c:pt idx="63">
                <c:v>377</c:v>
              </c:pt>
              <c:pt idx="64">
                <c:v>312</c:v>
              </c:pt>
              <c:pt idx="65">
                <c:v>231</c:v>
              </c:pt>
              <c:pt idx="66">
                <c:v>1519</c:v>
              </c:pt>
            </c:numLit>
          </c:val>
          <c:smooth val="0"/>
          <c:extLst>
            <c:ext xmlns:c16="http://schemas.microsoft.com/office/drawing/2014/chart" uri="{C3380CC4-5D6E-409C-BE32-E72D297353CC}">
              <c16:uniqueId val="{00000002-6F49-44AF-B6E4-F6F69F9DE36C}"/>
            </c:ext>
          </c:extLst>
        </c:ser>
        <c:ser>
          <c:idx val="3"/>
          <c:order val="3"/>
          <c:tx>
            <c:v>Guanfacine</c:v>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Lit>
              <c:ptCount val="6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&gt; 65</c:v>
              </c:pt>
            </c:strLit>
          </c:cat>
          <c:val>
            <c:numLit>
              <c:formatCode>General</c:formatCode>
              <c:ptCount val="67"/>
              <c:pt idx="0">
                <c:v>0</c:v>
              </c:pt>
              <c:pt idx="1">
                <c:v>0</c:v>
              </c:pt>
              <c:pt idx="2">
                <c:v>5</c:v>
              </c:pt>
              <c:pt idx="3">
                <c:v>22</c:v>
              </c:pt>
              <c:pt idx="4">
                <c:v>103</c:v>
              </c:pt>
              <c:pt idx="5">
                <c:v>523</c:v>
              </c:pt>
              <c:pt idx="6">
                <c:v>2782</c:v>
              </c:pt>
              <c:pt idx="7">
                <c:v>3941</c:v>
              </c:pt>
              <c:pt idx="8">
                <c:v>4736</c:v>
              </c:pt>
              <c:pt idx="9">
                <c:v>5113</c:v>
              </c:pt>
              <c:pt idx="10">
                <c:v>5195</c:v>
              </c:pt>
              <c:pt idx="11">
                <c:v>4612</c:v>
              </c:pt>
              <c:pt idx="12">
                <c:v>4340</c:v>
              </c:pt>
              <c:pt idx="13">
                <c:v>3980</c:v>
              </c:pt>
              <c:pt idx="14">
                <c:v>3236</c:v>
              </c:pt>
              <c:pt idx="15">
                <c:v>2718</c:v>
              </c:pt>
              <c:pt idx="16">
                <c:v>2054</c:v>
              </c:pt>
              <c:pt idx="17">
                <c:v>1458</c:v>
              </c:pt>
              <c:pt idx="18">
                <c:v>800</c:v>
              </c:pt>
              <c:pt idx="19">
                <c:v>515</c:v>
              </c:pt>
              <c:pt idx="20">
                <c:v>334</c:v>
              </c:pt>
              <c:pt idx="21">
                <c:v>244</c:v>
              </c:pt>
              <c:pt idx="22">
                <c:v>212</c:v>
              </c:pt>
              <c:pt idx="23">
                <c:v>202</c:v>
              </c:pt>
              <c:pt idx="24">
                <c:v>178</c:v>
              </c:pt>
              <c:pt idx="25">
                <c:v>178</c:v>
              </c:pt>
              <c:pt idx="26">
                <c:v>169</c:v>
              </c:pt>
              <c:pt idx="27">
                <c:v>163</c:v>
              </c:pt>
              <c:pt idx="28">
                <c:v>157</c:v>
              </c:pt>
              <c:pt idx="29">
                <c:v>151</c:v>
              </c:pt>
              <c:pt idx="30">
                <c:v>140</c:v>
              </c:pt>
              <c:pt idx="31">
                <c:v>137</c:v>
              </c:pt>
              <c:pt idx="32">
                <c:v>135</c:v>
              </c:pt>
              <c:pt idx="33">
                <c:v>156</c:v>
              </c:pt>
              <c:pt idx="34">
                <c:v>113</c:v>
              </c:pt>
              <c:pt idx="35">
                <c:v>128</c:v>
              </c:pt>
              <c:pt idx="36">
                <c:v>117</c:v>
              </c:pt>
              <c:pt idx="37">
                <c:v>101</c:v>
              </c:pt>
              <c:pt idx="38">
                <c:v>101</c:v>
              </c:pt>
              <c:pt idx="39">
                <c:v>115</c:v>
              </c:pt>
              <c:pt idx="40">
                <c:v>108</c:v>
              </c:pt>
              <c:pt idx="41">
                <c:v>95</c:v>
              </c:pt>
              <c:pt idx="42">
                <c:v>99</c:v>
              </c:pt>
              <c:pt idx="43">
                <c:v>79</c:v>
              </c:pt>
              <c:pt idx="44">
                <c:v>77</c:v>
              </c:pt>
              <c:pt idx="45">
                <c:v>65</c:v>
              </c:pt>
              <c:pt idx="46">
                <c:v>70</c:v>
              </c:pt>
              <c:pt idx="47">
                <c:v>41</c:v>
              </c:pt>
              <c:pt idx="48">
                <c:v>70</c:v>
              </c:pt>
              <c:pt idx="49">
                <c:v>47</c:v>
              </c:pt>
              <c:pt idx="50">
                <c:v>45</c:v>
              </c:pt>
              <c:pt idx="51">
                <c:v>53</c:v>
              </c:pt>
              <c:pt idx="52">
                <c:v>50</c:v>
              </c:pt>
              <c:pt idx="53">
                <c:v>34</c:v>
              </c:pt>
              <c:pt idx="54">
                <c:v>38</c:v>
              </c:pt>
              <c:pt idx="55">
                <c:v>38</c:v>
              </c:pt>
              <c:pt idx="56">
                <c:v>19</c:v>
              </c:pt>
              <c:pt idx="57">
                <c:v>14</c:v>
              </c:pt>
              <c:pt idx="58">
                <c:v>20</c:v>
              </c:pt>
              <c:pt idx="59">
                <c:v>18</c:v>
              </c:pt>
              <c:pt idx="60">
                <c:v>15</c:v>
              </c:pt>
              <c:pt idx="61">
                <c:v>15</c:v>
              </c:pt>
              <c:pt idx="62">
                <c:v>13</c:v>
              </c:pt>
              <c:pt idx="63">
                <c:v>7</c:v>
              </c:pt>
              <c:pt idx="64">
                <c:v>10</c:v>
              </c:pt>
              <c:pt idx="65">
                <c:v>11</c:v>
              </c:pt>
              <c:pt idx="66">
                <c:v>68</c:v>
              </c:pt>
            </c:numLit>
          </c:val>
          <c:smooth val="0"/>
          <c:extLst>
            <c:ext xmlns:c16="http://schemas.microsoft.com/office/drawing/2014/chart" uri="{C3380CC4-5D6E-409C-BE32-E72D297353CC}">
              <c16:uniqueId val="{00000003-6F49-44AF-B6E4-F6F69F9DE36C}"/>
            </c:ext>
          </c:extLst>
        </c:ser>
        <c:ser>
          <c:idx val="4"/>
          <c:order val="4"/>
          <c:tx>
            <c:v>Lisdexamfetamine</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Lit>
              <c:ptCount val="6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&gt; 65</c:v>
              </c:pt>
            </c:strLit>
          </c:cat>
          <c:val>
            <c:numLit>
              <c:formatCode>General</c:formatCode>
              <c:ptCount val="67"/>
              <c:pt idx="0">
                <c:v>0</c:v>
              </c:pt>
              <c:pt idx="1">
                <c:v>1</c:v>
              </c:pt>
              <c:pt idx="2">
                <c:v>1</c:v>
              </c:pt>
              <c:pt idx="3">
                <c:v>3</c:v>
              </c:pt>
              <c:pt idx="4">
                <c:v>5</c:v>
              </c:pt>
              <c:pt idx="5">
                <c:v>14</c:v>
              </c:pt>
              <c:pt idx="6">
                <c:v>2825</c:v>
              </c:pt>
              <c:pt idx="7">
                <c:v>3928</c:v>
              </c:pt>
              <c:pt idx="8">
                <c:v>5014</c:v>
              </c:pt>
              <c:pt idx="9">
                <c:v>5843</c:v>
              </c:pt>
              <c:pt idx="10">
                <c:v>6366</c:v>
              </c:pt>
              <c:pt idx="11">
                <c:v>6695</c:v>
              </c:pt>
              <c:pt idx="12">
                <c:v>7585</c:v>
              </c:pt>
              <c:pt idx="13">
                <c:v>8223</c:v>
              </c:pt>
              <c:pt idx="14">
                <c:v>8109</c:v>
              </c:pt>
              <c:pt idx="15">
                <c:v>7613</c:v>
              </c:pt>
              <c:pt idx="16">
                <c:v>6750</c:v>
              </c:pt>
              <c:pt idx="17">
                <c:v>6309</c:v>
              </c:pt>
              <c:pt idx="18">
                <c:v>4426</c:v>
              </c:pt>
              <c:pt idx="19">
                <c:v>3880</c:v>
              </c:pt>
              <c:pt idx="20">
                <c:v>3900</c:v>
              </c:pt>
              <c:pt idx="21">
                <c:v>3756</c:v>
              </c:pt>
              <c:pt idx="22">
                <c:v>3814</c:v>
              </c:pt>
              <c:pt idx="23">
                <c:v>3830</c:v>
              </c:pt>
              <c:pt idx="24">
                <c:v>3854</c:v>
              </c:pt>
              <c:pt idx="25">
                <c:v>3756</c:v>
              </c:pt>
              <c:pt idx="26">
                <c:v>3725</c:v>
              </c:pt>
              <c:pt idx="27">
                <c:v>3862</c:v>
              </c:pt>
              <c:pt idx="28">
                <c:v>3842</c:v>
              </c:pt>
              <c:pt idx="29">
                <c:v>3725</c:v>
              </c:pt>
              <c:pt idx="30">
                <c:v>3788</c:v>
              </c:pt>
              <c:pt idx="31">
                <c:v>3553</c:v>
              </c:pt>
              <c:pt idx="32">
                <c:v>3468</c:v>
              </c:pt>
              <c:pt idx="33">
                <c:v>3302</c:v>
              </c:pt>
              <c:pt idx="34">
                <c:v>3194</c:v>
              </c:pt>
              <c:pt idx="35">
                <c:v>3067</c:v>
              </c:pt>
              <c:pt idx="36">
                <c:v>2940</c:v>
              </c:pt>
              <c:pt idx="37">
                <c:v>2812</c:v>
              </c:pt>
              <c:pt idx="38">
                <c:v>2736</c:v>
              </c:pt>
              <c:pt idx="39">
                <c:v>2573</c:v>
              </c:pt>
              <c:pt idx="40">
                <c:v>2413</c:v>
              </c:pt>
              <c:pt idx="41">
                <c:v>2270</c:v>
              </c:pt>
              <c:pt idx="42">
                <c:v>1985</c:v>
              </c:pt>
              <c:pt idx="43">
                <c:v>1917</c:v>
              </c:pt>
              <c:pt idx="44">
                <c:v>1749</c:v>
              </c:pt>
              <c:pt idx="45">
                <c:v>1602</c:v>
              </c:pt>
              <c:pt idx="46">
                <c:v>1488</c:v>
              </c:pt>
              <c:pt idx="47">
                <c:v>1415</c:v>
              </c:pt>
              <c:pt idx="48">
                <c:v>1322</c:v>
              </c:pt>
              <c:pt idx="49">
                <c:v>1203</c:v>
              </c:pt>
              <c:pt idx="50">
                <c:v>1167</c:v>
              </c:pt>
              <c:pt idx="51">
                <c:v>1128</c:v>
              </c:pt>
              <c:pt idx="52">
                <c:v>894</c:v>
              </c:pt>
              <c:pt idx="53">
                <c:v>813</c:v>
              </c:pt>
              <c:pt idx="54">
                <c:v>680</c:v>
              </c:pt>
              <c:pt idx="55">
                <c:v>582</c:v>
              </c:pt>
              <c:pt idx="56">
                <c:v>490</c:v>
              </c:pt>
              <c:pt idx="57">
                <c:v>410</c:v>
              </c:pt>
              <c:pt idx="58">
                <c:v>373</c:v>
              </c:pt>
              <c:pt idx="59">
                <c:v>344</c:v>
              </c:pt>
              <c:pt idx="60">
                <c:v>295</c:v>
              </c:pt>
              <c:pt idx="61">
                <c:v>240</c:v>
              </c:pt>
              <c:pt idx="62">
                <c:v>197</c:v>
              </c:pt>
              <c:pt idx="63">
                <c:v>151</c:v>
              </c:pt>
              <c:pt idx="64">
                <c:v>167</c:v>
              </c:pt>
              <c:pt idx="65">
                <c:v>131</c:v>
              </c:pt>
              <c:pt idx="66">
                <c:v>577</c:v>
              </c:pt>
            </c:numLit>
          </c:val>
          <c:smooth val="0"/>
          <c:extLst>
            <c:ext xmlns:c16="http://schemas.microsoft.com/office/drawing/2014/chart" uri="{C3380CC4-5D6E-409C-BE32-E72D297353CC}">
              <c16:uniqueId val="{00000004-6F49-44AF-B6E4-F6F69F9DE36C}"/>
            </c:ext>
          </c:extLst>
        </c:ser>
        <c:ser>
          <c:idx val="5"/>
          <c:order val="5"/>
          <c:tx>
            <c:v>MPH-IR</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Lit>
              <c:ptCount val="6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&gt; 65</c:v>
              </c:pt>
            </c:strLit>
          </c:cat>
          <c:val>
            <c:numLit>
              <c:formatCode>General</c:formatCode>
              <c:ptCount val="67"/>
              <c:pt idx="0">
                <c:v>1</c:v>
              </c:pt>
              <c:pt idx="1">
                <c:v>3</c:v>
              </c:pt>
              <c:pt idx="2">
                <c:v>3</c:v>
              </c:pt>
              <c:pt idx="3">
                <c:v>75</c:v>
              </c:pt>
              <c:pt idx="4">
                <c:v>941</c:v>
              </c:pt>
              <c:pt idx="5">
                <c:v>4842</c:v>
              </c:pt>
              <c:pt idx="6">
                <c:v>10968</c:v>
              </c:pt>
              <c:pt idx="7">
                <c:v>12324</c:v>
              </c:pt>
              <c:pt idx="8">
                <c:v>12409</c:v>
              </c:pt>
              <c:pt idx="9">
                <c:v>11259</c:v>
              </c:pt>
              <c:pt idx="10">
                <c:v>9730</c:v>
              </c:pt>
              <c:pt idx="11">
                <c:v>7970</c:v>
              </c:pt>
              <c:pt idx="12">
                <c:v>6091</c:v>
              </c:pt>
              <c:pt idx="13">
                <c:v>5371</c:v>
              </c:pt>
              <c:pt idx="14">
                <c:v>4710</c:v>
              </c:pt>
              <c:pt idx="15">
                <c:v>4209</c:v>
              </c:pt>
              <c:pt idx="16">
                <c:v>4045</c:v>
              </c:pt>
              <c:pt idx="17">
                <c:v>3696</c:v>
              </c:pt>
              <c:pt idx="18">
                <c:v>2107</c:v>
              </c:pt>
              <c:pt idx="19">
                <c:v>1730</c:v>
              </c:pt>
              <c:pt idx="20">
                <c:v>1625</c:v>
              </c:pt>
              <c:pt idx="21">
                <c:v>1500</c:v>
              </c:pt>
              <c:pt idx="22">
                <c:v>1591</c:v>
              </c:pt>
              <c:pt idx="23">
                <c:v>1523</c:v>
              </c:pt>
              <c:pt idx="24">
                <c:v>1528</c:v>
              </c:pt>
              <c:pt idx="25">
                <c:v>1462</c:v>
              </c:pt>
              <c:pt idx="26">
                <c:v>1490</c:v>
              </c:pt>
              <c:pt idx="27">
                <c:v>1547</c:v>
              </c:pt>
              <c:pt idx="28">
                <c:v>1500</c:v>
              </c:pt>
              <c:pt idx="29">
                <c:v>1490</c:v>
              </c:pt>
              <c:pt idx="30">
                <c:v>1430</c:v>
              </c:pt>
              <c:pt idx="31">
                <c:v>1459</c:v>
              </c:pt>
              <c:pt idx="32">
                <c:v>1386</c:v>
              </c:pt>
              <c:pt idx="33">
                <c:v>1363</c:v>
              </c:pt>
              <c:pt idx="34">
                <c:v>1226</c:v>
              </c:pt>
              <c:pt idx="35">
                <c:v>1194</c:v>
              </c:pt>
              <c:pt idx="36">
                <c:v>1143</c:v>
              </c:pt>
              <c:pt idx="37">
                <c:v>1050</c:v>
              </c:pt>
              <c:pt idx="38">
                <c:v>1118</c:v>
              </c:pt>
              <c:pt idx="39">
                <c:v>1127</c:v>
              </c:pt>
              <c:pt idx="40">
                <c:v>1020</c:v>
              </c:pt>
              <c:pt idx="41">
                <c:v>913</c:v>
              </c:pt>
              <c:pt idx="42">
                <c:v>848</c:v>
              </c:pt>
              <c:pt idx="43">
                <c:v>774</c:v>
              </c:pt>
              <c:pt idx="44">
                <c:v>744</c:v>
              </c:pt>
              <c:pt idx="45">
                <c:v>709</c:v>
              </c:pt>
              <c:pt idx="46">
                <c:v>638</c:v>
              </c:pt>
              <c:pt idx="47">
                <c:v>617</c:v>
              </c:pt>
              <c:pt idx="48">
                <c:v>631</c:v>
              </c:pt>
              <c:pt idx="49">
                <c:v>581</c:v>
              </c:pt>
              <c:pt idx="50">
                <c:v>631</c:v>
              </c:pt>
              <c:pt idx="51">
                <c:v>493</c:v>
              </c:pt>
              <c:pt idx="52">
                <c:v>450</c:v>
              </c:pt>
              <c:pt idx="53">
                <c:v>447</c:v>
              </c:pt>
              <c:pt idx="54">
                <c:v>349</c:v>
              </c:pt>
              <c:pt idx="55">
                <c:v>347</c:v>
              </c:pt>
              <c:pt idx="56">
                <c:v>311</c:v>
              </c:pt>
              <c:pt idx="57">
                <c:v>260</c:v>
              </c:pt>
              <c:pt idx="58">
                <c:v>217</c:v>
              </c:pt>
              <c:pt idx="59">
                <c:v>198</c:v>
              </c:pt>
              <c:pt idx="60">
                <c:v>181</c:v>
              </c:pt>
              <c:pt idx="61">
                <c:v>160</c:v>
              </c:pt>
              <c:pt idx="62">
                <c:v>151</c:v>
              </c:pt>
              <c:pt idx="63">
                <c:v>142</c:v>
              </c:pt>
              <c:pt idx="64">
                <c:v>116</c:v>
              </c:pt>
              <c:pt idx="65">
                <c:v>103</c:v>
              </c:pt>
              <c:pt idx="66">
                <c:v>568</c:v>
              </c:pt>
            </c:numLit>
          </c:val>
          <c:smooth val="0"/>
          <c:extLst>
            <c:ext xmlns:c16="http://schemas.microsoft.com/office/drawing/2014/chart" uri="{C3380CC4-5D6E-409C-BE32-E72D297353CC}">
              <c16:uniqueId val="{00000005-6F49-44AF-B6E4-F6F69F9DE36C}"/>
            </c:ext>
          </c:extLst>
        </c:ser>
        <c:ser>
          <c:idx val="6"/>
          <c:order val="6"/>
          <c:tx>
            <c:v>MPH-MR</c:v>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Lit>
              <c:ptCount val="6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&gt; 65</c:v>
              </c:pt>
            </c:strLit>
          </c:cat>
          <c:val>
            <c:numLit>
              <c:formatCode>General</c:formatCode>
              <c:ptCount val="67"/>
              <c:pt idx="0">
                <c:v>0</c:v>
              </c:pt>
              <c:pt idx="1">
                <c:v>0</c:v>
              </c:pt>
              <c:pt idx="2">
                <c:v>2</c:v>
              </c:pt>
              <c:pt idx="3">
                <c:v>3</c:v>
              </c:pt>
              <c:pt idx="4">
                <c:v>12</c:v>
              </c:pt>
              <c:pt idx="5">
                <c:v>44</c:v>
              </c:pt>
              <c:pt idx="6">
                <c:v>5419</c:v>
              </c:pt>
              <c:pt idx="7">
                <c:v>7889</c:v>
              </c:pt>
              <c:pt idx="8">
                <c:v>10096</c:v>
              </c:pt>
              <c:pt idx="9">
                <c:v>11330</c:v>
              </c:pt>
              <c:pt idx="10">
                <c:v>11952</c:v>
              </c:pt>
              <c:pt idx="11">
                <c:v>12132</c:v>
              </c:pt>
              <c:pt idx="12">
                <c:v>11516</c:v>
              </c:pt>
              <c:pt idx="13">
                <c:v>10540</c:v>
              </c:pt>
              <c:pt idx="14">
                <c:v>9233</c:v>
              </c:pt>
              <c:pt idx="15">
                <c:v>7931</c:v>
              </c:pt>
              <c:pt idx="16">
                <c:v>6489</c:v>
              </c:pt>
              <c:pt idx="17">
                <c:v>5153</c:v>
              </c:pt>
              <c:pt idx="18">
                <c:v>2985</c:v>
              </c:pt>
              <c:pt idx="19">
                <c:v>2122</c:v>
              </c:pt>
              <c:pt idx="20">
                <c:v>1668</c:v>
              </c:pt>
              <c:pt idx="21">
                <c:v>1430</c:v>
              </c:pt>
              <c:pt idx="22">
                <c:v>1196</c:v>
              </c:pt>
              <c:pt idx="23">
                <c:v>1141</c:v>
              </c:pt>
              <c:pt idx="24">
                <c:v>973</c:v>
              </c:pt>
              <c:pt idx="25">
                <c:v>930</c:v>
              </c:pt>
              <c:pt idx="26">
                <c:v>827</c:v>
              </c:pt>
              <c:pt idx="27">
                <c:v>814</c:v>
              </c:pt>
              <c:pt idx="28">
                <c:v>770</c:v>
              </c:pt>
              <c:pt idx="29">
                <c:v>711</c:v>
              </c:pt>
              <c:pt idx="30">
                <c:v>656</c:v>
              </c:pt>
              <c:pt idx="31">
                <c:v>633</c:v>
              </c:pt>
              <c:pt idx="32">
                <c:v>586</c:v>
              </c:pt>
              <c:pt idx="33">
                <c:v>547</c:v>
              </c:pt>
              <c:pt idx="34">
                <c:v>510</c:v>
              </c:pt>
              <c:pt idx="35">
                <c:v>487</c:v>
              </c:pt>
              <c:pt idx="36">
                <c:v>391</c:v>
              </c:pt>
              <c:pt idx="37">
                <c:v>379</c:v>
              </c:pt>
              <c:pt idx="38">
                <c:v>377</c:v>
              </c:pt>
              <c:pt idx="39">
                <c:v>375</c:v>
              </c:pt>
              <c:pt idx="40">
                <c:v>355</c:v>
              </c:pt>
              <c:pt idx="41">
                <c:v>291</c:v>
              </c:pt>
              <c:pt idx="42">
                <c:v>260</c:v>
              </c:pt>
              <c:pt idx="43">
                <c:v>247</c:v>
              </c:pt>
              <c:pt idx="44">
                <c:v>244</c:v>
              </c:pt>
              <c:pt idx="45">
                <c:v>206</c:v>
              </c:pt>
              <c:pt idx="46">
                <c:v>202</c:v>
              </c:pt>
              <c:pt idx="47">
                <c:v>187</c:v>
              </c:pt>
              <c:pt idx="48">
                <c:v>180</c:v>
              </c:pt>
              <c:pt idx="49">
                <c:v>180</c:v>
              </c:pt>
              <c:pt idx="50">
                <c:v>169</c:v>
              </c:pt>
              <c:pt idx="51">
                <c:v>159</c:v>
              </c:pt>
              <c:pt idx="52">
                <c:v>162</c:v>
              </c:pt>
              <c:pt idx="53">
                <c:v>118</c:v>
              </c:pt>
              <c:pt idx="54">
                <c:v>90</c:v>
              </c:pt>
              <c:pt idx="55">
                <c:v>110</c:v>
              </c:pt>
              <c:pt idx="56">
                <c:v>96</c:v>
              </c:pt>
              <c:pt idx="57">
                <c:v>49</c:v>
              </c:pt>
              <c:pt idx="58">
                <c:v>50</c:v>
              </c:pt>
              <c:pt idx="59">
                <c:v>58</c:v>
              </c:pt>
              <c:pt idx="60">
                <c:v>46</c:v>
              </c:pt>
              <c:pt idx="61">
                <c:v>33</c:v>
              </c:pt>
              <c:pt idx="62">
                <c:v>37</c:v>
              </c:pt>
              <c:pt idx="63">
                <c:v>28</c:v>
              </c:pt>
              <c:pt idx="64">
                <c:v>22</c:v>
              </c:pt>
              <c:pt idx="65">
                <c:v>31</c:v>
              </c:pt>
              <c:pt idx="66">
                <c:v>132</c:v>
              </c:pt>
            </c:numLit>
          </c:val>
          <c:smooth val="0"/>
          <c:extLst>
            <c:ext xmlns:c16="http://schemas.microsoft.com/office/drawing/2014/chart" uri="{C3380CC4-5D6E-409C-BE32-E72D297353CC}">
              <c16:uniqueId val="{00000006-6F49-44AF-B6E4-F6F69F9DE36C}"/>
            </c:ext>
          </c:extLst>
        </c:ser>
        <c:dLbls>
          <c:showLegendKey val="0"/>
          <c:showVal val="0"/>
          <c:showCatName val="0"/>
          <c:showSerName val="0"/>
          <c:showPercent val="0"/>
          <c:showBubbleSize val="0"/>
        </c:dLbls>
        <c:marker val="1"/>
        <c:smooth val="0"/>
        <c:axId val="915059048"/>
        <c:axId val="915062984"/>
      </c:lineChart>
      <c:catAx>
        <c:axId val="9150590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Age</a:t>
                </a:r>
              </a:p>
            </c:rich>
          </c:tx>
          <c:layout>
            <c:manualLayout>
              <c:xMode val="edge"/>
              <c:yMode val="edge"/>
              <c:x val="0.4922200266610659"/>
              <c:y val="0.8114104758644298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062984"/>
        <c:crosses val="autoZero"/>
        <c:auto val="1"/>
        <c:lblAlgn val="ctr"/>
        <c:lblOffset val="100"/>
        <c:noMultiLvlLbl val="0"/>
      </c:catAx>
      <c:valAx>
        <c:axId val="915062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059048"/>
        <c:crosses val="autoZero"/>
        <c:crossBetween val="between"/>
      </c:valAx>
      <c:spPr>
        <a:noFill/>
        <a:ln>
          <a:noFill/>
        </a:ln>
        <a:effectLst/>
      </c:spPr>
    </c:plotArea>
    <c:legend>
      <c:legendPos val="b"/>
      <c:layout>
        <c:manualLayout>
          <c:xMode val="edge"/>
          <c:yMode val="edge"/>
          <c:x val="2.5333841979605577E-2"/>
          <c:y val="0.88879519658704864"/>
          <c:w val="0.95804199760821929"/>
          <c:h val="9.113791378084427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[D1498_PATCNTBY_FORM  SUPP_Year idvarage_supp pat_sex presc_type - figs 6alt 67  8 incl clonidine.xlsx]Sheet1 (7)!PivotTable2</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a:noFill/>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'Sheet1 (7)'!$B$5:$B$6</c:f>
              <c:strCache>
                <c:ptCount val="1"/>
                <c:pt idx="0">
                  <c:v>Paediatrician</c:v>
                </c:pt>
              </c:strCache>
            </c:strRef>
          </c:tx>
          <c:spPr>
            <a:solidFill>
              <a:schemeClr val="accent1"/>
            </a:solidFill>
            <a:ln>
              <a:noFill/>
            </a:ln>
            <a:effectLst/>
          </c:spPr>
          <c:invertIfNegative val="0"/>
          <c:cat>
            <c:strRef>
              <c:f>'Sheet1 (7)'!$A$7:$A$14</c:f>
              <c:strCache>
                <c:ptCount val="7"/>
                <c:pt idx="0">
                  <c:v>Atomoxetine</c:v>
                </c:pt>
                <c:pt idx="1">
                  <c:v>Clonidine</c:v>
                </c:pt>
                <c:pt idx="2">
                  <c:v>Dexamfetamine</c:v>
                </c:pt>
                <c:pt idx="3">
                  <c:v>Guanfacine</c:v>
                </c:pt>
                <c:pt idx="4">
                  <c:v>Lisdexamfetamine</c:v>
                </c:pt>
                <c:pt idx="5">
                  <c:v>MPH-IR</c:v>
                </c:pt>
                <c:pt idx="6">
                  <c:v>MPH-MR</c:v>
                </c:pt>
              </c:strCache>
            </c:strRef>
          </c:cat>
          <c:val>
            <c:numRef>
              <c:f>'Sheet1 (7)'!$B$7:$B$14</c:f>
              <c:numCache>
                <c:formatCode>General</c:formatCode>
                <c:ptCount val="7"/>
                <c:pt idx="0">
                  <c:v>1953</c:v>
                </c:pt>
                <c:pt idx="1">
                  <c:v>8146</c:v>
                </c:pt>
                <c:pt idx="2">
                  <c:v>4389</c:v>
                </c:pt>
                <c:pt idx="3">
                  <c:v>9856</c:v>
                </c:pt>
                <c:pt idx="4">
                  <c:v>12270</c:v>
                </c:pt>
                <c:pt idx="5">
                  <c:v>22023</c:v>
                </c:pt>
                <c:pt idx="6">
                  <c:v>16154</c:v>
                </c:pt>
              </c:numCache>
            </c:numRef>
          </c:val>
          <c:extLst>
            <c:ext xmlns:c16="http://schemas.microsoft.com/office/drawing/2014/chart" uri="{C3380CC4-5D6E-409C-BE32-E72D297353CC}">
              <c16:uniqueId val="{00000000-2E6A-4D1F-97F5-FB25505E1D1B}"/>
            </c:ext>
          </c:extLst>
        </c:ser>
        <c:ser>
          <c:idx val="1"/>
          <c:order val="1"/>
          <c:tx>
            <c:strRef>
              <c:f>'Sheet1 (7)'!$C$5:$C$6</c:f>
              <c:strCache>
                <c:ptCount val="1"/>
                <c:pt idx="0">
                  <c:v>Psychiatrist</c:v>
                </c:pt>
              </c:strCache>
            </c:strRef>
          </c:tx>
          <c:spPr>
            <a:solidFill>
              <a:schemeClr val="accent2"/>
            </a:solidFill>
            <a:ln>
              <a:noFill/>
            </a:ln>
            <a:effectLst/>
          </c:spPr>
          <c:invertIfNegative val="0"/>
          <c:cat>
            <c:strRef>
              <c:f>'Sheet1 (7)'!$A$7:$A$14</c:f>
              <c:strCache>
                <c:ptCount val="7"/>
                <c:pt idx="0">
                  <c:v>Atomoxetine</c:v>
                </c:pt>
                <c:pt idx="1">
                  <c:v>Clonidine</c:v>
                </c:pt>
                <c:pt idx="2">
                  <c:v>Dexamfetamine</c:v>
                </c:pt>
                <c:pt idx="3">
                  <c:v>Guanfacine</c:v>
                </c:pt>
                <c:pt idx="4">
                  <c:v>Lisdexamfetamine</c:v>
                </c:pt>
                <c:pt idx="5">
                  <c:v>MPH-IR</c:v>
                </c:pt>
                <c:pt idx="6">
                  <c:v>MPH-MR</c:v>
                </c:pt>
              </c:strCache>
            </c:strRef>
          </c:cat>
          <c:val>
            <c:numRef>
              <c:f>'Sheet1 (7)'!$C$7:$C$14</c:f>
              <c:numCache>
                <c:formatCode>General</c:formatCode>
                <c:ptCount val="7"/>
                <c:pt idx="0">
                  <c:v>1929</c:v>
                </c:pt>
                <c:pt idx="1">
                  <c:v>4670</c:v>
                </c:pt>
                <c:pt idx="2">
                  <c:v>10479</c:v>
                </c:pt>
                <c:pt idx="3">
                  <c:v>2140</c:v>
                </c:pt>
                <c:pt idx="4">
                  <c:v>5071</c:v>
                </c:pt>
                <c:pt idx="5">
                  <c:v>9710</c:v>
                </c:pt>
                <c:pt idx="6">
                  <c:v>3545</c:v>
                </c:pt>
              </c:numCache>
            </c:numRef>
          </c:val>
          <c:extLst>
            <c:ext xmlns:c16="http://schemas.microsoft.com/office/drawing/2014/chart" uri="{C3380CC4-5D6E-409C-BE32-E72D297353CC}">
              <c16:uniqueId val="{00000001-2E6A-4D1F-97F5-FB25505E1D1B}"/>
            </c:ext>
          </c:extLst>
        </c:ser>
        <c:ser>
          <c:idx val="2"/>
          <c:order val="2"/>
          <c:tx>
            <c:strRef>
              <c:f>'Sheet1 (7)'!$D$5:$D$6</c:f>
              <c:strCache>
                <c:ptCount val="1"/>
                <c:pt idx="0">
                  <c:v>GP</c:v>
                </c:pt>
              </c:strCache>
            </c:strRef>
          </c:tx>
          <c:spPr>
            <a:solidFill>
              <a:schemeClr val="accent3"/>
            </a:solidFill>
            <a:ln>
              <a:noFill/>
            </a:ln>
            <a:effectLst/>
          </c:spPr>
          <c:invertIfNegative val="0"/>
          <c:cat>
            <c:strRef>
              <c:f>'Sheet1 (7)'!$A$7:$A$14</c:f>
              <c:strCache>
                <c:ptCount val="7"/>
                <c:pt idx="0">
                  <c:v>Atomoxetine</c:v>
                </c:pt>
                <c:pt idx="1">
                  <c:v>Clonidine</c:v>
                </c:pt>
                <c:pt idx="2">
                  <c:v>Dexamfetamine</c:v>
                </c:pt>
                <c:pt idx="3">
                  <c:v>Guanfacine</c:v>
                </c:pt>
                <c:pt idx="4">
                  <c:v>Lisdexamfetamine</c:v>
                </c:pt>
                <c:pt idx="5">
                  <c:v>MPH-IR</c:v>
                </c:pt>
                <c:pt idx="6">
                  <c:v>MPH-MR</c:v>
                </c:pt>
              </c:strCache>
            </c:strRef>
          </c:cat>
          <c:val>
            <c:numRef>
              <c:f>'Sheet1 (7)'!$D$7:$D$14</c:f>
              <c:numCache>
                <c:formatCode>General</c:formatCode>
                <c:ptCount val="7"/>
                <c:pt idx="0">
                  <c:v>644</c:v>
                </c:pt>
                <c:pt idx="1">
                  <c:v>13113</c:v>
                </c:pt>
                <c:pt idx="2">
                  <c:v>1260</c:v>
                </c:pt>
                <c:pt idx="3">
                  <c:v>439</c:v>
                </c:pt>
                <c:pt idx="4">
                  <c:v>724</c:v>
                </c:pt>
                <c:pt idx="5">
                  <c:v>1650</c:v>
                </c:pt>
                <c:pt idx="6">
                  <c:v>1262</c:v>
                </c:pt>
              </c:numCache>
            </c:numRef>
          </c:val>
          <c:extLst>
            <c:ext xmlns:c16="http://schemas.microsoft.com/office/drawing/2014/chart" uri="{C3380CC4-5D6E-409C-BE32-E72D297353CC}">
              <c16:uniqueId val="{00000002-2E6A-4D1F-97F5-FB25505E1D1B}"/>
            </c:ext>
          </c:extLst>
        </c:ser>
        <c:ser>
          <c:idx val="3"/>
          <c:order val="3"/>
          <c:tx>
            <c:strRef>
              <c:f>'Sheet1 (7)'!$E$5:$E$6</c:f>
              <c:strCache>
                <c:ptCount val="1"/>
                <c:pt idx="0">
                  <c:v>Other</c:v>
                </c:pt>
              </c:strCache>
            </c:strRef>
          </c:tx>
          <c:spPr>
            <a:solidFill>
              <a:schemeClr val="accent4"/>
            </a:solidFill>
            <a:ln>
              <a:noFill/>
            </a:ln>
            <a:effectLst/>
          </c:spPr>
          <c:invertIfNegative val="0"/>
          <c:cat>
            <c:strRef>
              <c:f>'Sheet1 (7)'!$A$7:$A$14</c:f>
              <c:strCache>
                <c:ptCount val="7"/>
                <c:pt idx="0">
                  <c:v>Atomoxetine</c:v>
                </c:pt>
                <c:pt idx="1">
                  <c:v>Clonidine</c:v>
                </c:pt>
                <c:pt idx="2">
                  <c:v>Dexamfetamine</c:v>
                </c:pt>
                <c:pt idx="3">
                  <c:v>Guanfacine</c:v>
                </c:pt>
                <c:pt idx="4">
                  <c:v>Lisdexamfetamine</c:v>
                </c:pt>
                <c:pt idx="5">
                  <c:v>MPH-IR</c:v>
                </c:pt>
                <c:pt idx="6">
                  <c:v>MPH-MR</c:v>
                </c:pt>
              </c:strCache>
            </c:strRef>
          </c:cat>
          <c:val>
            <c:numRef>
              <c:f>'Sheet1 (7)'!$E$7:$E$14</c:f>
              <c:numCache>
                <c:formatCode>General</c:formatCode>
                <c:ptCount val="7"/>
                <c:pt idx="0">
                  <c:v>519</c:v>
                </c:pt>
                <c:pt idx="1">
                  <c:v>6278</c:v>
                </c:pt>
                <c:pt idx="2">
                  <c:v>961</c:v>
                </c:pt>
                <c:pt idx="3">
                  <c:v>1008</c:v>
                </c:pt>
                <c:pt idx="4">
                  <c:v>1181</c:v>
                </c:pt>
                <c:pt idx="5">
                  <c:v>2358</c:v>
                </c:pt>
                <c:pt idx="6">
                  <c:v>1576</c:v>
                </c:pt>
              </c:numCache>
            </c:numRef>
          </c:val>
          <c:extLst>
            <c:ext xmlns:c16="http://schemas.microsoft.com/office/drawing/2014/chart" uri="{C3380CC4-5D6E-409C-BE32-E72D297353CC}">
              <c16:uniqueId val="{00000003-2E6A-4D1F-97F5-FB25505E1D1B}"/>
            </c:ext>
          </c:extLst>
        </c:ser>
        <c:ser>
          <c:idx val="4"/>
          <c:order val="4"/>
          <c:tx>
            <c:strRef>
              <c:f>'Sheet1 (7)'!$F$5:$F$6</c:f>
              <c:strCache>
                <c:ptCount val="1"/>
                <c:pt idx="0">
                  <c:v>Nurse Practitioner</c:v>
                </c:pt>
              </c:strCache>
            </c:strRef>
          </c:tx>
          <c:spPr>
            <a:solidFill>
              <a:schemeClr val="accent5"/>
            </a:solidFill>
            <a:ln>
              <a:noFill/>
            </a:ln>
            <a:effectLst/>
          </c:spPr>
          <c:invertIfNegative val="0"/>
          <c:cat>
            <c:strRef>
              <c:f>'Sheet1 (7)'!$A$7:$A$14</c:f>
              <c:strCache>
                <c:ptCount val="7"/>
                <c:pt idx="0">
                  <c:v>Atomoxetine</c:v>
                </c:pt>
                <c:pt idx="1">
                  <c:v>Clonidine</c:v>
                </c:pt>
                <c:pt idx="2">
                  <c:v>Dexamfetamine</c:v>
                </c:pt>
                <c:pt idx="3">
                  <c:v>Guanfacine</c:v>
                </c:pt>
                <c:pt idx="4">
                  <c:v>Lisdexamfetamine</c:v>
                </c:pt>
                <c:pt idx="5">
                  <c:v>MPH-IR</c:v>
                </c:pt>
                <c:pt idx="6">
                  <c:v>MPH-MR</c:v>
                </c:pt>
              </c:strCache>
            </c:strRef>
          </c:cat>
          <c:val>
            <c:numRef>
              <c:f>'Sheet1 (7)'!$F$7:$F$14</c:f>
              <c:numCache>
                <c:formatCode>General</c:formatCode>
                <c:ptCount val="7"/>
                <c:pt idx="1">
                  <c:v>44</c:v>
                </c:pt>
                <c:pt idx="2">
                  <c:v>9</c:v>
                </c:pt>
                <c:pt idx="4">
                  <c:v>7</c:v>
                </c:pt>
                <c:pt idx="5">
                  <c:v>9</c:v>
                </c:pt>
                <c:pt idx="6">
                  <c:v>14</c:v>
                </c:pt>
              </c:numCache>
            </c:numRef>
          </c:val>
          <c:extLst>
            <c:ext xmlns:c16="http://schemas.microsoft.com/office/drawing/2014/chart" uri="{C3380CC4-5D6E-409C-BE32-E72D297353CC}">
              <c16:uniqueId val="{00000004-2E6A-4D1F-97F5-FB25505E1D1B}"/>
            </c:ext>
          </c:extLst>
        </c:ser>
        <c:dLbls>
          <c:showLegendKey val="0"/>
          <c:showVal val="0"/>
          <c:showCatName val="0"/>
          <c:showSerName val="0"/>
          <c:showPercent val="0"/>
          <c:showBubbleSize val="0"/>
        </c:dLbls>
        <c:gapWidth val="150"/>
        <c:overlap val="100"/>
        <c:axId val="915059048"/>
        <c:axId val="915062984"/>
      </c:barChart>
      <c:catAx>
        <c:axId val="9150590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Prescriber type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062984"/>
        <c:crosses val="autoZero"/>
        <c:auto val="1"/>
        <c:lblAlgn val="ctr"/>
        <c:lblOffset val="100"/>
        <c:noMultiLvlLbl val="0"/>
      </c:catAx>
      <c:valAx>
        <c:axId val="915062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patients</a:t>
                </a:r>
              </a:p>
            </c:rich>
          </c:tx>
          <c:layout>
            <c:manualLayout>
              <c:xMode val="edge"/>
              <c:yMode val="edge"/>
              <c:x val="1.5242242787152967E-2"/>
              <c:y val="0.188914176522913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059048"/>
        <c:crosses val="autoZero"/>
        <c:crossBetween val="between"/>
      </c:valAx>
      <c:spPr>
        <a:noFill/>
        <a:ln>
          <a:noFill/>
        </a:ln>
        <a:effectLst/>
      </c:spPr>
    </c:plotArea>
    <c:legend>
      <c:legendPos val="b"/>
      <c:layout>
        <c:manualLayout>
          <c:xMode val="edge"/>
          <c:yMode val="edge"/>
          <c:x val="0.10254960372740562"/>
          <c:y val="0.91029365446966193"/>
          <c:w val="0.84062734945284812"/>
          <c:h val="6.617693376563223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[D1498_PATCNTBY_FORM &amp; SUPP_Year, idvar=age_supp pat_sex presc_type - figs 6,alt 6,7 &amp; 8 incl clonidine.xlsx]Sheet1 (7)!PivotTable2</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a:noFill/>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2379787311561556"/>
          <c:y val="3.3562166285278416E-2"/>
          <c:w val="0.84789510456538608"/>
          <c:h val="0.6685193640735736"/>
        </c:manualLayout>
      </c:layout>
      <c:barChart>
        <c:barDir val="col"/>
        <c:grouping val="stacked"/>
        <c:varyColors val="0"/>
        <c:ser>
          <c:idx val="0"/>
          <c:order val="0"/>
          <c:tx>
            <c:strRef>
              <c:f>'Sheet1 (7)'!$C$2</c:f>
              <c:strCache>
                <c:ptCount val="1"/>
                <c:pt idx="0">
                  <c:v>Paediatrician</c:v>
                </c:pt>
              </c:strCache>
            </c:strRef>
          </c:tx>
          <c:spPr>
            <a:solidFill>
              <a:schemeClr val="accent1"/>
            </a:solidFill>
            <a:ln>
              <a:noFill/>
            </a:ln>
            <a:effectLst/>
          </c:spPr>
          <c:invertIfNegative val="0"/>
          <c:cat>
            <c:strRef>
              <c:f>'Sheet1 (7)'!$C$2</c:f>
              <c:strCache>
                <c:ptCount val="7"/>
                <c:pt idx="0">
                  <c:v>Atomoxetine</c:v>
                </c:pt>
                <c:pt idx="1">
                  <c:v>Clonidine</c:v>
                </c:pt>
                <c:pt idx="2">
                  <c:v>Dexamfetamine</c:v>
                </c:pt>
                <c:pt idx="3">
                  <c:v>Guanfacine</c:v>
                </c:pt>
                <c:pt idx="4">
                  <c:v>Lisdexamfetamine</c:v>
                </c:pt>
                <c:pt idx="5">
                  <c:v>MPH-IR</c:v>
                </c:pt>
                <c:pt idx="6">
                  <c:v>MPH-MR</c:v>
                </c:pt>
              </c:strCache>
            </c:strRef>
          </c:cat>
          <c:val>
            <c:numRef>
              <c:f>'Sheet1 (7)'!$C$2</c:f>
              <c:numCache>
                <c:formatCode>General</c:formatCode>
                <c:ptCount val="7"/>
                <c:pt idx="0">
                  <c:v>2459</c:v>
                </c:pt>
                <c:pt idx="1">
                  <c:v>12634</c:v>
                </c:pt>
                <c:pt idx="2">
                  <c:v>9821</c:v>
                </c:pt>
                <c:pt idx="3">
                  <c:v>15446</c:v>
                </c:pt>
                <c:pt idx="4">
                  <c:v>24937</c:v>
                </c:pt>
                <c:pt idx="5">
                  <c:v>39218</c:v>
                </c:pt>
                <c:pt idx="6">
                  <c:v>28716</c:v>
                </c:pt>
              </c:numCache>
            </c:numRef>
          </c:val>
          <c:extLst>
            <c:ext xmlns:c16="http://schemas.microsoft.com/office/drawing/2014/chart" uri="{C3380CC4-5D6E-409C-BE32-E72D297353CC}">
              <c16:uniqueId val="{00000000-8297-474A-B1A6-38D7F39D983B}"/>
            </c:ext>
          </c:extLst>
        </c:ser>
        <c:ser>
          <c:idx val="1"/>
          <c:order val="1"/>
          <c:tx>
            <c:strRef>
              <c:f>'Sheet1 (7)'!$C$2</c:f>
              <c:strCache>
                <c:ptCount val="1"/>
                <c:pt idx="0">
                  <c:v>Psychiatrist</c:v>
                </c:pt>
              </c:strCache>
            </c:strRef>
          </c:tx>
          <c:spPr>
            <a:solidFill>
              <a:schemeClr val="accent2"/>
            </a:solidFill>
            <a:ln>
              <a:noFill/>
            </a:ln>
            <a:effectLst/>
          </c:spPr>
          <c:invertIfNegative val="0"/>
          <c:cat>
            <c:strRef>
              <c:f>'Sheet1 (7)'!$C$2</c:f>
              <c:strCache>
                <c:ptCount val="7"/>
                <c:pt idx="0">
                  <c:v>Atomoxetine</c:v>
                </c:pt>
                <c:pt idx="1">
                  <c:v>Clonidine</c:v>
                </c:pt>
                <c:pt idx="2">
                  <c:v>Dexamfetamine</c:v>
                </c:pt>
                <c:pt idx="3">
                  <c:v>Guanfacine</c:v>
                </c:pt>
                <c:pt idx="4">
                  <c:v>Lisdexamfetamine</c:v>
                </c:pt>
                <c:pt idx="5">
                  <c:v>MPH-IR</c:v>
                </c:pt>
                <c:pt idx="6">
                  <c:v>MPH-MR</c:v>
                </c:pt>
              </c:strCache>
            </c:strRef>
          </c:cat>
          <c:val>
            <c:numRef>
              <c:f>'Sheet1 (7)'!$C$2</c:f>
              <c:numCache>
                <c:formatCode>General</c:formatCode>
                <c:ptCount val="7"/>
                <c:pt idx="0">
                  <c:v>4178</c:v>
                </c:pt>
                <c:pt idx="1">
                  <c:v>15759</c:v>
                </c:pt>
                <c:pt idx="2">
                  <c:v>30632</c:v>
                </c:pt>
                <c:pt idx="3">
                  <c:v>4323</c:v>
                </c:pt>
                <c:pt idx="4">
                  <c:v>46784</c:v>
                </c:pt>
                <c:pt idx="5">
                  <c:v>20402</c:v>
                </c:pt>
                <c:pt idx="6">
                  <c:v>8026</c:v>
                </c:pt>
              </c:numCache>
            </c:numRef>
          </c:val>
          <c:extLst>
            <c:ext xmlns:c16="http://schemas.microsoft.com/office/drawing/2014/chart" uri="{C3380CC4-5D6E-409C-BE32-E72D297353CC}">
              <c16:uniqueId val="{00000001-8297-474A-B1A6-38D7F39D983B}"/>
            </c:ext>
          </c:extLst>
        </c:ser>
        <c:ser>
          <c:idx val="2"/>
          <c:order val="2"/>
          <c:tx>
            <c:strRef>
              <c:f>'Sheet1 (7)'!$C$2</c:f>
              <c:strCache>
                <c:ptCount val="1"/>
                <c:pt idx="0">
                  <c:v>GP</c:v>
                </c:pt>
              </c:strCache>
            </c:strRef>
          </c:tx>
          <c:spPr>
            <a:solidFill>
              <a:schemeClr val="accent3"/>
            </a:solidFill>
            <a:ln>
              <a:noFill/>
            </a:ln>
            <a:effectLst/>
          </c:spPr>
          <c:invertIfNegative val="0"/>
          <c:cat>
            <c:strRef>
              <c:f>'Sheet1 (7)'!$C$2</c:f>
              <c:strCache>
                <c:ptCount val="7"/>
                <c:pt idx="0">
                  <c:v>Atomoxetine</c:v>
                </c:pt>
                <c:pt idx="1">
                  <c:v>Clonidine</c:v>
                </c:pt>
                <c:pt idx="2">
                  <c:v>Dexamfetamine</c:v>
                </c:pt>
                <c:pt idx="3">
                  <c:v>Guanfacine</c:v>
                </c:pt>
                <c:pt idx="4">
                  <c:v>Lisdexamfetamine</c:v>
                </c:pt>
                <c:pt idx="5">
                  <c:v>MPH-IR</c:v>
                </c:pt>
                <c:pt idx="6">
                  <c:v>MPH-MR</c:v>
                </c:pt>
              </c:strCache>
            </c:strRef>
          </c:cat>
          <c:val>
            <c:numRef>
              <c:f>'Sheet1 (7)'!$C$2</c:f>
              <c:numCache>
                <c:formatCode>General</c:formatCode>
                <c:ptCount val="7"/>
                <c:pt idx="0">
                  <c:v>1515</c:v>
                </c:pt>
                <c:pt idx="1">
                  <c:v>23175</c:v>
                </c:pt>
                <c:pt idx="2">
                  <c:v>5388</c:v>
                </c:pt>
                <c:pt idx="3">
                  <c:v>1402</c:v>
                </c:pt>
                <c:pt idx="4">
                  <c:v>8950</c:v>
                </c:pt>
                <c:pt idx="5">
                  <c:v>7412</c:v>
                </c:pt>
                <c:pt idx="6">
                  <c:v>3690</c:v>
                </c:pt>
              </c:numCache>
            </c:numRef>
          </c:val>
          <c:extLst>
            <c:ext xmlns:c16="http://schemas.microsoft.com/office/drawing/2014/chart" uri="{C3380CC4-5D6E-409C-BE32-E72D297353CC}">
              <c16:uniqueId val="{00000002-8297-474A-B1A6-38D7F39D983B}"/>
            </c:ext>
          </c:extLst>
        </c:ser>
        <c:ser>
          <c:idx val="3"/>
          <c:order val="3"/>
          <c:tx>
            <c:strRef>
              <c:f>'Sheet1 (7)'!$C$2</c:f>
              <c:strCache>
                <c:ptCount val="1"/>
                <c:pt idx="0">
                  <c:v>Other</c:v>
                </c:pt>
              </c:strCache>
            </c:strRef>
          </c:tx>
          <c:spPr>
            <a:solidFill>
              <a:schemeClr val="accent4"/>
            </a:solidFill>
            <a:ln>
              <a:noFill/>
            </a:ln>
            <a:effectLst/>
          </c:spPr>
          <c:invertIfNegative val="0"/>
          <c:cat>
            <c:strRef>
              <c:f>'Sheet1 (7)'!$C$2</c:f>
              <c:strCache>
                <c:ptCount val="7"/>
                <c:pt idx="0">
                  <c:v>Atomoxetine</c:v>
                </c:pt>
                <c:pt idx="1">
                  <c:v>Clonidine</c:v>
                </c:pt>
                <c:pt idx="2">
                  <c:v>Dexamfetamine</c:v>
                </c:pt>
                <c:pt idx="3">
                  <c:v>Guanfacine</c:v>
                </c:pt>
                <c:pt idx="4">
                  <c:v>Lisdexamfetamine</c:v>
                </c:pt>
                <c:pt idx="5">
                  <c:v>MPH-IR</c:v>
                </c:pt>
                <c:pt idx="6">
                  <c:v>MPH-MR</c:v>
                </c:pt>
              </c:strCache>
            </c:strRef>
          </c:cat>
          <c:val>
            <c:numRef>
              <c:f>'Sheet1 (7)'!$C$2</c:f>
              <c:numCache>
                <c:formatCode>General</c:formatCode>
                <c:ptCount val="7"/>
                <c:pt idx="0">
                  <c:v>172</c:v>
                </c:pt>
                <c:pt idx="1">
                  <c:v>5403</c:v>
                </c:pt>
                <c:pt idx="2">
                  <c:v>798</c:v>
                </c:pt>
                <c:pt idx="3">
                  <c:v>434</c:v>
                </c:pt>
                <c:pt idx="4">
                  <c:v>838</c:v>
                </c:pt>
                <c:pt idx="5">
                  <c:v>1283</c:v>
                </c:pt>
                <c:pt idx="6">
                  <c:v>774</c:v>
                </c:pt>
              </c:numCache>
            </c:numRef>
          </c:val>
          <c:extLst>
            <c:ext xmlns:c16="http://schemas.microsoft.com/office/drawing/2014/chart" uri="{C3380CC4-5D6E-409C-BE32-E72D297353CC}">
              <c16:uniqueId val="{00000003-8297-474A-B1A6-38D7F39D983B}"/>
            </c:ext>
          </c:extLst>
        </c:ser>
        <c:ser>
          <c:idx val="4"/>
          <c:order val="4"/>
          <c:tx>
            <c:strRef>
              <c:f>'Sheet1 (7)'!$C$2</c:f>
              <c:strCache>
                <c:ptCount val="1"/>
                <c:pt idx="0">
                  <c:v>Nurse Practitioner</c:v>
                </c:pt>
              </c:strCache>
            </c:strRef>
          </c:tx>
          <c:spPr>
            <a:solidFill>
              <a:schemeClr val="accent5"/>
            </a:solidFill>
            <a:ln>
              <a:noFill/>
            </a:ln>
            <a:effectLst/>
          </c:spPr>
          <c:invertIfNegative val="0"/>
          <c:cat>
            <c:strRef>
              <c:f>'Sheet1 (7)'!$C$2</c:f>
              <c:strCache>
                <c:ptCount val="7"/>
                <c:pt idx="0">
                  <c:v>Atomoxetine</c:v>
                </c:pt>
                <c:pt idx="1">
                  <c:v>Clonidine</c:v>
                </c:pt>
                <c:pt idx="2">
                  <c:v>Dexamfetamine</c:v>
                </c:pt>
                <c:pt idx="3">
                  <c:v>Guanfacine</c:v>
                </c:pt>
                <c:pt idx="4">
                  <c:v>Lisdexamfetamine</c:v>
                </c:pt>
                <c:pt idx="5">
                  <c:v>MPH-IR</c:v>
                </c:pt>
                <c:pt idx="6">
                  <c:v>MPH-MR</c:v>
                </c:pt>
              </c:strCache>
            </c:strRef>
          </c:cat>
          <c:val>
            <c:numRef>
              <c:f>'Sheet1 (7)'!$C$2</c:f>
              <c:numCache>
                <c:formatCode>General</c:formatCode>
                <c:ptCount val="7"/>
                <c:pt idx="1">
                  <c:v>108</c:v>
                </c:pt>
                <c:pt idx="2">
                  <c:v>32</c:v>
                </c:pt>
                <c:pt idx="4">
                  <c:v>31</c:v>
                </c:pt>
                <c:pt idx="5">
                  <c:v>26</c:v>
                </c:pt>
                <c:pt idx="6">
                  <c:v>15</c:v>
                </c:pt>
              </c:numCache>
            </c:numRef>
          </c:val>
          <c:extLst>
            <c:ext xmlns:c16="http://schemas.microsoft.com/office/drawing/2014/chart" uri="{C3380CC4-5D6E-409C-BE32-E72D297353CC}">
              <c16:uniqueId val="{00000004-8297-474A-B1A6-38D7F39D983B}"/>
            </c:ext>
          </c:extLst>
        </c:ser>
        <c:dLbls>
          <c:showLegendKey val="0"/>
          <c:showVal val="0"/>
          <c:showCatName val="0"/>
          <c:showSerName val="0"/>
          <c:showPercent val="0"/>
          <c:showBubbleSize val="0"/>
        </c:dLbls>
        <c:gapWidth val="150"/>
        <c:overlap val="100"/>
        <c:axId val="915059048"/>
        <c:axId val="915062984"/>
      </c:barChart>
      <c:catAx>
        <c:axId val="9150590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Prescriber type</a:t>
                </a:r>
              </a:p>
            </c:rich>
          </c:tx>
          <c:layout>
            <c:manualLayout>
              <c:xMode val="edge"/>
              <c:yMode val="edge"/>
              <c:x val="0.43928057985675034"/>
              <c:y val="0.8660620085211242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062984"/>
        <c:crosses val="autoZero"/>
        <c:auto val="1"/>
        <c:lblAlgn val="ctr"/>
        <c:lblOffset val="100"/>
        <c:noMultiLvlLbl val="0"/>
      </c:catAx>
      <c:valAx>
        <c:axId val="915062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059048"/>
        <c:crosses val="autoZero"/>
        <c:crossBetween val="between"/>
      </c:valAx>
      <c:spPr>
        <a:noFill/>
        <a:ln>
          <a:noFill/>
        </a:ln>
        <a:effectLst/>
      </c:spPr>
    </c:plotArea>
    <c:legend>
      <c:legendPos val="b"/>
      <c:layout>
        <c:manualLayout>
          <c:xMode val="edge"/>
          <c:yMode val="edge"/>
          <c:x val="6.1177801876561834E-2"/>
          <c:y val="0.92349458826007957"/>
          <c:w val="0.87982168804838423"/>
          <c:h val="5.643852210781344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[D1498_PATCNTBY_FORM &amp; SUPP_Year, idvar=age_supp pat_sex presc_type - fig13 + age18.xlsx]Sheet1 (10)!PivotTable2</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a:noFill/>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'Sheet1 (10)'!$C$2</c:f>
              <c:strCache>
                <c:ptCount val="1"/>
                <c:pt idx="0">
                  <c:v>2019/20</c:v>
                </c:pt>
              </c:strCache>
            </c:strRef>
          </c:tx>
          <c:spPr>
            <a:solidFill>
              <a:schemeClr val="accent1"/>
            </a:solidFill>
            <a:ln>
              <a:noFill/>
            </a:ln>
            <a:effectLst/>
          </c:spPr>
          <c:invertIfNegative val="0"/>
          <c:cat>
            <c:multiLvlStrRef>
              <c:f>'Sheet1 (10)'!$C$2</c:f>
              <c:multiLvlStrCache>
                <c:ptCount val="8"/>
                <c:lvl>
                  <c:pt idx="0">
                    <c:v>GP</c:v>
                  </c:pt>
                  <c:pt idx="1">
                    <c:v>Other</c:v>
                  </c:pt>
                  <c:pt idx="2">
                    <c:v>Paediatrician</c:v>
                  </c:pt>
                  <c:pt idx="3">
                    <c:v>Psychiatrist</c:v>
                  </c:pt>
                  <c:pt idx="4">
                    <c:v>GP</c:v>
                  </c:pt>
                  <c:pt idx="5">
                    <c:v>Other</c:v>
                  </c:pt>
                  <c:pt idx="6">
                    <c:v>Paediatrician</c:v>
                  </c:pt>
                  <c:pt idx="7">
                    <c:v>Psychiatrist</c:v>
                  </c:pt>
                </c:lvl>
                <c:lvl>
                  <c:pt idx="0">
                    <c:v>&lt;=18yrs</c:v>
                  </c:pt>
                  <c:pt idx="4">
                    <c:v>&gt;18yrs</c:v>
                  </c:pt>
                </c:lvl>
              </c:multiLvlStrCache>
            </c:multiLvlStrRef>
          </c:cat>
          <c:val>
            <c:numRef>
              <c:f>'Sheet1 (10)'!$C$2</c:f>
              <c:numCache>
                <c:formatCode>General</c:formatCode>
                <c:ptCount val="8"/>
                <c:pt idx="0">
                  <c:v>274</c:v>
                </c:pt>
                <c:pt idx="1">
                  <c:v>930</c:v>
                </c:pt>
                <c:pt idx="2">
                  <c:v>12131</c:v>
                </c:pt>
                <c:pt idx="3">
                  <c:v>1958</c:v>
                </c:pt>
                <c:pt idx="4">
                  <c:v>450</c:v>
                </c:pt>
                <c:pt idx="5">
                  <c:v>251</c:v>
                </c:pt>
                <c:pt idx="6">
                  <c:v>139</c:v>
                </c:pt>
                <c:pt idx="7">
                  <c:v>3113</c:v>
                </c:pt>
              </c:numCache>
            </c:numRef>
          </c:val>
          <c:extLst>
            <c:ext xmlns:c16="http://schemas.microsoft.com/office/drawing/2014/chart" uri="{C3380CC4-5D6E-409C-BE32-E72D297353CC}">
              <c16:uniqueId val="{00000000-ECE7-4E1E-A8C5-65EDC60671A5}"/>
            </c:ext>
          </c:extLst>
        </c:ser>
        <c:ser>
          <c:idx val="1"/>
          <c:order val="1"/>
          <c:tx>
            <c:strRef>
              <c:f>'Sheet1 (10)'!$C$2</c:f>
              <c:strCache>
                <c:ptCount val="1"/>
                <c:pt idx="0">
                  <c:v>2020/21</c:v>
                </c:pt>
              </c:strCache>
            </c:strRef>
          </c:tx>
          <c:spPr>
            <a:solidFill>
              <a:schemeClr val="accent2"/>
            </a:solidFill>
            <a:ln>
              <a:noFill/>
            </a:ln>
            <a:effectLst/>
          </c:spPr>
          <c:invertIfNegative val="0"/>
          <c:cat>
            <c:multiLvlStrRef>
              <c:f>'Sheet1 (10)'!$C$2</c:f>
              <c:multiLvlStrCache>
                <c:ptCount val="8"/>
                <c:lvl>
                  <c:pt idx="0">
                    <c:v>GP</c:v>
                  </c:pt>
                  <c:pt idx="1">
                    <c:v>Other</c:v>
                  </c:pt>
                  <c:pt idx="2">
                    <c:v>Paediatrician</c:v>
                  </c:pt>
                  <c:pt idx="3">
                    <c:v>Psychiatrist</c:v>
                  </c:pt>
                  <c:pt idx="4">
                    <c:v>GP</c:v>
                  </c:pt>
                  <c:pt idx="5">
                    <c:v>Other</c:v>
                  </c:pt>
                  <c:pt idx="6">
                    <c:v>Paediatrician</c:v>
                  </c:pt>
                  <c:pt idx="7">
                    <c:v>Psychiatrist</c:v>
                  </c:pt>
                </c:lvl>
                <c:lvl>
                  <c:pt idx="0">
                    <c:v>&lt;=18yrs</c:v>
                  </c:pt>
                  <c:pt idx="4">
                    <c:v>&gt;18yrs</c:v>
                  </c:pt>
                </c:lvl>
              </c:multiLvlStrCache>
            </c:multiLvlStrRef>
          </c:cat>
          <c:val>
            <c:numRef>
              <c:f>'Sheet1 (10)'!$C$2</c:f>
              <c:numCache>
                <c:formatCode>General</c:formatCode>
                <c:ptCount val="8"/>
                <c:pt idx="0">
                  <c:v>403</c:v>
                </c:pt>
                <c:pt idx="1">
                  <c:v>543</c:v>
                </c:pt>
                <c:pt idx="2">
                  <c:v>15602</c:v>
                </c:pt>
                <c:pt idx="3">
                  <c:v>3144</c:v>
                </c:pt>
                <c:pt idx="4">
                  <c:v>1755</c:v>
                </c:pt>
                <c:pt idx="5">
                  <c:v>181</c:v>
                </c:pt>
                <c:pt idx="6">
                  <c:v>143</c:v>
                </c:pt>
                <c:pt idx="7">
                  <c:v>16151</c:v>
                </c:pt>
              </c:numCache>
            </c:numRef>
          </c:val>
          <c:extLst>
            <c:ext xmlns:c16="http://schemas.microsoft.com/office/drawing/2014/chart" uri="{C3380CC4-5D6E-409C-BE32-E72D297353CC}">
              <c16:uniqueId val="{00000001-ECE7-4E1E-A8C5-65EDC60671A5}"/>
            </c:ext>
          </c:extLst>
        </c:ser>
        <c:ser>
          <c:idx val="2"/>
          <c:order val="2"/>
          <c:tx>
            <c:strRef>
              <c:f>'Sheet1 (10)'!$C$2</c:f>
              <c:strCache>
                <c:ptCount val="1"/>
                <c:pt idx="0">
                  <c:v>2021/22</c:v>
                </c:pt>
              </c:strCache>
            </c:strRef>
          </c:tx>
          <c:spPr>
            <a:solidFill>
              <a:schemeClr val="accent3"/>
            </a:solidFill>
            <a:ln>
              <a:noFill/>
            </a:ln>
            <a:effectLst/>
          </c:spPr>
          <c:invertIfNegative val="0"/>
          <c:cat>
            <c:multiLvlStrRef>
              <c:f>'Sheet1 (10)'!$C$2</c:f>
              <c:multiLvlStrCache>
                <c:ptCount val="8"/>
                <c:lvl>
                  <c:pt idx="0">
                    <c:v>GP</c:v>
                  </c:pt>
                  <c:pt idx="1">
                    <c:v>Other</c:v>
                  </c:pt>
                  <c:pt idx="2">
                    <c:v>Paediatrician</c:v>
                  </c:pt>
                  <c:pt idx="3">
                    <c:v>Psychiatrist</c:v>
                  </c:pt>
                  <c:pt idx="4">
                    <c:v>GP</c:v>
                  </c:pt>
                  <c:pt idx="5">
                    <c:v>Other</c:v>
                  </c:pt>
                  <c:pt idx="6">
                    <c:v>Paediatrician</c:v>
                  </c:pt>
                  <c:pt idx="7">
                    <c:v>Psychiatrist</c:v>
                  </c:pt>
                </c:lvl>
                <c:lvl>
                  <c:pt idx="0">
                    <c:v>&lt;=18yrs</c:v>
                  </c:pt>
                  <c:pt idx="4">
                    <c:v>&gt;18yrs</c:v>
                  </c:pt>
                </c:lvl>
              </c:multiLvlStrCache>
            </c:multiLvlStrRef>
          </c:cat>
          <c:val>
            <c:numRef>
              <c:f>'Sheet1 (10)'!$C$2</c:f>
              <c:numCache>
                <c:formatCode>General</c:formatCode>
                <c:ptCount val="8"/>
                <c:pt idx="0">
                  <c:v>728</c:v>
                </c:pt>
                <c:pt idx="1">
                  <c:v>600</c:v>
                </c:pt>
                <c:pt idx="2">
                  <c:v>18366</c:v>
                </c:pt>
                <c:pt idx="3">
                  <c:v>4357</c:v>
                </c:pt>
                <c:pt idx="4">
                  <c:v>3931</c:v>
                </c:pt>
                <c:pt idx="5">
                  <c:v>262</c:v>
                </c:pt>
                <c:pt idx="6">
                  <c:v>191</c:v>
                </c:pt>
                <c:pt idx="7">
                  <c:v>30055</c:v>
                </c:pt>
              </c:numCache>
            </c:numRef>
          </c:val>
          <c:extLst>
            <c:ext xmlns:c16="http://schemas.microsoft.com/office/drawing/2014/chart" uri="{C3380CC4-5D6E-409C-BE32-E72D297353CC}">
              <c16:uniqueId val="{00000002-ECE7-4E1E-A8C5-65EDC60671A5}"/>
            </c:ext>
          </c:extLst>
        </c:ser>
        <c:ser>
          <c:idx val="3"/>
          <c:order val="3"/>
          <c:tx>
            <c:strRef>
              <c:f>'Sheet1 (10)'!$C$2</c:f>
              <c:strCache>
                <c:ptCount val="1"/>
                <c:pt idx="0">
                  <c:v>2022/23</c:v>
                </c:pt>
              </c:strCache>
            </c:strRef>
          </c:tx>
          <c:spPr>
            <a:solidFill>
              <a:schemeClr val="accent4"/>
            </a:solidFill>
            <a:ln>
              <a:noFill/>
            </a:ln>
            <a:effectLst/>
          </c:spPr>
          <c:invertIfNegative val="0"/>
          <c:cat>
            <c:multiLvlStrRef>
              <c:f>'Sheet1 (10)'!$C$2</c:f>
              <c:multiLvlStrCache>
                <c:ptCount val="8"/>
                <c:lvl>
                  <c:pt idx="0">
                    <c:v>GP</c:v>
                  </c:pt>
                  <c:pt idx="1">
                    <c:v>Other</c:v>
                  </c:pt>
                  <c:pt idx="2">
                    <c:v>Paediatrician</c:v>
                  </c:pt>
                  <c:pt idx="3">
                    <c:v>Psychiatrist</c:v>
                  </c:pt>
                  <c:pt idx="4">
                    <c:v>GP</c:v>
                  </c:pt>
                  <c:pt idx="5">
                    <c:v>Other</c:v>
                  </c:pt>
                  <c:pt idx="6">
                    <c:v>Paediatrician</c:v>
                  </c:pt>
                  <c:pt idx="7">
                    <c:v>Psychiatrist</c:v>
                  </c:pt>
                </c:lvl>
                <c:lvl>
                  <c:pt idx="0">
                    <c:v>&lt;=18yrs</c:v>
                  </c:pt>
                  <c:pt idx="4">
                    <c:v>&gt;18yrs</c:v>
                  </c:pt>
                </c:lvl>
              </c:multiLvlStrCache>
            </c:multiLvlStrRef>
          </c:cat>
          <c:val>
            <c:numRef>
              <c:f>'Sheet1 (10)'!$C$2</c:f>
              <c:numCache>
                <c:formatCode>General</c:formatCode>
                <c:ptCount val="8"/>
                <c:pt idx="0">
                  <c:v>1336</c:v>
                </c:pt>
                <c:pt idx="1">
                  <c:v>509</c:v>
                </c:pt>
                <c:pt idx="2">
                  <c:v>24757</c:v>
                </c:pt>
                <c:pt idx="3">
                  <c:v>5371</c:v>
                </c:pt>
                <c:pt idx="4">
                  <c:v>7614</c:v>
                </c:pt>
                <c:pt idx="5">
                  <c:v>329</c:v>
                </c:pt>
                <c:pt idx="6">
                  <c:v>180</c:v>
                </c:pt>
                <c:pt idx="7">
                  <c:v>41413</c:v>
                </c:pt>
              </c:numCache>
            </c:numRef>
          </c:val>
          <c:extLst>
            <c:ext xmlns:c16="http://schemas.microsoft.com/office/drawing/2014/chart" uri="{C3380CC4-5D6E-409C-BE32-E72D297353CC}">
              <c16:uniqueId val="{00000003-ECE7-4E1E-A8C5-65EDC60671A5}"/>
            </c:ext>
          </c:extLst>
        </c:ser>
        <c:dLbls>
          <c:showLegendKey val="0"/>
          <c:showVal val="0"/>
          <c:showCatName val="0"/>
          <c:showSerName val="0"/>
          <c:showPercent val="0"/>
          <c:showBubbleSize val="0"/>
        </c:dLbls>
        <c:gapWidth val="150"/>
        <c:axId val="915059048"/>
        <c:axId val="915062984"/>
      </c:barChart>
      <c:catAx>
        <c:axId val="915059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062984"/>
        <c:crosses val="autoZero"/>
        <c:auto val="1"/>
        <c:lblAlgn val="ctr"/>
        <c:lblOffset val="100"/>
        <c:noMultiLvlLbl val="0"/>
      </c:catAx>
      <c:valAx>
        <c:axId val="915062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patients</a:t>
                </a:r>
              </a:p>
              <a:p>
                <a:pPr>
                  <a:defRPr/>
                </a:pP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059048"/>
        <c:crosses val="autoZero"/>
        <c:crossBetween val="between"/>
      </c:valAx>
      <c:spPr>
        <a:noFill/>
        <a:ln>
          <a:noFill/>
        </a:ln>
        <a:effectLst/>
      </c:spPr>
    </c:plotArea>
    <c:legend>
      <c:legendPos val="b"/>
      <c:layout>
        <c:manualLayout>
          <c:xMode val="edge"/>
          <c:yMode val="edge"/>
          <c:x val="9.5575891881233915E-2"/>
          <c:y val="0.92350737966816177"/>
          <c:w val="0.8654622608755288"/>
          <c:h val="5.642908580583922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[D1498 - treat rate figs 910 Table5 by therapy (excld clonidine).xlsx]Sheet1 (2)!PivotTable1</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'Sheet1 (2)'!$B$5:$B$6</c:f>
              <c:strCache>
                <c:ptCount val="1"/>
                <c:pt idx="0">
                  <c:v>&lt; 6 years</c:v>
                </c:pt>
              </c:strCache>
            </c:strRef>
          </c:tx>
          <c:spPr>
            <a:solidFill>
              <a:schemeClr val="accent1"/>
            </a:solidFill>
            <a:ln>
              <a:noFill/>
            </a:ln>
            <a:effectLst/>
          </c:spPr>
          <c:invertIfNegative val="0"/>
          <c:cat>
            <c:strRef>
              <c:f>'Sheet1 (2)'!$A$7:$A$15</c:f>
              <c:strCache>
                <c:ptCount val="8"/>
                <c:pt idx="0">
                  <c:v>ACT</c:v>
                </c:pt>
                <c:pt idx="1">
                  <c:v>NSW</c:v>
                </c:pt>
                <c:pt idx="2">
                  <c:v>NT</c:v>
                </c:pt>
                <c:pt idx="3">
                  <c:v>QLD</c:v>
                </c:pt>
                <c:pt idx="4">
                  <c:v>SA</c:v>
                </c:pt>
                <c:pt idx="5">
                  <c:v>TAS</c:v>
                </c:pt>
                <c:pt idx="6">
                  <c:v>VIC</c:v>
                </c:pt>
                <c:pt idx="7">
                  <c:v>WA</c:v>
                </c:pt>
              </c:strCache>
            </c:strRef>
          </c:cat>
          <c:val>
            <c:numRef>
              <c:f>'Sheet1 (2)'!$B$7:$B$15</c:f>
              <c:numCache>
                <c:formatCode>General</c:formatCode>
                <c:ptCount val="8"/>
                <c:pt idx="0">
                  <c:v>3.4504391468</c:v>
                </c:pt>
                <c:pt idx="1">
                  <c:v>4.7614265581000002</c:v>
                </c:pt>
                <c:pt idx="2">
                  <c:v>2.9130455891999998</c:v>
                </c:pt>
                <c:pt idx="3">
                  <c:v>5.4515148016000001</c:v>
                </c:pt>
                <c:pt idx="4">
                  <c:v>3.9544099714999996</c:v>
                </c:pt>
                <c:pt idx="5">
                  <c:v>5.4675931200000001</c:v>
                </c:pt>
                <c:pt idx="6">
                  <c:v>3.0511486993000001</c:v>
                </c:pt>
                <c:pt idx="7">
                  <c:v>3.6256348531000002</c:v>
                </c:pt>
              </c:numCache>
            </c:numRef>
          </c:val>
          <c:extLst>
            <c:ext xmlns:c16="http://schemas.microsoft.com/office/drawing/2014/chart" uri="{C3380CC4-5D6E-409C-BE32-E72D297353CC}">
              <c16:uniqueId val="{00000000-56EC-480C-B093-2448EA7BF3A9}"/>
            </c:ext>
          </c:extLst>
        </c:ser>
        <c:ser>
          <c:idx val="1"/>
          <c:order val="1"/>
          <c:tx>
            <c:strRef>
              <c:f>'Sheet1 (2)'!$C$5:$C$6</c:f>
              <c:strCache>
                <c:ptCount val="1"/>
                <c:pt idx="0">
                  <c:v> 6-12 years</c:v>
                </c:pt>
              </c:strCache>
            </c:strRef>
          </c:tx>
          <c:spPr>
            <a:solidFill>
              <a:schemeClr val="accent2"/>
            </a:solidFill>
            <a:ln>
              <a:noFill/>
            </a:ln>
            <a:effectLst/>
          </c:spPr>
          <c:invertIfNegative val="0"/>
          <c:cat>
            <c:strRef>
              <c:f>'Sheet1 (2)'!$A$7:$A$15</c:f>
              <c:strCache>
                <c:ptCount val="8"/>
                <c:pt idx="0">
                  <c:v>ACT</c:v>
                </c:pt>
                <c:pt idx="1">
                  <c:v>NSW</c:v>
                </c:pt>
                <c:pt idx="2">
                  <c:v>NT</c:v>
                </c:pt>
                <c:pt idx="3">
                  <c:v>QLD</c:v>
                </c:pt>
                <c:pt idx="4">
                  <c:v>SA</c:v>
                </c:pt>
                <c:pt idx="5">
                  <c:v>TAS</c:v>
                </c:pt>
                <c:pt idx="6">
                  <c:v>VIC</c:v>
                </c:pt>
                <c:pt idx="7">
                  <c:v>WA</c:v>
                </c:pt>
              </c:strCache>
            </c:strRef>
          </c:cat>
          <c:val>
            <c:numRef>
              <c:f>'Sheet1 (2)'!$C$7:$C$15</c:f>
              <c:numCache>
                <c:formatCode>General</c:formatCode>
                <c:ptCount val="8"/>
                <c:pt idx="0">
                  <c:v>77.477208931800007</c:v>
                </c:pt>
                <c:pt idx="1">
                  <c:v>69.001966671700004</c:v>
                </c:pt>
                <c:pt idx="2">
                  <c:v>65.528789895700001</c:v>
                </c:pt>
                <c:pt idx="3">
                  <c:v>84.2323702809</c:v>
                </c:pt>
                <c:pt idx="4">
                  <c:v>50.160810242899998</c:v>
                </c:pt>
                <c:pt idx="5">
                  <c:v>87.106634707200001</c:v>
                </c:pt>
                <c:pt idx="6">
                  <c:v>52.253378933199997</c:v>
                </c:pt>
                <c:pt idx="7">
                  <c:v>69.401258579300006</c:v>
                </c:pt>
              </c:numCache>
            </c:numRef>
          </c:val>
          <c:extLst>
            <c:ext xmlns:c16="http://schemas.microsoft.com/office/drawing/2014/chart" uri="{C3380CC4-5D6E-409C-BE32-E72D297353CC}">
              <c16:uniqueId val="{00000001-56EC-480C-B093-2448EA7BF3A9}"/>
            </c:ext>
          </c:extLst>
        </c:ser>
        <c:ser>
          <c:idx val="2"/>
          <c:order val="2"/>
          <c:tx>
            <c:strRef>
              <c:f>'Sheet1 (2)'!$D$5:$D$6</c:f>
              <c:strCache>
                <c:ptCount val="1"/>
                <c:pt idx="0">
                  <c:v>13-18 years</c:v>
                </c:pt>
              </c:strCache>
            </c:strRef>
          </c:tx>
          <c:spPr>
            <a:solidFill>
              <a:schemeClr val="accent3"/>
            </a:solidFill>
            <a:ln>
              <a:noFill/>
            </a:ln>
            <a:effectLst/>
          </c:spPr>
          <c:invertIfNegative val="0"/>
          <c:cat>
            <c:strRef>
              <c:f>'Sheet1 (2)'!$A$7:$A$15</c:f>
              <c:strCache>
                <c:ptCount val="8"/>
                <c:pt idx="0">
                  <c:v>ACT</c:v>
                </c:pt>
                <c:pt idx="1">
                  <c:v>NSW</c:v>
                </c:pt>
                <c:pt idx="2">
                  <c:v>NT</c:v>
                </c:pt>
                <c:pt idx="3">
                  <c:v>QLD</c:v>
                </c:pt>
                <c:pt idx="4">
                  <c:v>SA</c:v>
                </c:pt>
                <c:pt idx="5">
                  <c:v>TAS</c:v>
                </c:pt>
                <c:pt idx="6">
                  <c:v>VIC</c:v>
                </c:pt>
                <c:pt idx="7">
                  <c:v>WA</c:v>
                </c:pt>
              </c:strCache>
            </c:strRef>
          </c:cat>
          <c:val>
            <c:numRef>
              <c:f>'Sheet1 (2)'!$D$7:$D$15</c:f>
              <c:numCache>
                <c:formatCode>General</c:formatCode>
                <c:ptCount val="8"/>
                <c:pt idx="0">
                  <c:v>68.5294587251</c:v>
                </c:pt>
                <c:pt idx="1">
                  <c:v>55.903777740300001</c:v>
                </c:pt>
                <c:pt idx="2">
                  <c:v>35.868378645500002</c:v>
                </c:pt>
                <c:pt idx="3">
                  <c:v>56.431874786799995</c:v>
                </c:pt>
                <c:pt idx="4">
                  <c:v>31.385104344399998</c:v>
                </c:pt>
                <c:pt idx="5">
                  <c:v>58.4525649343</c:v>
                </c:pt>
                <c:pt idx="6">
                  <c:v>43.343804079100003</c:v>
                </c:pt>
                <c:pt idx="7">
                  <c:v>59.191901861699996</c:v>
                </c:pt>
              </c:numCache>
            </c:numRef>
          </c:val>
          <c:extLst>
            <c:ext xmlns:c16="http://schemas.microsoft.com/office/drawing/2014/chart" uri="{C3380CC4-5D6E-409C-BE32-E72D297353CC}">
              <c16:uniqueId val="{00000002-56EC-480C-B093-2448EA7BF3A9}"/>
            </c:ext>
          </c:extLst>
        </c:ser>
        <c:ser>
          <c:idx val="3"/>
          <c:order val="3"/>
          <c:tx>
            <c:strRef>
              <c:f>'Sheet1 (2)'!$E$5:$E$6</c:f>
              <c:strCache>
                <c:ptCount val="1"/>
                <c:pt idx="0">
                  <c:v>&gt;18 years</c:v>
                </c:pt>
              </c:strCache>
            </c:strRef>
          </c:tx>
          <c:spPr>
            <a:solidFill>
              <a:schemeClr val="accent4"/>
            </a:solidFill>
            <a:ln>
              <a:noFill/>
            </a:ln>
            <a:effectLst/>
          </c:spPr>
          <c:invertIfNegative val="0"/>
          <c:cat>
            <c:strRef>
              <c:f>'Sheet1 (2)'!$A$7:$A$15</c:f>
              <c:strCache>
                <c:ptCount val="8"/>
                <c:pt idx="0">
                  <c:v>ACT</c:v>
                </c:pt>
                <c:pt idx="1">
                  <c:v>NSW</c:v>
                </c:pt>
                <c:pt idx="2">
                  <c:v>NT</c:v>
                </c:pt>
                <c:pt idx="3">
                  <c:v>QLD</c:v>
                </c:pt>
                <c:pt idx="4">
                  <c:v>SA</c:v>
                </c:pt>
                <c:pt idx="5">
                  <c:v>TAS</c:v>
                </c:pt>
                <c:pt idx="6">
                  <c:v>VIC</c:v>
                </c:pt>
                <c:pt idx="7">
                  <c:v>WA</c:v>
                </c:pt>
              </c:strCache>
            </c:strRef>
          </c:cat>
          <c:val>
            <c:numRef>
              <c:f>'Sheet1 (2)'!$E$7:$E$15</c:f>
              <c:numCache>
                <c:formatCode>General</c:formatCode>
                <c:ptCount val="8"/>
                <c:pt idx="0">
                  <c:v>15.710556430599999</c:v>
                </c:pt>
                <c:pt idx="1">
                  <c:v>9.4648406835000003</c:v>
                </c:pt>
                <c:pt idx="2">
                  <c:v>6.2792402389000008</c:v>
                </c:pt>
                <c:pt idx="3">
                  <c:v>10.2352710927</c:v>
                </c:pt>
                <c:pt idx="4">
                  <c:v>6.5761055182000003</c:v>
                </c:pt>
                <c:pt idx="5">
                  <c:v>8.6628859873999993</c:v>
                </c:pt>
                <c:pt idx="6">
                  <c:v>9.1358639251999989</c:v>
                </c:pt>
                <c:pt idx="7">
                  <c:v>18.489288066499999</c:v>
                </c:pt>
              </c:numCache>
            </c:numRef>
          </c:val>
          <c:extLst>
            <c:ext xmlns:c16="http://schemas.microsoft.com/office/drawing/2014/chart" uri="{C3380CC4-5D6E-409C-BE32-E72D297353CC}">
              <c16:uniqueId val="{00000003-56EC-480C-B093-2448EA7BF3A9}"/>
            </c:ext>
          </c:extLst>
        </c:ser>
        <c:dLbls>
          <c:showLegendKey val="0"/>
          <c:showVal val="0"/>
          <c:showCatName val="0"/>
          <c:showSerName val="0"/>
          <c:showPercent val="0"/>
          <c:showBubbleSize val="0"/>
        </c:dLbls>
        <c:gapWidth val="219"/>
        <c:overlap val="-27"/>
        <c:axId val="640844264"/>
        <c:axId val="640844592"/>
      </c:barChart>
      <c:catAx>
        <c:axId val="6408442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 State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0844592"/>
        <c:crosses val="autoZero"/>
        <c:auto val="1"/>
        <c:lblAlgn val="ctr"/>
        <c:lblOffset val="100"/>
        <c:noMultiLvlLbl val="0"/>
      </c:catAx>
      <c:valAx>
        <c:axId val="640844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 per 1,000 population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0844264"/>
        <c:crosses val="autoZero"/>
        <c:crossBetween val="between"/>
      </c:valAx>
      <c:spPr>
        <a:noFill/>
        <a:ln>
          <a:noFill/>
        </a:ln>
        <a:effectLst/>
      </c:spPr>
    </c:plotArea>
    <c:legend>
      <c:legendPos val="b"/>
      <c:layout>
        <c:manualLayout>
          <c:xMode val="edge"/>
          <c:yMode val="edge"/>
          <c:x val="9.1537777750182112E-2"/>
          <c:y val="0.90369911075638554"/>
          <c:w val="0.83992360490209061"/>
          <c:h val="5.28869289105018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4548905960209438"/>
          <c:y val="4.4247787610619468E-2"/>
          <c:w val="0.83013690981957633"/>
          <c:h val="0.70372669627076989"/>
        </c:manualLayout>
      </c:layout>
      <c:lineChart>
        <c:grouping val="standard"/>
        <c:varyColors val="0"/>
        <c:ser>
          <c:idx val="5"/>
          <c:order val="0"/>
          <c:tx>
            <c:v>Atomoxetine</c:v>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Lit>
              <c:ptCount val="10"/>
              <c:pt idx="0">
                <c:v>2013/14</c:v>
              </c:pt>
              <c:pt idx="1">
                <c:v>2014/15</c:v>
              </c:pt>
              <c:pt idx="2">
                <c:v>2015/16</c:v>
              </c:pt>
              <c:pt idx="3">
                <c:v>2016/17</c:v>
              </c:pt>
              <c:pt idx="4">
                <c:v>2017/18</c:v>
              </c:pt>
              <c:pt idx="5">
                <c:v>2018/19</c:v>
              </c:pt>
              <c:pt idx="6">
                <c:v>2019/20</c:v>
              </c:pt>
              <c:pt idx="7">
                <c:v>2020/21</c:v>
              </c:pt>
              <c:pt idx="8">
                <c:v>2021/22</c:v>
              </c:pt>
              <c:pt idx="9">
                <c:v>2022/23</c:v>
              </c:pt>
            </c:strLit>
          </c:cat>
          <c:val>
            <c:numLit>
              <c:formatCode>General</c:formatCode>
              <c:ptCount val="10"/>
              <c:pt idx="0">
                <c:v>6776</c:v>
              </c:pt>
              <c:pt idx="1">
                <c:v>8604</c:v>
              </c:pt>
              <c:pt idx="2">
                <c:v>11503</c:v>
              </c:pt>
              <c:pt idx="3">
                <c:v>14665</c:v>
              </c:pt>
              <c:pt idx="4">
                <c:v>16598</c:v>
              </c:pt>
              <c:pt idx="5">
                <c:v>18400</c:v>
              </c:pt>
              <c:pt idx="6">
                <c:v>21315</c:v>
              </c:pt>
              <c:pt idx="7">
                <c:v>26393</c:v>
              </c:pt>
              <c:pt idx="8">
                <c:v>32613</c:v>
              </c:pt>
              <c:pt idx="9">
                <c:v>38811</c:v>
              </c:pt>
            </c:numLit>
          </c:val>
          <c:smooth val="0"/>
          <c:extLst>
            <c:ext xmlns:c16="http://schemas.microsoft.com/office/drawing/2014/chart" uri="{C3380CC4-5D6E-409C-BE32-E72D297353CC}">
              <c16:uniqueId val="{00000000-CF71-4E5E-B0CD-57ADCE746B15}"/>
            </c:ext>
          </c:extLst>
        </c:ser>
        <c:ser>
          <c:idx val="1"/>
          <c:order val="1"/>
          <c:tx>
            <c:v>Clonidine</c:v>
          </c:tx>
          <c:spPr>
            <a:ln w="28575" cap="rnd">
              <a:solidFill>
                <a:schemeClr val="bg1">
                  <a:lumMod val="65000"/>
                </a:schemeClr>
              </a:solidFill>
              <a:round/>
            </a:ln>
            <a:effectLst/>
          </c:spPr>
          <c:marker>
            <c:symbol val="circle"/>
            <c:size val="5"/>
            <c:spPr>
              <a:solidFill>
                <a:schemeClr val="bg1">
                  <a:lumMod val="65000"/>
                </a:schemeClr>
              </a:solidFill>
              <a:ln w="9525">
                <a:solidFill>
                  <a:schemeClr val="bg1">
                    <a:lumMod val="65000"/>
                  </a:schemeClr>
                </a:solidFill>
              </a:ln>
              <a:effectLst/>
            </c:spPr>
          </c:marker>
          <c:cat>
            <c:strLit>
              <c:ptCount val="10"/>
              <c:pt idx="0">
                <c:v>2013/14</c:v>
              </c:pt>
              <c:pt idx="1">
                <c:v>2014/15</c:v>
              </c:pt>
              <c:pt idx="2">
                <c:v>2015/16</c:v>
              </c:pt>
              <c:pt idx="3">
                <c:v>2016/17</c:v>
              </c:pt>
              <c:pt idx="4">
                <c:v>2017/18</c:v>
              </c:pt>
              <c:pt idx="5">
                <c:v>2018/19</c:v>
              </c:pt>
              <c:pt idx="6">
                <c:v>2019/20</c:v>
              </c:pt>
              <c:pt idx="7">
                <c:v>2020/21</c:v>
              </c:pt>
              <c:pt idx="8">
                <c:v>2021/22</c:v>
              </c:pt>
              <c:pt idx="9">
                <c:v>2022/23</c:v>
              </c:pt>
            </c:strLit>
          </c:cat>
          <c:val>
            <c:numLit>
              <c:formatCode>General</c:formatCode>
              <c:ptCount val="10"/>
              <c:pt idx="0">
                <c:v>104236</c:v>
              </c:pt>
              <c:pt idx="1">
                <c:v>108484</c:v>
              </c:pt>
              <c:pt idx="2">
                <c:v>113825</c:v>
              </c:pt>
              <c:pt idx="3">
                <c:v>120892</c:v>
              </c:pt>
              <c:pt idx="4">
                <c:v>130176</c:v>
              </c:pt>
              <c:pt idx="5">
                <c:v>142553</c:v>
              </c:pt>
              <c:pt idx="6">
                <c:v>158661</c:v>
              </c:pt>
              <c:pt idx="7">
                <c:v>182546</c:v>
              </c:pt>
              <c:pt idx="8">
                <c:v>210833</c:v>
              </c:pt>
              <c:pt idx="9">
                <c:v>255265</c:v>
              </c:pt>
            </c:numLit>
          </c:val>
          <c:smooth val="0"/>
          <c:extLst>
            <c:ext xmlns:c16="http://schemas.microsoft.com/office/drawing/2014/chart" uri="{C3380CC4-5D6E-409C-BE32-E72D297353CC}">
              <c16:uniqueId val="{00000001-CF71-4E5E-B0CD-57ADCE746B15}"/>
            </c:ext>
          </c:extLst>
        </c:ser>
        <c:ser>
          <c:idx val="0"/>
          <c:order val="2"/>
          <c:tx>
            <c:v>Dexamfetamine</c:v>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Lit>
              <c:ptCount val="10"/>
              <c:pt idx="0">
                <c:v>2013/14</c:v>
              </c:pt>
              <c:pt idx="1">
                <c:v>2014/15</c:v>
              </c:pt>
              <c:pt idx="2">
                <c:v>2015/16</c:v>
              </c:pt>
              <c:pt idx="3">
                <c:v>2016/17</c:v>
              </c:pt>
              <c:pt idx="4">
                <c:v>2017/18</c:v>
              </c:pt>
              <c:pt idx="5">
                <c:v>2018/19</c:v>
              </c:pt>
              <c:pt idx="6">
                <c:v>2019/20</c:v>
              </c:pt>
              <c:pt idx="7">
                <c:v>2020/21</c:v>
              </c:pt>
              <c:pt idx="8">
                <c:v>2021/22</c:v>
              </c:pt>
              <c:pt idx="9">
                <c:v>2022/23</c:v>
              </c:pt>
            </c:strLit>
          </c:cat>
          <c:val>
            <c:numLit>
              <c:formatCode>General</c:formatCode>
              <c:ptCount val="10"/>
              <c:pt idx="0">
                <c:v>179072</c:v>
              </c:pt>
              <c:pt idx="1">
                <c:v>185168</c:v>
              </c:pt>
              <c:pt idx="2">
                <c:v>200641</c:v>
              </c:pt>
              <c:pt idx="3">
                <c:v>213245</c:v>
              </c:pt>
              <c:pt idx="4">
                <c:v>228280</c:v>
              </c:pt>
              <c:pt idx="5">
                <c:v>251585</c:v>
              </c:pt>
              <c:pt idx="6">
                <c:v>284081</c:v>
              </c:pt>
              <c:pt idx="7">
                <c:v>331379</c:v>
              </c:pt>
              <c:pt idx="8">
                <c:v>399943</c:v>
              </c:pt>
              <c:pt idx="9">
                <c:v>490051</c:v>
              </c:pt>
            </c:numLit>
          </c:val>
          <c:smooth val="0"/>
          <c:extLst>
            <c:ext xmlns:c16="http://schemas.microsoft.com/office/drawing/2014/chart" uri="{C3380CC4-5D6E-409C-BE32-E72D297353CC}">
              <c16:uniqueId val="{00000002-CF71-4E5E-B0CD-57ADCE746B15}"/>
            </c:ext>
          </c:extLst>
        </c:ser>
        <c:ser>
          <c:idx val="6"/>
          <c:order val="3"/>
          <c:tx>
            <c:v>Guanfacine</c:v>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Lit>
              <c:ptCount val="10"/>
              <c:pt idx="0">
                <c:v>2013/14</c:v>
              </c:pt>
              <c:pt idx="1">
                <c:v>2014/15</c:v>
              </c:pt>
              <c:pt idx="2">
                <c:v>2015/16</c:v>
              </c:pt>
              <c:pt idx="3">
                <c:v>2016/17</c:v>
              </c:pt>
              <c:pt idx="4">
                <c:v>2017/18</c:v>
              </c:pt>
              <c:pt idx="5">
                <c:v>2018/19</c:v>
              </c:pt>
              <c:pt idx="6">
                <c:v>2019/20</c:v>
              </c:pt>
              <c:pt idx="7">
                <c:v>2020/21</c:v>
              </c:pt>
              <c:pt idx="8">
                <c:v>2021/22</c:v>
              </c:pt>
              <c:pt idx="9">
                <c:v>2022/23</c:v>
              </c:pt>
            </c:strLit>
          </c:cat>
          <c:val>
            <c:numLit>
              <c:formatCode>General</c:formatCode>
              <c:ptCount val="10"/>
              <c:pt idx="0">
                <c:v>0</c:v>
              </c:pt>
              <c:pt idx="1">
                <c:v>0</c:v>
              </c:pt>
              <c:pt idx="2">
                <c:v>0</c:v>
              </c:pt>
              <c:pt idx="3">
                <c:v>0</c:v>
              </c:pt>
              <c:pt idx="4">
                <c:v>0</c:v>
              </c:pt>
              <c:pt idx="5">
                <c:v>2287</c:v>
              </c:pt>
              <c:pt idx="6">
                <c:v>7942</c:v>
              </c:pt>
              <c:pt idx="7">
                <c:v>13353</c:v>
              </c:pt>
              <c:pt idx="8">
                <c:v>22046</c:v>
              </c:pt>
              <c:pt idx="9">
                <c:v>32911</c:v>
              </c:pt>
            </c:numLit>
          </c:val>
          <c:smooth val="0"/>
          <c:extLst>
            <c:ext xmlns:c16="http://schemas.microsoft.com/office/drawing/2014/chart" uri="{C3380CC4-5D6E-409C-BE32-E72D297353CC}">
              <c16:uniqueId val="{00000003-CF71-4E5E-B0CD-57ADCE746B15}"/>
            </c:ext>
          </c:extLst>
        </c:ser>
        <c:ser>
          <c:idx val="2"/>
          <c:order val="4"/>
          <c:tx>
            <c:v>Lisdexamfetamine</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Lit>
              <c:ptCount val="10"/>
              <c:pt idx="0">
                <c:v>2013/14</c:v>
              </c:pt>
              <c:pt idx="1">
                <c:v>2014/15</c:v>
              </c:pt>
              <c:pt idx="2">
                <c:v>2015/16</c:v>
              </c:pt>
              <c:pt idx="3">
                <c:v>2016/17</c:v>
              </c:pt>
              <c:pt idx="4">
                <c:v>2017/18</c:v>
              </c:pt>
              <c:pt idx="5">
                <c:v>2018/19</c:v>
              </c:pt>
              <c:pt idx="6">
                <c:v>2019/20</c:v>
              </c:pt>
              <c:pt idx="7">
                <c:v>2020/21</c:v>
              </c:pt>
              <c:pt idx="8">
                <c:v>2021/22</c:v>
              </c:pt>
              <c:pt idx="9">
                <c:v>2022/23</c:v>
              </c:pt>
            </c:strLit>
          </c:cat>
          <c:val>
            <c:numLit>
              <c:formatCode>General</c:formatCode>
              <c:ptCount val="10"/>
              <c:pt idx="0">
                <c:v>0</c:v>
              </c:pt>
              <c:pt idx="1">
                <c:v>0</c:v>
              </c:pt>
              <c:pt idx="2">
                <c:v>10021</c:v>
              </c:pt>
              <c:pt idx="3">
                <c:v>24369</c:v>
              </c:pt>
              <c:pt idx="4">
                <c:v>36813</c:v>
              </c:pt>
              <c:pt idx="5">
                <c:v>53207</c:v>
              </c:pt>
              <c:pt idx="6">
                <c:v>72309</c:v>
              </c:pt>
              <c:pt idx="7">
                <c:v>139803</c:v>
              </c:pt>
              <c:pt idx="8">
                <c:v>383797</c:v>
              </c:pt>
              <c:pt idx="9">
                <c:v>672700</c:v>
              </c:pt>
            </c:numLit>
          </c:val>
          <c:smooth val="0"/>
          <c:extLst>
            <c:ext xmlns:c16="http://schemas.microsoft.com/office/drawing/2014/chart" uri="{C3380CC4-5D6E-409C-BE32-E72D297353CC}">
              <c16:uniqueId val="{00000004-CF71-4E5E-B0CD-57ADCE746B15}"/>
            </c:ext>
          </c:extLst>
        </c:ser>
        <c:ser>
          <c:idx val="4"/>
          <c:order val="5"/>
          <c:tx>
            <c:v>MPH-IR</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Lit>
              <c:ptCount val="10"/>
              <c:pt idx="0">
                <c:v>2013/14</c:v>
              </c:pt>
              <c:pt idx="1">
                <c:v>2014/15</c:v>
              </c:pt>
              <c:pt idx="2">
                <c:v>2015/16</c:v>
              </c:pt>
              <c:pt idx="3">
                <c:v>2016/17</c:v>
              </c:pt>
              <c:pt idx="4">
                <c:v>2017/18</c:v>
              </c:pt>
              <c:pt idx="5">
                <c:v>2018/19</c:v>
              </c:pt>
              <c:pt idx="6">
                <c:v>2019/20</c:v>
              </c:pt>
              <c:pt idx="7">
                <c:v>2020/21</c:v>
              </c:pt>
              <c:pt idx="8">
                <c:v>2021/22</c:v>
              </c:pt>
              <c:pt idx="9">
                <c:v>2022/23</c:v>
              </c:pt>
            </c:strLit>
          </c:cat>
          <c:val>
            <c:numLit>
              <c:formatCode>General</c:formatCode>
              <c:ptCount val="10"/>
              <c:pt idx="0">
                <c:v>41716</c:v>
              </c:pt>
              <c:pt idx="1">
                <c:v>46311</c:v>
              </c:pt>
              <c:pt idx="2">
                <c:v>51437</c:v>
              </c:pt>
              <c:pt idx="3">
                <c:v>56837</c:v>
              </c:pt>
              <c:pt idx="4">
                <c:v>63448</c:v>
              </c:pt>
              <c:pt idx="5">
                <c:v>72141</c:v>
              </c:pt>
              <c:pt idx="6">
                <c:v>85202</c:v>
              </c:pt>
              <c:pt idx="7">
                <c:v>105898</c:v>
              </c:pt>
              <c:pt idx="8">
                <c:v>130802</c:v>
              </c:pt>
              <c:pt idx="9">
                <c:v>160579</c:v>
              </c:pt>
            </c:numLit>
          </c:val>
          <c:smooth val="0"/>
          <c:extLst>
            <c:ext xmlns:c16="http://schemas.microsoft.com/office/drawing/2014/chart" uri="{C3380CC4-5D6E-409C-BE32-E72D297353CC}">
              <c16:uniqueId val="{00000005-CF71-4E5E-B0CD-57ADCE746B15}"/>
            </c:ext>
          </c:extLst>
        </c:ser>
        <c:ser>
          <c:idx val="3"/>
          <c:order val="6"/>
          <c:tx>
            <c:v>MPH-MR</c:v>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Lit>
              <c:ptCount val="10"/>
              <c:pt idx="0">
                <c:v>2013/14</c:v>
              </c:pt>
              <c:pt idx="1">
                <c:v>2014/15</c:v>
              </c:pt>
              <c:pt idx="2">
                <c:v>2015/16</c:v>
              </c:pt>
              <c:pt idx="3">
                <c:v>2016/17</c:v>
              </c:pt>
              <c:pt idx="4">
                <c:v>2017/18</c:v>
              </c:pt>
              <c:pt idx="5">
                <c:v>2018/19</c:v>
              </c:pt>
              <c:pt idx="6">
                <c:v>2019/20</c:v>
              </c:pt>
              <c:pt idx="7">
                <c:v>2020/21</c:v>
              </c:pt>
              <c:pt idx="8">
                <c:v>2021/22</c:v>
              </c:pt>
              <c:pt idx="9">
                <c:v>2022/23</c:v>
              </c:pt>
            </c:strLit>
          </c:cat>
          <c:val>
            <c:numLit>
              <c:formatCode>General</c:formatCode>
              <c:ptCount val="10"/>
              <c:pt idx="0">
                <c:v>44164</c:v>
              </c:pt>
              <c:pt idx="1">
                <c:v>50469</c:v>
              </c:pt>
              <c:pt idx="2">
                <c:v>58024</c:v>
              </c:pt>
              <c:pt idx="3">
                <c:v>65660</c:v>
              </c:pt>
              <c:pt idx="4">
                <c:v>74352</c:v>
              </c:pt>
              <c:pt idx="5">
                <c:v>82693</c:v>
              </c:pt>
              <c:pt idx="6">
                <c:v>94461</c:v>
              </c:pt>
              <c:pt idx="7">
                <c:v>110122</c:v>
              </c:pt>
              <c:pt idx="8">
                <c:v>127118</c:v>
              </c:pt>
              <c:pt idx="9">
                <c:v>151263</c:v>
              </c:pt>
            </c:numLit>
          </c:val>
          <c:smooth val="0"/>
          <c:extLst>
            <c:ext xmlns:c16="http://schemas.microsoft.com/office/drawing/2014/chart" uri="{C3380CC4-5D6E-409C-BE32-E72D297353CC}">
              <c16:uniqueId val="{00000006-CF71-4E5E-B0CD-57ADCE746B15}"/>
            </c:ext>
          </c:extLst>
        </c:ser>
        <c:dLbls>
          <c:showLegendKey val="0"/>
          <c:showVal val="0"/>
          <c:showCatName val="0"/>
          <c:showSerName val="0"/>
          <c:showPercent val="0"/>
          <c:showBubbleSize val="0"/>
        </c:dLbls>
        <c:marker val="1"/>
        <c:smooth val="0"/>
        <c:axId val="309192360"/>
        <c:axId val="369584912"/>
      </c:lineChart>
      <c:catAx>
        <c:axId val="3091923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 of supply</a:t>
                </a:r>
              </a:p>
            </c:rich>
          </c:tx>
          <c:layout>
            <c:manualLayout>
              <c:xMode val="edge"/>
              <c:yMode val="edge"/>
              <c:x val="0.48359646934228501"/>
              <c:y val="0.8249820558144517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9584912"/>
        <c:crosses val="autoZero"/>
        <c:auto val="1"/>
        <c:lblAlgn val="ctr"/>
        <c:lblOffset val="100"/>
        <c:noMultiLvlLbl val="0"/>
      </c:catAx>
      <c:valAx>
        <c:axId val="369584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Prescriptions</a:t>
                </a:r>
              </a:p>
            </c:rich>
          </c:tx>
          <c:layout>
            <c:manualLayout>
              <c:xMode val="edge"/>
              <c:yMode val="edge"/>
              <c:x val="1.3294925769997783E-2"/>
              <c:y val="0.2779956076918956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192360"/>
        <c:crosses val="autoZero"/>
        <c:crossBetween val="between"/>
      </c:valAx>
      <c:spPr>
        <a:noFill/>
        <a:ln>
          <a:noFill/>
        </a:ln>
        <a:effectLst/>
      </c:spPr>
    </c:plotArea>
    <c:legend>
      <c:legendPos val="b"/>
      <c:layout>
        <c:manualLayout>
          <c:xMode val="edge"/>
          <c:yMode val="edge"/>
          <c:x val="8.0726021589424074E-2"/>
          <c:y val="0.88970860785258987"/>
          <c:w val="0.86717598975891996"/>
          <c:h val="9.881541593015158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extLst/>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[D1498 - treat rate figs 910 Table5 by therapy (excld clonidine).xlsx]Sheet1 (3)!PivotTable1</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8.7867671957445173E-2"/>
          <c:y val="4.4656334080791393E-2"/>
          <c:w val="0.90268008006892442"/>
          <c:h val="0.72704903475850569"/>
        </c:manualLayout>
      </c:layout>
      <c:barChart>
        <c:barDir val="col"/>
        <c:grouping val="clustered"/>
        <c:varyColors val="0"/>
        <c:ser>
          <c:idx val="0"/>
          <c:order val="0"/>
          <c:tx>
            <c:strRef>
              <c:f>'Sheet1 (3)'!$B$5:$B$6</c:f>
              <c:strCache>
                <c:ptCount val="1"/>
                <c:pt idx="0">
                  <c:v>2016/17</c:v>
                </c:pt>
              </c:strCache>
            </c:strRef>
          </c:tx>
          <c:spPr>
            <a:solidFill>
              <a:schemeClr val="accent1"/>
            </a:solidFill>
            <a:ln>
              <a:noFill/>
            </a:ln>
            <a:effectLst/>
          </c:spPr>
          <c:invertIfNegative val="0"/>
          <c:cat>
            <c:multiLvlStrRef>
              <c:f>'Sheet1 (3)'!$A$7:$A$47</c:f>
              <c:multiLvlStrCache>
                <c:ptCount val="32"/>
                <c:lvl>
                  <c:pt idx="0">
                    <c:v>&lt; 6 years</c:v>
                  </c:pt>
                  <c:pt idx="1">
                    <c:v> 6-12 years</c:v>
                  </c:pt>
                  <c:pt idx="2">
                    <c:v>13-18 years</c:v>
                  </c:pt>
                  <c:pt idx="3">
                    <c:v>&gt;18 years</c:v>
                  </c:pt>
                  <c:pt idx="4">
                    <c:v>&lt; 6 years</c:v>
                  </c:pt>
                  <c:pt idx="5">
                    <c:v> 6-12 years</c:v>
                  </c:pt>
                  <c:pt idx="6">
                    <c:v>13-18 years</c:v>
                  </c:pt>
                  <c:pt idx="7">
                    <c:v>&gt;18 years</c:v>
                  </c:pt>
                  <c:pt idx="8">
                    <c:v>&lt; 6 years</c:v>
                  </c:pt>
                  <c:pt idx="9">
                    <c:v> 6-12 years</c:v>
                  </c:pt>
                  <c:pt idx="10">
                    <c:v>13-18 years</c:v>
                  </c:pt>
                  <c:pt idx="11">
                    <c:v>&gt;18 years</c:v>
                  </c:pt>
                  <c:pt idx="12">
                    <c:v>&lt; 6 years</c:v>
                  </c:pt>
                  <c:pt idx="13">
                    <c:v> 6-12 years</c:v>
                  </c:pt>
                  <c:pt idx="14">
                    <c:v>13-18 years</c:v>
                  </c:pt>
                  <c:pt idx="15">
                    <c:v>&gt;18 years</c:v>
                  </c:pt>
                  <c:pt idx="16">
                    <c:v>&lt; 6 years</c:v>
                  </c:pt>
                  <c:pt idx="17">
                    <c:v> 6-12 years</c:v>
                  </c:pt>
                  <c:pt idx="18">
                    <c:v>13-18 years</c:v>
                  </c:pt>
                  <c:pt idx="19">
                    <c:v>&gt;18 years</c:v>
                  </c:pt>
                  <c:pt idx="20">
                    <c:v>&lt; 6 years</c:v>
                  </c:pt>
                  <c:pt idx="21">
                    <c:v> 6-12 years</c:v>
                  </c:pt>
                  <c:pt idx="22">
                    <c:v>13-18 years</c:v>
                  </c:pt>
                  <c:pt idx="23">
                    <c:v>&gt;18 years</c:v>
                  </c:pt>
                  <c:pt idx="24">
                    <c:v>&lt; 6 years</c:v>
                  </c:pt>
                  <c:pt idx="25">
                    <c:v> 6-12 years</c:v>
                  </c:pt>
                  <c:pt idx="26">
                    <c:v>13-18 years</c:v>
                  </c:pt>
                  <c:pt idx="27">
                    <c:v>&gt;18 years</c:v>
                  </c:pt>
                  <c:pt idx="28">
                    <c:v>&lt; 6 years</c:v>
                  </c:pt>
                  <c:pt idx="29">
                    <c:v> 6-12 years</c:v>
                  </c:pt>
                  <c:pt idx="30">
                    <c:v>13-18 years</c:v>
                  </c:pt>
                  <c:pt idx="31">
                    <c:v>&gt;18 years</c:v>
                  </c:pt>
                </c:lvl>
                <c:lvl>
                  <c:pt idx="0">
                    <c:v>ACT</c:v>
                  </c:pt>
                  <c:pt idx="4">
                    <c:v>NSW</c:v>
                  </c:pt>
                  <c:pt idx="8">
                    <c:v>NT</c:v>
                  </c:pt>
                  <c:pt idx="12">
                    <c:v>QLD</c:v>
                  </c:pt>
                  <c:pt idx="16">
                    <c:v>SA</c:v>
                  </c:pt>
                  <c:pt idx="20">
                    <c:v>TAS</c:v>
                  </c:pt>
                  <c:pt idx="24">
                    <c:v>VIC</c:v>
                  </c:pt>
                  <c:pt idx="28">
                    <c:v>WA</c:v>
                  </c:pt>
                </c:lvl>
              </c:multiLvlStrCache>
            </c:multiLvlStrRef>
          </c:cat>
          <c:val>
            <c:numRef>
              <c:f>'Sheet1 (3)'!$B$7:$B$47</c:f>
              <c:numCache>
                <c:formatCode>General</c:formatCode>
                <c:ptCount val="32"/>
                <c:pt idx="0">
                  <c:v>1.036607037</c:v>
                </c:pt>
                <c:pt idx="1">
                  <c:v>33.732724189499997</c:v>
                </c:pt>
                <c:pt idx="2">
                  <c:v>21.0162083405</c:v>
                </c:pt>
                <c:pt idx="3">
                  <c:v>3.3069313925000001</c:v>
                </c:pt>
                <c:pt idx="4">
                  <c:v>2.0739567682000004</c:v>
                </c:pt>
                <c:pt idx="5">
                  <c:v>35.743159865399996</c:v>
                </c:pt>
                <c:pt idx="6">
                  <c:v>24.9550367911</c:v>
                </c:pt>
                <c:pt idx="7">
                  <c:v>2.6935404122</c:v>
                </c:pt>
                <c:pt idx="8">
                  <c:v>1.3032712108000002</c:v>
                </c:pt>
                <c:pt idx="9">
                  <c:v>26.6125394679</c:v>
                </c:pt>
                <c:pt idx="10">
                  <c:v>10.803732198400001</c:v>
                </c:pt>
                <c:pt idx="11">
                  <c:v>1.4186755333000001</c:v>
                </c:pt>
                <c:pt idx="12">
                  <c:v>2.2395860554999998</c:v>
                </c:pt>
                <c:pt idx="13">
                  <c:v>39.904310199500003</c:v>
                </c:pt>
                <c:pt idx="14">
                  <c:v>21.5762612057</c:v>
                </c:pt>
                <c:pt idx="15">
                  <c:v>2.6268016432999999</c:v>
                </c:pt>
                <c:pt idx="16">
                  <c:v>1.0535272903999999</c:v>
                </c:pt>
                <c:pt idx="17">
                  <c:v>16.742982977299999</c:v>
                </c:pt>
                <c:pt idx="18">
                  <c:v>8.6689872367999996</c:v>
                </c:pt>
                <c:pt idx="19">
                  <c:v>1.5620536722</c:v>
                </c:pt>
                <c:pt idx="20">
                  <c:v>2.4297981611000004</c:v>
                </c:pt>
                <c:pt idx="21">
                  <c:v>32.301032301399999</c:v>
                </c:pt>
                <c:pt idx="22">
                  <c:v>21.087060575000002</c:v>
                </c:pt>
                <c:pt idx="23">
                  <c:v>1.7907827067000002</c:v>
                </c:pt>
                <c:pt idx="24">
                  <c:v>1.2861603357</c:v>
                </c:pt>
                <c:pt idx="25">
                  <c:v>22.1959907301</c:v>
                </c:pt>
                <c:pt idx="26">
                  <c:v>13.854073826600001</c:v>
                </c:pt>
                <c:pt idx="27">
                  <c:v>1.7030951959</c:v>
                </c:pt>
                <c:pt idx="28">
                  <c:v>1.4745069315000001</c:v>
                </c:pt>
                <c:pt idx="29">
                  <c:v>29.862803034199999</c:v>
                </c:pt>
                <c:pt idx="30">
                  <c:v>20.915282982699999</c:v>
                </c:pt>
                <c:pt idx="31">
                  <c:v>6.543577849200001</c:v>
                </c:pt>
              </c:numCache>
            </c:numRef>
          </c:val>
          <c:extLst>
            <c:ext xmlns:c16="http://schemas.microsoft.com/office/drawing/2014/chart" uri="{C3380CC4-5D6E-409C-BE32-E72D297353CC}">
              <c16:uniqueId val="{00000000-482D-49FF-8D97-6CDCDCAB825A}"/>
            </c:ext>
          </c:extLst>
        </c:ser>
        <c:ser>
          <c:idx val="1"/>
          <c:order val="1"/>
          <c:tx>
            <c:strRef>
              <c:f>'Sheet1 (3)'!$C$5:$C$6</c:f>
              <c:strCache>
                <c:ptCount val="1"/>
                <c:pt idx="0">
                  <c:v>2017/18</c:v>
                </c:pt>
              </c:strCache>
            </c:strRef>
          </c:tx>
          <c:spPr>
            <a:solidFill>
              <a:schemeClr val="accent2"/>
            </a:solidFill>
            <a:ln>
              <a:noFill/>
            </a:ln>
            <a:effectLst/>
          </c:spPr>
          <c:invertIfNegative val="0"/>
          <c:cat>
            <c:multiLvlStrRef>
              <c:f>'Sheet1 (3)'!$A$7:$A$47</c:f>
              <c:multiLvlStrCache>
                <c:ptCount val="32"/>
                <c:lvl>
                  <c:pt idx="0">
                    <c:v>&lt; 6 years</c:v>
                  </c:pt>
                  <c:pt idx="1">
                    <c:v> 6-12 years</c:v>
                  </c:pt>
                  <c:pt idx="2">
                    <c:v>13-18 years</c:v>
                  </c:pt>
                  <c:pt idx="3">
                    <c:v>&gt;18 years</c:v>
                  </c:pt>
                  <c:pt idx="4">
                    <c:v>&lt; 6 years</c:v>
                  </c:pt>
                  <c:pt idx="5">
                    <c:v> 6-12 years</c:v>
                  </c:pt>
                  <c:pt idx="6">
                    <c:v>13-18 years</c:v>
                  </c:pt>
                  <c:pt idx="7">
                    <c:v>&gt;18 years</c:v>
                  </c:pt>
                  <c:pt idx="8">
                    <c:v>&lt; 6 years</c:v>
                  </c:pt>
                  <c:pt idx="9">
                    <c:v> 6-12 years</c:v>
                  </c:pt>
                  <c:pt idx="10">
                    <c:v>13-18 years</c:v>
                  </c:pt>
                  <c:pt idx="11">
                    <c:v>&gt;18 years</c:v>
                  </c:pt>
                  <c:pt idx="12">
                    <c:v>&lt; 6 years</c:v>
                  </c:pt>
                  <c:pt idx="13">
                    <c:v> 6-12 years</c:v>
                  </c:pt>
                  <c:pt idx="14">
                    <c:v>13-18 years</c:v>
                  </c:pt>
                  <c:pt idx="15">
                    <c:v>&gt;18 years</c:v>
                  </c:pt>
                  <c:pt idx="16">
                    <c:v>&lt; 6 years</c:v>
                  </c:pt>
                  <c:pt idx="17">
                    <c:v> 6-12 years</c:v>
                  </c:pt>
                  <c:pt idx="18">
                    <c:v>13-18 years</c:v>
                  </c:pt>
                  <c:pt idx="19">
                    <c:v>&gt;18 years</c:v>
                  </c:pt>
                  <c:pt idx="20">
                    <c:v>&lt; 6 years</c:v>
                  </c:pt>
                  <c:pt idx="21">
                    <c:v> 6-12 years</c:v>
                  </c:pt>
                  <c:pt idx="22">
                    <c:v>13-18 years</c:v>
                  </c:pt>
                  <c:pt idx="23">
                    <c:v>&gt;18 years</c:v>
                  </c:pt>
                  <c:pt idx="24">
                    <c:v>&lt; 6 years</c:v>
                  </c:pt>
                  <c:pt idx="25">
                    <c:v> 6-12 years</c:v>
                  </c:pt>
                  <c:pt idx="26">
                    <c:v>13-18 years</c:v>
                  </c:pt>
                  <c:pt idx="27">
                    <c:v>&gt;18 years</c:v>
                  </c:pt>
                  <c:pt idx="28">
                    <c:v>&lt; 6 years</c:v>
                  </c:pt>
                  <c:pt idx="29">
                    <c:v> 6-12 years</c:v>
                  </c:pt>
                  <c:pt idx="30">
                    <c:v>13-18 years</c:v>
                  </c:pt>
                  <c:pt idx="31">
                    <c:v>&gt;18 years</c:v>
                  </c:pt>
                </c:lvl>
                <c:lvl>
                  <c:pt idx="0">
                    <c:v>ACT</c:v>
                  </c:pt>
                  <c:pt idx="4">
                    <c:v>NSW</c:v>
                  </c:pt>
                  <c:pt idx="8">
                    <c:v>NT</c:v>
                  </c:pt>
                  <c:pt idx="12">
                    <c:v>QLD</c:v>
                  </c:pt>
                  <c:pt idx="16">
                    <c:v>SA</c:v>
                  </c:pt>
                  <c:pt idx="20">
                    <c:v>TAS</c:v>
                  </c:pt>
                  <c:pt idx="24">
                    <c:v>VIC</c:v>
                  </c:pt>
                  <c:pt idx="28">
                    <c:v>WA</c:v>
                  </c:pt>
                </c:lvl>
              </c:multiLvlStrCache>
            </c:multiLvlStrRef>
          </c:cat>
          <c:val>
            <c:numRef>
              <c:f>'Sheet1 (3)'!$C$7:$C$47</c:f>
              <c:numCache>
                <c:formatCode>General</c:formatCode>
                <c:ptCount val="32"/>
                <c:pt idx="0">
                  <c:v>0.94048493759999996</c:v>
                </c:pt>
                <c:pt idx="1">
                  <c:v>36.825080865499999</c:v>
                </c:pt>
                <c:pt idx="2">
                  <c:v>24.799680940000002</c:v>
                </c:pt>
                <c:pt idx="3">
                  <c:v>3.7472846332999996</c:v>
                </c:pt>
                <c:pt idx="4">
                  <c:v>2.3130594941</c:v>
                </c:pt>
                <c:pt idx="5">
                  <c:v>38.492766141099999</c:v>
                </c:pt>
                <c:pt idx="6">
                  <c:v>26.930154557800002</c:v>
                </c:pt>
                <c:pt idx="7">
                  <c:v>3.0171678944999996</c:v>
                </c:pt>
                <c:pt idx="8">
                  <c:v>1.6885886953</c:v>
                </c:pt>
                <c:pt idx="9">
                  <c:v>34.3477558931</c:v>
                </c:pt>
                <c:pt idx="10">
                  <c:v>11.8423924907</c:v>
                </c:pt>
                <c:pt idx="11">
                  <c:v>1.7268584416999999</c:v>
                </c:pt>
                <c:pt idx="12">
                  <c:v>2.4598863381</c:v>
                </c:pt>
                <c:pt idx="13">
                  <c:v>43.8549834429</c:v>
                </c:pt>
                <c:pt idx="14">
                  <c:v>23.811446072000003</c:v>
                </c:pt>
                <c:pt idx="15">
                  <c:v>2.9476172714</c:v>
                </c:pt>
                <c:pt idx="16">
                  <c:v>1.3098220279999999</c:v>
                </c:pt>
                <c:pt idx="17">
                  <c:v>19.302465009599999</c:v>
                </c:pt>
                <c:pt idx="18">
                  <c:v>9.5499879587999992</c:v>
                </c:pt>
                <c:pt idx="19">
                  <c:v>1.7034479157</c:v>
                </c:pt>
                <c:pt idx="20">
                  <c:v>3.3210538064999997</c:v>
                </c:pt>
                <c:pt idx="21">
                  <c:v>36.7244675934</c:v>
                </c:pt>
                <c:pt idx="22">
                  <c:v>23.250214041100001</c:v>
                </c:pt>
                <c:pt idx="23">
                  <c:v>2.0602569783</c:v>
                </c:pt>
                <c:pt idx="24">
                  <c:v>1.4954104605</c:v>
                </c:pt>
                <c:pt idx="25">
                  <c:v>24.745963577199998</c:v>
                </c:pt>
                <c:pt idx="26">
                  <c:v>15.4658463516</c:v>
                </c:pt>
                <c:pt idx="27">
                  <c:v>1.9284000888000001</c:v>
                </c:pt>
                <c:pt idx="28">
                  <c:v>1.5162089961999998</c:v>
                </c:pt>
                <c:pt idx="29">
                  <c:v>33.858838797900006</c:v>
                </c:pt>
                <c:pt idx="30">
                  <c:v>23.4747938173</c:v>
                </c:pt>
                <c:pt idx="31">
                  <c:v>6.9725886975</c:v>
                </c:pt>
              </c:numCache>
            </c:numRef>
          </c:val>
          <c:extLst>
            <c:ext xmlns:c16="http://schemas.microsoft.com/office/drawing/2014/chart" uri="{C3380CC4-5D6E-409C-BE32-E72D297353CC}">
              <c16:uniqueId val="{00000001-482D-49FF-8D97-6CDCDCAB825A}"/>
            </c:ext>
          </c:extLst>
        </c:ser>
        <c:ser>
          <c:idx val="2"/>
          <c:order val="2"/>
          <c:tx>
            <c:strRef>
              <c:f>'Sheet1 (3)'!$D$5:$D$6</c:f>
              <c:strCache>
                <c:ptCount val="1"/>
                <c:pt idx="0">
                  <c:v>2018/19</c:v>
                </c:pt>
              </c:strCache>
            </c:strRef>
          </c:tx>
          <c:spPr>
            <a:solidFill>
              <a:schemeClr val="accent3"/>
            </a:solidFill>
            <a:ln>
              <a:noFill/>
            </a:ln>
            <a:effectLst/>
          </c:spPr>
          <c:invertIfNegative val="0"/>
          <c:cat>
            <c:multiLvlStrRef>
              <c:f>'Sheet1 (3)'!$A$7:$A$47</c:f>
              <c:multiLvlStrCache>
                <c:ptCount val="32"/>
                <c:lvl>
                  <c:pt idx="0">
                    <c:v>&lt; 6 years</c:v>
                  </c:pt>
                  <c:pt idx="1">
                    <c:v> 6-12 years</c:v>
                  </c:pt>
                  <c:pt idx="2">
                    <c:v>13-18 years</c:v>
                  </c:pt>
                  <c:pt idx="3">
                    <c:v>&gt;18 years</c:v>
                  </c:pt>
                  <c:pt idx="4">
                    <c:v>&lt; 6 years</c:v>
                  </c:pt>
                  <c:pt idx="5">
                    <c:v> 6-12 years</c:v>
                  </c:pt>
                  <c:pt idx="6">
                    <c:v>13-18 years</c:v>
                  </c:pt>
                  <c:pt idx="7">
                    <c:v>&gt;18 years</c:v>
                  </c:pt>
                  <c:pt idx="8">
                    <c:v>&lt; 6 years</c:v>
                  </c:pt>
                  <c:pt idx="9">
                    <c:v> 6-12 years</c:v>
                  </c:pt>
                  <c:pt idx="10">
                    <c:v>13-18 years</c:v>
                  </c:pt>
                  <c:pt idx="11">
                    <c:v>&gt;18 years</c:v>
                  </c:pt>
                  <c:pt idx="12">
                    <c:v>&lt; 6 years</c:v>
                  </c:pt>
                  <c:pt idx="13">
                    <c:v> 6-12 years</c:v>
                  </c:pt>
                  <c:pt idx="14">
                    <c:v>13-18 years</c:v>
                  </c:pt>
                  <c:pt idx="15">
                    <c:v>&gt;18 years</c:v>
                  </c:pt>
                  <c:pt idx="16">
                    <c:v>&lt; 6 years</c:v>
                  </c:pt>
                  <c:pt idx="17">
                    <c:v> 6-12 years</c:v>
                  </c:pt>
                  <c:pt idx="18">
                    <c:v>13-18 years</c:v>
                  </c:pt>
                  <c:pt idx="19">
                    <c:v>&gt;18 years</c:v>
                  </c:pt>
                  <c:pt idx="20">
                    <c:v>&lt; 6 years</c:v>
                  </c:pt>
                  <c:pt idx="21">
                    <c:v> 6-12 years</c:v>
                  </c:pt>
                  <c:pt idx="22">
                    <c:v>13-18 years</c:v>
                  </c:pt>
                  <c:pt idx="23">
                    <c:v>&gt;18 years</c:v>
                  </c:pt>
                  <c:pt idx="24">
                    <c:v>&lt; 6 years</c:v>
                  </c:pt>
                  <c:pt idx="25">
                    <c:v> 6-12 years</c:v>
                  </c:pt>
                  <c:pt idx="26">
                    <c:v>13-18 years</c:v>
                  </c:pt>
                  <c:pt idx="27">
                    <c:v>&gt;18 years</c:v>
                  </c:pt>
                  <c:pt idx="28">
                    <c:v>&lt; 6 years</c:v>
                  </c:pt>
                  <c:pt idx="29">
                    <c:v> 6-12 years</c:v>
                  </c:pt>
                  <c:pt idx="30">
                    <c:v>13-18 years</c:v>
                  </c:pt>
                  <c:pt idx="31">
                    <c:v>&gt;18 years</c:v>
                  </c:pt>
                </c:lvl>
                <c:lvl>
                  <c:pt idx="0">
                    <c:v>ACT</c:v>
                  </c:pt>
                  <c:pt idx="4">
                    <c:v>NSW</c:v>
                  </c:pt>
                  <c:pt idx="8">
                    <c:v>NT</c:v>
                  </c:pt>
                  <c:pt idx="12">
                    <c:v>QLD</c:v>
                  </c:pt>
                  <c:pt idx="16">
                    <c:v>SA</c:v>
                  </c:pt>
                  <c:pt idx="20">
                    <c:v>TAS</c:v>
                  </c:pt>
                  <c:pt idx="24">
                    <c:v>VIC</c:v>
                  </c:pt>
                  <c:pt idx="28">
                    <c:v>WA</c:v>
                  </c:pt>
                </c:lvl>
              </c:multiLvlStrCache>
            </c:multiLvlStrRef>
          </c:cat>
          <c:val>
            <c:numRef>
              <c:f>'Sheet1 (3)'!$D$7:$D$47</c:f>
              <c:numCache>
                <c:formatCode>General</c:formatCode>
                <c:ptCount val="32"/>
                <c:pt idx="0">
                  <c:v>1.4194044417000002</c:v>
                </c:pt>
                <c:pt idx="1">
                  <c:v>43.042028019100002</c:v>
                </c:pt>
                <c:pt idx="2">
                  <c:v>29.802744425099998</c:v>
                </c:pt>
                <c:pt idx="3">
                  <c:v>4.4181257389999997</c:v>
                </c:pt>
                <c:pt idx="4">
                  <c:v>2.6595213526000001</c:v>
                </c:pt>
                <c:pt idx="5">
                  <c:v>42.414575166900001</c:v>
                </c:pt>
                <c:pt idx="6">
                  <c:v>29.874115025400002</c:v>
                </c:pt>
                <c:pt idx="7">
                  <c:v>3.442921583</c:v>
                </c:pt>
                <c:pt idx="8">
                  <c:v>2.7092804334</c:v>
                </c:pt>
                <c:pt idx="9">
                  <c:v>39.003250270700008</c:v>
                </c:pt>
                <c:pt idx="10">
                  <c:v>16.253995774</c:v>
                </c:pt>
                <c:pt idx="11">
                  <c:v>2.0150464178999998</c:v>
                </c:pt>
                <c:pt idx="12">
                  <c:v>2.8015011029000001</c:v>
                </c:pt>
                <c:pt idx="13">
                  <c:v>49.1233096614</c:v>
                </c:pt>
                <c:pt idx="14">
                  <c:v>26.9571932568</c:v>
                </c:pt>
                <c:pt idx="15">
                  <c:v>3.2789910248999998</c:v>
                </c:pt>
                <c:pt idx="16">
                  <c:v>1.5464258542</c:v>
                </c:pt>
                <c:pt idx="17">
                  <c:v>22.477559812199999</c:v>
                </c:pt>
                <c:pt idx="18">
                  <c:v>10.572614107799998</c:v>
                </c:pt>
                <c:pt idx="19">
                  <c:v>1.8664192868</c:v>
                </c:pt>
                <c:pt idx="20">
                  <c:v>3.4833417607000001</c:v>
                </c:pt>
                <c:pt idx="21">
                  <c:v>42.648217882499999</c:v>
                </c:pt>
                <c:pt idx="22">
                  <c:v>25.862990274800001</c:v>
                </c:pt>
                <c:pt idx="23">
                  <c:v>2.1521515464999998</c:v>
                </c:pt>
                <c:pt idx="24">
                  <c:v>1.9831301185999999</c:v>
                </c:pt>
                <c:pt idx="25">
                  <c:v>28.565298240200001</c:v>
                </c:pt>
                <c:pt idx="26">
                  <c:v>17.858234278199998</c:v>
                </c:pt>
                <c:pt idx="27">
                  <c:v>2.2993552515000002</c:v>
                </c:pt>
                <c:pt idx="28">
                  <c:v>1.7759589213</c:v>
                </c:pt>
                <c:pt idx="29">
                  <c:v>38.876736277500001</c:v>
                </c:pt>
                <c:pt idx="30">
                  <c:v>27.4227887598</c:v>
                </c:pt>
                <c:pt idx="31">
                  <c:v>7.7074080410999999</c:v>
                </c:pt>
              </c:numCache>
            </c:numRef>
          </c:val>
          <c:extLst>
            <c:ext xmlns:c16="http://schemas.microsoft.com/office/drawing/2014/chart" uri="{C3380CC4-5D6E-409C-BE32-E72D297353CC}">
              <c16:uniqueId val="{00000002-482D-49FF-8D97-6CDCDCAB825A}"/>
            </c:ext>
          </c:extLst>
        </c:ser>
        <c:ser>
          <c:idx val="3"/>
          <c:order val="3"/>
          <c:tx>
            <c:strRef>
              <c:f>'Sheet1 (3)'!$E$5:$E$6</c:f>
              <c:strCache>
                <c:ptCount val="1"/>
                <c:pt idx="0">
                  <c:v>2019/20</c:v>
                </c:pt>
              </c:strCache>
            </c:strRef>
          </c:tx>
          <c:spPr>
            <a:solidFill>
              <a:schemeClr val="accent4"/>
            </a:solidFill>
            <a:ln>
              <a:noFill/>
            </a:ln>
            <a:effectLst/>
          </c:spPr>
          <c:invertIfNegative val="0"/>
          <c:cat>
            <c:multiLvlStrRef>
              <c:f>'Sheet1 (3)'!$A$7:$A$47</c:f>
              <c:multiLvlStrCache>
                <c:ptCount val="32"/>
                <c:lvl>
                  <c:pt idx="0">
                    <c:v>&lt; 6 years</c:v>
                  </c:pt>
                  <c:pt idx="1">
                    <c:v> 6-12 years</c:v>
                  </c:pt>
                  <c:pt idx="2">
                    <c:v>13-18 years</c:v>
                  </c:pt>
                  <c:pt idx="3">
                    <c:v>&gt;18 years</c:v>
                  </c:pt>
                  <c:pt idx="4">
                    <c:v>&lt; 6 years</c:v>
                  </c:pt>
                  <c:pt idx="5">
                    <c:v> 6-12 years</c:v>
                  </c:pt>
                  <c:pt idx="6">
                    <c:v>13-18 years</c:v>
                  </c:pt>
                  <c:pt idx="7">
                    <c:v>&gt;18 years</c:v>
                  </c:pt>
                  <c:pt idx="8">
                    <c:v>&lt; 6 years</c:v>
                  </c:pt>
                  <c:pt idx="9">
                    <c:v> 6-12 years</c:v>
                  </c:pt>
                  <c:pt idx="10">
                    <c:v>13-18 years</c:v>
                  </c:pt>
                  <c:pt idx="11">
                    <c:v>&gt;18 years</c:v>
                  </c:pt>
                  <c:pt idx="12">
                    <c:v>&lt; 6 years</c:v>
                  </c:pt>
                  <c:pt idx="13">
                    <c:v> 6-12 years</c:v>
                  </c:pt>
                  <c:pt idx="14">
                    <c:v>13-18 years</c:v>
                  </c:pt>
                  <c:pt idx="15">
                    <c:v>&gt;18 years</c:v>
                  </c:pt>
                  <c:pt idx="16">
                    <c:v>&lt; 6 years</c:v>
                  </c:pt>
                  <c:pt idx="17">
                    <c:v> 6-12 years</c:v>
                  </c:pt>
                  <c:pt idx="18">
                    <c:v>13-18 years</c:v>
                  </c:pt>
                  <c:pt idx="19">
                    <c:v>&gt;18 years</c:v>
                  </c:pt>
                  <c:pt idx="20">
                    <c:v>&lt; 6 years</c:v>
                  </c:pt>
                  <c:pt idx="21">
                    <c:v> 6-12 years</c:v>
                  </c:pt>
                  <c:pt idx="22">
                    <c:v>13-18 years</c:v>
                  </c:pt>
                  <c:pt idx="23">
                    <c:v>&gt;18 years</c:v>
                  </c:pt>
                  <c:pt idx="24">
                    <c:v>&lt; 6 years</c:v>
                  </c:pt>
                  <c:pt idx="25">
                    <c:v> 6-12 years</c:v>
                  </c:pt>
                  <c:pt idx="26">
                    <c:v>13-18 years</c:v>
                  </c:pt>
                  <c:pt idx="27">
                    <c:v>&gt;18 years</c:v>
                  </c:pt>
                  <c:pt idx="28">
                    <c:v>&lt; 6 years</c:v>
                  </c:pt>
                  <c:pt idx="29">
                    <c:v> 6-12 years</c:v>
                  </c:pt>
                  <c:pt idx="30">
                    <c:v>13-18 years</c:v>
                  </c:pt>
                  <c:pt idx="31">
                    <c:v>&gt;18 years</c:v>
                  </c:pt>
                </c:lvl>
                <c:lvl>
                  <c:pt idx="0">
                    <c:v>ACT</c:v>
                  </c:pt>
                  <c:pt idx="4">
                    <c:v>NSW</c:v>
                  </c:pt>
                  <c:pt idx="8">
                    <c:v>NT</c:v>
                  </c:pt>
                  <c:pt idx="12">
                    <c:v>QLD</c:v>
                  </c:pt>
                  <c:pt idx="16">
                    <c:v>SA</c:v>
                  </c:pt>
                  <c:pt idx="20">
                    <c:v>TAS</c:v>
                  </c:pt>
                  <c:pt idx="24">
                    <c:v>VIC</c:v>
                  </c:pt>
                  <c:pt idx="28">
                    <c:v>WA</c:v>
                  </c:pt>
                </c:lvl>
              </c:multiLvlStrCache>
            </c:multiLvlStrRef>
          </c:cat>
          <c:val>
            <c:numRef>
              <c:f>'Sheet1 (3)'!$E$7:$E$47</c:f>
              <c:numCache>
                <c:formatCode>General</c:formatCode>
                <c:ptCount val="32"/>
                <c:pt idx="0">
                  <c:v>1.6576875259999999</c:v>
                </c:pt>
                <c:pt idx="1">
                  <c:v>49.491067718899998</c:v>
                </c:pt>
                <c:pt idx="2">
                  <c:v>37.200593513899996</c:v>
                </c:pt>
                <c:pt idx="3">
                  <c:v>5.6153200579</c:v>
                </c:pt>
                <c:pt idx="4">
                  <c:v>3.2401065797999995</c:v>
                </c:pt>
                <c:pt idx="5">
                  <c:v>47.038532562199997</c:v>
                </c:pt>
                <c:pt idx="6">
                  <c:v>34.458412843200001</c:v>
                </c:pt>
                <c:pt idx="7">
                  <c:v>4.0412121561000003</c:v>
                </c:pt>
                <c:pt idx="8">
                  <c:v>2.9281193916999997</c:v>
                </c:pt>
                <c:pt idx="9">
                  <c:v>47.064060539399996</c:v>
                </c:pt>
                <c:pt idx="10">
                  <c:v>17.668990111799999</c:v>
                </c:pt>
                <c:pt idx="11">
                  <c:v>2.1238115779999998</c:v>
                </c:pt>
                <c:pt idx="12">
                  <c:v>3.1279610927999992</c:v>
                </c:pt>
                <c:pt idx="13">
                  <c:v>54.571472610300006</c:v>
                </c:pt>
                <c:pt idx="14">
                  <c:v>31.721231060200001</c:v>
                </c:pt>
                <c:pt idx="15">
                  <c:v>3.7899550892999998</c:v>
                </c:pt>
                <c:pt idx="16">
                  <c:v>2.2584462557</c:v>
                </c:pt>
                <c:pt idx="17">
                  <c:v>26.447481704799998</c:v>
                </c:pt>
                <c:pt idx="18">
                  <c:v>12.707738517699998</c:v>
                </c:pt>
                <c:pt idx="19">
                  <c:v>2.1959402808999999</c:v>
                </c:pt>
                <c:pt idx="20">
                  <c:v>4.0805988629999996</c:v>
                </c:pt>
                <c:pt idx="21">
                  <c:v>51.310664740900009</c:v>
                </c:pt>
                <c:pt idx="22">
                  <c:v>30.642591609400004</c:v>
                </c:pt>
                <c:pt idx="23">
                  <c:v>2.6657574161000004</c:v>
                </c:pt>
                <c:pt idx="24">
                  <c:v>2.2186629185000006</c:v>
                </c:pt>
                <c:pt idx="25">
                  <c:v>32.736686753000001</c:v>
                </c:pt>
                <c:pt idx="26">
                  <c:v>21.3733271764</c:v>
                </c:pt>
                <c:pt idx="27">
                  <c:v>2.8123371816999998</c:v>
                </c:pt>
                <c:pt idx="28">
                  <c:v>2.1461504330999999</c:v>
                </c:pt>
                <c:pt idx="29">
                  <c:v>43.705333734899995</c:v>
                </c:pt>
                <c:pt idx="30">
                  <c:v>32.064607712300003</c:v>
                </c:pt>
                <c:pt idx="31">
                  <c:v>8.5548784071000004</c:v>
                </c:pt>
              </c:numCache>
            </c:numRef>
          </c:val>
          <c:extLst>
            <c:ext xmlns:c16="http://schemas.microsoft.com/office/drawing/2014/chart" uri="{C3380CC4-5D6E-409C-BE32-E72D297353CC}">
              <c16:uniqueId val="{00000003-482D-49FF-8D97-6CDCDCAB825A}"/>
            </c:ext>
          </c:extLst>
        </c:ser>
        <c:ser>
          <c:idx val="4"/>
          <c:order val="4"/>
          <c:tx>
            <c:strRef>
              <c:f>'Sheet1 (3)'!$F$5:$F$6</c:f>
              <c:strCache>
                <c:ptCount val="1"/>
                <c:pt idx="0">
                  <c:v>2020/21</c:v>
                </c:pt>
              </c:strCache>
            </c:strRef>
          </c:tx>
          <c:spPr>
            <a:solidFill>
              <a:schemeClr val="accent5"/>
            </a:solidFill>
            <a:ln>
              <a:noFill/>
            </a:ln>
            <a:effectLst/>
          </c:spPr>
          <c:invertIfNegative val="0"/>
          <c:cat>
            <c:multiLvlStrRef>
              <c:f>'Sheet1 (3)'!$A$7:$A$47</c:f>
              <c:multiLvlStrCache>
                <c:ptCount val="32"/>
                <c:lvl>
                  <c:pt idx="0">
                    <c:v>&lt; 6 years</c:v>
                  </c:pt>
                  <c:pt idx="1">
                    <c:v> 6-12 years</c:v>
                  </c:pt>
                  <c:pt idx="2">
                    <c:v>13-18 years</c:v>
                  </c:pt>
                  <c:pt idx="3">
                    <c:v>&gt;18 years</c:v>
                  </c:pt>
                  <c:pt idx="4">
                    <c:v>&lt; 6 years</c:v>
                  </c:pt>
                  <c:pt idx="5">
                    <c:v> 6-12 years</c:v>
                  </c:pt>
                  <c:pt idx="6">
                    <c:v>13-18 years</c:v>
                  </c:pt>
                  <c:pt idx="7">
                    <c:v>&gt;18 years</c:v>
                  </c:pt>
                  <c:pt idx="8">
                    <c:v>&lt; 6 years</c:v>
                  </c:pt>
                  <c:pt idx="9">
                    <c:v> 6-12 years</c:v>
                  </c:pt>
                  <c:pt idx="10">
                    <c:v>13-18 years</c:v>
                  </c:pt>
                  <c:pt idx="11">
                    <c:v>&gt;18 years</c:v>
                  </c:pt>
                  <c:pt idx="12">
                    <c:v>&lt; 6 years</c:v>
                  </c:pt>
                  <c:pt idx="13">
                    <c:v> 6-12 years</c:v>
                  </c:pt>
                  <c:pt idx="14">
                    <c:v>13-18 years</c:v>
                  </c:pt>
                  <c:pt idx="15">
                    <c:v>&gt;18 years</c:v>
                  </c:pt>
                  <c:pt idx="16">
                    <c:v>&lt; 6 years</c:v>
                  </c:pt>
                  <c:pt idx="17">
                    <c:v> 6-12 years</c:v>
                  </c:pt>
                  <c:pt idx="18">
                    <c:v>13-18 years</c:v>
                  </c:pt>
                  <c:pt idx="19">
                    <c:v>&gt;18 years</c:v>
                  </c:pt>
                  <c:pt idx="20">
                    <c:v>&lt; 6 years</c:v>
                  </c:pt>
                  <c:pt idx="21">
                    <c:v> 6-12 years</c:v>
                  </c:pt>
                  <c:pt idx="22">
                    <c:v>13-18 years</c:v>
                  </c:pt>
                  <c:pt idx="23">
                    <c:v>&gt;18 years</c:v>
                  </c:pt>
                  <c:pt idx="24">
                    <c:v>&lt; 6 years</c:v>
                  </c:pt>
                  <c:pt idx="25">
                    <c:v> 6-12 years</c:v>
                  </c:pt>
                  <c:pt idx="26">
                    <c:v>13-18 years</c:v>
                  </c:pt>
                  <c:pt idx="27">
                    <c:v>&gt;18 years</c:v>
                  </c:pt>
                  <c:pt idx="28">
                    <c:v>&lt; 6 years</c:v>
                  </c:pt>
                  <c:pt idx="29">
                    <c:v> 6-12 years</c:v>
                  </c:pt>
                  <c:pt idx="30">
                    <c:v>13-18 years</c:v>
                  </c:pt>
                  <c:pt idx="31">
                    <c:v>&gt;18 years</c:v>
                  </c:pt>
                </c:lvl>
                <c:lvl>
                  <c:pt idx="0">
                    <c:v>ACT</c:v>
                  </c:pt>
                  <c:pt idx="4">
                    <c:v>NSW</c:v>
                  </c:pt>
                  <c:pt idx="8">
                    <c:v>NT</c:v>
                  </c:pt>
                  <c:pt idx="12">
                    <c:v>QLD</c:v>
                  </c:pt>
                  <c:pt idx="16">
                    <c:v>SA</c:v>
                  </c:pt>
                  <c:pt idx="20">
                    <c:v>TAS</c:v>
                  </c:pt>
                  <c:pt idx="24">
                    <c:v>VIC</c:v>
                  </c:pt>
                  <c:pt idx="28">
                    <c:v>WA</c:v>
                  </c:pt>
                </c:lvl>
              </c:multiLvlStrCache>
            </c:multiLvlStrRef>
          </c:cat>
          <c:val>
            <c:numRef>
              <c:f>'Sheet1 (3)'!$F$7:$F$47</c:f>
              <c:numCache>
                <c:formatCode>General</c:formatCode>
                <c:ptCount val="32"/>
                <c:pt idx="0">
                  <c:v>1.9249857129999999</c:v>
                </c:pt>
                <c:pt idx="1">
                  <c:v>56.748466256999997</c:v>
                </c:pt>
                <c:pt idx="2">
                  <c:v>44.308632543900003</c:v>
                </c:pt>
                <c:pt idx="3">
                  <c:v>7.6511360602999998</c:v>
                </c:pt>
                <c:pt idx="4">
                  <c:v>3.6529349443000001</c:v>
                </c:pt>
                <c:pt idx="5">
                  <c:v>53.581364319400002</c:v>
                </c:pt>
                <c:pt idx="6">
                  <c:v>40.947349128900001</c:v>
                </c:pt>
                <c:pt idx="7">
                  <c:v>5.1902389819000003</c:v>
                </c:pt>
                <c:pt idx="8">
                  <c:v>3.1989462294000002</c:v>
                </c:pt>
                <c:pt idx="9">
                  <c:v>55.847753643499992</c:v>
                </c:pt>
                <c:pt idx="10">
                  <c:v>21.970458997200002</c:v>
                </c:pt>
                <c:pt idx="11">
                  <c:v>2.7849818895</c:v>
                </c:pt>
                <c:pt idx="12">
                  <c:v>4.0129021048000002</c:v>
                </c:pt>
                <c:pt idx="13">
                  <c:v>62.641075318300004</c:v>
                </c:pt>
                <c:pt idx="14">
                  <c:v>38.990937158900003</c:v>
                </c:pt>
                <c:pt idx="15">
                  <c:v>5.1111813811999998</c:v>
                </c:pt>
                <c:pt idx="16">
                  <c:v>2.6053562061999997</c:v>
                </c:pt>
                <c:pt idx="17">
                  <c:v>32.631094572000002</c:v>
                </c:pt>
                <c:pt idx="18">
                  <c:v>17.493778363400001</c:v>
                </c:pt>
                <c:pt idx="19">
                  <c:v>2.8345668949</c:v>
                </c:pt>
                <c:pt idx="20">
                  <c:v>5.1028991196000009</c:v>
                </c:pt>
                <c:pt idx="21">
                  <c:v>59.942624188700002</c:v>
                </c:pt>
                <c:pt idx="22">
                  <c:v>37.8683091057</c:v>
                </c:pt>
                <c:pt idx="23">
                  <c:v>3.6667368760000003</c:v>
                </c:pt>
                <c:pt idx="24">
                  <c:v>2.3429958879999999</c:v>
                </c:pt>
                <c:pt idx="25">
                  <c:v>37.248222094900008</c:v>
                </c:pt>
                <c:pt idx="26">
                  <c:v>26.669399704600004</c:v>
                </c:pt>
                <c:pt idx="27">
                  <c:v>4.0714719666999999</c:v>
                </c:pt>
                <c:pt idx="28">
                  <c:v>2.5762587106999999</c:v>
                </c:pt>
                <c:pt idx="29">
                  <c:v>49.377580082400002</c:v>
                </c:pt>
                <c:pt idx="30">
                  <c:v>39.163347019100001</c:v>
                </c:pt>
                <c:pt idx="31">
                  <c:v>10.7960535572</c:v>
                </c:pt>
              </c:numCache>
            </c:numRef>
          </c:val>
          <c:extLst>
            <c:ext xmlns:c16="http://schemas.microsoft.com/office/drawing/2014/chart" uri="{C3380CC4-5D6E-409C-BE32-E72D297353CC}">
              <c16:uniqueId val="{00000004-482D-49FF-8D97-6CDCDCAB825A}"/>
            </c:ext>
          </c:extLst>
        </c:ser>
        <c:ser>
          <c:idx val="5"/>
          <c:order val="5"/>
          <c:tx>
            <c:strRef>
              <c:f>'Sheet1 (3)'!$G$5:$G$6</c:f>
              <c:strCache>
                <c:ptCount val="1"/>
                <c:pt idx="0">
                  <c:v>2021/22</c:v>
                </c:pt>
              </c:strCache>
            </c:strRef>
          </c:tx>
          <c:spPr>
            <a:solidFill>
              <a:schemeClr val="accent6"/>
            </a:solidFill>
            <a:ln>
              <a:noFill/>
            </a:ln>
            <a:effectLst/>
          </c:spPr>
          <c:invertIfNegative val="0"/>
          <c:cat>
            <c:multiLvlStrRef>
              <c:f>'Sheet1 (3)'!$A$7:$A$47</c:f>
              <c:multiLvlStrCache>
                <c:ptCount val="32"/>
                <c:lvl>
                  <c:pt idx="0">
                    <c:v>&lt; 6 years</c:v>
                  </c:pt>
                  <c:pt idx="1">
                    <c:v> 6-12 years</c:v>
                  </c:pt>
                  <c:pt idx="2">
                    <c:v>13-18 years</c:v>
                  </c:pt>
                  <c:pt idx="3">
                    <c:v>&gt;18 years</c:v>
                  </c:pt>
                  <c:pt idx="4">
                    <c:v>&lt; 6 years</c:v>
                  </c:pt>
                  <c:pt idx="5">
                    <c:v> 6-12 years</c:v>
                  </c:pt>
                  <c:pt idx="6">
                    <c:v>13-18 years</c:v>
                  </c:pt>
                  <c:pt idx="7">
                    <c:v>&gt;18 years</c:v>
                  </c:pt>
                  <c:pt idx="8">
                    <c:v>&lt; 6 years</c:v>
                  </c:pt>
                  <c:pt idx="9">
                    <c:v> 6-12 years</c:v>
                  </c:pt>
                  <c:pt idx="10">
                    <c:v>13-18 years</c:v>
                  </c:pt>
                  <c:pt idx="11">
                    <c:v>&gt;18 years</c:v>
                  </c:pt>
                  <c:pt idx="12">
                    <c:v>&lt; 6 years</c:v>
                  </c:pt>
                  <c:pt idx="13">
                    <c:v> 6-12 years</c:v>
                  </c:pt>
                  <c:pt idx="14">
                    <c:v>13-18 years</c:v>
                  </c:pt>
                  <c:pt idx="15">
                    <c:v>&gt;18 years</c:v>
                  </c:pt>
                  <c:pt idx="16">
                    <c:v>&lt; 6 years</c:v>
                  </c:pt>
                  <c:pt idx="17">
                    <c:v> 6-12 years</c:v>
                  </c:pt>
                  <c:pt idx="18">
                    <c:v>13-18 years</c:v>
                  </c:pt>
                  <c:pt idx="19">
                    <c:v>&gt;18 years</c:v>
                  </c:pt>
                  <c:pt idx="20">
                    <c:v>&lt; 6 years</c:v>
                  </c:pt>
                  <c:pt idx="21">
                    <c:v> 6-12 years</c:v>
                  </c:pt>
                  <c:pt idx="22">
                    <c:v>13-18 years</c:v>
                  </c:pt>
                  <c:pt idx="23">
                    <c:v>&gt;18 years</c:v>
                  </c:pt>
                  <c:pt idx="24">
                    <c:v>&lt; 6 years</c:v>
                  </c:pt>
                  <c:pt idx="25">
                    <c:v> 6-12 years</c:v>
                  </c:pt>
                  <c:pt idx="26">
                    <c:v>13-18 years</c:v>
                  </c:pt>
                  <c:pt idx="27">
                    <c:v>&gt;18 years</c:v>
                  </c:pt>
                  <c:pt idx="28">
                    <c:v>&lt; 6 years</c:v>
                  </c:pt>
                  <c:pt idx="29">
                    <c:v> 6-12 years</c:v>
                  </c:pt>
                  <c:pt idx="30">
                    <c:v>13-18 years</c:v>
                  </c:pt>
                  <c:pt idx="31">
                    <c:v>&gt;18 years</c:v>
                  </c:pt>
                </c:lvl>
                <c:lvl>
                  <c:pt idx="0">
                    <c:v>ACT</c:v>
                  </c:pt>
                  <c:pt idx="4">
                    <c:v>NSW</c:v>
                  </c:pt>
                  <c:pt idx="8">
                    <c:v>NT</c:v>
                  </c:pt>
                  <c:pt idx="12">
                    <c:v>QLD</c:v>
                  </c:pt>
                  <c:pt idx="16">
                    <c:v>SA</c:v>
                  </c:pt>
                  <c:pt idx="20">
                    <c:v>TAS</c:v>
                  </c:pt>
                  <c:pt idx="24">
                    <c:v>VIC</c:v>
                  </c:pt>
                  <c:pt idx="28">
                    <c:v>WA</c:v>
                  </c:pt>
                </c:lvl>
              </c:multiLvlStrCache>
            </c:multiLvlStrRef>
          </c:cat>
          <c:val>
            <c:numRef>
              <c:f>'Sheet1 (3)'!$G$7:$G$47</c:f>
              <c:numCache>
                <c:formatCode>General</c:formatCode>
                <c:ptCount val="32"/>
                <c:pt idx="0">
                  <c:v>2.4059222701</c:v>
                </c:pt>
                <c:pt idx="1">
                  <c:v>66.071073063499995</c:v>
                </c:pt>
                <c:pt idx="2">
                  <c:v>56.780577308000005</c:v>
                </c:pt>
                <c:pt idx="3">
                  <c:v>11.322461175599999</c:v>
                </c:pt>
                <c:pt idx="4">
                  <c:v>3.9332318342999999</c:v>
                </c:pt>
                <c:pt idx="5">
                  <c:v>59.562462433100009</c:v>
                </c:pt>
                <c:pt idx="6">
                  <c:v>48.135493526200001</c:v>
                </c:pt>
                <c:pt idx="7">
                  <c:v>7.0901000791</c:v>
                </c:pt>
                <c:pt idx="8">
                  <c:v>2.9645213732999998</c:v>
                </c:pt>
                <c:pt idx="9">
                  <c:v>61.202317720799996</c:v>
                </c:pt>
                <c:pt idx="10">
                  <c:v>27.936206168400002</c:v>
                </c:pt>
                <c:pt idx="11">
                  <c:v>4.2524192450000005</c:v>
                </c:pt>
                <c:pt idx="12">
                  <c:v>4.5567029290000001</c:v>
                </c:pt>
                <c:pt idx="13">
                  <c:v>73.364112875400011</c:v>
                </c:pt>
                <c:pt idx="14">
                  <c:v>48.043393072500002</c:v>
                </c:pt>
                <c:pt idx="15">
                  <c:v>7.4695442758000006</c:v>
                </c:pt>
                <c:pt idx="16">
                  <c:v>3.4236127589000001</c:v>
                </c:pt>
                <c:pt idx="17">
                  <c:v>40.317246080099999</c:v>
                </c:pt>
                <c:pt idx="18">
                  <c:v>24.160977017</c:v>
                </c:pt>
                <c:pt idx="19">
                  <c:v>4.2921005820999998</c:v>
                </c:pt>
                <c:pt idx="20">
                  <c:v>5.9420371097000011</c:v>
                </c:pt>
                <c:pt idx="21">
                  <c:v>72.286530203299989</c:v>
                </c:pt>
                <c:pt idx="22">
                  <c:v>47.779307531300006</c:v>
                </c:pt>
                <c:pt idx="23">
                  <c:v>5.7305886634999998</c:v>
                </c:pt>
                <c:pt idx="24">
                  <c:v>2.6324082033999998</c:v>
                </c:pt>
                <c:pt idx="25">
                  <c:v>43.808576107099995</c:v>
                </c:pt>
                <c:pt idx="26">
                  <c:v>34.309075254600003</c:v>
                </c:pt>
                <c:pt idx="27">
                  <c:v>6.2668854904</c:v>
                </c:pt>
                <c:pt idx="28">
                  <c:v>3.0294350395</c:v>
                </c:pt>
                <c:pt idx="29">
                  <c:v>58.499075434399998</c:v>
                </c:pt>
                <c:pt idx="30">
                  <c:v>49.833657120799998</c:v>
                </c:pt>
                <c:pt idx="31">
                  <c:v>14.5002493234</c:v>
                </c:pt>
              </c:numCache>
            </c:numRef>
          </c:val>
          <c:extLst>
            <c:ext xmlns:c16="http://schemas.microsoft.com/office/drawing/2014/chart" uri="{C3380CC4-5D6E-409C-BE32-E72D297353CC}">
              <c16:uniqueId val="{00000005-482D-49FF-8D97-6CDCDCAB825A}"/>
            </c:ext>
          </c:extLst>
        </c:ser>
        <c:ser>
          <c:idx val="6"/>
          <c:order val="6"/>
          <c:tx>
            <c:strRef>
              <c:f>'Sheet1 (3)'!$H$5:$H$6</c:f>
              <c:strCache>
                <c:ptCount val="1"/>
                <c:pt idx="0">
                  <c:v>2022/23</c:v>
                </c:pt>
              </c:strCache>
            </c:strRef>
          </c:tx>
          <c:spPr>
            <a:solidFill>
              <a:schemeClr val="accent1">
                <a:lumMod val="60000"/>
              </a:schemeClr>
            </a:solidFill>
            <a:ln>
              <a:noFill/>
            </a:ln>
            <a:effectLst/>
          </c:spPr>
          <c:invertIfNegative val="0"/>
          <c:cat>
            <c:multiLvlStrRef>
              <c:f>'Sheet1 (3)'!$A$7:$A$47</c:f>
              <c:multiLvlStrCache>
                <c:ptCount val="32"/>
                <c:lvl>
                  <c:pt idx="0">
                    <c:v>&lt; 6 years</c:v>
                  </c:pt>
                  <c:pt idx="1">
                    <c:v> 6-12 years</c:v>
                  </c:pt>
                  <c:pt idx="2">
                    <c:v>13-18 years</c:v>
                  </c:pt>
                  <c:pt idx="3">
                    <c:v>&gt;18 years</c:v>
                  </c:pt>
                  <c:pt idx="4">
                    <c:v>&lt; 6 years</c:v>
                  </c:pt>
                  <c:pt idx="5">
                    <c:v> 6-12 years</c:v>
                  </c:pt>
                  <c:pt idx="6">
                    <c:v>13-18 years</c:v>
                  </c:pt>
                  <c:pt idx="7">
                    <c:v>&gt;18 years</c:v>
                  </c:pt>
                  <c:pt idx="8">
                    <c:v>&lt; 6 years</c:v>
                  </c:pt>
                  <c:pt idx="9">
                    <c:v> 6-12 years</c:v>
                  </c:pt>
                  <c:pt idx="10">
                    <c:v>13-18 years</c:v>
                  </c:pt>
                  <c:pt idx="11">
                    <c:v>&gt;18 years</c:v>
                  </c:pt>
                  <c:pt idx="12">
                    <c:v>&lt; 6 years</c:v>
                  </c:pt>
                  <c:pt idx="13">
                    <c:v> 6-12 years</c:v>
                  </c:pt>
                  <c:pt idx="14">
                    <c:v>13-18 years</c:v>
                  </c:pt>
                  <c:pt idx="15">
                    <c:v>&gt;18 years</c:v>
                  </c:pt>
                  <c:pt idx="16">
                    <c:v>&lt; 6 years</c:v>
                  </c:pt>
                  <c:pt idx="17">
                    <c:v> 6-12 years</c:v>
                  </c:pt>
                  <c:pt idx="18">
                    <c:v>13-18 years</c:v>
                  </c:pt>
                  <c:pt idx="19">
                    <c:v>&gt;18 years</c:v>
                  </c:pt>
                  <c:pt idx="20">
                    <c:v>&lt; 6 years</c:v>
                  </c:pt>
                  <c:pt idx="21">
                    <c:v> 6-12 years</c:v>
                  </c:pt>
                  <c:pt idx="22">
                    <c:v>13-18 years</c:v>
                  </c:pt>
                  <c:pt idx="23">
                    <c:v>&gt;18 years</c:v>
                  </c:pt>
                  <c:pt idx="24">
                    <c:v>&lt; 6 years</c:v>
                  </c:pt>
                  <c:pt idx="25">
                    <c:v> 6-12 years</c:v>
                  </c:pt>
                  <c:pt idx="26">
                    <c:v>13-18 years</c:v>
                  </c:pt>
                  <c:pt idx="27">
                    <c:v>&gt;18 years</c:v>
                  </c:pt>
                  <c:pt idx="28">
                    <c:v>&lt; 6 years</c:v>
                  </c:pt>
                  <c:pt idx="29">
                    <c:v> 6-12 years</c:v>
                  </c:pt>
                  <c:pt idx="30">
                    <c:v>13-18 years</c:v>
                  </c:pt>
                  <c:pt idx="31">
                    <c:v>&gt;18 years</c:v>
                  </c:pt>
                </c:lvl>
                <c:lvl>
                  <c:pt idx="0">
                    <c:v>ACT</c:v>
                  </c:pt>
                  <c:pt idx="4">
                    <c:v>NSW</c:v>
                  </c:pt>
                  <c:pt idx="8">
                    <c:v>NT</c:v>
                  </c:pt>
                  <c:pt idx="12">
                    <c:v>QLD</c:v>
                  </c:pt>
                  <c:pt idx="16">
                    <c:v>SA</c:v>
                  </c:pt>
                  <c:pt idx="20">
                    <c:v>TAS</c:v>
                  </c:pt>
                  <c:pt idx="24">
                    <c:v>VIC</c:v>
                  </c:pt>
                  <c:pt idx="28">
                    <c:v>WA</c:v>
                  </c:pt>
                </c:lvl>
              </c:multiLvlStrCache>
            </c:multiLvlStrRef>
          </c:cat>
          <c:val>
            <c:numRef>
              <c:f>'Sheet1 (3)'!$H$7:$H$47</c:f>
              <c:numCache>
                <c:formatCode>General</c:formatCode>
                <c:ptCount val="32"/>
                <c:pt idx="0">
                  <c:v>3.4504391468</c:v>
                </c:pt>
                <c:pt idx="1">
                  <c:v>77.477208931800007</c:v>
                </c:pt>
                <c:pt idx="2">
                  <c:v>68.5294587251</c:v>
                </c:pt>
                <c:pt idx="3">
                  <c:v>15.710556430599999</c:v>
                </c:pt>
                <c:pt idx="4">
                  <c:v>4.7614265581000002</c:v>
                </c:pt>
                <c:pt idx="5">
                  <c:v>69.001966671700004</c:v>
                </c:pt>
                <c:pt idx="6">
                  <c:v>55.903777740300001</c:v>
                </c:pt>
                <c:pt idx="7">
                  <c:v>9.4648406835000003</c:v>
                </c:pt>
                <c:pt idx="8">
                  <c:v>2.9130455891999998</c:v>
                </c:pt>
                <c:pt idx="9">
                  <c:v>65.528789895700001</c:v>
                </c:pt>
                <c:pt idx="10">
                  <c:v>35.868378645500002</c:v>
                </c:pt>
                <c:pt idx="11">
                  <c:v>6.2792402389000008</c:v>
                </c:pt>
                <c:pt idx="12">
                  <c:v>5.4515148016000001</c:v>
                </c:pt>
                <c:pt idx="13">
                  <c:v>84.2323702809</c:v>
                </c:pt>
                <c:pt idx="14">
                  <c:v>56.431874786799995</c:v>
                </c:pt>
                <c:pt idx="15">
                  <c:v>10.2352710927</c:v>
                </c:pt>
                <c:pt idx="16">
                  <c:v>3.9544099714999996</c:v>
                </c:pt>
                <c:pt idx="17">
                  <c:v>50.160810242899998</c:v>
                </c:pt>
                <c:pt idx="18">
                  <c:v>31.385104344399998</c:v>
                </c:pt>
                <c:pt idx="19">
                  <c:v>6.5761055182000003</c:v>
                </c:pt>
                <c:pt idx="20">
                  <c:v>5.4675931200000001</c:v>
                </c:pt>
                <c:pt idx="21">
                  <c:v>87.106634707200001</c:v>
                </c:pt>
                <c:pt idx="22">
                  <c:v>58.4525649343</c:v>
                </c:pt>
                <c:pt idx="23">
                  <c:v>8.6628859873999993</c:v>
                </c:pt>
                <c:pt idx="24">
                  <c:v>3.0511486993000001</c:v>
                </c:pt>
                <c:pt idx="25">
                  <c:v>52.253378933199997</c:v>
                </c:pt>
                <c:pt idx="26">
                  <c:v>43.343804079100003</c:v>
                </c:pt>
                <c:pt idx="27">
                  <c:v>9.1358639251999989</c:v>
                </c:pt>
                <c:pt idx="28">
                  <c:v>3.6256348531000002</c:v>
                </c:pt>
                <c:pt idx="29">
                  <c:v>69.401258579300006</c:v>
                </c:pt>
                <c:pt idx="30">
                  <c:v>59.191901861699996</c:v>
                </c:pt>
                <c:pt idx="31">
                  <c:v>18.489288066499999</c:v>
                </c:pt>
              </c:numCache>
            </c:numRef>
          </c:val>
          <c:extLst>
            <c:ext xmlns:c16="http://schemas.microsoft.com/office/drawing/2014/chart" uri="{C3380CC4-5D6E-409C-BE32-E72D297353CC}">
              <c16:uniqueId val="{00000006-482D-49FF-8D97-6CDCDCAB825A}"/>
            </c:ext>
          </c:extLst>
        </c:ser>
        <c:dLbls>
          <c:showLegendKey val="0"/>
          <c:showVal val="0"/>
          <c:showCatName val="0"/>
          <c:showSerName val="0"/>
          <c:showPercent val="0"/>
          <c:showBubbleSize val="0"/>
        </c:dLbls>
        <c:gapWidth val="219"/>
        <c:overlap val="-27"/>
        <c:axId val="640844264"/>
        <c:axId val="640844592"/>
      </c:barChart>
      <c:catAx>
        <c:axId val="6408442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 State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40844592"/>
        <c:crosses val="autoZero"/>
        <c:auto val="1"/>
        <c:lblAlgn val="ctr"/>
        <c:lblOffset val="100"/>
        <c:noMultiLvlLbl val="0"/>
      </c:catAx>
      <c:valAx>
        <c:axId val="640844592"/>
        <c:scaling>
          <c:orientation val="minMax"/>
          <c:max val="9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 per 1,000 population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0844264"/>
        <c:crosses val="autoZero"/>
        <c:crossBetween val="between"/>
      </c:valAx>
      <c:spPr>
        <a:noFill/>
        <a:ln>
          <a:noFill/>
        </a:ln>
        <a:effectLst/>
      </c:spPr>
    </c:plotArea>
    <c:legend>
      <c:legendPos val="b"/>
      <c:layout>
        <c:manualLayout>
          <c:xMode val="edge"/>
          <c:yMode val="edge"/>
          <c:x val="0.11464700575794362"/>
          <c:y val="0.95906944342237599"/>
          <c:w val="0.83373642651104252"/>
          <c:h val="3.773049743195949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v>Atomoxetine</c:v>
          </c:tx>
          <c:spPr>
            <a:solidFill>
              <a:schemeClr val="accent6"/>
            </a:solidFill>
            <a:ln>
              <a:solidFill>
                <a:schemeClr val="accent6"/>
              </a:solidFill>
            </a:ln>
            <a:effectLst/>
          </c:spPr>
          <c:invertIfNegative val="0"/>
          <c:cat>
            <c:strLit>
              <c:ptCount val="8"/>
              <c:pt idx="0">
                <c:v>ACT</c:v>
              </c:pt>
              <c:pt idx="1">
                <c:v>NSW</c:v>
              </c:pt>
              <c:pt idx="2">
                <c:v>NT</c:v>
              </c:pt>
              <c:pt idx="3">
                <c:v>QLD</c:v>
              </c:pt>
              <c:pt idx="4">
                <c:v>SA</c:v>
              </c:pt>
              <c:pt idx="5">
                <c:v>TAS</c:v>
              </c:pt>
              <c:pt idx="6">
                <c:v>VIC</c:v>
              </c:pt>
              <c:pt idx="7">
                <c:v>WA</c:v>
              </c:pt>
            </c:strLit>
          </c:cat>
          <c:val>
            <c:numLit>
              <c:formatCode>General</c:formatCode>
              <c:ptCount val="8"/>
              <c:pt idx="0">
                <c:v>1.1019603294</c:v>
              </c:pt>
              <c:pt idx="1">
                <c:v>1.2841094898000001</c:v>
              </c:pt>
              <c:pt idx="2">
                <c:v>1.0523546436</c:v>
              </c:pt>
              <c:pt idx="3">
                <c:v>1.8152477676999998</c:v>
              </c:pt>
              <c:pt idx="4">
                <c:v>0.83449725949999998</c:v>
              </c:pt>
              <c:pt idx="5">
                <c:v>1.7811725914999998</c:v>
              </c:pt>
              <c:pt idx="6">
                <c:v>0.80563413880000001</c:v>
              </c:pt>
              <c:pt idx="7">
                <c:v>2.0849334477000001</c:v>
              </c:pt>
            </c:numLit>
          </c:val>
          <c:extLst>
            <c:ext xmlns:c16="http://schemas.microsoft.com/office/drawing/2014/chart" uri="{C3380CC4-5D6E-409C-BE32-E72D297353CC}">
              <c16:uniqueId val="{00000000-8A48-4DE3-AC1A-91DE7CE9A555}"/>
            </c:ext>
          </c:extLst>
        </c:ser>
        <c:ser>
          <c:idx val="1"/>
          <c:order val="1"/>
          <c:tx>
            <c:v>Clonidine</c:v>
          </c:tx>
          <c:spPr>
            <a:solidFill>
              <a:schemeClr val="bg1">
                <a:lumMod val="65000"/>
              </a:schemeClr>
            </a:solidFill>
            <a:ln>
              <a:solidFill>
                <a:schemeClr val="bg1">
                  <a:lumMod val="65000"/>
                </a:schemeClr>
              </a:solidFill>
            </a:ln>
            <a:effectLst/>
          </c:spPr>
          <c:invertIfNegative val="0"/>
          <c:cat>
            <c:strLit>
              <c:ptCount val="8"/>
              <c:pt idx="0">
                <c:v>ACT</c:v>
              </c:pt>
              <c:pt idx="1">
                <c:v>NSW</c:v>
              </c:pt>
              <c:pt idx="2">
                <c:v>NT</c:v>
              </c:pt>
              <c:pt idx="3">
                <c:v>QLD</c:v>
              </c:pt>
              <c:pt idx="4">
                <c:v>SA</c:v>
              </c:pt>
              <c:pt idx="5">
                <c:v>TAS</c:v>
              </c:pt>
              <c:pt idx="6">
                <c:v>VIC</c:v>
              </c:pt>
              <c:pt idx="7">
                <c:v>WA</c:v>
              </c:pt>
            </c:strLit>
          </c:cat>
          <c:val>
            <c:numLit>
              <c:formatCode>General</c:formatCode>
              <c:ptCount val="8"/>
              <c:pt idx="0">
                <c:v>7.2207400533000001</c:v>
              </c:pt>
              <c:pt idx="1">
                <c:v>11.0867107923</c:v>
              </c:pt>
              <c:pt idx="2">
                <c:v>6.3760310754000002</c:v>
              </c:pt>
              <c:pt idx="3">
                <c:v>9.7137318985000007</c:v>
              </c:pt>
              <c:pt idx="4">
                <c:v>12.051048037900001</c:v>
              </c:pt>
              <c:pt idx="5">
                <c:v>16.428210460100001</c:v>
              </c:pt>
              <c:pt idx="6">
                <c:v>7.0088845014999999</c:v>
              </c:pt>
              <c:pt idx="7">
                <c:v>8.0563737368999995</c:v>
              </c:pt>
            </c:numLit>
          </c:val>
          <c:extLst>
            <c:ext xmlns:c16="http://schemas.microsoft.com/office/drawing/2014/chart" uri="{C3380CC4-5D6E-409C-BE32-E72D297353CC}">
              <c16:uniqueId val="{00000001-8A48-4DE3-AC1A-91DE7CE9A555}"/>
            </c:ext>
          </c:extLst>
        </c:ser>
        <c:ser>
          <c:idx val="2"/>
          <c:order val="2"/>
          <c:tx>
            <c:v>Dexamfetamine</c:v>
          </c:tx>
          <c:spPr>
            <a:solidFill>
              <a:schemeClr val="accent4"/>
            </a:solidFill>
            <a:ln>
              <a:solidFill>
                <a:schemeClr val="accent4"/>
              </a:solidFill>
            </a:ln>
            <a:effectLst/>
          </c:spPr>
          <c:invertIfNegative val="0"/>
          <c:cat>
            <c:strLit>
              <c:ptCount val="8"/>
              <c:pt idx="0">
                <c:v>ACT</c:v>
              </c:pt>
              <c:pt idx="1">
                <c:v>NSW</c:v>
              </c:pt>
              <c:pt idx="2">
                <c:v>NT</c:v>
              </c:pt>
              <c:pt idx="3">
                <c:v>QLD</c:v>
              </c:pt>
              <c:pt idx="4">
                <c:v>SA</c:v>
              </c:pt>
              <c:pt idx="5">
                <c:v>TAS</c:v>
              </c:pt>
              <c:pt idx="6">
                <c:v>VIC</c:v>
              </c:pt>
              <c:pt idx="7">
                <c:v>WA</c:v>
              </c:pt>
            </c:strLit>
          </c:cat>
          <c:val>
            <c:numLit>
              <c:formatCode>General</c:formatCode>
              <c:ptCount val="8"/>
              <c:pt idx="0">
                <c:v>4.9781541197999992</c:v>
              </c:pt>
              <c:pt idx="1">
                <c:v>4.0744762297000001</c:v>
              </c:pt>
              <c:pt idx="2">
                <c:v>1.0987820543</c:v>
              </c:pt>
              <c:pt idx="3">
                <c:v>4.5549780915999998</c:v>
              </c:pt>
              <c:pt idx="4">
                <c:v>3.9607105580000002</c:v>
              </c:pt>
              <c:pt idx="5">
                <c:v>2.1705452044999998</c:v>
              </c:pt>
              <c:pt idx="6">
                <c:v>2.4553290445</c:v>
              </c:pt>
              <c:pt idx="7">
                <c:v>8.9094366353999987</c:v>
              </c:pt>
            </c:numLit>
          </c:val>
          <c:extLst>
            <c:ext xmlns:c16="http://schemas.microsoft.com/office/drawing/2014/chart" uri="{C3380CC4-5D6E-409C-BE32-E72D297353CC}">
              <c16:uniqueId val="{00000002-8A48-4DE3-AC1A-91DE7CE9A555}"/>
            </c:ext>
          </c:extLst>
        </c:ser>
        <c:ser>
          <c:idx val="3"/>
          <c:order val="3"/>
          <c:tx>
            <c:v>Guanfacine</c:v>
          </c:tx>
          <c:spPr>
            <a:solidFill>
              <a:schemeClr val="accent5"/>
            </a:solidFill>
            <a:ln>
              <a:solidFill>
                <a:schemeClr val="accent5"/>
              </a:solidFill>
            </a:ln>
            <a:effectLst/>
          </c:spPr>
          <c:invertIfNegative val="0"/>
          <c:cat>
            <c:strLit>
              <c:ptCount val="8"/>
              <c:pt idx="0">
                <c:v>ACT</c:v>
              </c:pt>
              <c:pt idx="1">
                <c:v>NSW</c:v>
              </c:pt>
              <c:pt idx="2">
                <c:v>NT</c:v>
              </c:pt>
              <c:pt idx="3">
                <c:v>QLD</c:v>
              </c:pt>
              <c:pt idx="4">
                <c:v>SA</c:v>
              </c:pt>
              <c:pt idx="5">
                <c:v>TAS</c:v>
              </c:pt>
              <c:pt idx="6">
                <c:v>VIC</c:v>
              </c:pt>
              <c:pt idx="7">
                <c:v>WA</c:v>
              </c:pt>
            </c:strLit>
          </c:cat>
          <c:val>
            <c:numLit>
              <c:formatCode>General</c:formatCode>
              <c:ptCount val="8"/>
              <c:pt idx="0">
                <c:v>11.8799056567</c:v>
              </c:pt>
              <c:pt idx="1">
                <c:v>7.6283102136999998</c:v>
              </c:pt>
              <c:pt idx="2">
                <c:v>5.4165312533999996</c:v>
              </c:pt>
              <c:pt idx="3">
                <c:v>9.4173329109000008</c:v>
              </c:pt>
              <c:pt idx="4">
                <c:v>4.8960534078000002</c:v>
              </c:pt>
              <c:pt idx="5">
                <c:v>12.4019319509</c:v>
              </c:pt>
              <c:pt idx="6">
                <c:v>6.3781577744</c:v>
              </c:pt>
              <c:pt idx="7">
                <c:v>6.8230118191000004</c:v>
              </c:pt>
            </c:numLit>
          </c:val>
          <c:extLst>
            <c:ext xmlns:c16="http://schemas.microsoft.com/office/drawing/2014/chart" uri="{C3380CC4-5D6E-409C-BE32-E72D297353CC}">
              <c16:uniqueId val="{00000003-8A48-4DE3-AC1A-91DE7CE9A555}"/>
            </c:ext>
          </c:extLst>
        </c:ser>
        <c:ser>
          <c:idx val="4"/>
          <c:order val="4"/>
          <c:tx>
            <c:v>Lisdexamfetamine</c:v>
          </c:tx>
          <c:spPr>
            <a:solidFill>
              <a:schemeClr val="accent2"/>
            </a:solidFill>
            <a:ln>
              <a:solidFill>
                <a:schemeClr val="accent2"/>
              </a:solidFill>
            </a:ln>
            <a:effectLst/>
          </c:spPr>
          <c:invertIfNegative val="0"/>
          <c:cat>
            <c:strLit>
              <c:ptCount val="8"/>
              <c:pt idx="0">
                <c:v>ACT</c:v>
              </c:pt>
              <c:pt idx="1">
                <c:v>NSW</c:v>
              </c:pt>
              <c:pt idx="2">
                <c:v>NT</c:v>
              </c:pt>
              <c:pt idx="3">
                <c:v>QLD</c:v>
              </c:pt>
              <c:pt idx="4">
                <c:v>SA</c:v>
              </c:pt>
              <c:pt idx="5">
                <c:v>TAS</c:v>
              </c:pt>
              <c:pt idx="6">
                <c:v>VIC</c:v>
              </c:pt>
              <c:pt idx="7">
                <c:v>WA</c:v>
              </c:pt>
            </c:strLit>
          </c:cat>
          <c:val>
            <c:numLit>
              <c:formatCode>General</c:formatCode>
              <c:ptCount val="8"/>
              <c:pt idx="0">
                <c:v>15.8817615899</c:v>
              </c:pt>
              <c:pt idx="1">
                <c:v>13.31879211</c:v>
              </c:pt>
              <c:pt idx="2">
                <c:v>8.7128774162000013</c:v>
              </c:pt>
              <c:pt idx="3">
                <c:v>16.149040074999998</c:v>
              </c:pt>
              <c:pt idx="4">
                <c:v>7.6062786464999999</c:v>
              </c:pt>
              <c:pt idx="5">
                <c:v>13.7274557399</c:v>
              </c:pt>
              <c:pt idx="6">
                <c:v>10.1313793172</c:v>
              </c:pt>
              <c:pt idx="7">
                <c:v>17.6309608143</c:v>
              </c:pt>
            </c:numLit>
          </c:val>
          <c:extLst>
            <c:ext xmlns:c16="http://schemas.microsoft.com/office/drawing/2014/chart" uri="{C3380CC4-5D6E-409C-BE32-E72D297353CC}">
              <c16:uniqueId val="{00000004-8A48-4DE3-AC1A-91DE7CE9A555}"/>
            </c:ext>
          </c:extLst>
        </c:ser>
        <c:ser>
          <c:idx val="5"/>
          <c:order val="5"/>
          <c:tx>
            <c:v>MPH-IR</c:v>
          </c:tx>
          <c:spPr>
            <a:solidFill>
              <a:schemeClr val="accent1"/>
            </a:solidFill>
            <a:ln>
              <a:solidFill>
                <a:schemeClr val="accent1"/>
              </a:solidFill>
            </a:ln>
            <a:effectLst/>
          </c:spPr>
          <c:invertIfNegative val="0"/>
          <c:cat>
            <c:strLit>
              <c:ptCount val="8"/>
              <c:pt idx="0">
                <c:v>ACT</c:v>
              </c:pt>
              <c:pt idx="1">
                <c:v>NSW</c:v>
              </c:pt>
              <c:pt idx="2">
                <c:v>NT</c:v>
              </c:pt>
              <c:pt idx="3">
                <c:v>QLD</c:v>
              </c:pt>
              <c:pt idx="4">
                <c:v>SA</c:v>
              </c:pt>
              <c:pt idx="5">
                <c:v>TAS</c:v>
              </c:pt>
              <c:pt idx="6">
                <c:v>VIC</c:v>
              </c:pt>
              <c:pt idx="7">
                <c:v>WA</c:v>
              </c:pt>
            </c:strLit>
          </c:cat>
          <c:val>
            <c:numLit>
              <c:formatCode>General</c:formatCode>
              <c:ptCount val="8"/>
              <c:pt idx="0">
                <c:v>20.444264006400001</c:v>
              </c:pt>
              <c:pt idx="1">
                <c:v>18.0793284883</c:v>
              </c:pt>
              <c:pt idx="2">
                <c:v>13.510376526</c:v>
              </c:pt>
              <c:pt idx="3">
                <c:v>19.565469674700001</c:v>
              </c:pt>
              <c:pt idx="4">
                <c:v>12.7594883095</c:v>
              </c:pt>
              <c:pt idx="5">
                <c:v>21.490054429099999</c:v>
              </c:pt>
              <c:pt idx="6">
                <c:v>13.7666708627</c:v>
              </c:pt>
              <c:pt idx="7">
                <c:v>15.331270273099999</c:v>
              </c:pt>
            </c:numLit>
          </c:val>
          <c:extLst>
            <c:ext xmlns:c16="http://schemas.microsoft.com/office/drawing/2014/chart" uri="{C3380CC4-5D6E-409C-BE32-E72D297353CC}">
              <c16:uniqueId val="{00000005-8A48-4DE3-AC1A-91DE7CE9A555}"/>
            </c:ext>
          </c:extLst>
        </c:ser>
        <c:ser>
          <c:idx val="6"/>
          <c:order val="6"/>
          <c:tx>
            <c:v>MPH-MR</c:v>
          </c:tx>
          <c:spPr>
            <a:solidFill>
              <a:schemeClr val="accent3"/>
            </a:solidFill>
            <a:ln>
              <a:solidFill>
                <a:schemeClr val="accent3"/>
              </a:solidFill>
            </a:ln>
            <a:effectLst/>
          </c:spPr>
          <c:invertIfNegative val="0"/>
          <c:cat>
            <c:strLit>
              <c:ptCount val="8"/>
              <c:pt idx="0">
                <c:v>ACT</c:v>
              </c:pt>
              <c:pt idx="1">
                <c:v>NSW</c:v>
              </c:pt>
              <c:pt idx="2">
                <c:v>NT</c:v>
              </c:pt>
              <c:pt idx="3">
                <c:v>QLD</c:v>
              </c:pt>
              <c:pt idx="4">
                <c:v>SA</c:v>
              </c:pt>
              <c:pt idx="5">
                <c:v>TAS</c:v>
              </c:pt>
              <c:pt idx="6">
                <c:v>VIC</c:v>
              </c:pt>
              <c:pt idx="7">
                <c:v>WA</c:v>
              </c:pt>
            </c:strLit>
          </c:cat>
          <c:val>
            <c:numLit>
              <c:formatCode>General</c:formatCode>
              <c:ptCount val="8"/>
              <c:pt idx="0">
                <c:v>25.751072961700004</c:v>
              </c:pt>
              <c:pt idx="1">
                <c:v>20.128495778599998</c:v>
              </c:pt>
              <c:pt idx="2">
                <c:v>21.139947692100002</c:v>
              </c:pt>
              <c:pt idx="3">
                <c:v>21.486574224000002</c:v>
              </c:pt>
              <c:pt idx="4">
                <c:v>12.3510636689</c:v>
              </c:pt>
              <c:pt idx="5">
                <c:v>27.645455523999999</c:v>
              </c:pt>
              <c:pt idx="6">
                <c:v>15.579347674899999</c:v>
              </c:pt>
              <c:pt idx="7">
                <c:v>17.267066850100001</c:v>
              </c:pt>
            </c:numLit>
          </c:val>
          <c:extLst>
            <c:ext xmlns:c16="http://schemas.microsoft.com/office/drawing/2014/chart" uri="{C3380CC4-5D6E-409C-BE32-E72D297353CC}">
              <c16:uniqueId val="{00000006-8A48-4DE3-AC1A-91DE7CE9A555}"/>
            </c:ext>
          </c:extLst>
        </c:ser>
        <c:dLbls>
          <c:showLegendKey val="0"/>
          <c:showVal val="0"/>
          <c:showCatName val="0"/>
          <c:showSerName val="0"/>
          <c:showPercent val="0"/>
          <c:showBubbleSize val="0"/>
        </c:dLbls>
        <c:gapWidth val="219"/>
        <c:overlap val="-27"/>
        <c:axId val="640844264"/>
        <c:axId val="640844592"/>
      </c:barChart>
      <c:catAx>
        <c:axId val="6408442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 State</a:t>
                </a:r>
              </a:p>
            </c:rich>
          </c:tx>
          <c:layout>
            <c:manualLayout>
              <c:xMode val="edge"/>
              <c:yMode val="edge"/>
              <c:x val="0.4560959112555133"/>
              <c:y val="0.8526486462299349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0844592"/>
        <c:crosses val="autoZero"/>
        <c:auto val="1"/>
        <c:lblAlgn val="ctr"/>
        <c:lblOffset val="100"/>
        <c:noMultiLvlLbl val="0"/>
      </c:catAx>
      <c:valAx>
        <c:axId val="640844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 per 1,000 population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0844264"/>
        <c:crosses val="autoZero"/>
        <c:crossBetween val="between"/>
      </c:valAx>
      <c:spPr>
        <a:noFill/>
        <a:ln>
          <a:noFill/>
        </a:ln>
        <a:effectLst/>
      </c:spPr>
    </c:plotArea>
    <c:legend>
      <c:legendPos val="b"/>
      <c:layout>
        <c:manualLayout>
          <c:xMode val="edge"/>
          <c:yMode val="edge"/>
          <c:x val="4.4717175095999526E-2"/>
          <c:y val="0.94587646339415798"/>
          <c:w val="0.92042471823778005"/>
          <c:h val="4.440421061329211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[D1498 - treat rate, figs 11,12 by drug (incld clonidine).xlsx]Sheet1 (3)!PivotTable1</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'Sheet1 (3)'!$B$5:$B$6</c:f>
              <c:strCache>
                <c:ptCount val="1"/>
                <c:pt idx="0">
                  <c:v>Atomoxetine</c:v>
                </c:pt>
              </c:strCache>
            </c:strRef>
          </c:tx>
          <c:spPr>
            <a:solidFill>
              <a:schemeClr val="accent6"/>
            </a:solidFill>
            <a:ln>
              <a:solidFill>
                <a:schemeClr val="accent6"/>
              </a:solidFill>
            </a:ln>
            <a:effectLst/>
          </c:spPr>
          <c:invertIfNegative val="0"/>
          <c:cat>
            <c:strRef>
              <c:f>'Sheet1 (3)'!$A$7:$A$15</c:f>
              <c:strCache>
                <c:ptCount val="8"/>
                <c:pt idx="0">
                  <c:v>ACT</c:v>
                </c:pt>
                <c:pt idx="1">
                  <c:v>NSW</c:v>
                </c:pt>
                <c:pt idx="2">
                  <c:v>NT</c:v>
                </c:pt>
                <c:pt idx="3">
                  <c:v>QLD</c:v>
                </c:pt>
                <c:pt idx="4">
                  <c:v>SA</c:v>
                </c:pt>
                <c:pt idx="5">
                  <c:v>TAS</c:v>
                </c:pt>
                <c:pt idx="6">
                  <c:v>VIC</c:v>
                </c:pt>
                <c:pt idx="7">
                  <c:v>WA</c:v>
                </c:pt>
              </c:strCache>
            </c:strRef>
          </c:cat>
          <c:val>
            <c:numRef>
              <c:f>'Sheet1 (3)'!$B$7:$B$15</c:f>
              <c:numCache>
                <c:formatCode>General</c:formatCode>
                <c:ptCount val="8"/>
                <c:pt idx="0">
                  <c:v>0.25940337219999998</c:v>
                </c:pt>
                <c:pt idx="1">
                  <c:v>0.21430065649999999</c:v>
                </c:pt>
                <c:pt idx="2">
                  <c:v>8.2961389799999993E-2</c:v>
                </c:pt>
                <c:pt idx="3">
                  <c:v>0.26353055869999997</c:v>
                </c:pt>
                <c:pt idx="4">
                  <c:v>0.1275861717</c:v>
                </c:pt>
                <c:pt idx="5">
                  <c:v>0.39104133829999999</c:v>
                </c:pt>
                <c:pt idx="6">
                  <c:v>0.1501931262</c:v>
                </c:pt>
                <c:pt idx="7">
                  <c:v>0.27837342279999999</c:v>
                </c:pt>
              </c:numCache>
            </c:numRef>
          </c:val>
          <c:extLst>
            <c:ext xmlns:c16="http://schemas.microsoft.com/office/drawing/2014/chart" uri="{C3380CC4-5D6E-409C-BE32-E72D297353CC}">
              <c16:uniqueId val="{00000000-0EE7-4D00-AABF-DD6129726B5A}"/>
            </c:ext>
          </c:extLst>
        </c:ser>
        <c:ser>
          <c:idx val="1"/>
          <c:order val="1"/>
          <c:tx>
            <c:strRef>
              <c:f>'Sheet1 (3)'!$C$5:$C$6</c:f>
              <c:strCache>
                <c:ptCount val="1"/>
                <c:pt idx="0">
                  <c:v>Clonidine</c:v>
                </c:pt>
              </c:strCache>
            </c:strRef>
          </c:tx>
          <c:spPr>
            <a:solidFill>
              <a:schemeClr val="bg1">
                <a:lumMod val="65000"/>
              </a:schemeClr>
            </a:solidFill>
            <a:ln>
              <a:solidFill>
                <a:schemeClr val="bg1">
                  <a:lumMod val="65000"/>
                </a:schemeClr>
              </a:solidFill>
            </a:ln>
            <a:effectLst/>
          </c:spPr>
          <c:invertIfNegative val="0"/>
          <c:cat>
            <c:strRef>
              <c:f>'Sheet1 (3)'!$A$7:$A$15</c:f>
              <c:strCache>
                <c:ptCount val="8"/>
                <c:pt idx="0">
                  <c:v>ACT</c:v>
                </c:pt>
                <c:pt idx="1">
                  <c:v>NSW</c:v>
                </c:pt>
                <c:pt idx="2">
                  <c:v>NT</c:v>
                </c:pt>
                <c:pt idx="3">
                  <c:v>QLD</c:v>
                </c:pt>
                <c:pt idx="4">
                  <c:v>SA</c:v>
                </c:pt>
                <c:pt idx="5">
                  <c:v>TAS</c:v>
                </c:pt>
                <c:pt idx="6">
                  <c:v>VIC</c:v>
                </c:pt>
                <c:pt idx="7">
                  <c:v>WA</c:v>
                </c:pt>
              </c:strCache>
            </c:strRef>
          </c:cat>
          <c:val>
            <c:numRef>
              <c:f>'Sheet1 (3)'!$C$7:$C$15</c:f>
              <c:numCache>
                <c:formatCode>General</c:formatCode>
                <c:ptCount val="8"/>
                <c:pt idx="0">
                  <c:v>1.8249790187999999</c:v>
                </c:pt>
                <c:pt idx="1">
                  <c:v>2.0226021721</c:v>
                </c:pt>
                <c:pt idx="2">
                  <c:v>0.8185523791</c:v>
                </c:pt>
                <c:pt idx="3">
                  <c:v>1.8349439977999999</c:v>
                </c:pt>
                <c:pt idx="4">
                  <c:v>2.2455166218999998</c:v>
                </c:pt>
                <c:pt idx="5">
                  <c:v>5.0263118363999997</c:v>
                </c:pt>
                <c:pt idx="6">
                  <c:v>2.3103350916999998</c:v>
                </c:pt>
                <c:pt idx="7">
                  <c:v>3.6213444191000002</c:v>
                </c:pt>
              </c:numCache>
            </c:numRef>
          </c:val>
          <c:extLst>
            <c:ext xmlns:c16="http://schemas.microsoft.com/office/drawing/2014/chart" uri="{C3380CC4-5D6E-409C-BE32-E72D297353CC}">
              <c16:uniqueId val="{00000001-0EE7-4D00-AABF-DD6129726B5A}"/>
            </c:ext>
          </c:extLst>
        </c:ser>
        <c:ser>
          <c:idx val="2"/>
          <c:order val="2"/>
          <c:tx>
            <c:strRef>
              <c:f>'Sheet1 (3)'!$D$5:$D$6</c:f>
              <c:strCache>
                <c:ptCount val="1"/>
                <c:pt idx="0">
                  <c:v>Dexamfetamine</c:v>
                </c:pt>
              </c:strCache>
            </c:strRef>
          </c:tx>
          <c:spPr>
            <a:solidFill>
              <a:schemeClr val="accent4"/>
            </a:solidFill>
            <a:ln>
              <a:solidFill>
                <a:schemeClr val="accent4"/>
              </a:solidFill>
            </a:ln>
            <a:effectLst/>
          </c:spPr>
          <c:invertIfNegative val="0"/>
          <c:cat>
            <c:strRef>
              <c:f>'Sheet1 (3)'!$A$7:$A$15</c:f>
              <c:strCache>
                <c:ptCount val="8"/>
                <c:pt idx="0">
                  <c:v>ACT</c:v>
                </c:pt>
                <c:pt idx="1">
                  <c:v>NSW</c:v>
                </c:pt>
                <c:pt idx="2">
                  <c:v>NT</c:v>
                </c:pt>
                <c:pt idx="3">
                  <c:v>QLD</c:v>
                </c:pt>
                <c:pt idx="4">
                  <c:v>SA</c:v>
                </c:pt>
                <c:pt idx="5">
                  <c:v>TAS</c:v>
                </c:pt>
                <c:pt idx="6">
                  <c:v>VIC</c:v>
                </c:pt>
                <c:pt idx="7">
                  <c:v>WA</c:v>
                </c:pt>
              </c:strCache>
            </c:strRef>
          </c:cat>
          <c:val>
            <c:numRef>
              <c:f>'Sheet1 (3)'!$D$7:$D$15</c:f>
              <c:numCache>
                <c:formatCode>General</c:formatCode>
                <c:ptCount val="8"/>
                <c:pt idx="0">
                  <c:v>3.0884260319000001</c:v>
                </c:pt>
                <c:pt idx="1">
                  <c:v>1.9176874692000001</c:v>
                </c:pt>
                <c:pt idx="2">
                  <c:v>1.1227441414999999</c:v>
                </c:pt>
                <c:pt idx="3">
                  <c:v>1.7652690891</c:v>
                </c:pt>
                <c:pt idx="4">
                  <c:v>1.3903247396</c:v>
                </c:pt>
                <c:pt idx="5">
                  <c:v>0.97283454899999999</c:v>
                </c:pt>
                <c:pt idx="6">
                  <c:v>1.4351787618</c:v>
                </c:pt>
                <c:pt idx="7">
                  <c:v>6.6047704938000003</c:v>
                </c:pt>
              </c:numCache>
            </c:numRef>
          </c:val>
          <c:extLst>
            <c:ext xmlns:c16="http://schemas.microsoft.com/office/drawing/2014/chart" uri="{C3380CC4-5D6E-409C-BE32-E72D297353CC}">
              <c16:uniqueId val="{00000002-0EE7-4D00-AABF-DD6129726B5A}"/>
            </c:ext>
          </c:extLst>
        </c:ser>
        <c:ser>
          <c:idx val="3"/>
          <c:order val="3"/>
          <c:tx>
            <c:strRef>
              <c:f>'Sheet1 (3)'!$E$5:$E$6</c:f>
              <c:strCache>
                <c:ptCount val="1"/>
                <c:pt idx="0">
                  <c:v>Guanfacine</c:v>
                </c:pt>
              </c:strCache>
            </c:strRef>
          </c:tx>
          <c:spPr>
            <a:solidFill>
              <a:schemeClr val="accent5"/>
            </a:solidFill>
            <a:ln>
              <a:solidFill>
                <a:schemeClr val="accent5"/>
              </a:solidFill>
            </a:ln>
            <a:effectLst/>
          </c:spPr>
          <c:invertIfNegative val="0"/>
          <c:cat>
            <c:strRef>
              <c:f>'Sheet1 (3)'!$A$7:$A$15</c:f>
              <c:strCache>
                <c:ptCount val="8"/>
                <c:pt idx="0">
                  <c:v>ACT</c:v>
                </c:pt>
                <c:pt idx="1">
                  <c:v>NSW</c:v>
                </c:pt>
                <c:pt idx="2">
                  <c:v>NT</c:v>
                </c:pt>
                <c:pt idx="3">
                  <c:v>QLD</c:v>
                </c:pt>
                <c:pt idx="4">
                  <c:v>SA</c:v>
                </c:pt>
                <c:pt idx="5">
                  <c:v>TAS</c:v>
                </c:pt>
                <c:pt idx="6">
                  <c:v>VIC</c:v>
                </c:pt>
                <c:pt idx="7">
                  <c:v>WA</c:v>
                </c:pt>
              </c:strCache>
            </c:strRef>
          </c:cat>
          <c:val>
            <c:numRef>
              <c:f>'Sheet1 (3)'!$E$7:$E$15</c:f>
              <c:numCache>
                <c:formatCode>General</c:formatCode>
                <c:ptCount val="8"/>
                <c:pt idx="0">
                  <c:v>7.3243305100000003E-2</c:v>
                </c:pt>
                <c:pt idx="1">
                  <c:v>7.4893448500000001E-2</c:v>
                </c:pt>
                <c:pt idx="2">
                  <c:v>1.6592277999999999E-2</c:v>
                </c:pt>
                <c:pt idx="3">
                  <c:v>7.7387998200000002E-2</c:v>
                </c:pt>
                <c:pt idx="4">
                  <c:v>1.6039404399999999E-2</c:v>
                </c:pt>
                <c:pt idx="5">
                  <c:v>0.1716766851</c:v>
                </c:pt>
                <c:pt idx="6">
                  <c:v>7.9171570400000002E-2</c:v>
                </c:pt>
                <c:pt idx="7">
                  <c:v>4.7308542299999999E-2</c:v>
                </c:pt>
              </c:numCache>
            </c:numRef>
          </c:val>
          <c:extLst>
            <c:ext xmlns:c16="http://schemas.microsoft.com/office/drawing/2014/chart" uri="{C3380CC4-5D6E-409C-BE32-E72D297353CC}">
              <c16:uniqueId val="{00000003-0EE7-4D00-AABF-DD6129726B5A}"/>
            </c:ext>
          </c:extLst>
        </c:ser>
        <c:ser>
          <c:idx val="4"/>
          <c:order val="4"/>
          <c:tx>
            <c:strRef>
              <c:f>'Sheet1 (3)'!$F$5:$F$6</c:f>
              <c:strCache>
                <c:ptCount val="1"/>
                <c:pt idx="0">
                  <c:v>Lisdexamfetamine</c:v>
                </c:pt>
              </c:strCache>
            </c:strRef>
          </c:tx>
          <c:spPr>
            <a:solidFill>
              <a:schemeClr val="accent2"/>
            </a:solidFill>
            <a:ln>
              <a:solidFill>
                <a:schemeClr val="accent2"/>
              </a:solidFill>
            </a:ln>
            <a:effectLst/>
          </c:spPr>
          <c:invertIfNegative val="0"/>
          <c:cat>
            <c:strRef>
              <c:f>'Sheet1 (3)'!$A$7:$A$15</c:f>
              <c:strCache>
                <c:ptCount val="8"/>
                <c:pt idx="0">
                  <c:v>ACT</c:v>
                </c:pt>
                <c:pt idx="1">
                  <c:v>NSW</c:v>
                </c:pt>
                <c:pt idx="2">
                  <c:v>NT</c:v>
                </c:pt>
                <c:pt idx="3">
                  <c:v>QLD</c:v>
                </c:pt>
                <c:pt idx="4">
                  <c:v>SA</c:v>
                </c:pt>
                <c:pt idx="5">
                  <c:v>TAS</c:v>
                </c:pt>
                <c:pt idx="6">
                  <c:v>VIC</c:v>
                </c:pt>
                <c:pt idx="7">
                  <c:v>WA</c:v>
                </c:pt>
              </c:strCache>
            </c:strRef>
          </c:cat>
          <c:val>
            <c:numRef>
              <c:f>'Sheet1 (3)'!$F$7:$F$15</c:f>
              <c:numCache>
                <c:formatCode>General</c:formatCode>
                <c:ptCount val="8"/>
                <c:pt idx="0">
                  <c:v>0.76905470359999994</c:v>
                </c:pt>
                <c:pt idx="1">
                  <c:v>0.50205757370000004</c:v>
                </c:pt>
                <c:pt idx="2">
                  <c:v>0.38715315230000003</c:v>
                </c:pt>
                <c:pt idx="3">
                  <c:v>0.55508534279999999</c:v>
                </c:pt>
                <c:pt idx="4">
                  <c:v>0.12977336319999999</c:v>
                </c:pt>
                <c:pt idx="5">
                  <c:v>0.47926407929999998</c:v>
                </c:pt>
                <c:pt idx="6">
                  <c:v>0.41953170400000001</c:v>
                </c:pt>
                <c:pt idx="7">
                  <c:v>1.0084189286</c:v>
                </c:pt>
              </c:numCache>
            </c:numRef>
          </c:val>
          <c:extLst>
            <c:ext xmlns:c16="http://schemas.microsoft.com/office/drawing/2014/chart" uri="{C3380CC4-5D6E-409C-BE32-E72D297353CC}">
              <c16:uniqueId val="{00000004-0EE7-4D00-AABF-DD6129726B5A}"/>
            </c:ext>
          </c:extLst>
        </c:ser>
        <c:ser>
          <c:idx val="5"/>
          <c:order val="5"/>
          <c:tx>
            <c:strRef>
              <c:f>'Sheet1 (3)'!$G$5:$G$6</c:f>
              <c:strCache>
                <c:ptCount val="1"/>
                <c:pt idx="0">
                  <c:v>MPH-IR</c:v>
                </c:pt>
              </c:strCache>
            </c:strRef>
          </c:tx>
          <c:spPr>
            <a:solidFill>
              <a:schemeClr val="accent1"/>
            </a:solidFill>
            <a:ln>
              <a:solidFill>
                <a:schemeClr val="accent1"/>
              </a:solidFill>
            </a:ln>
            <a:effectLst/>
          </c:spPr>
          <c:invertIfNegative val="0"/>
          <c:cat>
            <c:strRef>
              <c:f>'Sheet1 (3)'!$A$7:$A$15</c:f>
              <c:strCache>
                <c:ptCount val="8"/>
                <c:pt idx="0">
                  <c:v>ACT</c:v>
                </c:pt>
                <c:pt idx="1">
                  <c:v>NSW</c:v>
                </c:pt>
                <c:pt idx="2">
                  <c:v>NT</c:v>
                </c:pt>
                <c:pt idx="3">
                  <c:v>QLD</c:v>
                </c:pt>
                <c:pt idx="4">
                  <c:v>SA</c:v>
                </c:pt>
                <c:pt idx="5">
                  <c:v>TAS</c:v>
                </c:pt>
                <c:pt idx="6">
                  <c:v>VIC</c:v>
                </c:pt>
                <c:pt idx="7">
                  <c:v>WA</c:v>
                </c:pt>
              </c:strCache>
            </c:strRef>
          </c:cat>
          <c:val>
            <c:numRef>
              <c:f>'Sheet1 (3)'!$G$7:$G$15</c:f>
              <c:numCache>
                <c:formatCode>General</c:formatCode>
                <c:ptCount val="8"/>
                <c:pt idx="0">
                  <c:v>1.3488975356999999</c:v>
                </c:pt>
                <c:pt idx="1">
                  <c:v>1.2862830014</c:v>
                </c:pt>
                <c:pt idx="2">
                  <c:v>0.51436061659999999</c:v>
                </c:pt>
                <c:pt idx="3">
                  <c:v>1.0291832455000001</c:v>
                </c:pt>
                <c:pt idx="4">
                  <c:v>0.54242349570000004</c:v>
                </c:pt>
                <c:pt idx="5">
                  <c:v>0.61040599149999997</c:v>
                </c:pt>
                <c:pt idx="6">
                  <c:v>0.81810622769999997</c:v>
                </c:pt>
                <c:pt idx="7">
                  <c:v>0.98750357300000002</c:v>
                </c:pt>
              </c:numCache>
            </c:numRef>
          </c:val>
          <c:extLst>
            <c:ext xmlns:c16="http://schemas.microsoft.com/office/drawing/2014/chart" uri="{C3380CC4-5D6E-409C-BE32-E72D297353CC}">
              <c16:uniqueId val="{00000005-0EE7-4D00-AABF-DD6129726B5A}"/>
            </c:ext>
          </c:extLst>
        </c:ser>
        <c:ser>
          <c:idx val="6"/>
          <c:order val="6"/>
          <c:tx>
            <c:strRef>
              <c:f>'Sheet1 (3)'!$H$5:$H$6</c:f>
              <c:strCache>
                <c:ptCount val="1"/>
                <c:pt idx="0">
                  <c:v>MPH-MR</c:v>
                </c:pt>
              </c:strCache>
            </c:strRef>
          </c:tx>
          <c:spPr>
            <a:solidFill>
              <a:schemeClr val="accent3"/>
            </a:solidFill>
            <a:ln>
              <a:solidFill>
                <a:schemeClr val="accent3"/>
              </a:solidFill>
            </a:ln>
            <a:effectLst/>
          </c:spPr>
          <c:invertIfNegative val="0"/>
          <c:cat>
            <c:strRef>
              <c:f>'Sheet1 (3)'!$A$7:$A$15</c:f>
              <c:strCache>
                <c:ptCount val="8"/>
                <c:pt idx="0">
                  <c:v>ACT</c:v>
                </c:pt>
                <c:pt idx="1">
                  <c:v>NSW</c:v>
                </c:pt>
                <c:pt idx="2">
                  <c:v>NT</c:v>
                </c:pt>
                <c:pt idx="3">
                  <c:v>QLD</c:v>
                </c:pt>
                <c:pt idx="4">
                  <c:v>SA</c:v>
                </c:pt>
                <c:pt idx="5">
                  <c:v>TAS</c:v>
                </c:pt>
                <c:pt idx="6">
                  <c:v>VIC</c:v>
                </c:pt>
                <c:pt idx="7">
                  <c:v>WA</c:v>
                </c:pt>
              </c:strCache>
            </c:strRef>
          </c:cat>
          <c:val>
            <c:numRef>
              <c:f>'Sheet1 (3)'!$H$7:$H$15</c:f>
              <c:numCache>
                <c:formatCode>General</c:formatCode>
                <c:ptCount val="8"/>
                <c:pt idx="0">
                  <c:v>0.93995574879999999</c:v>
                </c:pt>
                <c:pt idx="1">
                  <c:v>0.74414385930000004</c:v>
                </c:pt>
                <c:pt idx="2">
                  <c:v>0.30419176250000002</c:v>
                </c:pt>
                <c:pt idx="3">
                  <c:v>0.75408305249999996</c:v>
                </c:pt>
                <c:pt idx="4">
                  <c:v>0.26027579029999998</c:v>
                </c:pt>
                <c:pt idx="5">
                  <c:v>0.51026125850000004</c:v>
                </c:pt>
                <c:pt idx="6">
                  <c:v>0.45232581039999997</c:v>
                </c:pt>
                <c:pt idx="7">
                  <c:v>0.5731803392</c:v>
                </c:pt>
              </c:numCache>
            </c:numRef>
          </c:val>
          <c:extLst>
            <c:ext xmlns:c16="http://schemas.microsoft.com/office/drawing/2014/chart" uri="{C3380CC4-5D6E-409C-BE32-E72D297353CC}">
              <c16:uniqueId val="{00000006-0EE7-4D00-AABF-DD6129726B5A}"/>
            </c:ext>
          </c:extLst>
        </c:ser>
        <c:dLbls>
          <c:showLegendKey val="0"/>
          <c:showVal val="0"/>
          <c:showCatName val="0"/>
          <c:showSerName val="0"/>
          <c:showPercent val="0"/>
          <c:showBubbleSize val="0"/>
        </c:dLbls>
        <c:gapWidth val="219"/>
        <c:overlap val="-27"/>
        <c:axId val="640844264"/>
        <c:axId val="640844592"/>
      </c:barChart>
      <c:catAx>
        <c:axId val="6408442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 State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0844592"/>
        <c:crosses val="autoZero"/>
        <c:auto val="1"/>
        <c:lblAlgn val="ctr"/>
        <c:lblOffset val="100"/>
        <c:noMultiLvlLbl val="0"/>
      </c:catAx>
      <c:valAx>
        <c:axId val="640844592"/>
        <c:scaling>
          <c:orientation val="minMax"/>
          <c:max val="1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 per 1,000 population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0844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9.8365102293623205E-2"/>
          <c:y val="4.0293040293040296E-2"/>
          <c:w val="0.87768280189799353"/>
          <c:h val="0.76088488938882637"/>
        </c:manualLayout>
      </c:layout>
      <c:barChart>
        <c:barDir val="col"/>
        <c:grouping val="clustered"/>
        <c:varyColors val="0"/>
        <c:ser>
          <c:idx val="0"/>
          <c:order val="0"/>
          <c:tx>
            <c:v>Atomoxetine</c:v>
          </c:tx>
          <c:spPr>
            <a:solidFill>
              <a:schemeClr val="accent6"/>
            </a:solidFill>
            <a:ln>
              <a:solidFill>
                <a:schemeClr val="accent6"/>
              </a:solidFill>
            </a:ln>
            <a:effectLst/>
          </c:spPr>
          <c:invertIfNegative val="0"/>
          <c:cat>
            <c:strLit>
              <c:ptCount val="8"/>
              <c:pt idx="0">
                <c:v>ACT</c:v>
              </c:pt>
              <c:pt idx="1">
                <c:v>NSW</c:v>
              </c:pt>
              <c:pt idx="2">
                <c:v>NT</c:v>
              </c:pt>
              <c:pt idx="3">
                <c:v>QLD</c:v>
              </c:pt>
              <c:pt idx="4">
                <c:v>SA</c:v>
              </c:pt>
              <c:pt idx="5">
                <c:v>TAS</c:v>
              </c:pt>
              <c:pt idx="6">
                <c:v>VIC</c:v>
              </c:pt>
              <c:pt idx="7">
                <c:v>WA</c:v>
              </c:pt>
            </c:strLit>
          </c:cat>
          <c:val>
            <c:numLit>
              <c:formatCode>General</c:formatCode>
              <c:ptCount val="8"/>
              <c:pt idx="0">
                <c:v>0.55119850699999995</c:v>
              </c:pt>
              <c:pt idx="1">
                <c:v>0.39652624749999998</c:v>
              </c:pt>
              <c:pt idx="2">
                <c:v>0.2425457603</c:v>
              </c:pt>
              <c:pt idx="3">
                <c:v>0.51572410130000002</c:v>
              </c:pt>
              <c:pt idx="4">
                <c:v>0.22050195149999999</c:v>
              </c:pt>
              <c:pt idx="5">
                <c:v>0.86274005350000005</c:v>
              </c:pt>
              <c:pt idx="6">
                <c:v>0.30991868769999997</c:v>
              </c:pt>
              <c:pt idx="7">
                <c:v>0.52908751430000001</c:v>
              </c:pt>
            </c:numLit>
          </c:val>
          <c:extLst>
            <c:ext xmlns:c16="http://schemas.microsoft.com/office/drawing/2014/chart" uri="{C3380CC4-5D6E-409C-BE32-E72D297353CC}">
              <c16:uniqueId val="{00000000-4224-4E7F-A6D9-A818243BC006}"/>
            </c:ext>
          </c:extLst>
        </c:ser>
        <c:ser>
          <c:idx val="1"/>
          <c:order val="1"/>
          <c:tx>
            <c:v>Clonidine</c:v>
          </c:tx>
          <c:spPr>
            <a:solidFill>
              <a:schemeClr val="bg1">
                <a:lumMod val="65000"/>
              </a:schemeClr>
            </a:solidFill>
            <a:ln>
              <a:solidFill>
                <a:schemeClr val="bg1">
                  <a:lumMod val="65000"/>
                </a:schemeClr>
              </a:solidFill>
            </a:ln>
            <a:effectLst/>
          </c:spPr>
          <c:invertIfNegative val="0"/>
          <c:cat>
            <c:strLit>
              <c:ptCount val="8"/>
              <c:pt idx="0">
                <c:v>ACT</c:v>
              </c:pt>
              <c:pt idx="1">
                <c:v>NSW</c:v>
              </c:pt>
              <c:pt idx="2">
                <c:v>NT</c:v>
              </c:pt>
              <c:pt idx="3">
                <c:v>QLD</c:v>
              </c:pt>
              <c:pt idx="4">
                <c:v>SA</c:v>
              </c:pt>
              <c:pt idx="5">
                <c:v>TAS</c:v>
              </c:pt>
              <c:pt idx="6">
                <c:v>VIC</c:v>
              </c:pt>
              <c:pt idx="7">
                <c:v>WA</c:v>
              </c:pt>
            </c:strLit>
          </c:cat>
          <c:val>
            <c:numLit>
              <c:formatCode>General</c:formatCode>
              <c:ptCount val="8"/>
              <c:pt idx="0">
                <c:v>3.5646035428</c:v>
              </c:pt>
              <c:pt idx="1">
                <c:v>3.4692504835000002</c:v>
              </c:pt>
              <c:pt idx="2">
                <c:v>1.3744259750000001</c:v>
              </c:pt>
              <c:pt idx="3">
                <c:v>3.1452833301999998</c:v>
              </c:pt>
              <c:pt idx="4">
                <c:v>3.0877229104000001</c:v>
              </c:pt>
              <c:pt idx="5">
                <c:v>8.0973365949999998</c:v>
              </c:pt>
              <c:pt idx="6">
                <c:v>4.0262479954000003</c:v>
              </c:pt>
              <c:pt idx="7">
                <c:v>5.8956128898999998</c:v>
              </c:pt>
            </c:numLit>
          </c:val>
          <c:extLst>
            <c:ext xmlns:c16="http://schemas.microsoft.com/office/drawing/2014/chart" uri="{C3380CC4-5D6E-409C-BE32-E72D297353CC}">
              <c16:uniqueId val="{00000001-4224-4E7F-A6D9-A818243BC006}"/>
            </c:ext>
          </c:extLst>
        </c:ser>
        <c:ser>
          <c:idx val="2"/>
          <c:order val="2"/>
          <c:tx>
            <c:v>Dexamfetamine</c:v>
          </c:tx>
          <c:spPr>
            <a:solidFill>
              <a:schemeClr val="accent4"/>
            </a:solidFill>
            <a:ln>
              <a:solidFill>
                <a:schemeClr val="accent4"/>
              </a:solidFill>
            </a:ln>
            <a:effectLst/>
          </c:spPr>
          <c:invertIfNegative val="0"/>
          <c:cat>
            <c:strLit>
              <c:ptCount val="8"/>
              <c:pt idx="0">
                <c:v>ACT</c:v>
              </c:pt>
              <c:pt idx="1">
                <c:v>NSW</c:v>
              </c:pt>
              <c:pt idx="2">
                <c:v>NT</c:v>
              </c:pt>
              <c:pt idx="3">
                <c:v>QLD</c:v>
              </c:pt>
              <c:pt idx="4">
                <c:v>SA</c:v>
              </c:pt>
              <c:pt idx="5">
                <c:v>TAS</c:v>
              </c:pt>
              <c:pt idx="6">
                <c:v>VIC</c:v>
              </c:pt>
              <c:pt idx="7">
                <c:v>WA</c:v>
              </c:pt>
            </c:strLit>
          </c:cat>
          <c:val>
            <c:numLit>
              <c:formatCode>General</c:formatCode>
              <c:ptCount val="8"/>
              <c:pt idx="0">
                <c:v>7.565689152</c:v>
              </c:pt>
              <c:pt idx="1">
                <c:v>3.8939538641000002</c:v>
              </c:pt>
              <c:pt idx="2">
                <c:v>1.9727055171000001</c:v>
              </c:pt>
              <c:pt idx="3">
                <c:v>3.5342699396000001</c:v>
              </c:pt>
              <c:pt idx="4">
                <c:v>2.8734812666999998</c:v>
              </c:pt>
              <c:pt idx="5">
                <c:v>2.1734839395000001</c:v>
              </c:pt>
              <c:pt idx="6">
                <c:v>3.4859115006999999</c:v>
              </c:pt>
              <c:pt idx="7">
                <c:v>11.822785386</c:v>
              </c:pt>
            </c:numLit>
          </c:val>
          <c:extLst>
            <c:ext xmlns:c16="http://schemas.microsoft.com/office/drawing/2014/chart" uri="{C3380CC4-5D6E-409C-BE32-E72D297353CC}">
              <c16:uniqueId val="{00000002-4224-4E7F-A6D9-A818243BC006}"/>
            </c:ext>
          </c:extLst>
        </c:ser>
        <c:ser>
          <c:idx val="3"/>
          <c:order val="3"/>
          <c:tx>
            <c:v>Guanfacine</c:v>
          </c:tx>
          <c:spPr>
            <a:solidFill>
              <a:schemeClr val="accent5"/>
            </a:solidFill>
            <a:ln>
              <a:solidFill>
                <a:schemeClr val="accent5"/>
              </a:solidFill>
            </a:ln>
            <a:effectLst/>
          </c:spPr>
          <c:invertIfNegative val="0"/>
          <c:cat>
            <c:strLit>
              <c:ptCount val="8"/>
              <c:pt idx="0">
                <c:v>ACT</c:v>
              </c:pt>
              <c:pt idx="1">
                <c:v>NSW</c:v>
              </c:pt>
              <c:pt idx="2">
                <c:v>NT</c:v>
              </c:pt>
              <c:pt idx="3">
                <c:v>QLD</c:v>
              </c:pt>
              <c:pt idx="4">
                <c:v>SA</c:v>
              </c:pt>
              <c:pt idx="5">
                <c:v>TAS</c:v>
              </c:pt>
              <c:pt idx="6">
                <c:v>VIC</c:v>
              </c:pt>
              <c:pt idx="7">
                <c:v>WA</c:v>
              </c:pt>
            </c:strLit>
          </c:cat>
          <c:val>
            <c:numLit>
              <c:formatCode>General</c:formatCode>
              <c:ptCount val="8"/>
              <c:pt idx="0">
                <c:v>0.3049778541</c:v>
              </c:pt>
              <c:pt idx="1">
                <c:v>0.28570668490000001</c:v>
              </c:pt>
              <c:pt idx="2">
                <c:v>0.10240820990000001</c:v>
              </c:pt>
              <c:pt idx="3">
                <c:v>0.30319507649999999</c:v>
              </c:pt>
              <c:pt idx="4">
                <c:v>7.5123693199999994E-2</c:v>
              </c:pt>
              <c:pt idx="5">
                <c:v>0.3947756543</c:v>
              </c:pt>
              <c:pt idx="6">
                <c:v>0.22599039709999999</c:v>
              </c:pt>
              <c:pt idx="7">
                <c:v>0.14758756980000001</c:v>
              </c:pt>
            </c:numLit>
          </c:val>
          <c:extLst>
            <c:ext xmlns:c16="http://schemas.microsoft.com/office/drawing/2014/chart" uri="{C3380CC4-5D6E-409C-BE32-E72D297353CC}">
              <c16:uniqueId val="{00000003-4224-4E7F-A6D9-A818243BC006}"/>
            </c:ext>
          </c:extLst>
        </c:ser>
        <c:ser>
          <c:idx val="4"/>
          <c:order val="4"/>
          <c:tx>
            <c:v>Lisdexamfetamine</c:v>
          </c:tx>
          <c:spPr>
            <a:solidFill>
              <a:schemeClr val="accent2"/>
            </a:solidFill>
            <a:ln>
              <a:solidFill>
                <a:schemeClr val="accent2"/>
              </a:solidFill>
            </a:ln>
            <a:effectLst/>
          </c:spPr>
          <c:invertIfNegative val="0"/>
          <c:cat>
            <c:strLit>
              <c:ptCount val="8"/>
              <c:pt idx="0">
                <c:v>ACT</c:v>
              </c:pt>
              <c:pt idx="1">
                <c:v>NSW</c:v>
              </c:pt>
              <c:pt idx="2">
                <c:v>NT</c:v>
              </c:pt>
              <c:pt idx="3">
                <c:v>QLD</c:v>
              </c:pt>
              <c:pt idx="4">
                <c:v>SA</c:v>
              </c:pt>
              <c:pt idx="5">
                <c:v>TAS</c:v>
              </c:pt>
              <c:pt idx="6">
                <c:v>VIC</c:v>
              </c:pt>
              <c:pt idx="7">
                <c:v>WA</c:v>
              </c:pt>
            </c:strLit>
          </c:cat>
          <c:val>
            <c:numLit>
              <c:formatCode>General</c:formatCode>
              <c:ptCount val="8"/>
              <c:pt idx="0">
                <c:v>6.3653634692000001</c:v>
              </c:pt>
              <c:pt idx="1">
                <c:v>3.9865133851999999</c:v>
              </c:pt>
              <c:pt idx="2">
                <c:v>3.4926589482999999</c:v>
              </c:pt>
              <c:pt idx="3">
                <c:v>5.0346468617999998</c:v>
              </c:pt>
              <c:pt idx="4">
                <c:v>2.4484759281000001</c:v>
              </c:pt>
              <c:pt idx="5">
                <c:v>4.5864946805000004</c:v>
              </c:pt>
              <c:pt idx="6">
                <c:v>5.1013385984999999</c:v>
              </c:pt>
              <c:pt idx="7">
                <c:v>8.5331605600000007</c:v>
              </c:pt>
            </c:numLit>
          </c:val>
          <c:extLst>
            <c:ext xmlns:c16="http://schemas.microsoft.com/office/drawing/2014/chart" uri="{C3380CC4-5D6E-409C-BE32-E72D297353CC}">
              <c16:uniqueId val="{00000004-4224-4E7F-A6D9-A818243BC006}"/>
            </c:ext>
          </c:extLst>
        </c:ser>
        <c:ser>
          <c:idx val="5"/>
          <c:order val="5"/>
          <c:tx>
            <c:v>MPH-IR</c:v>
          </c:tx>
          <c:spPr>
            <a:solidFill>
              <a:schemeClr val="accent1"/>
            </a:solidFill>
            <a:ln>
              <a:solidFill>
                <a:schemeClr val="accent1"/>
              </a:solidFill>
            </a:ln>
            <a:effectLst/>
          </c:spPr>
          <c:invertIfNegative val="0"/>
          <c:cat>
            <c:strLit>
              <c:ptCount val="8"/>
              <c:pt idx="0">
                <c:v>ACT</c:v>
              </c:pt>
              <c:pt idx="1">
                <c:v>NSW</c:v>
              </c:pt>
              <c:pt idx="2">
                <c:v>NT</c:v>
              </c:pt>
              <c:pt idx="3">
                <c:v>QLD</c:v>
              </c:pt>
              <c:pt idx="4">
                <c:v>SA</c:v>
              </c:pt>
              <c:pt idx="5">
                <c:v>TAS</c:v>
              </c:pt>
              <c:pt idx="6">
                <c:v>VIC</c:v>
              </c:pt>
              <c:pt idx="7">
                <c:v>WA</c:v>
              </c:pt>
            </c:strLit>
          </c:cat>
          <c:val>
            <c:numLit>
              <c:formatCode>General</c:formatCode>
              <c:ptCount val="8"/>
              <c:pt idx="0">
                <c:v>3.5841892765000001</c:v>
              </c:pt>
              <c:pt idx="1">
                <c:v>2.2514946079999998</c:v>
              </c:pt>
              <c:pt idx="2">
                <c:v>1.0079123817</c:v>
              </c:pt>
              <c:pt idx="3">
                <c:v>2.0560720785000002</c:v>
              </c:pt>
              <c:pt idx="4">
                <c:v>1.8161848432000001</c:v>
              </c:pt>
              <c:pt idx="5">
                <c:v>1.7476585146000001</c:v>
              </c:pt>
              <c:pt idx="6">
                <c:v>2.0473882998000001</c:v>
              </c:pt>
              <c:pt idx="7">
                <c:v>1.7803330744999999</c:v>
              </c:pt>
            </c:numLit>
          </c:val>
          <c:extLst>
            <c:ext xmlns:c16="http://schemas.microsoft.com/office/drawing/2014/chart" uri="{C3380CC4-5D6E-409C-BE32-E72D297353CC}">
              <c16:uniqueId val="{00000005-4224-4E7F-A6D9-A818243BC006}"/>
            </c:ext>
          </c:extLst>
        </c:ser>
        <c:ser>
          <c:idx val="6"/>
          <c:order val="6"/>
          <c:tx>
            <c:v>MPH-MR</c:v>
          </c:tx>
          <c:spPr>
            <a:solidFill>
              <a:schemeClr val="accent3"/>
            </a:solidFill>
            <a:ln>
              <a:solidFill>
                <a:schemeClr val="accent3"/>
              </a:solidFill>
            </a:ln>
            <a:effectLst/>
          </c:spPr>
          <c:invertIfNegative val="0"/>
          <c:cat>
            <c:strLit>
              <c:ptCount val="8"/>
              <c:pt idx="0">
                <c:v>ACT</c:v>
              </c:pt>
              <c:pt idx="1">
                <c:v>NSW</c:v>
              </c:pt>
              <c:pt idx="2">
                <c:v>NT</c:v>
              </c:pt>
              <c:pt idx="3">
                <c:v>QLD</c:v>
              </c:pt>
              <c:pt idx="4">
                <c:v>SA</c:v>
              </c:pt>
              <c:pt idx="5">
                <c:v>TAS</c:v>
              </c:pt>
              <c:pt idx="6">
                <c:v>VIC</c:v>
              </c:pt>
              <c:pt idx="7">
                <c:v>WA</c:v>
              </c:pt>
            </c:strLit>
          </c:cat>
          <c:val>
            <c:numLit>
              <c:formatCode>General</c:formatCode>
              <c:ptCount val="8"/>
              <c:pt idx="0">
                <c:v>1.6284138633</c:v>
              </c:pt>
              <c:pt idx="1">
                <c:v>1.1653369630999999</c:v>
              </c:pt>
              <c:pt idx="2">
                <c:v>0.61444925939999995</c:v>
              </c:pt>
              <c:pt idx="3">
                <c:v>1.3129516698999999</c:v>
              </c:pt>
              <c:pt idx="4">
                <c:v>0.67889559820000001</c:v>
              </c:pt>
              <c:pt idx="5">
                <c:v>0.88048277959999999</c:v>
              </c:pt>
              <c:pt idx="6">
                <c:v>0.89645424149999997</c:v>
              </c:pt>
              <c:pt idx="7">
                <c:v>0.81173163380000002</c:v>
              </c:pt>
            </c:numLit>
          </c:val>
          <c:extLst>
            <c:ext xmlns:c16="http://schemas.microsoft.com/office/drawing/2014/chart" uri="{C3380CC4-5D6E-409C-BE32-E72D297353CC}">
              <c16:uniqueId val="{00000006-4224-4E7F-A6D9-A818243BC006}"/>
            </c:ext>
          </c:extLst>
        </c:ser>
        <c:dLbls>
          <c:showLegendKey val="0"/>
          <c:showVal val="0"/>
          <c:showCatName val="0"/>
          <c:showSerName val="0"/>
          <c:showPercent val="0"/>
          <c:showBubbleSize val="0"/>
        </c:dLbls>
        <c:gapWidth val="219"/>
        <c:overlap val="-27"/>
        <c:axId val="640844264"/>
        <c:axId val="640844592"/>
      </c:barChart>
      <c:catAx>
        <c:axId val="6408442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 State</a:t>
                </a:r>
              </a:p>
            </c:rich>
          </c:tx>
          <c:layout>
            <c:manualLayout>
              <c:xMode val="edge"/>
              <c:yMode val="edge"/>
              <c:x val="0.44085366846836033"/>
              <c:y val="0.8751642583138645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0844592"/>
        <c:crosses val="autoZero"/>
        <c:auto val="1"/>
        <c:lblAlgn val="ctr"/>
        <c:lblOffset val="100"/>
        <c:noMultiLvlLbl val="0"/>
      </c:catAx>
      <c:valAx>
        <c:axId val="640844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 per 1,000 population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0844264"/>
        <c:crosses val="autoZero"/>
        <c:crossBetween val="between"/>
      </c:valAx>
      <c:spPr>
        <a:noFill/>
        <a:ln>
          <a:noFill/>
        </a:ln>
        <a:effectLst/>
      </c:spPr>
    </c:plotArea>
    <c:legend>
      <c:legendPos val="b"/>
      <c:layout>
        <c:manualLayout>
          <c:xMode val="edge"/>
          <c:yMode val="edge"/>
          <c:x val="4.4717208389234424E-2"/>
          <c:y val="0.94412736869429781"/>
          <c:w val="0.92042471823778005"/>
          <c:h val="5.28126193398167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4079385139578685"/>
          <c:y val="4.0515653775322284E-2"/>
          <c:w val="0.83561871427377465"/>
          <c:h val="0.73976595467003092"/>
        </c:manualLayout>
      </c:layout>
      <c:lineChart>
        <c:grouping val="standard"/>
        <c:varyColors val="0"/>
        <c:ser>
          <c:idx val="6"/>
          <c:order val="0"/>
          <c:tx>
            <c:v>Atomoxetine</c:v>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Lit>
              <c:ptCount val="10"/>
              <c:pt idx="0">
                <c:v>2013/14</c:v>
              </c:pt>
              <c:pt idx="1">
                <c:v>2014/15</c:v>
              </c:pt>
              <c:pt idx="2">
                <c:v>2015/16</c:v>
              </c:pt>
              <c:pt idx="3">
                <c:v>2016/17</c:v>
              </c:pt>
              <c:pt idx="4">
                <c:v>2017/18</c:v>
              </c:pt>
              <c:pt idx="5">
                <c:v>2018/19</c:v>
              </c:pt>
              <c:pt idx="6">
                <c:v>2019/20</c:v>
              </c:pt>
              <c:pt idx="7">
                <c:v>2020/21</c:v>
              </c:pt>
              <c:pt idx="8">
                <c:v>2021/22</c:v>
              </c:pt>
              <c:pt idx="9">
                <c:v>2022/23</c:v>
              </c:pt>
            </c:strLit>
          </c:cat>
          <c:val>
            <c:numLit>
              <c:formatCode>General</c:formatCode>
              <c:ptCount val="10"/>
              <c:pt idx="0">
                <c:v>31181</c:v>
              </c:pt>
              <c:pt idx="1">
                <c:v>32847</c:v>
              </c:pt>
              <c:pt idx="2">
                <c:v>33501</c:v>
              </c:pt>
              <c:pt idx="3">
                <c:v>34520</c:v>
              </c:pt>
              <c:pt idx="4">
                <c:v>37304</c:v>
              </c:pt>
              <c:pt idx="5">
                <c:v>36261</c:v>
              </c:pt>
              <c:pt idx="6">
                <c:v>35562</c:v>
              </c:pt>
              <c:pt idx="7">
                <c:v>36888</c:v>
              </c:pt>
              <c:pt idx="8">
                <c:v>37327</c:v>
              </c:pt>
              <c:pt idx="9">
                <c:v>38154</c:v>
              </c:pt>
            </c:numLit>
          </c:val>
          <c:smooth val="0"/>
          <c:extLst>
            <c:ext xmlns:c16="http://schemas.microsoft.com/office/drawing/2014/chart" uri="{C3380CC4-5D6E-409C-BE32-E72D297353CC}">
              <c16:uniqueId val="{00000000-C3FE-4433-878F-13720B83A72B}"/>
            </c:ext>
          </c:extLst>
        </c:ser>
        <c:ser>
          <c:idx val="3"/>
          <c:order val="1"/>
          <c:tx>
            <c:v>Clonidine</c:v>
          </c:tx>
          <c:spPr>
            <a:ln w="28575" cap="rnd">
              <a:solidFill>
                <a:schemeClr val="bg1">
                  <a:lumMod val="75000"/>
                </a:schemeClr>
              </a:solidFill>
              <a:round/>
            </a:ln>
            <a:effectLst/>
          </c:spPr>
          <c:marker>
            <c:symbol val="circle"/>
            <c:size val="5"/>
            <c:spPr>
              <a:solidFill>
                <a:schemeClr val="bg1">
                  <a:lumMod val="75000"/>
                </a:schemeClr>
              </a:solidFill>
              <a:ln w="9525">
                <a:solidFill>
                  <a:schemeClr val="bg1">
                    <a:lumMod val="75000"/>
                  </a:schemeClr>
                </a:solidFill>
              </a:ln>
              <a:effectLst/>
            </c:spPr>
          </c:marker>
          <c:cat>
            <c:strLit>
              <c:ptCount val="10"/>
              <c:pt idx="0">
                <c:v>2013/14</c:v>
              </c:pt>
              <c:pt idx="1">
                <c:v>2014/15</c:v>
              </c:pt>
              <c:pt idx="2">
                <c:v>2015/16</c:v>
              </c:pt>
              <c:pt idx="3">
                <c:v>2016/17</c:v>
              </c:pt>
              <c:pt idx="4">
                <c:v>2017/18</c:v>
              </c:pt>
              <c:pt idx="5">
                <c:v>2018/19</c:v>
              </c:pt>
              <c:pt idx="6">
                <c:v>2019/20</c:v>
              </c:pt>
              <c:pt idx="7">
                <c:v>2020/21</c:v>
              </c:pt>
              <c:pt idx="8">
                <c:v>2021/22</c:v>
              </c:pt>
              <c:pt idx="9">
                <c:v>2022/23</c:v>
              </c:pt>
            </c:strLit>
          </c:cat>
          <c:val>
            <c:numLit>
              <c:formatCode>General</c:formatCode>
              <c:ptCount val="10"/>
              <c:pt idx="0">
                <c:v>65706</c:v>
              </c:pt>
              <c:pt idx="1">
                <c:v>72617</c:v>
              </c:pt>
              <c:pt idx="2">
                <c:v>83493</c:v>
              </c:pt>
              <c:pt idx="3">
                <c:v>97793</c:v>
              </c:pt>
              <c:pt idx="4">
                <c:v>113976</c:v>
              </c:pt>
              <c:pt idx="5">
                <c:v>127944</c:v>
              </c:pt>
              <c:pt idx="6">
                <c:v>142966</c:v>
              </c:pt>
              <c:pt idx="7">
                <c:v>163645</c:v>
              </c:pt>
              <c:pt idx="8">
                <c:v>183476</c:v>
              </c:pt>
              <c:pt idx="9">
                <c:v>201287</c:v>
              </c:pt>
            </c:numLit>
          </c:val>
          <c:smooth val="0"/>
          <c:extLst>
            <c:ext xmlns:c16="http://schemas.microsoft.com/office/drawing/2014/chart" uri="{C3380CC4-5D6E-409C-BE32-E72D297353CC}">
              <c16:uniqueId val="{00000001-C3FE-4433-878F-13720B83A72B}"/>
            </c:ext>
          </c:extLst>
        </c:ser>
        <c:ser>
          <c:idx val="5"/>
          <c:order val="2"/>
          <c:tx>
            <c:v>Dexamfetamine</c:v>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Lit>
              <c:ptCount val="10"/>
              <c:pt idx="0">
                <c:v>2013/14</c:v>
              </c:pt>
              <c:pt idx="1">
                <c:v>2014/15</c:v>
              </c:pt>
              <c:pt idx="2">
                <c:v>2015/16</c:v>
              </c:pt>
              <c:pt idx="3">
                <c:v>2016/17</c:v>
              </c:pt>
              <c:pt idx="4">
                <c:v>2017/18</c:v>
              </c:pt>
              <c:pt idx="5">
                <c:v>2018/19</c:v>
              </c:pt>
              <c:pt idx="6">
                <c:v>2019/20</c:v>
              </c:pt>
              <c:pt idx="7">
                <c:v>2020/21</c:v>
              </c:pt>
              <c:pt idx="8">
                <c:v>2021/22</c:v>
              </c:pt>
              <c:pt idx="9">
                <c:v>2022/23</c:v>
              </c:pt>
            </c:strLit>
          </c:cat>
          <c:val>
            <c:numLit>
              <c:formatCode>General</c:formatCode>
              <c:ptCount val="10"/>
              <c:pt idx="0">
                <c:v>41287</c:v>
              </c:pt>
              <c:pt idx="1">
                <c:v>41043</c:v>
              </c:pt>
              <c:pt idx="2">
                <c:v>37933</c:v>
              </c:pt>
              <c:pt idx="3">
                <c:v>34438</c:v>
              </c:pt>
              <c:pt idx="4">
                <c:v>36083</c:v>
              </c:pt>
              <c:pt idx="5">
                <c:v>38244</c:v>
              </c:pt>
              <c:pt idx="6">
                <c:v>42610</c:v>
              </c:pt>
              <c:pt idx="7">
                <c:v>50278</c:v>
              </c:pt>
              <c:pt idx="8">
                <c:v>60435</c:v>
              </c:pt>
              <c:pt idx="9">
                <c:v>76330</c:v>
              </c:pt>
            </c:numLit>
          </c:val>
          <c:smooth val="0"/>
          <c:extLst>
            <c:ext xmlns:c16="http://schemas.microsoft.com/office/drawing/2014/chart" uri="{C3380CC4-5D6E-409C-BE32-E72D297353CC}">
              <c16:uniqueId val="{00000002-C3FE-4433-878F-13720B83A72B}"/>
            </c:ext>
          </c:extLst>
        </c:ser>
        <c:ser>
          <c:idx val="4"/>
          <c:order val="3"/>
          <c:tx>
            <c:v>Guanfacine</c:v>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Lit>
              <c:ptCount val="10"/>
              <c:pt idx="0">
                <c:v>2013/14</c:v>
              </c:pt>
              <c:pt idx="1">
                <c:v>2014/15</c:v>
              </c:pt>
              <c:pt idx="2">
                <c:v>2015/16</c:v>
              </c:pt>
              <c:pt idx="3">
                <c:v>2016/17</c:v>
              </c:pt>
              <c:pt idx="4">
                <c:v>2017/18</c:v>
              </c:pt>
              <c:pt idx="5">
                <c:v>2018/19</c:v>
              </c:pt>
              <c:pt idx="6">
                <c:v>2019/20</c:v>
              </c:pt>
              <c:pt idx="7">
                <c:v>2020/21</c:v>
              </c:pt>
              <c:pt idx="8">
                <c:v>2021/22</c:v>
              </c:pt>
              <c:pt idx="9">
                <c:v>2022/23</c:v>
              </c:pt>
            </c:strLit>
          </c:cat>
          <c:val>
            <c:numLit>
              <c:formatCode>General</c:formatCode>
              <c:ptCount val="10"/>
              <c:pt idx="0">
                <c:v>0</c:v>
              </c:pt>
              <c:pt idx="1">
                <c:v>0</c:v>
              </c:pt>
              <c:pt idx="2">
                <c:v>0</c:v>
              </c:pt>
              <c:pt idx="3">
                <c:v>0</c:v>
              </c:pt>
              <c:pt idx="4">
                <c:v>0</c:v>
              </c:pt>
              <c:pt idx="5">
                <c:v>49303</c:v>
              </c:pt>
              <c:pt idx="6">
                <c:v>157294</c:v>
              </c:pt>
              <c:pt idx="7">
                <c:v>222936</c:v>
              </c:pt>
              <c:pt idx="8">
                <c:v>294655</c:v>
              </c:pt>
              <c:pt idx="9">
                <c:v>376624</c:v>
              </c:pt>
            </c:numLit>
          </c:val>
          <c:smooth val="0"/>
          <c:extLst>
            <c:ext xmlns:c16="http://schemas.microsoft.com/office/drawing/2014/chart" uri="{C3380CC4-5D6E-409C-BE32-E72D297353CC}">
              <c16:uniqueId val="{00000003-C3FE-4433-878F-13720B83A72B}"/>
            </c:ext>
          </c:extLst>
        </c:ser>
        <c:ser>
          <c:idx val="1"/>
          <c:order val="4"/>
          <c:tx>
            <c:v>Lisdexamfetamine</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Lit>
              <c:ptCount val="10"/>
              <c:pt idx="0">
                <c:v>2013/14</c:v>
              </c:pt>
              <c:pt idx="1">
                <c:v>2014/15</c:v>
              </c:pt>
              <c:pt idx="2">
                <c:v>2015/16</c:v>
              </c:pt>
              <c:pt idx="3">
                <c:v>2016/17</c:v>
              </c:pt>
              <c:pt idx="4">
                <c:v>2017/18</c:v>
              </c:pt>
              <c:pt idx="5">
                <c:v>2018/19</c:v>
              </c:pt>
              <c:pt idx="6">
                <c:v>2019/20</c:v>
              </c:pt>
              <c:pt idx="7">
                <c:v>2020/21</c:v>
              </c:pt>
              <c:pt idx="8">
                <c:v>2021/22</c:v>
              </c:pt>
              <c:pt idx="9">
                <c:v>2022/23</c:v>
              </c:pt>
            </c:strLit>
          </c:cat>
          <c:val>
            <c:numLit>
              <c:formatCode>General</c:formatCode>
              <c:ptCount val="10"/>
              <c:pt idx="0">
                <c:v>0</c:v>
              </c:pt>
              <c:pt idx="1">
                <c:v>0</c:v>
              </c:pt>
              <c:pt idx="2">
                <c:v>52466</c:v>
              </c:pt>
              <c:pt idx="3">
                <c:v>121834</c:v>
              </c:pt>
              <c:pt idx="4">
                <c:v>173439</c:v>
              </c:pt>
              <c:pt idx="5">
                <c:v>218762</c:v>
              </c:pt>
              <c:pt idx="6">
                <c:v>263500</c:v>
              </c:pt>
              <c:pt idx="7">
                <c:v>326971</c:v>
              </c:pt>
              <c:pt idx="8">
                <c:v>399646</c:v>
              </c:pt>
              <c:pt idx="9">
                <c:v>503752</c:v>
              </c:pt>
            </c:numLit>
          </c:val>
          <c:smooth val="0"/>
          <c:extLst>
            <c:ext xmlns:c16="http://schemas.microsoft.com/office/drawing/2014/chart" uri="{C3380CC4-5D6E-409C-BE32-E72D297353CC}">
              <c16:uniqueId val="{00000004-C3FE-4433-878F-13720B83A72B}"/>
            </c:ext>
          </c:extLst>
        </c:ser>
        <c:ser>
          <c:idx val="2"/>
          <c:order val="5"/>
          <c:tx>
            <c:v>MPH-IR</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Lit>
              <c:ptCount val="10"/>
              <c:pt idx="0">
                <c:v>2013/14</c:v>
              </c:pt>
              <c:pt idx="1">
                <c:v>2014/15</c:v>
              </c:pt>
              <c:pt idx="2">
                <c:v>2015/16</c:v>
              </c:pt>
              <c:pt idx="3">
                <c:v>2016/17</c:v>
              </c:pt>
              <c:pt idx="4">
                <c:v>2017/18</c:v>
              </c:pt>
              <c:pt idx="5">
                <c:v>2018/19</c:v>
              </c:pt>
              <c:pt idx="6">
                <c:v>2019/20</c:v>
              </c:pt>
              <c:pt idx="7">
                <c:v>2020/21</c:v>
              </c:pt>
              <c:pt idx="8">
                <c:v>2021/22</c:v>
              </c:pt>
              <c:pt idx="9">
                <c:v>2022/23</c:v>
              </c:pt>
            </c:strLit>
          </c:cat>
          <c:val>
            <c:numLit>
              <c:formatCode>General</c:formatCode>
              <c:ptCount val="10"/>
              <c:pt idx="0">
                <c:v>110147</c:v>
              </c:pt>
              <c:pt idx="1">
                <c:v>119322</c:v>
              </c:pt>
              <c:pt idx="2">
                <c:v>127053</c:v>
              </c:pt>
              <c:pt idx="3">
                <c:v>130744</c:v>
              </c:pt>
              <c:pt idx="4">
                <c:v>141328</c:v>
              </c:pt>
              <c:pt idx="5">
                <c:v>157736</c:v>
              </c:pt>
              <c:pt idx="6">
                <c:v>179006</c:v>
              </c:pt>
              <c:pt idx="7">
                <c:v>206186</c:v>
              </c:pt>
              <c:pt idx="8">
                <c:v>233780</c:v>
              </c:pt>
              <c:pt idx="9">
                <c:v>280114</c:v>
              </c:pt>
            </c:numLit>
          </c:val>
          <c:smooth val="0"/>
          <c:extLst>
            <c:ext xmlns:c16="http://schemas.microsoft.com/office/drawing/2014/chart" uri="{C3380CC4-5D6E-409C-BE32-E72D297353CC}">
              <c16:uniqueId val="{00000005-C3FE-4433-878F-13720B83A72B}"/>
            </c:ext>
          </c:extLst>
        </c:ser>
        <c:ser>
          <c:idx val="0"/>
          <c:order val="6"/>
          <c:tx>
            <c:v>MPH-MR</c:v>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Lit>
              <c:ptCount val="10"/>
              <c:pt idx="0">
                <c:v>2013/14</c:v>
              </c:pt>
              <c:pt idx="1">
                <c:v>2014/15</c:v>
              </c:pt>
              <c:pt idx="2">
                <c:v>2015/16</c:v>
              </c:pt>
              <c:pt idx="3">
                <c:v>2016/17</c:v>
              </c:pt>
              <c:pt idx="4">
                <c:v>2017/18</c:v>
              </c:pt>
              <c:pt idx="5">
                <c:v>2018/19</c:v>
              </c:pt>
              <c:pt idx="6">
                <c:v>2019/20</c:v>
              </c:pt>
              <c:pt idx="7">
                <c:v>2020/21</c:v>
              </c:pt>
              <c:pt idx="8">
                <c:v>2021/22</c:v>
              </c:pt>
              <c:pt idx="9">
                <c:v>2022/23</c:v>
              </c:pt>
            </c:strLit>
          </c:cat>
          <c:val>
            <c:numLit>
              <c:formatCode>General</c:formatCode>
              <c:ptCount val="10"/>
              <c:pt idx="0">
                <c:v>379425</c:v>
              </c:pt>
              <c:pt idx="1">
                <c:v>404868</c:v>
              </c:pt>
              <c:pt idx="2">
                <c:v>426532</c:v>
              </c:pt>
              <c:pt idx="3">
                <c:v>437502</c:v>
              </c:pt>
              <c:pt idx="4">
                <c:v>456488</c:v>
              </c:pt>
              <c:pt idx="5">
                <c:v>485303</c:v>
              </c:pt>
              <c:pt idx="6">
                <c:v>532876</c:v>
              </c:pt>
              <c:pt idx="7">
                <c:v>604998</c:v>
              </c:pt>
              <c:pt idx="8">
                <c:v>674519</c:v>
              </c:pt>
              <c:pt idx="9">
                <c:v>790997</c:v>
              </c:pt>
            </c:numLit>
          </c:val>
          <c:smooth val="0"/>
          <c:extLst>
            <c:ext xmlns:c16="http://schemas.microsoft.com/office/drawing/2014/chart" uri="{C3380CC4-5D6E-409C-BE32-E72D297353CC}">
              <c16:uniqueId val="{00000006-C3FE-4433-878F-13720B83A72B}"/>
            </c:ext>
          </c:extLst>
        </c:ser>
        <c:dLbls>
          <c:showLegendKey val="0"/>
          <c:showVal val="0"/>
          <c:showCatName val="0"/>
          <c:showSerName val="0"/>
          <c:showPercent val="0"/>
          <c:showBubbleSize val="0"/>
        </c:dLbls>
        <c:marker val="1"/>
        <c:smooth val="0"/>
        <c:axId val="309192360"/>
        <c:axId val="369584912"/>
      </c:lineChart>
      <c:catAx>
        <c:axId val="3091923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 of supply</a:t>
                </a:r>
              </a:p>
            </c:rich>
          </c:tx>
          <c:layout>
            <c:manualLayout>
              <c:xMode val="edge"/>
              <c:yMode val="edge"/>
              <c:x val="0.43480674597244978"/>
              <c:y val="0.8509934600716346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9584912"/>
        <c:crosses val="autoZero"/>
        <c:auto val="1"/>
        <c:lblAlgn val="ctr"/>
        <c:lblOffset val="100"/>
        <c:noMultiLvlLbl val="0"/>
      </c:catAx>
      <c:valAx>
        <c:axId val="369584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Prescriptions</a:t>
                </a:r>
              </a:p>
            </c:rich>
          </c:tx>
          <c:layout>
            <c:manualLayout>
              <c:xMode val="edge"/>
              <c:yMode val="edge"/>
              <c:x val="1.7154497694864372E-2"/>
              <c:y val="0.3019547280346862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192360"/>
        <c:crosses val="autoZero"/>
        <c:crossBetween val="between"/>
      </c:valAx>
      <c:spPr>
        <a:noFill/>
        <a:ln>
          <a:noFill/>
        </a:ln>
        <a:effectLst/>
      </c:spPr>
    </c:plotArea>
    <c:legend>
      <c:legendPos val="b"/>
      <c:layout>
        <c:manualLayout>
          <c:xMode val="edge"/>
          <c:yMode val="edge"/>
          <c:x val="1.527155519197926E-2"/>
          <c:y val="0.90737547309348765"/>
          <c:w val="0.95509286813577376"/>
          <c:h val="8.963269094125665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[D1498_PATCNTBY_FORM_SUPP_Qtr - figs 22b34  JG.xlsx]Sheet1 (3)!PivotTable2</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3808203207043321"/>
          <c:y val="3.8650737877723121E-2"/>
          <c:w val="0.83328003977728149"/>
          <c:h val="0.6380908855815447"/>
        </c:manualLayout>
      </c:layout>
      <c:lineChart>
        <c:grouping val="standard"/>
        <c:varyColors val="0"/>
        <c:ser>
          <c:idx val="0"/>
          <c:order val="0"/>
          <c:tx>
            <c:strRef>
              <c:f>'Sheet1 (3)'!$B$1:$B$3</c:f>
              <c:strCache>
                <c:ptCount val="1"/>
                <c:pt idx="0">
                  <c:v>prevalent patients by therapy - ≤18yrs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(3)'!$A$4:$A$44</c:f>
              <c:strCache>
                <c:ptCount val="40"/>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pt idx="32">
                  <c:v>2021Q3</c:v>
                </c:pt>
                <c:pt idx="33">
                  <c:v>2021Q4</c:v>
                </c:pt>
                <c:pt idx="34">
                  <c:v>2022Q1</c:v>
                </c:pt>
                <c:pt idx="35">
                  <c:v>2022Q2</c:v>
                </c:pt>
                <c:pt idx="36">
                  <c:v>2022Q3</c:v>
                </c:pt>
                <c:pt idx="37">
                  <c:v>2022Q4</c:v>
                </c:pt>
                <c:pt idx="38">
                  <c:v>2023Q1</c:v>
                </c:pt>
                <c:pt idx="39">
                  <c:v>2023Q2</c:v>
                </c:pt>
              </c:strCache>
            </c:strRef>
          </c:cat>
          <c:val>
            <c:numRef>
              <c:f>'Sheet1 (3)'!$B$4:$B$44</c:f>
              <c:numCache>
                <c:formatCode>General</c:formatCode>
                <c:ptCount val="40"/>
                <c:pt idx="0">
                  <c:v>61653</c:v>
                </c:pt>
                <c:pt idx="1">
                  <c:v>60724</c:v>
                </c:pt>
                <c:pt idx="2">
                  <c:v>59825</c:v>
                </c:pt>
                <c:pt idx="3">
                  <c:v>62097</c:v>
                </c:pt>
                <c:pt idx="4">
                  <c:v>64467</c:v>
                </c:pt>
                <c:pt idx="5">
                  <c:v>64374</c:v>
                </c:pt>
                <c:pt idx="6">
                  <c:v>63944</c:v>
                </c:pt>
                <c:pt idx="7">
                  <c:v>66589</c:v>
                </c:pt>
                <c:pt idx="8">
                  <c:v>70415</c:v>
                </c:pt>
                <c:pt idx="9">
                  <c:v>71978</c:v>
                </c:pt>
                <c:pt idx="10">
                  <c:v>72023</c:v>
                </c:pt>
                <c:pt idx="11">
                  <c:v>75645</c:v>
                </c:pt>
                <c:pt idx="12">
                  <c:v>79341</c:v>
                </c:pt>
                <c:pt idx="13">
                  <c:v>79617</c:v>
                </c:pt>
                <c:pt idx="14">
                  <c:v>80279</c:v>
                </c:pt>
                <c:pt idx="15">
                  <c:v>83779</c:v>
                </c:pt>
                <c:pt idx="16">
                  <c:v>87779</c:v>
                </c:pt>
                <c:pt idx="17">
                  <c:v>88384</c:v>
                </c:pt>
                <c:pt idx="18">
                  <c:v>89302</c:v>
                </c:pt>
                <c:pt idx="19">
                  <c:v>94138</c:v>
                </c:pt>
                <c:pt idx="20">
                  <c:v>98898</c:v>
                </c:pt>
                <c:pt idx="21">
                  <c:v>101229</c:v>
                </c:pt>
                <c:pt idx="22">
                  <c:v>102568</c:v>
                </c:pt>
                <c:pt idx="23">
                  <c:v>108775</c:v>
                </c:pt>
                <c:pt idx="24">
                  <c:v>115271</c:v>
                </c:pt>
                <c:pt idx="25">
                  <c:v>117264</c:v>
                </c:pt>
                <c:pt idx="26">
                  <c:v>120616</c:v>
                </c:pt>
                <c:pt idx="27">
                  <c:v>122051</c:v>
                </c:pt>
                <c:pt idx="28">
                  <c:v>132976</c:v>
                </c:pt>
                <c:pt idx="29">
                  <c:v>136648</c:v>
                </c:pt>
                <c:pt idx="30">
                  <c:v>140872</c:v>
                </c:pt>
                <c:pt idx="31">
                  <c:v>149695</c:v>
                </c:pt>
                <c:pt idx="32">
                  <c:v>157227</c:v>
                </c:pt>
                <c:pt idx="33">
                  <c:v>161746</c:v>
                </c:pt>
                <c:pt idx="34">
                  <c:v>164178</c:v>
                </c:pt>
                <c:pt idx="35">
                  <c:v>173544</c:v>
                </c:pt>
                <c:pt idx="36">
                  <c:v>186366</c:v>
                </c:pt>
                <c:pt idx="37">
                  <c:v>191036</c:v>
                </c:pt>
                <c:pt idx="38">
                  <c:v>199245</c:v>
                </c:pt>
                <c:pt idx="39">
                  <c:v>210858</c:v>
                </c:pt>
              </c:numCache>
            </c:numRef>
          </c:val>
          <c:smooth val="0"/>
          <c:extLst>
            <c:ext xmlns:c16="http://schemas.microsoft.com/office/drawing/2014/chart" uri="{C3380CC4-5D6E-409C-BE32-E72D297353CC}">
              <c16:uniqueId val="{00000000-18C0-4000-9515-25DD33DC7DE9}"/>
            </c:ext>
          </c:extLst>
        </c:ser>
        <c:ser>
          <c:idx val="1"/>
          <c:order val="1"/>
          <c:tx>
            <c:strRef>
              <c:f>'Sheet1 (3)'!$C$1:$C$3</c:f>
              <c:strCache>
                <c:ptCount val="1"/>
                <c:pt idx="0">
                  <c:v>prevalent patients by therapy - &gt;18yrs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(3)'!$A$4:$A$44</c:f>
              <c:strCache>
                <c:ptCount val="40"/>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pt idx="32">
                  <c:v>2021Q3</c:v>
                </c:pt>
                <c:pt idx="33">
                  <c:v>2021Q4</c:v>
                </c:pt>
                <c:pt idx="34">
                  <c:v>2022Q1</c:v>
                </c:pt>
                <c:pt idx="35">
                  <c:v>2022Q2</c:v>
                </c:pt>
                <c:pt idx="36">
                  <c:v>2022Q3</c:v>
                </c:pt>
                <c:pt idx="37">
                  <c:v>2022Q4</c:v>
                </c:pt>
                <c:pt idx="38">
                  <c:v>2023Q1</c:v>
                </c:pt>
                <c:pt idx="39">
                  <c:v>2023Q2</c:v>
                </c:pt>
              </c:strCache>
            </c:strRef>
          </c:cat>
          <c:val>
            <c:numRef>
              <c:f>'Sheet1 (3)'!$C$4:$C$44</c:f>
              <c:numCache>
                <c:formatCode>General</c:formatCode>
                <c:ptCount val="40"/>
                <c:pt idx="0">
                  <c:v>28539</c:v>
                </c:pt>
                <c:pt idx="1">
                  <c:v>27924</c:v>
                </c:pt>
                <c:pt idx="2">
                  <c:v>27503</c:v>
                </c:pt>
                <c:pt idx="3">
                  <c:v>28081</c:v>
                </c:pt>
                <c:pt idx="4">
                  <c:v>28872</c:v>
                </c:pt>
                <c:pt idx="5">
                  <c:v>29455</c:v>
                </c:pt>
                <c:pt idx="6">
                  <c:v>29764</c:v>
                </c:pt>
                <c:pt idx="7">
                  <c:v>31221</c:v>
                </c:pt>
                <c:pt idx="8">
                  <c:v>32445</c:v>
                </c:pt>
                <c:pt idx="9">
                  <c:v>33512</c:v>
                </c:pt>
                <c:pt idx="10">
                  <c:v>34053</c:v>
                </c:pt>
                <c:pt idx="11">
                  <c:v>35487</c:v>
                </c:pt>
                <c:pt idx="12">
                  <c:v>36842</c:v>
                </c:pt>
                <c:pt idx="13">
                  <c:v>37692</c:v>
                </c:pt>
                <c:pt idx="14">
                  <c:v>38446</c:v>
                </c:pt>
                <c:pt idx="15">
                  <c:v>39658</c:v>
                </c:pt>
                <c:pt idx="16">
                  <c:v>41133</c:v>
                </c:pt>
                <c:pt idx="17">
                  <c:v>42130</c:v>
                </c:pt>
                <c:pt idx="18">
                  <c:v>42871</c:v>
                </c:pt>
                <c:pt idx="19">
                  <c:v>45159</c:v>
                </c:pt>
                <c:pt idx="20">
                  <c:v>46964</c:v>
                </c:pt>
                <c:pt idx="21">
                  <c:v>48574</c:v>
                </c:pt>
                <c:pt idx="22">
                  <c:v>49443</c:v>
                </c:pt>
                <c:pt idx="23">
                  <c:v>51699</c:v>
                </c:pt>
                <c:pt idx="24">
                  <c:v>54439</c:v>
                </c:pt>
                <c:pt idx="25">
                  <c:v>56590</c:v>
                </c:pt>
                <c:pt idx="26">
                  <c:v>59046</c:v>
                </c:pt>
                <c:pt idx="27">
                  <c:v>61283</c:v>
                </c:pt>
                <c:pt idx="28">
                  <c:v>66640</c:v>
                </c:pt>
                <c:pt idx="29">
                  <c:v>69946</c:v>
                </c:pt>
                <c:pt idx="30">
                  <c:v>76753</c:v>
                </c:pt>
                <c:pt idx="31">
                  <c:v>85782</c:v>
                </c:pt>
                <c:pt idx="32">
                  <c:v>96782</c:v>
                </c:pt>
                <c:pt idx="33">
                  <c:v>105729</c:v>
                </c:pt>
                <c:pt idx="34">
                  <c:v>112849</c:v>
                </c:pt>
                <c:pt idx="35">
                  <c:v>123295</c:v>
                </c:pt>
                <c:pt idx="36">
                  <c:v>136461</c:v>
                </c:pt>
                <c:pt idx="37">
                  <c:v>147954</c:v>
                </c:pt>
                <c:pt idx="38">
                  <c:v>154908</c:v>
                </c:pt>
                <c:pt idx="39">
                  <c:v>170186</c:v>
                </c:pt>
              </c:numCache>
            </c:numRef>
          </c:val>
          <c:smooth val="0"/>
          <c:extLst>
            <c:ext xmlns:c16="http://schemas.microsoft.com/office/drawing/2014/chart" uri="{C3380CC4-5D6E-409C-BE32-E72D297353CC}">
              <c16:uniqueId val="{00000001-18C0-4000-9515-25DD33DC7DE9}"/>
            </c:ext>
          </c:extLst>
        </c:ser>
        <c:ser>
          <c:idx val="2"/>
          <c:order val="2"/>
          <c:tx>
            <c:strRef>
              <c:f>'Sheet1 (3)'!$E$1:$E$3</c:f>
              <c:strCache>
                <c:ptCount val="1"/>
                <c:pt idx="0">
                  <c:v>initiating patients by therapy - no script since 201306 - ≤18yrs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(3)'!$A$4:$A$44</c:f>
              <c:strCache>
                <c:ptCount val="40"/>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pt idx="32">
                  <c:v>2021Q3</c:v>
                </c:pt>
                <c:pt idx="33">
                  <c:v>2021Q4</c:v>
                </c:pt>
                <c:pt idx="34">
                  <c:v>2022Q1</c:v>
                </c:pt>
                <c:pt idx="35">
                  <c:v>2022Q2</c:v>
                </c:pt>
                <c:pt idx="36">
                  <c:v>2022Q3</c:v>
                </c:pt>
                <c:pt idx="37">
                  <c:v>2022Q4</c:v>
                </c:pt>
                <c:pt idx="38">
                  <c:v>2023Q1</c:v>
                </c:pt>
                <c:pt idx="39">
                  <c:v>2023Q2</c:v>
                </c:pt>
              </c:strCache>
            </c:strRef>
          </c:cat>
          <c:val>
            <c:numRef>
              <c:f>'Sheet1 (3)'!$E$4:$E$44</c:f>
              <c:numCache>
                <c:formatCode>General</c:formatCode>
                <c:ptCount val="40"/>
                <c:pt idx="4">
                  <c:v>5720</c:v>
                </c:pt>
                <c:pt idx="5">
                  <c:v>4918</c:v>
                </c:pt>
                <c:pt idx="6">
                  <c:v>4615</c:v>
                </c:pt>
                <c:pt idx="7">
                  <c:v>5473</c:v>
                </c:pt>
                <c:pt idx="8">
                  <c:v>6332</c:v>
                </c:pt>
                <c:pt idx="9">
                  <c:v>5737</c:v>
                </c:pt>
                <c:pt idx="10">
                  <c:v>4836</c:v>
                </c:pt>
                <c:pt idx="11">
                  <c:v>6179</c:v>
                </c:pt>
                <c:pt idx="12">
                  <c:v>6688</c:v>
                </c:pt>
                <c:pt idx="13">
                  <c:v>5579</c:v>
                </c:pt>
                <c:pt idx="14">
                  <c:v>5426</c:v>
                </c:pt>
                <c:pt idx="15">
                  <c:v>6489</c:v>
                </c:pt>
                <c:pt idx="16">
                  <c:v>7053</c:v>
                </c:pt>
                <c:pt idx="17">
                  <c:v>6384</c:v>
                </c:pt>
                <c:pt idx="18">
                  <c:v>6288</c:v>
                </c:pt>
                <c:pt idx="19">
                  <c:v>7713</c:v>
                </c:pt>
                <c:pt idx="20">
                  <c:v>8438</c:v>
                </c:pt>
                <c:pt idx="21">
                  <c:v>7937</c:v>
                </c:pt>
                <c:pt idx="22">
                  <c:v>7427</c:v>
                </c:pt>
                <c:pt idx="23">
                  <c:v>9184</c:v>
                </c:pt>
                <c:pt idx="24">
                  <c:v>9865</c:v>
                </c:pt>
                <c:pt idx="25">
                  <c:v>9178</c:v>
                </c:pt>
                <c:pt idx="26">
                  <c:v>8680</c:v>
                </c:pt>
                <c:pt idx="27">
                  <c:v>9975</c:v>
                </c:pt>
                <c:pt idx="28">
                  <c:v>11818</c:v>
                </c:pt>
                <c:pt idx="29">
                  <c:v>10887</c:v>
                </c:pt>
                <c:pt idx="30">
                  <c:v>10587</c:v>
                </c:pt>
                <c:pt idx="31">
                  <c:v>13374</c:v>
                </c:pt>
                <c:pt idx="32">
                  <c:v>14734</c:v>
                </c:pt>
                <c:pt idx="33">
                  <c:v>13648</c:v>
                </c:pt>
                <c:pt idx="34">
                  <c:v>12665</c:v>
                </c:pt>
                <c:pt idx="35">
                  <c:v>15178</c:v>
                </c:pt>
                <c:pt idx="36">
                  <c:v>17515</c:v>
                </c:pt>
                <c:pt idx="37">
                  <c:v>16288</c:v>
                </c:pt>
                <c:pt idx="38">
                  <c:v>16654</c:v>
                </c:pt>
                <c:pt idx="39">
                  <c:v>19290</c:v>
                </c:pt>
              </c:numCache>
            </c:numRef>
          </c:val>
          <c:smooth val="0"/>
          <c:extLst>
            <c:ext xmlns:c16="http://schemas.microsoft.com/office/drawing/2014/chart" uri="{C3380CC4-5D6E-409C-BE32-E72D297353CC}">
              <c16:uniqueId val="{00000002-18C0-4000-9515-25DD33DC7DE9}"/>
            </c:ext>
          </c:extLst>
        </c:ser>
        <c:ser>
          <c:idx val="3"/>
          <c:order val="3"/>
          <c:tx>
            <c:strRef>
              <c:f>'Sheet1 (3)'!$F$1:$F$3</c:f>
              <c:strCache>
                <c:ptCount val="1"/>
                <c:pt idx="0">
                  <c:v>initiating patients by therapy - no script since 201306 - &gt;18yrs</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 (3)'!$A$4:$A$44</c:f>
              <c:strCache>
                <c:ptCount val="40"/>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pt idx="32">
                  <c:v>2021Q3</c:v>
                </c:pt>
                <c:pt idx="33">
                  <c:v>2021Q4</c:v>
                </c:pt>
                <c:pt idx="34">
                  <c:v>2022Q1</c:v>
                </c:pt>
                <c:pt idx="35">
                  <c:v>2022Q2</c:v>
                </c:pt>
                <c:pt idx="36">
                  <c:v>2022Q3</c:v>
                </c:pt>
                <c:pt idx="37">
                  <c:v>2022Q4</c:v>
                </c:pt>
                <c:pt idx="38">
                  <c:v>2023Q1</c:v>
                </c:pt>
                <c:pt idx="39">
                  <c:v>2023Q2</c:v>
                </c:pt>
              </c:strCache>
            </c:strRef>
          </c:cat>
          <c:val>
            <c:numRef>
              <c:f>'Sheet1 (3)'!$F$4:$F$44</c:f>
              <c:numCache>
                <c:formatCode>General</c:formatCode>
                <c:ptCount val="40"/>
                <c:pt idx="4">
                  <c:v>2436</c:v>
                </c:pt>
                <c:pt idx="5">
                  <c:v>2233</c:v>
                </c:pt>
                <c:pt idx="6">
                  <c:v>2185</c:v>
                </c:pt>
                <c:pt idx="7">
                  <c:v>2529</c:v>
                </c:pt>
                <c:pt idx="8">
                  <c:v>2555</c:v>
                </c:pt>
                <c:pt idx="9">
                  <c:v>2522</c:v>
                </c:pt>
                <c:pt idx="10">
                  <c:v>2472</c:v>
                </c:pt>
                <c:pt idx="11">
                  <c:v>2737</c:v>
                </c:pt>
                <c:pt idx="12">
                  <c:v>2862</c:v>
                </c:pt>
                <c:pt idx="13">
                  <c:v>2545</c:v>
                </c:pt>
                <c:pt idx="14">
                  <c:v>2718</c:v>
                </c:pt>
                <c:pt idx="15">
                  <c:v>2811</c:v>
                </c:pt>
                <c:pt idx="16">
                  <c:v>3000</c:v>
                </c:pt>
                <c:pt idx="17">
                  <c:v>2941</c:v>
                </c:pt>
                <c:pt idx="18">
                  <c:v>2935</c:v>
                </c:pt>
                <c:pt idx="19">
                  <c:v>3462</c:v>
                </c:pt>
                <c:pt idx="20">
                  <c:v>3733</c:v>
                </c:pt>
                <c:pt idx="21">
                  <c:v>3490</c:v>
                </c:pt>
                <c:pt idx="22">
                  <c:v>3451</c:v>
                </c:pt>
                <c:pt idx="23">
                  <c:v>3883</c:v>
                </c:pt>
                <c:pt idx="24">
                  <c:v>4419</c:v>
                </c:pt>
                <c:pt idx="25">
                  <c:v>4389</c:v>
                </c:pt>
                <c:pt idx="26">
                  <c:v>4532</c:v>
                </c:pt>
                <c:pt idx="27">
                  <c:v>5062</c:v>
                </c:pt>
                <c:pt idx="28">
                  <c:v>6230</c:v>
                </c:pt>
                <c:pt idx="29">
                  <c:v>6087</c:v>
                </c:pt>
                <c:pt idx="30">
                  <c:v>8666</c:v>
                </c:pt>
                <c:pt idx="31">
                  <c:v>10124</c:v>
                </c:pt>
                <c:pt idx="32">
                  <c:v>12047</c:v>
                </c:pt>
                <c:pt idx="33">
                  <c:v>12361</c:v>
                </c:pt>
                <c:pt idx="34">
                  <c:v>11977</c:v>
                </c:pt>
                <c:pt idx="35">
                  <c:v>13997</c:v>
                </c:pt>
                <c:pt idx="36">
                  <c:v>16222</c:v>
                </c:pt>
                <c:pt idx="37">
                  <c:v>16628</c:v>
                </c:pt>
                <c:pt idx="38">
                  <c:v>16789</c:v>
                </c:pt>
                <c:pt idx="39">
                  <c:v>19718</c:v>
                </c:pt>
              </c:numCache>
            </c:numRef>
          </c:val>
          <c:smooth val="0"/>
          <c:extLst>
            <c:ext xmlns:c16="http://schemas.microsoft.com/office/drawing/2014/chart" uri="{C3380CC4-5D6E-409C-BE32-E72D297353CC}">
              <c16:uniqueId val="{00000003-18C0-4000-9515-25DD33DC7DE9}"/>
            </c:ext>
          </c:extLst>
        </c:ser>
        <c:dLbls>
          <c:showLegendKey val="0"/>
          <c:showVal val="0"/>
          <c:showCatName val="0"/>
          <c:showSerName val="0"/>
          <c:showPercent val="0"/>
          <c:showBubbleSize val="0"/>
        </c:dLbls>
        <c:marker val="1"/>
        <c:smooth val="0"/>
        <c:axId val="915059048"/>
        <c:axId val="915062984"/>
      </c:lineChart>
      <c:catAx>
        <c:axId val="9150590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Quarter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062984"/>
        <c:crosses val="autoZero"/>
        <c:auto val="1"/>
        <c:lblAlgn val="ctr"/>
        <c:lblOffset val="100"/>
        <c:noMultiLvlLbl val="0"/>
      </c:catAx>
      <c:valAx>
        <c:axId val="915062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059048"/>
        <c:crosses val="autoZero"/>
        <c:crossBetween val="between"/>
      </c:valAx>
      <c:spPr>
        <a:noFill/>
        <a:ln>
          <a:noFill/>
        </a:ln>
        <a:effectLst/>
      </c:spPr>
    </c:plotArea>
    <c:legend>
      <c:legendPos val="b"/>
      <c:layout>
        <c:manualLayout>
          <c:xMode val="edge"/>
          <c:yMode val="edge"/>
          <c:x val="1.7946412114925477E-2"/>
          <c:y val="0.82300296055858246"/>
          <c:w val="0.97493619775481244"/>
          <c:h val="0.1547663209709205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[D1498_PATCNTBY_FORM_SUPP_Qtr - figs 22b34 - fig3 changed to by therapy.xlsx]Sheet1 (4)!PivotTable2</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1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1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15"/>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16"/>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17"/>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3101578770971414"/>
          <c:y val="3.621995390187685E-2"/>
          <c:w val="0.84233176224474027"/>
          <c:h val="0.67125556457237379"/>
        </c:manualLayout>
      </c:layout>
      <c:lineChart>
        <c:grouping val="standard"/>
        <c:varyColors val="0"/>
        <c:ser>
          <c:idx val="0"/>
          <c:order val="0"/>
          <c:tx>
            <c:strRef>
              <c:f>'Sheet1 (4)'!$B$4:$B$5</c:f>
              <c:strCache>
                <c:ptCount val="1"/>
                <c:pt idx="0">
                  <c:v>MPH-IR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(4)'!$C$2</c:f>
              <c:strCache>
                <c:ptCount val="36"/>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pt idx="28">
                  <c:v>2021Q3</c:v>
                </c:pt>
                <c:pt idx="29">
                  <c:v>2021Q4</c:v>
                </c:pt>
                <c:pt idx="30">
                  <c:v>2022Q1</c:v>
                </c:pt>
                <c:pt idx="31">
                  <c:v>2022Q2</c:v>
                </c:pt>
                <c:pt idx="32">
                  <c:v>2022Q3</c:v>
                </c:pt>
                <c:pt idx="33">
                  <c:v>2022Q4</c:v>
                </c:pt>
                <c:pt idx="34">
                  <c:v>2023Q1</c:v>
                </c:pt>
                <c:pt idx="35">
                  <c:v>2023Q2</c:v>
                </c:pt>
              </c:strCache>
            </c:strRef>
          </c:cat>
          <c:val>
            <c:numRef>
              <c:f>'Sheet1 (4)'!$C$2</c:f>
              <c:numCache>
                <c:formatCode>General</c:formatCode>
                <c:ptCount val="36"/>
                <c:pt idx="0">
                  <c:v>4997</c:v>
                </c:pt>
                <c:pt idx="1">
                  <c:v>4382</c:v>
                </c:pt>
                <c:pt idx="2">
                  <c:v>4178</c:v>
                </c:pt>
                <c:pt idx="3">
                  <c:v>5083</c:v>
                </c:pt>
                <c:pt idx="4">
                  <c:v>5471</c:v>
                </c:pt>
                <c:pt idx="5">
                  <c:v>4412</c:v>
                </c:pt>
                <c:pt idx="6">
                  <c:v>4009</c:v>
                </c:pt>
                <c:pt idx="7">
                  <c:v>4876</c:v>
                </c:pt>
                <c:pt idx="8">
                  <c:v>5119</c:v>
                </c:pt>
                <c:pt idx="9">
                  <c:v>4366</c:v>
                </c:pt>
                <c:pt idx="10">
                  <c:v>4188</c:v>
                </c:pt>
                <c:pt idx="11">
                  <c:v>5026</c:v>
                </c:pt>
                <c:pt idx="12">
                  <c:v>5393</c:v>
                </c:pt>
                <c:pt idx="13">
                  <c:v>4958</c:v>
                </c:pt>
                <c:pt idx="14">
                  <c:v>4824</c:v>
                </c:pt>
                <c:pt idx="15">
                  <c:v>6018</c:v>
                </c:pt>
                <c:pt idx="16">
                  <c:v>6607</c:v>
                </c:pt>
                <c:pt idx="17">
                  <c:v>5862</c:v>
                </c:pt>
                <c:pt idx="18">
                  <c:v>5559</c:v>
                </c:pt>
                <c:pt idx="19">
                  <c:v>7028</c:v>
                </c:pt>
                <c:pt idx="20">
                  <c:v>7672</c:v>
                </c:pt>
                <c:pt idx="21">
                  <c:v>7206</c:v>
                </c:pt>
                <c:pt idx="22">
                  <c:v>6881</c:v>
                </c:pt>
                <c:pt idx="23">
                  <c:v>8141</c:v>
                </c:pt>
                <c:pt idx="24">
                  <c:v>9483</c:v>
                </c:pt>
                <c:pt idx="25">
                  <c:v>8806</c:v>
                </c:pt>
                <c:pt idx="26">
                  <c:v>8403</c:v>
                </c:pt>
                <c:pt idx="27">
                  <c:v>10330</c:v>
                </c:pt>
                <c:pt idx="28">
                  <c:v>11674</c:v>
                </c:pt>
                <c:pt idx="29">
                  <c:v>10618</c:v>
                </c:pt>
                <c:pt idx="30">
                  <c:v>9782</c:v>
                </c:pt>
                <c:pt idx="31">
                  <c:v>11916</c:v>
                </c:pt>
                <c:pt idx="32">
                  <c:v>13392</c:v>
                </c:pt>
                <c:pt idx="33">
                  <c:v>13000</c:v>
                </c:pt>
                <c:pt idx="34">
                  <c:v>12863</c:v>
                </c:pt>
                <c:pt idx="35">
                  <c:v>15146</c:v>
                </c:pt>
              </c:numCache>
            </c:numRef>
          </c:val>
          <c:smooth val="0"/>
          <c:extLst>
            <c:ext xmlns:c16="http://schemas.microsoft.com/office/drawing/2014/chart" uri="{C3380CC4-5D6E-409C-BE32-E72D297353CC}">
              <c16:uniqueId val="{00000000-7D0F-4A38-BB65-C8644F292C12}"/>
            </c:ext>
          </c:extLst>
        </c:ser>
        <c:ser>
          <c:idx val="1"/>
          <c:order val="1"/>
          <c:tx>
            <c:strRef>
              <c:f>'Sheet1 (4)'!$C$4:$C$5</c:f>
              <c:strCache>
                <c:ptCount val="1"/>
                <c:pt idx="0">
                  <c:v>Lisdexamfetamine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(4)'!$C$2</c:f>
              <c:strCache>
                <c:ptCount val="36"/>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pt idx="28">
                  <c:v>2021Q3</c:v>
                </c:pt>
                <c:pt idx="29">
                  <c:v>2021Q4</c:v>
                </c:pt>
                <c:pt idx="30">
                  <c:v>2022Q1</c:v>
                </c:pt>
                <c:pt idx="31">
                  <c:v>2022Q2</c:v>
                </c:pt>
                <c:pt idx="32">
                  <c:v>2022Q3</c:v>
                </c:pt>
                <c:pt idx="33">
                  <c:v>2022Q4</c:v>
                </c:pt>
                <c:pt idx="34">
                  <c:v>2023Q1</c:v>
                </c:pt>
                <c:pt idx="35">
                  <c:v>2023Q2</c:v>
                </c:pt>
              </c:strCache>
            </c:strRef>
          </c:cat>
          <c:val>
            <c:numRef>
              <c:f>'Sheet1 (4)'!$C$2</c:f>
              <c:numCache>
                <c:formatCode>General</c:formatCode>
                <c:ptCount val="36"/>
                <c:pt idx="4">
                  <c:v>466</c:v>
                </c:pt>
                <c:pt idx="5">
                  <c:v>1166</c:v>
                </c:pt>
                <c:pt idx="6">
                  <c:v>879</c:v>
                </c:pt>
                <c:pt idx="7">
                  <c:v>1153</c:v>
                </c:pt>
                <c:pt idx="8">
                  <c:v>1437</c:v>
                </c:pt>
                <c:pt idx="9">
                  <c:v>1261</c:v>
                </c:pt>
                <c:pt idx="10">
                  <c:v>1274</c:v>
                </c:pt>
                <c:pt idx="11">
                  <c:v>1460</c:v>
                </c:pt>
                <c:pt idx="12">
                  <c:v>1676</c:v>
                </c:pt>
                <c:pt idx="13">
                  <c:v>1507</c:v>
                </c:pt>
                <c:pt idx="14">
                  <c:v>1607</c:v>
                </c:pt>
                <c:pt idx="15">
                  <c:v>1913</c:v>
                </c:pt>
                <c:pt idx="16">
                  <c:v>1978</c:v>
                </c:pt>
                <c:pt idx="17">
                  <c:v>1797</c:v>
                </c:pt>
                <c:pt idx="18">
                  <c:v>1757</c:v>
                </c:pt>
                <c:pt idx="19">
                  <c:v>1929</c:v>
                </c:pt>
                <c:pt idx="20">
                  <c:v>2176</c:v>
                </c:pt>
                <c:pt idx="21">
                  <c:v>2016</c:v>
                </c:pt>
                <c:pt idx="22">
                  <c:v>1991</c:v>
                </c:pt>
                <c:pt idx="23">
                  <c:v>2184</c:v>
                </c:pt>
                <c:pt idx="24">
                  <c:v>2772</c:v>
                </c:pt>
                <c:pt idx="25">
                  <c:v>2604</c:v>
                </c:pt>
                <c:pt idx="26">
                  <c:v>5337</c:v>
                </c:pt>
                <c:pt idx="27">
                  <c:v>6671</c:v>
                </c:pt>
                <c:pt idx="28">
                  <c:v>7576</c:v>
                </c:pt>
                <c:pt idx="29">
                  <c:v>7741</c:v>
                </c:pt>
                <c:pt idx="30">
                  <c:v>7831</c:v>
                </c:pt>
                <c:pt idx="31">
                  <c:v>9172</c:v>
                </c:pt>
                <c:pt idx="32">
                  <c:v>11199</c:v>
                </c:pt>
                <c:pt idx="33">
                  <c:v>11141</c:v>
                </c:pt>
                <c:pt idx="34">
                  <c:v>11949</c:v>
                </c:pt>
                <c:pt idx="35">
                  <c:v>14329</c:v>
                </c:pt>
              </c:numCache>
            </c:numRef>
          </c:val>
          <c:smooth val="0"/>
          <c:extLst>
            <c:ext xmlns:c16="http://schemas.microsoft.com/office/drawing/2014/chart" uri="{C3380CC4-5D6E-409C-BE32-E72D297353CC}">
              <c16:uniqueId val="{00000001-7D0F-4A38-BB65-C8644F292C12}"/>
            </c:ext>
          </c:extLst>
        </c:ser>
        <c:ser>
          <c:idx val="2"/>
          <c:order val="2"/>
          <c:tx>
            <c:strRef>
              <c:f>'Sheet1 (4)'!$D$4:$D$5</c:f>
              <c:strCache>
                <c:ptCount val="1"/>
                <c:pt idx="0">
                  <c:v>Dexamfetamine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 (4)'!$C$2</c:f>
              <c:strCache>
                <c:ptCount val="36"/>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pt idx="28">
                  <c:v>2021Q3</c:v>
                </c:pt>
                <c:pt idx="29">
                  <c:v>2021Q4</c:v>
                </c:pt>
                <c:pt idx="30">
                  <c:v>2022Q1</c:v>
                </c:pt>
                <c:pt idx="31">
                  <c:v>2022Q2</c:v>
                </c:pt>
                <c:pt idx="32">
                  <c:v>2022Q3</c:v>
                </c:pt>
                <c:pt idx="33">
                  <c:v>2022Q4</c:v>
                </c:pt>
                <c:pt idx="34">
                  <c:v>2023Q1</c:v>
                </c:pt>
                <c:pt idx="35">
                  <c:v>2023Q2</c:v>
                </c:pt>
              </c:strCache>
            </c:strRef>
          </c:cat>
          <c:val>
            <c:numRef>
              <c:f>'Sheet1 (4)'!$C$2</c:f>
              <c:numCache>
                <c:formatCode>General</c:formatCode>
                <c:ptCount val="36"/>
                <c:pt idx="0">
                  <c:v>1720</c:v>
                </c:pt>
                <c:pt idx="1">
                  <c:v>1527</c:v>
                </c:pt>
                <c:pt idx="2">
                  <c:v>1453</c:v>
                </c:pt>
                <c:pt idx="3">
                  <c:v>1760</c:v>
                </c:pt>
                <c:pt idx="4">
                  <c:v>1711</c:v>
                </c:pt>
                <c:pt idx="5">
                  <c:v>1590</c:v>
                </c:pt>
                <c:pt idx="6">
                  <c:v>1471</c:v>
                </c:pt>
                <c:pt idx="7">
                  <c:v>1681</c:v>
                </c:pt>
                <c:pt idx="8">
                  <c:v>1787</c:v>
                </c:pt>
                <c:pt idx="9">
                  <c:v>1465</c:v>
                </c:pt>
                <c:pt idx="10">
                  <c:v>1625</c:v>
                </c:pt>
                <c:pt idx="11">
                  <c:v>1735</c:v>
                </c:pt>
                <c:pt idx="12">
                  <c:v>1931</c:v>
                </c:pt>
                <c:pt idx="13">
                  <c:v>1812</c:v>
                </c:pt>
                <c:pt idx="14">
                  <c:v>1765</c:v>
                </c:pt>
                <c:pt idx="15">
                  <c:v>2123</c:v>
                </c:pt>
                <c:pt idx="16">
                  <c:v>2279</c:v>
                </c:pt>
                <c:pt idx="17">
                  <c:v>2125</c:v>
                </c:pt>
                <c:pt idx="18">
                  <c:v>2039</c:v>
                </c:pt>
                <c:pt idx="19">
                  <c:v>2312</c:v>
                </c:pt>
                <c:pt idx="20">
                  <c:v>2545</c:v>
                </c:pt>
                <c:pt idx="21">
                  <c:v>2483</c:v>
                </c:pt>
                <c:pt idx="22">
                  <c:v>2566</c:v>
                </c:pt>
                <c:pt idx="23">
                  <c:v>2820</c:v>
                </c:pt>
                <c:pt idx="24">
                  <c:v>3453</c:v>
                </c:pt>
                <c:pt idx="25">
                  <c:v>3337</c:v>
                </c:pt>
                <c:pt idx="26">
                  <c:v>3331</c:v>
                </c:pt>
                <c:pt idx="27">
                  <c:v>3901</c:v>
                </c:pt>
                <c:pt idx="28">
                  <c:v>4674</c:v>
                </c:pt>
                <c:pt idx="29">
                  <c:v>4629</c:v>
                </c:pt>
                <c:pt idx="30">
                  <c:v>4338</c:v>
                </c:pt>
                <c:pt idx="31">
                  <c:v>5149</c:v>
                </c:pt>
                <c:pt idx="32">
                  <c:v>5807</c:v>
                </c:pt>
                <c:pt idx="33">
                  <c:v>5534</c:v>
                </c:pt>
                <c:pt idx="34">
                  <c:v>5439</c:v>
                </c:pt>
                <c:pt idx="35">
                  <c:v>5998</c:v>
                </c:pt>
              </c:numCache>
            </c:numRef>
          </c:val>
          <c:smooth val="0"/>
          <c:extLst>
            <c:ext xmlns:c16="http://schemas.microsoft.com/office/drawing/2014/chart" uri="{C3380CC4-5D6E-409C-BE32-E72D297353CC}">
              <c16:uniqueId val="{00000002-7D0F-4A38-BB65-C8644F292C12}"/>
            </c:ext>
          </c:extLst>
        </c:ser>
        <c:ser>
          <c:idx val="3"/>
          <c:order val="3"/>
          <c:tx>
            <c:strRef>
              <c:f>'Sheet1 (4)'!$E$4:$E$5</c:f>
              <c:strCache>
                <c:ptCount val="1"/>
                <c:pt idx="0">
                  <c:v>MPH-MR</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(4)'!$C$2</c:f>
              <c:strCache>
                <c:ptCount val="36"/>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pt idx="28">
                  <c:v>2021Q3</c:v>
                </c:pt>
                <c:pt idx="29">
                  <c:v>2021Q4</c:v>
                </c:pt>
                <c:pt idx="30">
                  <c:v>2022Q1</c:v>
                </c:pt>
                <c:pt idx="31">
                  <c:v>2022Q2</c:v>
                </c:pt>
                <c:pt idx="32">
                  <c:v>2022Q3</c:v>
                </c:pt>
                <c:pt idx="33">
                  <c:v>2022Q4</c:v>
                </c:pt>
                <c:pt idx="34">
                  <c:v>2023Q1</c:v>
                </c:pt>
                <c:pt idx="35">
                  <c:v>2023Q2</c:v>
                </c:pt>
              </c:strCache>
            </c:strRef>
          </c:cat>
          <c:val>
            <c:numRef>
              <c:f>'Sheet1 (4)'!$C$2</c:f>
              <c:numCache>
                <c:formatCode>General</c:formatCode>
                <c:ptCount val="36"/>
                <c:pt idx="0">
                  <c:v>1005</c:v>
                </c:pt>
                <c:pt idx="1">
                  <c:v>860</c:v>
                </c:pt>
                <c:pt idx="2">
                  <c:v>795</c:v>
                </c:pt>
                <c:pt idx="3">
                  <c:v>798</c:v>
                </c:pt>
                <c:pt idx="4">
                  <c:v>816</c:v>
                </c:pt>
                <c:pt idx="5">
                  <c:v>669</c:v>
                </c:pt>
                <c:pt idx="6">
                  <c:v>611</c:v>
                </c:pt>
                <c:pt idx="7">
                  <c:v>703</c:v>
                </c:pt>
                <c:pt idx="8">
                  <c:v>685</c:v>
                </c:pt>
                <c:pt idx="9">
                  <c:v>605</c:v>
                </c:pt>
                <c:pt idx="10">
                  <c:v>611</c:v>
                </c:pt>
                <c:pt idx="11">
                  <c:v>601</c:v>
                </c:pt>
                <c:pt idx="12">
                  <c:v>573</c:v>
                </c:pt>
                <c:pt idx="13">
                  <c:v>563</c:v>
                </c:pt>
                <c:pt idx="14">
                  <c:v>561</c:v>
                </c:pt>
                <c:pt idx="15">
                  <c:v>607</c:v>
                </c:pt>
                <c:pt idx="16">
                  <c:v>641</c:v>
                </c:pt>
                <c:pt idx="17">
                  <c:v>617</c:v>
                </c:pt>
                <c:pt idx="18">
                  <c:v>611</c:v>
                </c:pt>
                <c:pt idx="19">
                  <c:v>676</c:v>
                </c:pt>
                <c:pt idx="20">
                  <c:v>724</c:v>
                </c:pt>
                <c:pt idx="21">
                  <c:v>683</c:v>
                </c:pt>
                <c:pt idx="22">
                  <c:v>730</c:v>
                </c:pt>
                <c:pt idx="23">
                  <c:v>746</c:v>
                </c:pt>
                <c:pt idx="24">
                  <c:v>830</c:v>
                </c:pt>
                <c:pt idx="25">
                  <c:v>837</c:v>
                </c:pt>
                <c:pt idx="26">
                  <c:v>826</c:v>
                </c:pt>
                <c:pt idx="27">
                  <c:v>838</c:v>
                </c:pt>
                <c:pt idx="28">
                  <c:v>994</c:v>
                </c:pt>
                <c:pt idx="29">
                  <c:v>1003</c:v>
                </c:pt>
                <c:pt idx="30">
                  <c:v>926</c:v>
                </c:pt>
                <c:pt idx="31">
                  <c:v>1007</c:v>
                </c:pt>
                <c:pt idx="32">
                  <c:v>1094</c:v>
                </c:pt>
                <c:pt idx="33">
                  <c:v>1002</c:v>
                </c:pt>
                <c:pt idx="34">
                  <c:v>1105</c:v>
                </c:pt>
                <c:pt idx="35">
                  <c:v>1430</c:v>
                </c:pt>
              </c:numCache>
            </c:numRef>
          </c:val>
          <c:smooth val="0"/>
          <c:extLst>
            <c:ext xmlns:c16="http://schemas.microsoft.com/office/drawing/2014/chart" uri="{C3380CC4-5D6E-409C-BE32-E72D297353CC}">
              <c16:uniqueId val="{00000003-7D0F-4A38-BB65-C8644F292C12}"/>
            </c:ext>
          </c:extLst>
        </c:ser>
        <c:ser>
          <c:idx val="4"/>
          <c:order val="4"/>
          <c:tx>
            <c:strRef>
              <c:f>'Sheet1 (4)'!$F$4:$F$5</c:f>
              <c:strCache>
                <c:ptCount val="1"/>
                <c:pt idx="0">
                  <c:v>Atomoxetine</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 (4)'!$C$2</c:f>
              <c:strCache>
                <c:ptCount val="36"/>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pt idx="28">
                  <c:v>2021Q3</c:v>
                </c:pt>
                <c:pt idx="29">
                  <c:v>2021Q4</c:v>
                </c:pt>
                <c:pt idx="30">
                  <c:v>2022Q1</c:v>
                </c:pt>
                <c:pt idx="31">
                  <c:v>2022Q2</c:v>
                </c:pt>
                <c:pt idx="32">
                  <c:v>2022Q3</c:v>
                </c:pt>
                <c:pt idx="33">
                  <c:v>2022Q4</c:v>
                </c:pt>
                <c:pt idx="34">
                  <c:v>2023Q1</c:v>
                </c:pt>
                <c:pt idx="35">
                  <c:v>2023Q2</c:v>
                </c:pt>
              </c:strCache>
            </c:strRef>
          </c:cat>
          <c:val>
            <c:numRef>
              <c:f>'Sheet1 (4)'!$C$2</c:f>
              <c:numCache>
                <c:formatCode>General</c:formatCode>
                <c:ptCount val="36"/>
                <c:pt idx="0">
                  <c:v>438</c:v>
                </c:pt>
                <c:pt idx="1">
                  <c:v>389</c:v>
                </c:pt>
                <c:pt idx="2">
                  <c:v>378</c:v>
                </c:pt>
                <c:pt idx="3">
                  <c:v>364</c:v>
                </c:pt>
                <c:pt idx="4">
                  <c:v>424</c:v>
                </c:pt>
                <c:pt idx="5">
                  <c:v>422</c:v>
                </c:pt>
                <c:pt idx="6">
                  <c:v>341</c:v>
                </c:pt>
                <c:pt idx="7">
                  <c:v>504</c:v>
                </c:pt>
                <c:pt idx="8">
                  <c:v>522</c:v>
                </c:pt>
                <c:pt idx="9">
                  <c:v>428</c:v>
                </c:pt>
                <c:pt idx="10">
                  <c:v>448</c:v>
                </c:pt>
                <c:pt idx="11">
                  <c:v>479</c:v>
                </c:pt>
                <c:pt idx="12">
                  <c:v>480</c:v>
                </c:pt>
                <c:pt idx="13">
                  <c:v>486</c:v>
                </c:pt>
                <c:pt idx="14">
                  <c:v>467</c:v>
                </c:pt>
                <c:pt idx="15">
                  <c:v>514</c:v>
                </c:pt>
                <c:pt idx="16">
                  <c:v>508</c:v>
                </c:pt>
                <c:pt idx="17">
                  <c:v>479</c:v>
                </c:pt>
                <c:pt idx="18">
                  <c:v>446</c:v>
                </c:pt>
                <c:pt idx="19">
                  <c:v>536</c:v>
                </c:pt>
                <c:pt idx="20">
                  <c:v>524</c:v>
                </c:pt>
                <c:pt idx="21">
                  <c:v>556</c:v>
                </c:pt>
                <c:pt idx="22">
                  <c:v>510</c:v>
                </c:pt>
                <c:pt idx="23">
                  <c:v>575</c:v>
                </c:pt>
                <c:pt idx="24">
                  <c:v>704</c:v>
                </c:pt>
                <c:pt idx="25">
                  <c:v>654</c:v>
                </c:pt>
                <c:pt idx="26">
                  <c:v>688</c:v>
                </c:pt>
                <c:pt idx="27">
                  <c:v>887</c:v>
                </c:pt>
                <c:pt idx="28">
                  <c:v>924</c:v>
                </c:pt>
                <c:pt idx="29">
                  <c:v>933</c:v>
                </c:pt>
                <c:pt idx="30">
                  <c:v>856</c:v>
                </c:pt>
                <c:pt idx="31">
                  <c:v>969</c:v>
                </c:pt>
                <c:pt idx="32">
                  <c:v>1084</c:v>
                </c:pt>
                <c:pt idx="33">
                  <c:v>1115</c:v>
                </c:pt>
                <c:pt idx="34">
                  <c:v>939</c:v>
                </c:pt>
                <c:pt idx="35">
                  <c:v>842</c:v>
                </c:pt>
              </c:numCache>
            </c:numRef>
          </c:val>
          <c:smooth val="0"/>
          <c:extLst>
            <c:ext xmlns:c16="http://schemas.microsoft.com/office/drawing/2014/chart" uri="{C3380CC4-5D6E-409C-BE32-E72D297353CC}">
              <c16:uniqueId val="{00000004-7D0F-4A38-BB65-C8644F292C12}"/>
            </c:ext>
          </c:extLst>
        </c:ser>
        <c:ser>
          <c:idx val="5"/>
          <c:order val="5"/>
          <c:tx>
            <c:strRef>
              <c:f>'Sheet1 (4)'!$G$4:$G$5</c:f>
              <c:strCache>
                <c:ptCount val="1"/>
                <c:pt idx="0">
                  <c:v>Guanfacine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 (4)'!$C$2</c:f>
              <c:strCache>
                <c:ptCount val="36"/>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pt idx="28">
                  <c:v>2021Q3</c:v>
                </c:pt>
                <c:pt idx="29">
                  <c:v>2021Q4</c:v>
                </c:pt>
                <c:pt idx="30">
                  <c:v>2022Q1</c:v>
                </c:pt>
                <c:pt idx="31">
                  <c:v>2022Q2</c:v>
                </c:pt>
                <c:pt idx="32">
                  <c:v>2022Q3</c:v>
                </c:pt>
                <c:pt idx="33">
                  <c:v>2022Q4</c:v>
                </c:pt>
                <c:pt idx="34">
                  <c:v>2023Q1</c:v>
                </c:pt>
                <c:pt idx="35">
                  <c:v>2023Q2</c:v>
                </c:pt>
              </c:strCache>
            </c:strRef>
          </c:cat>
          <c:val>
            <c:numRef>
              <c:f>'Sheet1 (4)'!$C$2</c:f>
              <c:numCache>
                <c:formatCode>General</c:formatCode>
                <c:ptCount val="36"/>
                <c:pt idx="16">
                  <c:v>158</c:v>
                </c:pt>
                <c:pt idx="17">
                  <c:v>547</c:v>
                </c:pt>
                <c:pt idx="18">
                  <c:v>466</c:v>
                </c:pt>
                <c:pt idx="19">
                  <c:v>586</c:v>
                </c:pt>
                <c:pt idx="20">
                  <c:v>643</c:v>
                </c:pt>
                <c:pt idx="21">
                  <c:v>623</c:v>
                </c:pt>
                <c:pt idx="22">
                  <c:v>535</c:v>
                </c:pt>
                <c:pt idx="23">
                  <c:v>572</c:v>
                </c:pt>
                <c:pt idx="24">
                  <c:v>809</c:v>
                </c:pt>
                <c:pt idx="25">
                  <c:v>737</c:v>
                </c:pt>
                <c:pt idx="26">
                  <c:v>668</c:v>
                </c:pt>
                <c:pt idx="27">
                  <c:v>871</c:v>
                </c:pt>
                <c:pt idx="28">
                  <c:v>939</c:v>
                </c:pt>
                <c:pt idx="29">
                  <c:v>1085</c:v>
                </c:pt>
                <c:pt idx="30">
                  <c:v>909</c:v>
                </c:pt>
                <c:pt idx="31">
                  <c:v>962</c:v>
                </c:pt>
                <c:pt idx="32">
                  <c:v>1161</c:v>
                </c:pt>
                <c:pt idx="33">
                  <c:v>1124</c:v>
                </c:pt>
                <c:pt idx="34">
                  <c:v>1148</c:v>
                </c:pt>
                <c:pt idx="35">
                  <c:v>1263</c:v>
                </c:pt>
              </c:numCache>
            </c:numRef>
          </c:val>
          <c:smooth val="0"/>
          <c:extLst>
            <c:ext xmlns:c16="http://schemas.microsoft.com/office/drawing/2014/chart" uri="{C3380CC4-5D6E-409C-BE32-E72D297353CC}">
              <c16:uniqueId val="{00000005-7D0F-4A38-BB65-C8644F292C12}"/>
            </c:ext>
          </c:extLst>
        </c:ser>
        <c:dLbls>
          <c:showLegendKey val="0"/>
          <c:showVal val="0"/>
          <c:showCatName val="0"/>
          <c:showSerName val="0"/>
          <c:showPercent val="0"/>
          <c:showBubbleSize val="0"/>
        </c:dLbls>
        <c:marker val="1"/>
        <c:smooth val="0"/>
        <c:axId val="915059048"/>
        <c:axId val="915062984"/>
      </c:lineChart>
      <c:catAx>
        <c:axId val="9150590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a:t>
                </a:r>
              </a:p>
            </c:rich>
          </c:tx>
          <c:layout>
            <c:manualLayout>
              <c:xMode val="edge"/>
              <c:yMode val="edge"/>
              <c:x val="0.48134423049161312"/>
              <c:y val="0.8437429187008523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062984"/>
        <c:crosses val="autoZero"/>
        <c:auto val="1"/>
        <c:lblAlgn val="ctr"/>
        <c:lblOffset val="100"/>
        <c:noMultiLvlLbl val="0"/>
      </c:catAx>
      <c:valAx>
        <c:axId val="915062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059048"/>
        <c:crosses val="autoZero"/>
        <c:crossBetween val="between"/>
      </c:valAx>
      <c:spPr>
        <a:noFill/>
        <a:ln>
          <a:noFill/>
        </a:ln>
        <a:effectLst/>
      </c:spPr>
    </c:plotArea>
    <c:legend>
      <c:legendPos val="b"/>
      <c:layout>
        <c:manualLayout>
          <c:xMode val="edge"/>
          <c:yMode val="edge"/>
          <c:x val="5.7514843452545336E-3"/>
          <c:y val="0.90697979512521432"/>
          <c:w val="0.98635271909763278"/>
          <c:h val="7.326386638285295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[D1498_PATCNTBY_FORM_SUPP_Qtr - figs 22b34 - fig3 changed to by therapy.xlsx]Sheet1 (5)!PivotTable2</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1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1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15"/>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16"/>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17"/>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3101578770971414"/>
          <c:y val="3.6213991769547323E-2"/>
          <c:w val="0.84233176224474027"/>
          <c:h val="0.71081585172223849"/>
        </c:manualLayout>
      </c:layout>
      <c:lineChart>
        <c:grouping val="standard"/>
        <c:varyColors val="0"/>
        <c:ser>
          <c:idx val="0"/>
          <c:order val="0"/>
          <c:tx>
            <c:strRef>
              <c:f>'Sheet1 (5)'!$B$4:$B$5</c:f>
              <c:strCache>
                <c:ptCount val="1"/>
                <c:pt idx="0">
                  <c:v>Dexamfetamine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 (5)'!$C$2</c:f>
              <c:strCache>
                <c:ptCount val="36"/>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pt idx="28">
                  <c:v>2021Q3</c:v>
                </c:pt>
                <c:pt idx="29">
                  <c:v>2021Q4</c:v>
                </c:pt>
                <c:pt idx="30">
                  <c:v>2022Q1</c:v>
                </c:pt>
                <c:pt idx="31">
                  <c:v>2022Q2</c:v>
                </c:pt>
                <c:pt idx="32">
                  <c:v>2022Q3</c:v>
                </c:pt>
                <c:pt idx="33">
                  <c:v>2022Q4</c:v>
                </c:pt>
                <c:pt idx="34">
                  <c:v>2023Q1</c:v>
                </c:pt>
                <c:pt idx="35">
                  <c:v>2023Q2</c:v>
                </c:pt>
              </c:strCache>
            </c:strRef>
          </c:cat>
          <c:val>
            <c:numRef>
              <c:f>'Sheet1 (5)'!$C$2</c:f>
              <c:numCache>
                <c:formatCode>General</c:formatCode>
                <c:ptCount val="36"/>
                <c:pt idx="0">
                  <c:v>1172</c:v>
                </c:pt>
                <c:pt idx="1">
                  <c:v>1086</c:v>
                </c:pt>
                <c:pt idx="2">
                  <c:v>1009</c:v>
                </c:pt>
                <c:pt idx="3">
                  <c:v>1297</c:v>
                </c:pt>
                <c:pt idx="4">
                  <c:v>1207</c:v>
                </c:pt>
                <c:pt idx="5">
                  <c:v>1156</c:v>
                </c:pt>
                <c:pt idx="6">
                  <c:v>1084</c:v>
                </c:pt>
                <c:pt idx="7">
                  <c:v>1186</c:v>
                </c:pt>
                <c:pt idx="8">
                  <c:v>1297</c:v>
                </c:pt>
                <c:pt idx="9">
                  <c:v>1077</c:v>
                </c:pt>
                <c:pt idx="10">
                  <c:v>1232</c:v>
                </c:pt>
                <c:pt idx="11">
                  <c:v>1280</c:v>
                </c:pt>
                <c:pt idx="12">
                  <c:v>1398</c:v>
                </c:pt>
                <c:pt idx="13">
                  <c:v>1329</c:v>
                </c:pt>
                <c:pt idx="14">
                  <c:v>1290</c:v>
                </c:pt>
                <c:pt idx="15">
                  <c:v>1546</c:v>
                </c:pt>
                <c:pt idx="16">
                  <c:v>1697</c:v>
                </c:pt>
                <c:pt idx="17">
                  <c:v>1614</c:v>
                </c:pt>
                <c:pt idx="18">
                  <c:v>1561</c:v>
                </c:pt>
                <c:pt idx="19">
                  <c:v>1765</c:v>
                </c:pt>
                <c:pt idx="20">
                  <c:v>1938</c:v>
                </c:pt>
                <c:pt idx="21">
                  <c:v>1864</c:v>
                </c:pt>
                <c:pt idx="22">
                  <c:v>1983</c:v>
                </c:pt>
                <c:pt idx="23">
                  <c:v>2151</c:v>
                </c:pt>
                <c:pt idx="24">
                  <c:v>2649</c:v>
                </c:pt>
                <c:pt idx="25">
                  <c:v>2638</c:v>
                </c:pt>
                <c:pt idx="26">
                  <c:v>2639</c:v>
                </c:pt>
                <c:pt idx="27">
                  <c:v>2993</c:v>
                </c:pt>
                <c:pt idx="28">
                  <c:v>3621</c:v>
                </c:pt>
                <c:pt idx="29">
                  <c:v>3674</c:v>
                </c:pt>
                <c:pt idx="30">
                  <c:v>3412</c:v>
                </c:pt>
                <c:pt idx="31">
                  <c:v>4069</c:v>
                </c:pt>
                <c:pt idx="32">
                  <c:v>4534</c:v>
                </c:pt>
                <c:pt idx="33">
                  <c:v>4325</c:v>
                </c:pt>
                <c:pt idx="34">
                  <c:v>4277</c:v>
                </c:pt>
                <c:pt idx="35">
                  <c:v>4652</c:v>
                </c:pt>
              </c:numCache>
            </c:numRef>
          </c:val>
          <c:smooth val="0"/>
          <c:extLst>
            <c:ext xmlns:c16="http://schemas.microsoft.com/office/drawing/2014/chart" uri="{C3380CC4-5D6E-409C-BE32-E72D297353CC}">
              <c16:uniqueId val="{00000000-BAF2-421B-B819-CB873C331691}"/>
            </c:ext>
          </c:extLst>
        </c:ser>
        <c:ser>
          <c:idx val="1"/>
          <c:order val="1"/>
          <c:tx>
            <c:strRef>
              <c:f>'Sheet1 (5)'!$C$4:$C$5</c:f>
              <c:strCache>
                <c:ptCount val="1"/>
                <c:pt idx="0">
                  <c:v>Lisdexamfetamine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(5)'!$C$2</c:f>
              <c:strCache>
                <c:ptCount val="36"/>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pt idx="28">
                  <c:v>2021Q3</c:v>
                </c:pt>
                <c:pt idx="29">
                  <c:v>2021Q4</c:v>
                </c:pt>
                <c:pt idx="30">
                  <c:v>2022Q1</c:v>
                </c:pt>
                <c:pt idx="31">
                  <c:v>2022Q2</c:v>
                </c:pt>
                <c:pt idx="32">
                  <c:v>2022Q3</c:v>
                </c:pt>
                <c:pt idx="33">
                  <c:v>2022Q4</c:v>
                </c:pt>
                <c:pt idx="34">
                  <c:v>2023Q1</c:v>
                </c:pt>
                <c:pt idx="35">
                  <c:v>2023Q2</c:v>
                </c:pt>
              </c:strCache>
            </c:strRef>
          </c:cat>
          <c:val>
            <c:numRef>
              <c:f>'Sheet1 (5)'!$C$2</c:f>
              <c:numCache>
                <c:formatCode>General</c:formatCode>
                <c:ptCount val="36"/>
                <c:pt idx="4">
                  <c:v>52</c:v>
                </c:pt>
                <c:pt idx="5">
                  <c:v>188</c:v>
                </c:pt>
                <c:pt idx="6">
                  <c:v>172</c:v>
                </c:pt>
                <c:pt idx="7">
                  <c:v>169</c:v>
                </c:pt>
                <c:pt idx="8">
                  <c:v>171</c:v>
                </c:pt>
                <c:pt idx="9">
                  <c:v>167</c:v>
                </c:pt>
                <c:pt idx="10">
                  <c:v>165</c:v>
                </c:pt>
                <c:pt idx="11">
                  <c:v>212</c:v>
                </c:pt>
                <c:pt idx="12">
                  <c:v>180</c:v>
                </c:pt>
                <c:pt idx="13">
                  <c:v>200</c:v>
                </c:pt>
                <c:pt idx="14">
                  <c:v>219</c:v>
                </c:pt>
                <c:pt idx="15">
                  <c:v>273</c:v>
                </c:pt>
                <c:pt idx="16">
                  <c:v>294</c:v>
                </c:pt>
                <c:pt idx="17">
                  <c:v>299</c:v>
                </c:pt>
                <c:pt idx="18">
                  <c:v>307</c:v>
                </c:pt>
                <c:pt idx="19">
                  <c:v>286</c:v>
                </c:pt>
                <c:pt idx="20">
                  <c:v>340</c:v>
                </c:pt>
                <c:pt idx="21">
                  <c:v>355</c:v>
                </c:pt>
                <c:pt idx="22">
                  <c:v>388</c:v>
                </c:pt>
                <c:pt idx="23">
                  <c:v>500</c:v>
                </c:pt>
                <c:pt idx="24">
                  <c:v>547</c:v>
                </c:pt>
                <c:pt idx="25">
                  <c:v>530</c:v>
                </c:pt>
                <c:pt idx="26">
                  <c:v>3198</c:v>
                </c:pt>
                <c:pt idx="27">
                  <c:v>4057</c:v>
                </c:pt>
                <c:pt idx="28">
                  <c:v>4674</c:v>
                </c:pt>
                <c:pt idx="29">
                  <c:v>5037</c:v>
                </c:pt>
                <c:pt idx="30">
                  <c:v>5044</c:v>
                </c:pt>
                <c:pt idx="31">
                  <c:v>6017</c:v>
                </c:pt>
                <c:pt idx="32">
                  <c:v>7317</c:v>
                </c:pt>
                <c:pt idx="33">
                  <c:v>7615</c:v>
                </c:pt>
                <c:pt idx="34">
                  <c:v>8050</c:v>
                </c:pt>
                <c:pt idx="35">
                  <c:v>9962</c:v>
                </c:pt>
              </c:numCache>
            </c:numRef>
          </c:val>
          <c:smooth val="0"/>
          <c:extLst>
            <c:ext xmlns:c16="http://schemas.microsoft.com/office/drawing/2014/chart" uri="{C3380CC4-5D6E-409C-BE32-E72D297353CC}">
              <c16:uniqueId val="{00000001-BAF2-421B-B819-CB873C331691}"/>
            </c:ext>
          </c:extLst>
        </c:ser>
        <c:ser>
          <c:idx val="2"/>
          <c:order val="2"/>
          <c:tx>
            <c:strRef>
              <c:f>'Sheet1 (5)'!$D$4:$D$5</c:f>
              <c:strCache>
                <c:ptCount val="1"/>
                <c:pt idx="0">
                  <c:v>MPH-IR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(5)'!$C$2</c:f>
              <c:strCache>
                <c:ptCount val="36"/>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pt idx="28">
                  <c:v>2021Q3</c:v>
                </c:pt>
                <c:pt idx="29">
                  <c:v>2021Q4</c:v>
                </c:pt>
                <c:pt idx="30">
                  <c:v>2022Q1</c:v>
                </c:pt>
                <c:pt idx="31">
                  <c:v>2022Q2</c:v>
                </c:pt>
                <c:pt idx="32">
                  <c:v>2022Q3</c:v>
                </c:pt>
                <c:pt idx="33">
                  <c:v>2022Q4</c:v>
                </c:pt>
                <c:pt idx="34">
                  <c:v>2023Q1</c:v>
                </c:pt>
                <c:pt idx="35">
                  <c:v>2023Q2</c:v>
                </c:pt>
              </c:strCache>
            </c:strRef>
          </c:cat>
          <c:val>
            <c:numRef>
              <c:f>'Sheet1 (5)'!$C$2</c:f>
              <c:numCache>
                <c:formatCode>General</c:formatCode>
                <c:ptCount val="36"/>
                <c:pt idx="0">
                  <c:v>870</c:v>
                </c:pt>
                <c:pt idx="1">
                  <c:v>793</c:v>
                </c:pt>
                <c:pt idx="2">
                  <c:v>800</c:v>
                </c:pt>
                <c:pt idx="3">
                  <c:v>871</c:v>
                </c:pt>
                <c:pt idx="4">
                  <c:v>884</c:v>
                </c:pt>
                <c:pt idx="5">
                  <c:v>758</c:v>
                </c:pt>
                <c:pt idx="6">
                  <c:v>822</c:v>
                </c:pt>
                <c:pt idx="7">
                  <c:v>878</c:v>
                </c:pt>
                <c:pt idx="8">
                  <c:v>905</c:v>
                </c:pt>
                <c:pt idx="9">
                  <c:v>836</c:v>
                </c:pt>
                <c:pt idx="10">
                  <c:v>861</c:v>
                </c:pt>
                <c:pt idx="11">
                  <c:v>862</c:v>
                </c:pt>
                <c:pt idx="12">
                  <c:v>978</c:v>
                </c:pt>
                <c:pt idx="13">
                  <c:v>951</c:v>
                </c:pt>
                <c:pt idx="14">
                  <c:v>956</c:v>
                </c:pt>
                <c:pt idx="15">
                  <c:v>1133</c:v>
                </c:pt>
                <c:pt idx="16">
                  <c:v>1222</c:v>
                </c:pt>
                <c:pt idx="17">
                  <c:v>1054</c:v>
                </c:pt>
                <c:pt idx="18">
                  <c:v>1050</c:v>
                </c:pt>
                <c:pt idx="19">
                  <c:v>1282</c:v>
                </c:pt>
                <c:pt idx="20">
                  <c:v>1520</c:v>
                </c:pt>
                <c:pt idx="21">
                  <c:v>1519</c:v>
                </c:pt>
                <c:pt idx="22">
                  <c:v>1548</c:v>
                </c:pt>
                <c:pt idx="23">
                  <c:v>1734</c:v>
                </c:pt>
                <c:pt idx="24">
                  <c:v>2197</c:v>
                </c:pt>
                <c:pt idx="25">
                  <c:v>2137</c:v>
                </c:pt>
                <c:pt idx="26">
                  <c:v>2036</c:v>
                </c:pt>
                <c:pt idx="27">
                  <c:v>2091</c:v>
                </c:pt>
                <c:pt idx="28">
                  <c:v>2616</c:v>
                </c:pt>
                <c:pt idx="29">
                  <c:v>2480</c:v>
                </c:pt>
                <c:pt idx="30">
                  <c:v>2431</c:v>
                </c:pt>
                <c:pt idx="31">
                  <c:v>2783</c:v>
                </c:pt>
                <c:pt idx="32">
                  <c:v>3110</c:v>
                </c:pt>
                <c:pt idx="33">
                  <c:v>3374</c:v>
                </c:pt>
                <c:pt idx="34">
                  <c:v>3222</c:v>
                </c:pt>
                <c:pt idx="35">
                  <c:v>3655</c:v>
                </c:pt>
              </c:numCache>
            </c:numRef>
          </c:val>
          <c:smooth val="0"/>
          <c:extLst>
            <c:ext xmlns:c16="http://schemas.microsoft.com/office/drawing/2014/chart" uri="{C3380CC4-5D6E-409C-BE32-E72D297353CC}">
              <c16:uniqueId val="{00000002-BAF2-421B-B819-CB873C331691}"/>
            </c:ext>
          </c:extLst>
        </c:ser>
        <c:ser>
          <c:idx val="3"/>
          <c:order val="3"/>
          <c:tx>
            <c:strRef>
              <c:f>'Sheet1 (5)'!$E$4:$E$5</c:f>
              <c:strCache>
                <c:ptCount val="1"/>
                <c:pt idx="0">
                  <c:v>Atomoxetine</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 (5)'!$C$2</c:f>
              <c:strCache>
                <c:ptCount val="36"/>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pt idx="28">
                  <c:v>2021Q3</c:v>
                </c:pt>
                <c:pt idx="29">
                  <c:v>2021Q4</c:v>
                </c:pt>
                <c:pt idx="30">
                  <c:v>2022Q1</c:v>
                </c:pt>
                <c:pt idx="31">
                  <c:v>2022Q2</c:v>
                </c:pt>
                <c:pt idx="32">
                  <c:v>2022Q3</c:v>
                </c:pt>
                <c:pt idx="33">
                  <c:v>2022Q4</c:v>
                </c:pt>
                <c:pt idx="34">
                  <c:v>2023Q1</c:v>
                </c:pt>
                <c:pt idx="35">
                  <c:v>2023Q2</c:v>
                </c:pt>
              </c:strCache>
            </c:strRef>
          </c:cat>
          <c:val>
            <c:numRef>
              <c:f>'Sheet1 (5)'!$C$2</c:f>
              <c:numCache>
                <c:formatCode>General</c:formatCode>
                <c:ptCount val="36"/>
                <c:pt idx="0">
                  <c:v>153</c:v>
                </c:pt>
                <c:pt idx="1">
                  <c:v>145</c:v>
                </c:pt>
                <c:pt idx="2">
                  <c:v>156</c:v>
                </c:pt>
                <c:pt idx="3">
                  <c:v>151</c:v>
                </c:pt>
                <c:pt idx="4">
                  <c:v>198</c:v>
                </c:pt>
                <c:pt idx="5">
                  <c:v>212</c:v>
                </c:pt>
                <c:pt idx="6">
                  <c:v>189</c:v>
                </c:pt>
                <c:pt idx="7">
                  <c:v>287</c:v>
                </c:pt>
                <c:pt idx="8">
                  <c:v>259</c:v>
                </c:pt>
                <c:pt idx="9">
                  <c:v>237</c:v>
                </c:pt>
                <c:pt idx="10">
                  <c:v>253</c:v>
                </c:pt>
                <c:pt idx="11">
                  <c:v>256</c:v>
                </c:pt>
                <c:pt idx="12">
                  <c:v>250</c:v>
                </c:pt>
                <c:pt idx="13">
                  <c:v>250</c:v>
                </c:pt>
                <c:pt idx="14">
                  <c:v>261</c:v>
                </c:pt>
                <c:pt idx="15">
                  <c:v>296</c:v>
                </c:pt>
                <c:pt idx="16">
                  <c:v>294</c:v>
                </c:pt>
                <c:pt idx="17">
                  <c:v>264</c:v>
                </c:pt>
                <c:pt idx="18">
                  <c:v>267</c:v>
                </c:pt>
                <c:pt idx="19">
                  <c:v>289</c:v>
                </c:pt>
                <c:pt idx="20">
                  <c:v>312</c:v>
                </c:pt>
                <c:pt idx="21">
                  <c:v>331</c:v>
                </c:pt>
                <c:pt idx="22">
                  <c:v>306</c:v>
                </c:pt>
                <c:pt idx="23">
                  <c:v>339</c:v>
                </c:pt>
                <c:pt idx="24">
                  <c:v>448</c:v>
                </c:pt>
                <c:pt idx="25">
                  <c:v>413</c:v>
                </c:pt>
                <c:pt idx="26">
                  <c:v>436</c:v>
                </c:pt>
                <c:pt idx="27">
                  <c:v>581</c:v>
                </c:pt>
                <c:pt idx="28">
                  <c:v>599</c:v>
                </c:pt>
                <c:pt idx="29">
                  <c:v>636</c:v>
                </c:pt>
                <c:pt idx="30">
                  <c:v>591</c:v>
                </c:pt>
                <c:pt idx="31">
                  <c:v>613</c:v>
                </c:pt>
                <c:pt idx="32">
                  <c:v>694</c:v>
                </c:pt>
                <c:pt idx="33">
                  <c:v>751</c:v>
                </c:pt>
                <c:pt idx="34">
                  <c:v>690</c:v>
                </c:pt>
                <c:pt idx="35">
                  <c:v>575</c:v>
                </c:pt>
              </c:numCache>
            </c:numRef>
          </c:val>
          <c:smooth val="0"/>
          <c:extLst>
            <c:ext xmlns:c16="http://schemas.microsoft.com/office/drawing/2014/chart" uri="{C3380CC4-5D6E-409C-BE32-E72D297353CC}">
              <c16:uniqueId val="{00000003-BAF2-421B-B819-CB873C331691}"/>
            </c:ext>
          </c:extLst>
        </c:ser>
        <c:ser>
          <c:idx val="4"/>
          <c:order val="4"/>
          <c:tx>
            <c:strRef>
              <c:f>'Sheet1 (5)'!$F$4:$F$5</c:f>
              <c:strCache>
                <c:ptCount val="1"/>
                <c:pt idx="0">
                  <c:v>MPH-MR</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(5)'!$C$2</c:f>
              <c:strCache>
                <c:ptCount val="36"/>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pt idx="28">
                  <c:v>2021Q3</c:v>
                </c:pt>
                <c:pt idx="29">
                  <c:v>2021Q4</c:v>
                </c:pt>
                <c:pt idx="30">
                  <c:v>2022Q1</c:v>
                </c:pt>
                <c:pt idx="31">
                  <c:v>2022Q2</c:v>
                </c:pt>
                <c:pt idx="32">
                  <c:v>2022Q3</c:v>
                </c:pt>
                <c:pt idx="33">
                  <c:v>2022Q4</c:v>
                </c:pt>
                <c:pt idx="34">
                  <c:v>2023Q1</c:v>
                </c:pt>
                <c:pt idx="35">
                  <c:v>2023Q2</c:v>
                </c:pt>
              </c:strCache>
            </c:strRef>
          </c:cat>
          <c:val>
            <c:numRef>
              <c:f>'Sheet1 (5)'!$C$2</c:f>
              <c:numCache>
                <c:formatCode>General</c:formatCode>
                <c:ptCount val="36"/>
                <c:pt idx="0">
                  <c:v>241</c:v>
                </c:pt>
                <c:pt idx="1">
                  <c:v>209</c:v>
                </c:pt>
                <c:pt idx="2">
                  <c:v>220</c:v>
                </c:pt>
                <c:pt idx="3">
                  <c:v>210</c:v>
                </c:pt>
                <c:pt idx="4">
                  <c:v>214</c:v>
                </c:pt>
                <c:pt idx="5">
                  <c:v>208</c:v>
                </c:pt>
                <c:pt idx="6">
                  <c:v>205</c:v>
                </c:pt>
                <c:pt idx="7">
                  <c:v>217</c:v>
                </c:pt>
                <c:pt idx="8">
                  <c:v>230</c:v>
                </c:pt>
                <c:pt idx="9">
                  <c:v>228</c:v>
                </c:pt>
                <c:pt idx="10">
                  <c:v>207</c:v>
                </c:pt>
                <c:pt idx="11">
                  <c:v>201</c:v>
                </c:pt>
                <c:pt idx="12">
                  <c:v>194</c:v>
                </c:pt>
                <c:pt idx="13">
                  <c:v>211</c:v>
                </c:pt>
                <c:pt idx="14">
                  <c:v>209</c:v>
                </c:pt>
                <c:pt idx="15">
                  <c:v>214</c:v>
                </c:pt>
                <c:pt idx="16">
                  <c:v>219</c:v>
                </c:pt>
                <c:pt idx="17">
                  <c:v>216</c:v>
                </c:pt>
                <c:pt idx="18">
                  <c:v>223</c:v>
                </c:pt>
                <c:pt idx="19">
                  <c:v>208</c:v>
                </c:pt>
                <c:pt idx="20">
                  <c:v>243</c:v>
                </c:pt>
                <c:pt idx="21">
                  <c:v>250</c:v>
                </c:pt>
                <c:pt idx="22">
                  <c:v>241</c:v>
                </c:pt>
                <c:pt idx="23">
                  <c:v>281</c:v>
                </c:pt>
                <c:pt idx="24">
                  <c:v>274</c:v>
                </c:pt>
                <c:pt idx="25">
                  <c:v>286</c:v>
                </c:pt>
                <c:pt idx="26">
                  <c:v>275</c:v>
                </c:pt>
                <c:pt idx="27">
                  <c:v>295</c:v>
                </c:pt>
                <c:pt idx="28">
                  <c:v>385</c:v>
                </c:pt>
                <c:pt idx="29">
                  <c:v>349</c:v>
                </c:pt>
                <c:pt idx="30">
                  <c:v>352</c:v>
                </c:pt>
                <c:pt idx="31">
                  <c:v>351</c:v>
                </c:pt>
                <c:pt idx="32">
                  <c:v>386</c:v>
                </c:pt>
                <c:pt idx="33">
                  <c:v>364</c:v>
                </c:pt>
                <c:pt idx="34">
                  <c:v>354</c:v>
                </c:pt>
                <c:pt idx="35">
                  <c:v>658</c:v>
                </c:pt>
              </c:numCache>
            </c:numRef>
          </c:val>
          <c:smooth val="0"/>
          <c:extLst>
            <c:ext xmlns:c16="http://schemas.microsoft.com/office/drawing/2014/chart" uri="{C3380CC4-5D6E-409C-BE32-E72D297353CC}">
              <c16:uniqueId val="{00000004-BAF2-421B-B819-CB873C331691}"/>
            </c:ext>
          </c:extLst>
        </c:ser>
        <c:ser>
          <c:idx val="5"/>
          <c:order val="5"/>
          <c:tx>
            <c:strRef>
              <c:f>'Sheet1 (5)'!$G$4:$G$5</c:f>
              <c:strCache>
                <c:ptCount val="1"/>
                <c:pt idx="0">
                  <c:v>Guanfacine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 (5)'!$C$2</c:f>
              <c:strCache>
                <c:ptCount val="36"/>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pt idx="28">
                  <c:v>2021Q3</c:v>
                </c:pt>
                <c:pt idx="29">
                  <c:v>2021Q4</c:v>
                </c:pt>
                <c:pt idx="30">
                  <c:v>2022Q1</c:v>
                </c:pt>
                <c:pt idx="31">
                  <c:v>2022Q2</c:v>
                </c:pt>
                <c:pt idx="32">
                  <c:v>2022Q3</c:v>
                </c:pt>
                <c:pt idx="33">
                  <c:v>2022Q4</c:v>
                </c:pt>
                <c:pt idx="34">
                  <c:v>2023Q1</c:v>
                </c:pt>
                <c:pt idx="35">
                  <c:v>2023Q2</c:v>
                </c:pt>
              </c:strCache>
            </c:strRef>
          </c:cat>
          <c:val>
            <c:numRef>
              <c:f>'Sheet1 (5)'!$C$2</c:f>
              <c:numCache>
                <c:formatCode>General</c:formatCode>
                <c:ptCount val="36"/>
                <c:pt idx="16">
                  <c:v>7</c:v>
                </c:pt>
                <c:pt idx="17">
                  <c:v>43</c:v>
                </c:pt>
                <c:pt idx="18">
                  <c:v>43</c:v>
                </c:pt>
                <c:pt idx="19">
                  <c:v>53</c:v>
                </c:pt>
                <c:pt idx="20">
                  <c:v>66</c:v>
                </c:pt>
                <c:pt idx="21">
                  <c:v>70</c:v>
                </c:pt>
                <c:pt idx="22">
                  <c:v>66</c:v>
                </c:pt>
                <c:pt idx="23">
                  <c:v>57</c:v>
                </c:pt>
                <c:pt idx="24">
                  <c:v>115</c:v>
                </c:pt>
                <c:pt idx="25">
                  <c:v>83</c:v>
                </c:pt>
                <c:pt idx="26">
                  <c:v>82</c:v>
                </c:pt>
                <c:pt idx="27">
                  <c:v>107</c:v>
                </c:pt>
                <c:pt idx="28">
                  <c:v>152</c:v>
                </c:pt>
                <c:pt idx="29">
                  <c:v>185</c:v>
                </c:pt>
                <c:pt idx="30">
                  <c:v>147</c:v>
                </c:pt>
                <c:pt idx="31">
                  <c:v>164</c:v>
                </c:pt>
                <c:pt idx="32">
                  <c:v>181</c:v>
                </c:pt>
                <c:pt idx="33">
                  <c:v>199</c:v>
                </c:pt>
                <c:pt idx="34">
                  <c:v>196</c:v>
                </c:pt>
                <c:pt idx="35">
                  <c:v>216</c:v>
                </c:pt>
              </c:numCache>
            </c:numRef>
          </c:val>
          <c:smooth val="0"/>
          <c:extLst>
            <c:ext xmlns:c16="http://schemas.microsoft.com/office/drawing/2014/chart" uri="{C3380CC4-5D6E-409C-BE32-E72D297353CC}">
              <c16:uniqueId val="{00000005-BAF2-421B-B819-CB873C331691}"/>
            </c:ext>
          </c:extLst>
        </c:ser>
        <c:dLbls>
          <c:showLegendKey val="0"/>
          <c:showVal val="0"/>
          <c:showCatName val="0"/>
          <c:showSerName val="0"/>
          <c:showPercent val="0"/>
          <c:showBubbleSize val="0"/>
        </c:dLbls>
        <c:marker val="1"/>
        <c:smooth val="0"/>
        <c:axId val="915059048"/>
        <c:axId val="915062984"/>
      </c:lineChart>
      <c:catAx>
        <c:axId val="9150590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a:t>
                </a:r>
              </a:p>
            </c:rich>
          </c:tx>
          <c:layout>
            <c:manualLayout>
              <c:xMode val="edge"/>
              <c:yMode val="edge"/>
              <c:x val="0.47491129385603897"/>
              <c:y val="0.8602295453809014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062984"/>
        <c:crosses val="autoZero"/>
        <c:auto val="1"/>
        <c:lblAlgn val="ctr"/>
        <c:lblOffset val="100"/>
        <c:noMultiLvlLbl val="0"/>
      </c:catAx>
      <c:valAx>
        <c:axId val="915062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patients &gt;18</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059048"/>
        <c:crosses val="autoZero"/>
        <c:crossBetween val="between"/>
      </c:valAx>
      <c:spPr>
        <a:noFill/>
        <a:ln>
          <a:noFill/>
        </a:ln>
        <a:effectLst/>
      </c:spPr>
    </c:plotArea>
    <c:legend>
      <c:legendPos val="b"/>
      <c:layout>
        <c:manualLayout>
          <c:xMode val="edge"/>
          <c:yMode val="edge"/>
          <c:x val="7.8957965571125732E-3"/>
          <c:y val="0.92016383137293023"/>
          <c:w val="0.97563115803834266"/>
          <c:h val="7.654398755711090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[D1498_PATCNTBY_FORM_SUPP_Qtr - figs 22b34 - fig3 changed to by therapy.xlsx]Sheet1 (6)!PivotTable2</c:name>
    <c:fmtId val="-1"/>
  </c:pivotSource>
  <c:chart>
    <c:title>
      <c:tx>
        <c:strRef>
          <c:f>'Sheet1 (6)'!$C$2</c:f>
          <c:strCache>
            <c:ptCount val="1"/>
            <c:pt idx="0">
              <c:v>initiating patients by therapy - no script since 201306, &lt;=18yrs</c:v>
            </c:pt>
          </c:strCache>
        </c:strRef>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1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1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15"/>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16"/>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17"/>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3101578770971414"/>
          <c:y val="0.12210699588477367"/>
          <c:w val="0.84233176224474027"/>
          <c:h val="0.62821502867697099"/>
        </c:manualLayout>
      </c:layout>
      <c:lineChart>
        <c:grouping val="standard"/>
        <c:varyColors val="0"/>
        <c:ser>
          <c:idx val="0"/>
          <c:order val="0"/>
          <c:tx>
            <c:strRef>
              <c:f>'Sheet1 (6)'!$B$4:$B$5</c:f>
              <c:strCache>
                <c:ptCount val="1"/>
                <c:pt idx="0">
                  <c:v>MPH-IR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(6)'!$C$2</c:f>
              <c:strCache>
                <c:ptCount val="36"/>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pt idx="28">
                  <c:v>2021Q3</c:v>
                </c:pt>
                <c:pt idx="29">
                  <c:v>2021Q4</c:v>
                </c:pt>
                <c:pt idx="30">
                  <c:v>2022Q1</c:v>
                </c:pt>
                <c:pt idx="31">
                  <c:v>2022Q2</c:v>
                </c:pt>
                <c:pt idx="32">
                  <c:v>2022Q3</c:v>
                </c:pt>
                <c:pt idx="33">
                  <c:v>2022Q4</c:v>
                </c:pt>
                <c:pt idx="34">
                  <c:v>2023Q1</c:v>
                </c:pt>
                <c:pt idx="35">
                  <c:v>2023Q2</c:v>
                </c:pt>
              </c:strCache>
            </c:strRef>
          </c:cat>
          <c:val>
            <c:numRef>
              <c:f>'Sheet1 (6)'!$C$2</c:f>
              <c:numCache>
                <c:formatCode>General</c:formatCode>
                <c:ptCount val="36"/>
                <c:pt idx="0">
                  <c:v>4124</c:v>
                </c:pt>
                <c:pt idx="1">
                  <c:v>3583</c:v>
                </c:pt>
                <c:pt idx="2">
                  <c:v>3377</c:v>
                </c:pt>
                <c:pt idx="3">
                  <c:v>4210</c:v>
                </c:pt>
                <c:pt idx="4">
                  <c:v>4587</c:v>
                </c:pt>
                <c:pt idx="5">
                  <c:v>3654</c:v>
                </c:pt>
                <c:pt idx="6">
                  <c:v>3184</c:v>
                </c:pt>
                <c:pt idx="7">
                  <c:v>3998</c:v>
                </c:pt>
                <c:pt idx="8">
                  <c:v>4214</c:v>
                </c:pt>
                <c:pt idx="9">
                  <c:v>3529</c:v>
                </c:pt>
                <c:pt idx="10">
                  <c:v>3327</c:v>
                </c:pt>
                <c:pt idx="11">
                  <c:v>4163</c:v>
                </c:pt>
                <c:pt idx="12">
                  <c:v>4415</c:v>
                </c:pt>
                <c:pt idx="13">
                  <c:v>4007</c:v>
                </c:pt>
                <c:pt idx="14">
                  <c:v>3867</c:v>
                </c:pt>
                <c:pt idx="15">
                  <c:v>4885</c:v>
                </c:pt>
                <c:pt idx="16">
                  <c:v>5385</c:v>
                </c:pt>
                <c:pt idx="17">
                  <c:v>4808</c:v>
                </c:pt>
                <c:pt idx="18">
                  <c:v>4509</c:v>
                </c:pt>
                <c:pt idx="19">
                  <c:v>5746</c:v>
                </c:pt>
                <c:pt idx="20">
                  <c:v>6152</c:v>
                </c:pt>
                <c:pt idx="21">
                  <c:v>5687</c:v>
                </c:pt>
                <c:pt idx="22">
                  <c:v>5333</c:v>
                </c:pt>
                <c:pt idx="23">
                  <c:v>6407</c:v>
                </c:pt>
                <c:pt idx="24">
                  <c:v>7284</c:v>
                </c:pt>
                <c:pt idx="25">
                  <c:v>6669</c:v>
                </c:pt>
                <c:pt idx="26">
                  <c:v>6367</c:v>
                </c:pt>
                <c:pt idx="27">
                  <c:v>8239</c:v>
                </c:pt>
                <c:pt idx="28">
                  <c:v>9058</c:v>
                </c:pt>
                <c:pt idx="29">
                  <c:v>8138</c:v>
                </c:pt>
                <c:pt idx="30">
                  <c:v>7351</c:v>
                </c:pt>
                <c:pt idx="31">
                  <c:v>9133</c:v>
                </c:pt>
                <c:pt idx="32">
                  <c:v>10282</c:v>
                </c:pt>
                <c:pt idx="33">
                  <c:v>9626</c:v>
                </c:pt>
                <c:pt idx="34">
                  <c:v>9641</c:v>
                </c:pt>
                <c:pt idx="35">
                  <c:v>11491</c:v>
                </c:pt>
              </c:numCache>
            </c:numRef>
          </c:val>
          <c:smooth val="0"/>
          <c:extLst>
            <c:ext xmlns:c16="http://schemas.microsoft.com/office/drawing/2014/chart" uri="{C3380CC4-5D6E-409C-BE32-E72D297353CC}">
              <c16:uniqueId val="{00000000-CC9C-4A56-BF41-172C81A1FA73}"/>
            </c:ext>
          </c:extLst>
        </c:ser>
        <c:ser>
          <c:idx val="1"/>
          <c:order val="1"/>
          <c:tx>
            <c:strRef>
              <c:f>'Sheet1 (6)'!$C$4:$C$5</c:f>
              <c:strCache>
                <c:ptCount val="1"/>
                <c:pt idx="0">
                  <c:v>Lisdexamfetamine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(6)'!$C$2</c:f>
              <c:strCache>
                <c:ptCount val="36"/>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pt idx="28">
                  <c:v>2021Q3</c:v>
                </c:pt>
                <c:pt idx="29">
                  <c:v>2021Q4</c:v>
                </c:pt>
                <c:pt idx="30">
                  <c:v>2022Q1</c:v>
                </c:pt>
                <c:pt idx="31">
                  <c:v>2022Q2</c:v>
                </c:pt>
                <c:pt idx="32">
                  <c:v>2022Q3</c:v>
                </c:pt>
                <c:pt idx="33">
                  <c:v>2022Q4</c:v>
                </c:pt>
                <c:pt idx="34">
                  <c:v>2023Q1</c:v>
                </c:pt>
                <c:pt idx="35">
                  <c:v>2023Q2</c:v>
                </c:pt>
              </c:strCache>
            </c:strRef>
          </c:cat>
          <c:val>
            <c:numRef>
              <c:f>'Sheet1 (6)'!$C$2</c:f>
              <c:numCache>
                <c:formatCode>General</c:formatCode>
                <c:ptCount val="36"/>
                <c:pt idx="4">
                  <c:v>414</c:v>
                </c:pt>
                <c:pt idx="5">
                  <c:v>978</c:v>
                </c:pt>
                <c:pt idx="6">
                  <c:v>707</c:v>
                </c:pt>
                <c:pt idx="7">
                  <c:v>984</c:v>
                </c:pt>
                <c:pt idx="8">
                  <c:v>1266</c:v>
                </c:pt>
                <c:pt idx="9">
                  <c:v>1094</c:v>
                </c:pt>
                <c:pt idx="10">
                  <c:v>1109</c:v>
                </c:pt>
                <c:pt idx="11">
                  <c:v>1248</c:v>
                </c:pt>
                <c:pt idx="12">
                  <c:v>1496</c:v>
                </c:pt>
                <c:pt idx="13">
                  <c:v>1307</c:v>
                </c:pt>
                <c:pt idx="14">
                  <c:v>1388</c:v>
                </c:pt>
                <c:pt idx="15">
                  <c:v>1640</c:v>
                </c:pt>
                <c:pt idx="16">
                  <c:v>1684</c:v>
                </c:pt>
                <c:pt idx="17">
                  <c:v>1498</c:v>
                </c:pt>
                <c:pt idx="18">
                  <c:v>1450</c:v>
                </c:pt>
                <c:pt idx="19">
                  <c:v>1643</c:v>
                </c:pt>
                <c:pt idx="20">
                  <c:v>1836</c:v>
                </c:pt>
                <c:pt idx="21">
                  <c:v>1661</c:v>
                </c:pt>
                <c:pt idx="22">
                  <c:v>1603</c:v>
                </c:pt>
                <c:pt idx="23">
                  <c:v>1684</c:v>
                </c:pt>
                <c:pt idx="24">
                  <c:v>2225</c:v>
                </c:pt>
                <c:pt idx="25">
                  <c:v>2073</c:v>
                </c:pt>
                <c:pt idx="26">
                  <c:v>2139</c:v>
                </c:pt>
                <c:pt idx="27">
                  <c:v>2614</c:v>
                </c:pt>
                <c:pt idx="28">
                  <c:v>2902</c:v>
                </c:pt>
                <c:pt idx="29">
                  <c:v>2704</c:v>
                </c:pt>
                <c:pt idx="30">
                  <c:v>2787</c:v>
                </c:pt>
                <c:pt idx="31">
                  <c:v>3155</c:v>
                </c:pt>
                <c:pt idx="32">
                  <c:v>3882</c:v>
                </c:pt>
                <c:pt idx="33">
                  <c:v>3526</c:v>
                </c:pt>
                <c:pt idx="34">
                  <c:v>3899</c:v>
                </c:pt>
                <c:pt idx="35">
                  <c:v>4367</c:v>
                </c:pt>
              </c:numCache>
            </c:numRef>
          </c:val>
          <c:smooth val="0"/>
          <c:extLst>
            <c:ext xmlns:c16="http://schemas.microsoft.com/office/drawing/2014/chart" uri="{C3380CC4-5D6E-409C-BE32-E72D297353CC}">
              <c16:uniqueId val="{00000001-CC9C-4A56-BF41-172C81A1FA73}"/>
            </c:ext>
          </c:extLst>
        </c:ser>
        <c:ser>
          <c:idx val="2"/>
          <c:order val="2"/>
          <c:tx>
            <c:strRef>
              <c:f>'Sheet1 (6)'!$D$4:$D$5</c:f>
              <c:strCache>
                <c:ptCount val="1"/>
                <c:pt idx="0">
                  <c:v>Dexamfetamine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 (6)'!$C$2</c:f>
              <c:strCache>
                <c:ptCount val="36"/>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pt idx="28">
                  <c:v>2021Q3</c:v>
                </c:pt>
                <c:pt idx="29">
                  <c:v>2021Q4</c:v>
                </c:pt>
                <c:pt idx="30">
                  <c:v>2022Q1</c:v>
                </c:pt>
                <c:pt idx="31">
                  <c:v>2022Q2</c:v>
                </c:pt>
                <c:pt idx="32">
                  <c:v>2022Q3</c:v>
                </c:pt>
                <c:pt idx="33">
                  <c:v>2022Q4</c:v>
                </c:pt>
                <c:pt idx="34">
                  <c:v>2023Q1</c:v>
                </c:pt>
                <c:pt idx="35">
                  <c:v>2023Q2</c:v>
                </c:pt>
              </c:strCache>
            </c:strRef>
          </c:cat>
          <c:val>
            <c:numRef>
              <c:f>'Sheet1 (6)'!$C$2</c:f>
              <c:numCache>
                <c:formatCode>General</c:formatCode>
                <c:ptCount val="36"/>
                <c:pt idx="0">
                  <c:v>548</c:v>
                </c:pt>
                <c:pt idx="1">
                  <c:v>440</c:v>
                </c:pt>
                <c:pt idx="2">
                  <c:v>442</c:v>
                </c:pt>
                <c:pt idx="3">
                  <c:v>462</c:v>
                </c:pt>
                <c:pt idx="4">
                  <c:v>503</c:v>
                </c:pt>
                <c:pt idx="5">
                  <c:v>434</c:v>
                </c:pt>
                <c:pt idx="6">
                  <c:v>387</c:v>
                </c:pt>
                <c:pt idx="7">
                  <c:v>494</c:v>
                </c:pt>
                <c:pt idx="8">
                  <c:v>490</c:v>
                </c:pt>
                <c:pt idx="9">
                  <c:v>388</c:v>
                </c:pt>
                <c:pt idx="10">
                  <c:v>392</c:v>
                </c:pt>
                <c:pt idx="11">
                  <c:v>455</c:v>
                </c:pt>
                <c:pt idx="12">
                  <c:v>533</c:v>
                </c:pt>
                <c:pt idx="13">
                  <c:v>482</c:v>
                </c:pt>
                <c:pt idx="14">
                  <c:v>475</c:v>
                </c:pt>
                <c:pt idx="15">
                  <c:v>577</c:v>
                </c:pt>
                <c:pt idx="16">
                  <c:v>582</c:v>
                </c:pt>
                <c:pt idx="17">
                  <c:v>511</c:v>
                </c:pt>
                <c:pt idx="18">
                  <c:v>478</c:v>
                </c:pt>
                <c:pt idx="19">
                  <c:v>547</c:v>
                </c:pt>
                <c:pt idx="20">
                  <c:v>607</c:v>
                </c:pt>
                <c:pt idx="21">
                  <c:v>619</c:v>
                </c:pt>
                <c:pt idx="22">
                  <c:v>582</c:v>
                </c:pt>
                <c:pt idx="23">
                  <c:v>668</c:v>
                </c:pt>
                <c:pt idx="24">
                  <c:v>803</c:v>
                </c:pt>
                <c:pt idx="25">
                  <c:v>699</c:v>
                </c:pt>
                <c:pt idx="26">
                  <c:v>692</c:v>
                </c:pt>
                <c:pt idx="27">
                  <c:v>908</c:v>
                </c:pt>
                <c:pt idx="28">
                  <c:v>1053</c:v>
                </c:pt>
                <c:pt idx="29">
                  <c:v>955</c:v>
                </c:pt>
                <c:pt idx="30">
                  <c:v>926</c:v>
                </c:pt>
                <c:pt idx="31">
                  <c:v>1080</c:v>
                </c:pt>
                <c:pt idx="32">
                  <c:v>1273</c:v>
                </c:pt>
                <c:pt idx="33">
                  <c:v>1209</c:v>
                </c:pt>
                <c:pt idx="34">
                  <c:v>1162</c:v>
                </c:pt>
                <c:pt idx="35">
                  <c:v>1346</c:v>
                </c:pt>
              </c:numCache>
            </c:numRef>
          </c:val>
          <c:smooth val="0"/>
          <c:extLst>
            <c:ext xmlns:c16="http://schemas.microsoft.com/office/drawing/2014/chart" uri="{C3380CC4-5D6E-409C-BE32-E72D297353CC}">
              <c16:uniqueId val="{00000002-CC9C-4A56-BF41-172C81A1FA73}"/>
            </c:ext>
          </c:extLst>
        </c:ser>
        <c:ser>
          <c:idx val="3"/>
          <c:order val="3"/>
          <c:tx>
            <c:strRef>
              <c:f>'Sheet1 (6)'!$E$4:$E$5</c:f>
              <c:strCache>
                <c:ptCount val="1"/>
                <c:pt idx="0">
                  <c:v>MPH-MR</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(6)'!$C$2</c:f>
              <c:strCache>
                <c:ptCount val="36"/>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pt idx="28">
                  <c:v>2021Q3</c:v>
                </c:pt>
                <c:pt idx="29">
                  <c:v>2021Q4</c:v>
                </c:pt>
                <c:pt idx="30">
                  <c:v>2022Q1</c:v>
                </c:pt>
                <c:pt idx="31">
                  <c:v>2022Q2</c:v>
                </c:pt>
                <c:pt idx="32">
                  <c:v>2022Q3</c:v>
                </c:pt>
                <c:pt idx="33">
                  <c:v>2022Q4</c:v>
                </c:pt>
                <c:pt idx="34">
                  <c:v>2023Q1</c:v>
                </c:pt>
                <c:pt idx="35">
                  <c:v>2023Q2</c:v>
                </c:pt>
              </c:strCache>
            </c:strRef>
          </c:cat>
          <c:val>
            <c:numRef>
              <c:f>'Sheet1 (6)'!$C$2</c:f>
              <c:numCache>
                <c:formatCode>General</c:formatCode>
                <c:ptCount val="36"/>
                <c:pt idx="0">
                  <c:v>764</c:v>
                </c:pt>
                <c:pt idx="1">
                  <c:v>651</c:v>
                </c:pt>
                <c:pt idx="2">
                  <c:v>575</c:v>
                </c:pt>
                <c:pt idx="3">
                  <c:v>588</c:v>
                </c:pt>
                <c:pt idx="4">
                  <c:v>602</c:v>
                </c:pt>
                <c:pt idx="5">
                  <c:v>461</c:v>
                </c:pt>
                <c:pt idx="6">
                  <c:v>406</c:v>
                </c:pt>
                <c:pt idx="7">
                  <c:v>486</c:v>
                </c:pt>
                <c:pt idx="8">
                  <c:v>455</c:v>
                </c:pt>
                <c:pt idx="9">
                  <c:v>377</c:v>
                </c:pt>
                <c:pt idx="10">
                  <c:v>404</c:v>
                </c:pt>
                <c:pt idx="11">
                  <c:v>400</c:v>
                </c:pt>
                <c:pt idx="12">
                  <c:v>379</c:v>
                </c:pt>
                <c:pt idx="13">
                  <c:v>352</c:v>
                </c:pt>
                <c:pt idx="14">
                  <c:v>352</c:v>
                </c:pt>
                <c:pt idx="15">
                  <c:v>393</c:v>
                </c:pt>
                <c:pt idx="16">
                  <c:v>422</c:v>
                </c:pt>
                <c:pt idx="17">
                  <c:v>401</c:v>
                </c:pt>
                <c:pt idx="18">
                  <c:v>388</c:v>
                </c:pt>
                <c:pt idx="19">
                  <c:v>468</c:v>
                </c:pt>
                <c:pt idx="20">
                  <c:v>481</c:v>
                </c:pt>
                <c:pt idx="21">
                  <c:v>433</c:v>
                </c:pt>
                <c:pt idx="22">
                  <c:v>489</c:v>
                </c:pt>
                <c:pt idx="23">
                  <c:v>465</c:v>
                </c:pt>
                <c:pt idx="24">
                  <c:v>556</c:v>
                </c:pt>
                <c:pt idx="25">
                  <c:v>551</c:v>
                </c:pt>
                <c:pt idx="26">
                  <c:v>551</c:v>
                </c:pt>
                <c:pt idx="27">
                  <c:v>543</c:v>
                </c:pt>
                <c:pt idx="28">
                  <c:v>609</c:v>
                </c:pt>
                <c:pt idx="29">
                  <c:v>654</c:v>
                </c:pt>
                <c:pt idx="30">
                  <c:v>574</c:v>
                </c:pt>
                <c:pt idx="31">
                  <c:v>656</c:v>
                </c:pt>
                <c:pt idx="32">
                  <c:v>708</c:v>
                </c:pt>
                <c:pt idx="33">
                  <c:v>638</c:v>
                </c:pt>
                <c:pt idx="34">
                  <c:v>751</c:v>
                </c:pt>
                <c:pt idx="35">
                  <c:v>772</c:v>
                </c:pt>
              </c:numCache>
            </c:numRef>
          </c:val>
          <c:smooth val="0"/>
          <c:extLst>
            <c:ext xmlns:c16="http://schemas.microsoft.com/office/drawing/2014/chart" uri="{C3380CC4-5D6E-409C-BE32-E72D297353CC}">
              <c16:uniqueId val="{00000003-CC9C-4A56-BF41-172C81A1FA73}"/>
            </c:ext>
          </c:extLst>
        </c:ser>
        <c:ser>
          <c:idx val="4"/>
          <c:order val="4"/>
          <c:tx>
            <c:strRef>
              <c:f>'Sheet1 (6)'!$F$4:$F$5</c:f>
              <c:strCache>
                <c:ptCount val="1"/>
                <c:pt idx="0">
                  <c:v>Guanfacine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 (6)'!$C$2</c:f>
              <c:strCache>
                <c:ptCount val="36"/>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pt idx="28">
                  <c:v>2021Q3</c:v>
                </c:pt>
                <c:pt idx="29">
                  <c:v>2021Q4</c:v>
                </c:pt>
                <c:pt idx="30">
                  <c:v>2022Q1</c:v>
                </c:pt>
                <c:pt idx="31">
                  <c:v>2022Q2</c:v>
                </c:pt>
                <c:pt idx="32">
                  <c:v>2022Q3</c:v>
                </c:pt>
                <c:pt idx="33">
                  <c:v>2022Q4</c:v>
                </c:pt>
                <c:pt idx="34">
                  <c:v>2023Q1</c:v>
                </c:pt>
                <c:pt idx="35">
                  <c:v>2023Q2</c:v>
                </c:pt>
              </c:strCache>
            </c:strRef>
          </c:cat>
          <c:val>
            <c:numRef>
              <c:f>'Sheet1 (6)'!$C$2</c:f>
              <c:numCache>
                <c:formatCode>General</c:formatCode>
                <c:ptCount val="36"/>
                <c:pt idx="16">
                  <c:v>151</c:v>
                </c:pt>
                <c:pt idx="17">
                  <c:v>504</c:v>
                </c:pt>
                <c:pt idx="18">
                  <c:v>423</c:v>
                </c:pt>
                <c:pt idx="19">
                  <c:v>533</c:v>
                </c:pt>
                <c:pt idx="20">
                  <c:v>577</c:v>
                </c:pt>
                <c:pt idx="21">
                  <c:v>553</c:v>
                </c:pt>
                <c:pt idx="22">
                  <c:v>469</c:v>
                </c:pt>
                <c:pt idx="23">
                  <c:v>515</c:v>
                </c:pt>
                <c:pt idx="24">
                  <c:v>694</c:v>
                </c:pt>
                <c:pt idx="25">
                  <c:v>654</c:v>
                </c:pt>
                <c:pt idx="26">
                  <c:v>586</c:v>
                </c:pt>
                <c:pt idx="27">
                  <c:v>764</c:v>
                </c:pt>
                <c:pt idx="28">
                  <c:v>787</c:v>
                </c:pt>
                <c:pt idx="29">
                  <c:v>900</c:v>
                </c:pt>
                <c:pt idx="30">
                  <c:v>762</c:v>
                </c:pt>
                <c:pt idx="31">
                  <c:v>798</c:v>
                </c:pt>
                <c:pt idx="32">
                  <c:v>980</c:v>
                </c:pt>
                <c:pt idx="33">
                  <c:v>925</c:v>
                </c:pt>
                <c:pt idx="34">
                  <c:v>952</c:v>
                </c:pt>
                <c:pt idx="35">
                  <c:v>1047</c:v>
                </c:pt>
              </c:numCache>
            </c:numRef>
          </c:val>
          <c:smooth val="0"/>
          <c:extLst>
            <c:ext xmlns:c16="http://schemas.microsoft.com/office/drawing/2014/chart" uri="{C3380CC4-5D6E-409C-BE32-E72D297353CC}">
              <c16:uniqueId val="{00000004-CC9C-4A56-BF41-172C81A1FA73}"/>
            </c:ext>
          </c:extLst>
        </c:ser>
        <c:ser>
          <c:idx val="5"/>
          <c:order val="5"/>
          <c:tx>
            <c:strRef>
              <c:f>'Sheet1 (6)'!$G$4:$G$5</c:f>
              <c:strCache>
                <c:ptCount val="1"/>
                <c:pt idx="0">
                  <c:v>Atomoxetine</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 (6)'!$C$2</c:f>
              <c:strCache>
                <c:ptCount val="36"/>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pt idx="28">
                  <c:v>2021Q3</c:v>
                </c:pt>
                <c:pt idx="29">
                  <c:v>2021Q4</c:v>
                </c:pt>
                <c:pt idx="30">
                  <c:v>2022Q1</c:v>
                </c:pt>
                <c:pt idx="31">
                  <c:v>2022Q2</c:v>
                </c:pt>
                <c:pt idx="32">
                  <c:v>2022Q3</c:v>
                </c:pt>
                <c:pt idx="33">
                  <c:v>2022Q4</c:v>
                </c:pt>
                <c:pt idx="34">
                  <c:v>2023Q1</c:v>
                </c:pt>
                <c:pt idx="35">
                  <c:v>2023Q2</c:v>
                </c:pt>
              </c:strCache>
            </c:strRef>
          </c:cat>
          <c:val>
            <c:numRef>
              <c:f>'Sheet1 (6)'!$C$2</c:f>
              <c:numCache>
                <c:formatCode>General</c:formatCode>
                <c:ptCount val="36"/>
                <c:pt idx="0">
                  <c:v>284</c:v>
                </c:pt>
                <c:pt idx="1">
                  <c:v>244</c:v>
                </c:pt>
                <c:pt idx="2">
                  <c:v>221</c:v>
                </c:pt>
                <c:pt idx="3">
                  <c:v>213</c:v>
                </c:pt>
                <c:pt idx="4">
                  <c:v>226</c:v>
                </c:pt>
                <c:pt idx="5">
                  <c:v>210</c:v>
                </c:pt>
                <c:pt idx="6">
                  <c:v>152</c:v>
                </c:pt>
                <c:pt idx="7">
                  <c:v>217</c:v>
                </c:pt>
                <c:pt idx="8">
                  <c:v>263</c:v>
                </c:pt>
                <c:pt idx="9">
                  <c:v>191</c:v>
                </c:pt>
                <c:pt idx="10">
                  <c:v>194</c:v>
                </c:pt>
                <c:pt idx="11">
                  <c:v>223</c:v>
                </c:pt>
                <c:pt idx="12">
                  <c:v>230</c:v>
                </c:pt>
                <c:pt idx="13">
                  <c:v>236</c:v>
                </c:pt>
                <c:pt idx="14">
                  <c:v>206</c:v>
                </c:pt>
                <c:pt idx="15">
                  <c:v>218</c:v>
                </c:pt>
                <c:pt idx="16">
                  <c:v>214</c:v>
                </c:pt>
                <c:pt idx="17">
                  <c:v>215</c:v>
                </c:pt>
                <c:pt idx="18">
                  <c:v>179</c:v>
                </c:pt>
                <c:pt idx="19">
                  <c:v>247</c:v>
                </c:pt>
                <c:pt idx="20">
                  <c:v>212</c:v>
                </c:pt>
                <c:pt idx="21">
                  <c:v>225</c:v>
                </c:pt>
                <c:pt idx="22">
                  <c:v>204</c:v>
                </c:pt>
                <c:pt idx="23">
                  <c:v>236</c:v>
                </c:pt>
                <c:pt idx="24">
                  <c:v>256</c:v>
                </c:pt>
                <c:pt idx="25">
                  <c:v>241</c:v>
                </c:pt>
                <c:pt idx="26">
                  <c:v>252</c:v>
                </c:pt>
                <c:pt idx="27">
                  <c:v>306</c:v>
                </c:pt>
                <c:pt idx="28">
                  <c:v>325</c:v>
                </c:pt>
                <c:pt idx="29">
                  <c:v>297</c:v>
                </c:pt>
                <c:pt idx="30">
                  <c:v>265</c:v>
                </c:pt>
                <c:pt idx="31">
                  <c:v>356</c:v>
                </c:pt>
                <c:pt idx="32">
                  <c:v>390</c:v>
                </c:pt>
                <c:pt idx="33">
                  <c:v>364</c:v>
                </c:pt>
                <c:pt idx="34">
                  <c:v>249</c:v>
                </c:pt>
                <c:pt idx="35">
                  <c:v>267</c:v>
                </c:pt>
              </c:numCache>
            </c:numRef>
          </c:val>
          <c:smooth val="0"/>
          <c:extLst>
            <c:ext xmlns:c16="http://schemas.microsoft.com/office/drawing/2014/chart" uri="{C3380CC4-5D6E-409C-BE32-E72D297353CC}">
              <c16:uniqueId val="{00000005-CC9C-4A56-BF41-172C81A1FA73}"/>
            </c:ext>
          </c:extLst>
        </c:ser>
        <c:dLbls>
          <c:showLegendKey val="0"/>
          <c:showVal val="0"/>
          <c:showCatName val="0"/>
          <c:showSerName val="0"/>
          <c:showPercent val="0"/>
          <c:showBubbleSize val="0"/>
        </c:dLbls>
        <c:marker val="1"/>
        <c:smooth val="0"/>
        <c:axId val="915059048"/>
        <c:axId val="915062984"/>
      </c:lineChart>
      <c:catAx>
        <c:axId val="9150590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a:t>
                </a:r>
              </a:p>
            </c:rich>
          </c:tx>
          <c:layout>
            <c:manualLayout>
              <c:xMode val="edge"/>
              <c:yMode val="edge"/>
              <c:x val="0.47062266943232295"/>
              <c:y val="0.8602295453809014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062984"/>
        <c:crosses val="autoZero"/>
        <c:auto val="1"/>
        <c:lblAlgn val="ctr"/>
        <c:lblOffset val="100"/>
        <c:noMultiLvlLbl val="0"/>
      </c:catAx>
      <c:valAx>
        <c:axId val="915062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patients </a:t>
                </a:r>
                <a:r>
                  <a:rPr lang="en-AU">
                    <a:latin typeface="Calibri" panose="020F0502020204030204" pitchFamily="34" charset="0"/>
                    <a:cs typeface="Calibri" panose="020F0502020204030204" pitchFamily="34" charset="0"/>
                  </a:rPr>
                  <a:t>≤18</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059048"/>
        <c:crosses val="autoZero"/>
        <c:crossBetween val="between"/>
      </c:valAx>
      <c:spPr>
        <a:noFill/>
        <a:ln>
          <a:noFill/>
        </a:ln>
        <a:effectLst/>
      </c:spPr>
    </c:plotArea>
    <c:legend>
      <c:legendPos val="b"/>
      <c:layout>
        <c:manualLayout>
          <c:xMode val="edge"/>
          <c:yMode val="edge"/>
          <c:x val="2.5050294251976947E-2"/>
          <c:y val="0.93004037458280675"/>
          <c:w val="0.94775509928418789"/>
          <c:h val="6.008308220731667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[D1498_PATCNTBY_FORM_SUPP_Qtr - figs 22b34  JG.xlsx]Sheet1 (2)!PivotTable2</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4297052280549852"/>
          <c:y val="3.678929765886288E-2"/>
          <c:w val="0.82839154904221624"/>
          <c:h val="0.64490638670166234"/>
        </c:manualLayout>
      </c:layout>
      <c:lineChart>
        <c:grouping val="standard"/>
        <c:varyColors val="0"/>
        <c:ser>
          <c:idx val="0"/>
          <c:order val="0"/>
          <c:tx>
            <c:strRef>
              <c:f>'Sheet1 (2)'!$B$4:$B$5</c:f>
              <c:strCache>
                <c:ptCount val="1"/>
                <c:pt idx="0">
                  <c:v>MPH-MR</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(2)'!$A$6:$A$46</c:f>
              <c:strCache>
                <c:ptCount val="40"/>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pt idx="32">
                  <c:v>2021Q3</c:v>
                </c:pt>
                <c:pt idx="33">
                  <c:v>2021Q4</c:v>
                </c:pt>
                <c:pt idx="34">
                  <c:v>2022Q1</c:v>
                </c:pt>
                <c:pt idx="35">
                  <c:v>2022Q2</c:v>
                </c:pt>
                <c:pt idx="36">
                  <c:v>2022Q3</c:v>
                </c:pt>
                <c:pt idx="37">
                  <c:v>2022Q4</c:v>
                </c:pt>
                <c:pt idx="38">
                  <c:v>2023Q1</c:v>
                </c:pt>
                <c:pt idx="39">
                  <c:v>2023Q2</c:v>
                </c:pt>
              </c:strCache>
            </c:strRef>
          </c:cat>
          <c:val>
            <c:numRef>
              <c:f>'Sheet1 (2)'!$B$6:$B$46</c:f>
              <c:numCache>
                <c:formatCode>General</c:formatCode>
                <c:ptCount val="40"/>
                <c:pt idx="0">
                  <c:v>42932</c:v>
                </c:pt>
                <c:pt idx="1">
                  <c:v>42918</c:v>
                </c:pt>
                <c:pt idx="2">
                  <c:v>42644</c:v>
                </c:pt>
                <c:pt idx="3">
                  <c:v>44127</c:v>
                </c:pt>
                <c:pt idx="4">
                  <c:v>45569</c:v>
                </c:pt>
                <c:pt idx="5">
                  <c:v>45869</c:v>
                </c:pt>
                <c:pt idx="6">
                  <c:v>45991</c:v>
                </c:pt>
                <c:pt idx="7">
                  <c:v>47642</c:v>
                </c:pt>
                <c:pt idx="8">
                  <c:v>49350</c:v>
                </c:pt>
                <c:pt idx="9">
                  <c:v>48891</c:v>
                </c:pt>
                <c:pt idx="10">
                  <c:v>48295</c:v>
                </c:pt>
                <c:pt idx="11">
                  <c:v>49512</c:v>
                </c:pt>
                <c:pt idx="12">
                  <c:v>50662</c:v>
                </c:pt>
                <c:pt idx="13">
                  <c:v>50547</c:v>
                </c:pt>
                <c:pt idx="14">
                  <c:v>50483</c:v>
                </c:pt>
                <c:pt idx="15">
                  <c:v>51592</c:v>
                </c:pt>
                <c:pt idx="16">
                  <c:v>52944</c:v>
                </c:pt>
                <c:pt idx="17">
                  <c:v>53017</c:v>
                </c:pt>
                <c:pt idx="18">
                  <c:v>52965</c:v>
                </c:pt>
                <c:pt idx="19">
                  <c:v>54925</c:v>
                </c:pt>
                <c:pt idx="20">
                  <c:v>56362</c:v>
                </c:pt>
                <c:pt idx="21">
                  <c:v>56885</c:v>
                </c:pt>
                <c:pt idx="22">
                  <c:v>57137</c:v>
                </c:pt>
                <c:pt idx="23">
                  <c:v>59380</c:v>
                </c:pt>
                <c:pt idx="24">
                  <c:v>61500</c:v>
                </c:pt>
                <c:pt idx="25">
                  <c:v>62416</c:v>
                </c:pt>
                <c:pt idx="26">
                  <c:v>64545</c:v>
                </c:pt>
                <c:pt idx="27">
                  <c:v>64921</c:v>
                </c:pt>
                <c:pt idx="28">
                  <c:v>69245</c:v>
                </c:pt>
                <c:pt idx="29">
                  <c:v>71061</c:v>
                </c:pt>
                <c:pt idx="30">
                  <c:v>73376</c:v>
                </c:pt>
                <c:pt idx="31">
                  <c:v>76873</c:v>
                </c:pt>
                <c:pt idx="32">
                  <c:v>79318</c:v>
                </c:pt>
                <c:pt idx="33">
                  <c:v>81831</c:v>
                </c:pt>
                <c:pt idx="34">
                  <c:v>82345</c:v>
                </c:pt>
                <c:pt idx="35">
                  <c:v>86611</c:v>
                </c:pt>
                <c:pt idx="36">
                  <c:v>91494</c:v>
                </c:pt>
                <c:pt idx="37">
                  <c:v>93935</c:v>
                </c:pt>
                <c:pt idx="38">
                  <c:v>99040</c:v>
                </c:pt>
                <c:pt idx="39">
                  <c:v>105309</c:v>
                </c:pt>
              </c:numCache>
            </c:numRef>
          </c:val>
          <c:smooth val="0"/>
          <c:extLst>
            <c:ext xmlns:c16="http://schemas.microsoft.com/office/drawing/2014/chart" uri="{C3380CC4-5D6E-409C-BE32-E72D297353CC}">
              <c16:uniqueId val="{00000000-BA85-4CF6-94B1-A4459484F989}"/>
            </c:ext>
          </c:extLst>
        </c:ser>
        <c:ser>
          <c:idx val="1"/>
          <c:order val="1"/>
          <c:tx>
            <c:strRef>
              <c:f>'Sheet1 (2)'!$C$4:$C$5</c:f>
              <c:strCache>
                <c:ptCount val="1"/>
                <c:pt idx="0">
                  <c:v>MPH-IR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(2)'!$A$6:$A$46</c:f>
              <c:strCache>
                <c:ptCount val="40"/>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pt idx="32">
                  <c:v>2021Q3</c:v>
                </c:pt>
                <c:pt idx="33">
                  <c:v>2021Q4</c:v>
                </c:pt>
                <c:pt idx="34">
                  <c:v>2022Q1</c:v>
                </c:pt>
                <c:pt idx="35">
                  <c:v>2022Q2</c:v>
                </c:pt>
                <c:pt idx="36">
                  <c:v>2022Q3</c:v>
                </c:pt>
                <c:pt idx="37">
                  <c:v>2022Q4</c:v>
                </c:pt>
                <c:pt idx="38">
                  <c:v>2023Q1</c:v>
                </c:pt>
                <c:pt idx="39">
                  <c:v>2023Q2</c:v>
                </c:pt>
              </c:strCache>
            </c:strRef>
          </c:cat>
          <c:val>
            <c:numRef>
              <c:f>'Sheet1 (2)'!$C$6:$C$46</c:f>
              <c:numCache>
                <c:formatCode>General</c:formatCode>
                <c:ptCount val="40"/>
                <c:pt idx="0">
                  <c:v>24289</c:v>
                </c:pt>
                <c:pt idx="1">
                  <c:v>23754</c:v>
                </c:pt>
                <c:pt idx="2">
                  <c:v>23414</c:v>
                </c:pt>
                <c:pt idx="3">
                  <c:v>24562</c:v>
                </c:pt>
                <c:pt idx="4">
                  <c:v>25975</c:v>
                </c:pt>
                <c:pt idx="5">
                  <c:v>25914</c:v>
                </c:pt>
                <c:pt idx="6">
                  <c:v>25704</c:v>
                </c:pt>
                <c:pt idx="7">
                  <c:v>27362</c:v>
                </c:pt>
                <c:pt idx="8">
                  <c:v>28701</c:v>
                </c:pt>
                <c:pt idx="9">
                  <c:v>27906</c:v>
                </c:pt>
                <c:pt idx="10">
                  <c:v>27305</c:v>
                </c:pt>
                <c:pt idx="11">
                  <c:v>28907</c:v>
                </c:pt>
                <c:pt idx="12">
                  <c:v>29963</c:v>
                </c:pt>
                <c:pt idx="13">
                  <c:v>29340</c:v>
                </c:pt>
                <c:pt idx="14">
                  <c:v>29237</c:v>
                </c:pt>
                <c:pt idx="15">
                  <c:v>30587</c:v>
                </c:pt>
                <c:pt idx="16">
                  <c:v>32220</c:v>
                </c:pt>
                <c:pt idx="17">
                  <c:v>31985</c:v>
                </c:pt>
                <c:pt idx="18">
                  <c:v>32256</c:v>
                </c:pt>
                <c:pt idx="19">
                  <c:v>34559</c:v>
                </c:pt>
                <c:pt idx="20">
                  <c:v>36458</c:v>
                </c:pt>
                <c:pt idx="21">
                  <c:v>36451</c:v>
                </c:pt>
                <c:pt idx="22">
                  <c:v>36357</c:v>
                </c:pt>
                <c:pt idx="23">
                  <c:v>38727</c:v>
                </c:pt>
                <c:pt idx="24">
                  <c:v>41594</c:v>
                </c:pt>
                <c:pt idx="25">
                  <c:v>42336</c:v>
                </c:pt>
                <c:pt idx="26">
                  <c:v>43645</c:v>
                </c:pt>
                <c:pt idx="27">
                  <c:v>43394</c:v>
                </c:pt>
                <c:pt idx="28">
                  <c:v>49012</c:v>
                </c:pt>
                <c:pt idx="29">
                  <c:v>49928</c:v>
                </c:pt>
                <c:pt idx="30">
                  <c:v>50858</c:v>
                </c:pt>
                <c:pt idx="31">
                  <c:v>54340</c:v>
                </c:pt>
                <c:pt idx="32">
                  <c:v>58160</c:v>
                </c:pt>
                <c:pt idx="33">
                  <c:v>59222</c:v>
                </c:pt>
                <c:pt idx="34">
                  <c:v>59723</c:v>
                </c:pt>
                <c:pt idx="35">
                  <c:v>63858</c:v>
                </c:pt>
                <c:pt idx="36">
                  <c:v>70989</c:v>
                </c:pt>
                <c:pt idx="37">
                  <c:v>71535</c:v>
                </c:pt>
                <c:pt idx="38">
                  <c:v>72877</c:v>
                </c:pt>
                <c:pt idx="39">
                  <c:v>77607</c:v>
                </c:pt>
              </c:numCache>
            </c:numRef>
          </c:val>
          <c:smooth val="0"/>
          <c:extLst>
            <c:ext xmlns:c16="http://schemas.microsoft.com/office/drawing/2014/chart" uri="{C3380CC4-5D6E-409C-BE32-E72D297353CC}">
              <c16:uniqueId val="{00000001-BA85-4CF6-94B1-A4459484F989}"/>
            </c:ext>
          </c:extLst>
        </c:ser>
        <c:ser>
          <c:idx val="2"/>
          <c:order val="2"/>
          <c:tx>
            <c:strRef>
              <c:f>'Sheet1 (2)'!$D$4:$D$5</c:f>
              <c:strCache>
                <c:ptCount val="1"/>
                <c:pt idx="0">
                  <c:v>Dexamfetamine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 (2)'!$A$6:$A$46</c:f>
              <c:strCache>
                <c:ptCount val="40"/>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pt idx="32">
                  <c:v>2021Q3</c:v>
                </c:pt>
                <c:pt idx="33">
                  <c:v>2021Q4</c:v>
                </c:pt>
                <c:pt idx="34">
                  <c:v>2022Q1</c:v>
                </c:pt>
                <c:pt idx="35">
                  <c:v>2022Q2</c:v>
                </c:pt>
                <c:pt idx="36">
                  <c:v>2022Q3</c:v>
                </c:pt>
                <c:pt idx="37">
                  <c:v>2022Q4</c:v>
                </c:pt>
                <c:pt idx="38">
                  <c:v>2023Q1</c:v>
                </c:pt>
                <c:pt idx="39">
                  <c:v>2023Q2</c:v>
                </c:pt>
              </c:strCache>
            </c:strRef>
          </c:cat>
          <c:val>
            <c:numRef>
              <c:f>'Sheet1 (2)'!$D$6:$D$46</c:f>
              <c:numCache>
                <c:formatCode>General</c:formatCode>
                <c:ptCount val="40"/>
                <c:pt idx="0">
                  <c:v>25255</c:v>
                </c:pt>
                <c:pt idx="1">
                  <c:v>24300</c:v>
                </c:pt>
                <c:pt idx="2">
                  <c:v>23577</c:v>
                </c:pt>
                <c:pt idx="3">
                  <c:v>23944</c:v>
                </c:pt>
                <c:pt idx="4">
                  <c:v>24572</c:v>
                </c:pt>
                <c:pt idx="5">
                  <c:v>24743</c:v>
                </c:pt>
                <c:pt idx="6">
                  <c:v>24735</c:v>
                </c:pt>
                <c:pt idx="7">
                  <c:v>25675</c:v>
                </c:pt>
                <c:pt idx="8">
                  <c:v>26461</c:v>
                </c:pt>
                <c:pt idx="9">
                  <c:v>26503</c:v>
                </c:pt>
                <c:pt idx="10">
                  <c:v>26130</c:v>
                </c:pt>
                <c:pt idx="11">
                  <c:v>26673</c:v>
                </c:pt>
                <c:pt idx="12">
                  <c:v>27385</c:v>
                </c:pt>
                <c:pt idx="13">
                  <c:v>27469</c:v>
                </c:pt>
                <c:pt idx="14">
                  <c:v>27673</c:v>
                </c:pt>
                <c:pt idx="15">
                  <c:v>28401</c:v>
                </c:pt>
                <c:pt idx="16">
                  <c:v>29240</c:v>
                </c:pt>
                <c:pt idx="17">
                  <c:v>29699</c:v>
                </c:pt>
                <c:pt idx="18">
                  <c:v>29979</c:v>
                </c:pt>
                <c:pt idx="19">
                  <c:v>31289</c:v>
                </c:pt>
                <c:pt idx="20">
                  <c:v>32337</c:v>
                </c:pt>
                <c:pt idx="21">
                  <c:v>33197</c:v>
                </c:pt>
                <c:pt idx="22">
                  <c:v>33443</c:v>
                </c:pt>
                <c:pt idx="23">
                  <c:v>34784</c:v>
                </c:pt>
                <c:pt idx="24">
                  <c:v>36581</c:v>
                </c:pt>
                <c:pt idx="25">
                  <c:v>37722</c:v>
                </c:pt>
                <c:pt idx="26">
                  <c:v>39151</c:v>
                </c:pt>
                <c:pt idx="27">
                  <c:v>39878</c:v>
                </c:pt>
                <c:pt idx="28">
                  <c:v>43433</c:v>
                </c:pt>
                <c:pt idx="29">
                  <c:v>45144</c:v>
                </c:pt>
                <c:pt idx="30">
                  <c:v>46686</c:v>
                </c:pt>
                <c:pt idx="31">
                  <c:v>48827</c:v>
                </c:pt>
                <c:pt idx="32">
                  <c:v>52624</c:v>
                </c:pt>
                <c:pt idx="33">
                  <c:v>55564</c:v>
                </c:pt>
                <c:pt idx="34">
                  <c:v>57824</c:v>
                </c:pt>
                <c:pt idx="35">
                  <c:v>62356</c:v>
                </c:pt>
                <c:pt idx="36">
                  <c:v>67768</c:v>
                </c:pt>
                <c:pt idx="37">
                  <c:v>72087</c:v>
                </c:pt>
                <c:pt idx="38">
                  <c:v>72189</c:v>
                </c:pt>
                <c:pt idx="39">
                  <c:v>78224</c:v>
                </c:pt>
              </c:numCache>
            </c:numRef>
          </c:val>
          <c:smooth val="0"/>
          <c:extLst>
            <c:ext xmlns:c16="http://schemas.microsoft.com/office/drawing/2014/chart" uri="{C3380CC4-5D6E-409C-BE32-E72D297353CC}">
              <c16:uniqueId val="{00000002-BA85-4CF6-94B1-A4459484F989}"/>
            </c:ext>
          </c:extLst>
        </c:ser>
        <c:ser>
          <c:idx val="3"/>
          <c:order val="3"/>
          <c:tx>
            <c:strRef>
              <c:f>'Sheet1 (2)'!$E$4:$E$5</c:f>
              <c:strCache>
                <c:ptCount val="1"/>
                <c:pt idx="0">
                  <c:v>Lisdexamfetamine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(2)'!$A$6:$A$46</c:f>
              <c:strCache>
                <c:ptCount val="40"/>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pt idx="32">
                  <c:v>2021Q3</c:v>
                </c:pt>
                <c:pt idx="33">
                  <c:v>2021Q4</c:v>
                </c:pt>
                <c:pt idx="34">
                  <c:v>2022Q1</c:v>
                </c:pt>
                <c:pt idx="35">
                  <c:v>2022Q2</c:v>
                </c:pt>
                <c:pt idx="36">
                  <c:v>2022Q3</c:v>
                </c:pt>
                <c:pt idx="37">
                  <c:v>2022Q4</c:v>
                </c:pt>
                <c:pt idx="38">
                  <c:v>2023Q1</c:v>
                </c:pt>
                <c:pt idx="39">
                  <c:v>2023Q2</c:v>
                </c:pt>
              </c:strCache>
            </c:strRef>
          </c:cat>
          <c:val>
            <c:numRef>
              <c:f>'Sheet1 (2)'!$E$6:$E$46</c:f>
              <c:numCache>
                <c:formatCode>General</c:formatCode>
                <c:ptCount val="40"/>
                <c:pt idx="8">
                  <c:v>2438</c:v>
                </c:pt>
                <c:pt idx="9">
                  <c:v>7090</c:v>
                </c:pt>
                <c:pt idx="10">
                  <c:v>9074</c:v>
                </c:pt>
                <c:pt idx="11">
                  <c:v>11307</c:v>
                </c:pt>
                <c:pt idx="12">
                  <c:v>13759</c:v>
                </c:pt>
                <c:pt idx="13">
                  <c:v>15163</c:v>
                </c:pt>
                <c:pt idx="14">
                  <c:v>16478</c:v>
                </c:pt>
                <c:pt idx="15">
                  <c:v>18477</c:v>
                </c:pt>
                <c:pt idx="16">
                  <c:v>20580</c:v>
                </c:pt>
                <c:pt idx="17">
                  <c:v>21690</c:v>
                </c:pt>
                <c:pt idx="18">
                  <c:v>22883</c:v>
                </c:pt>
                <c:pt idx="19">
                  <c:v>25310</c:v>
                </c:pt>
                <c:pt idx="20">
                  <c:v>27402</c:v>
                </c:pt>
                <c:pt idx="21">
                  <c:v>28316</c:v>
                </c:pt>
                <c:pt idx="22">
                  <c:v>29045</c:v>
                </c:pt>
                <c:pt idx="23">
                  <c:v>31241</c:v>
                </c:pt>
                <c:pt idx="24">
                  <c:v>33847</c:v>
                </c:pt>
                <c:pt idx="25">
                  <c:v>34909</c:v>
                </c:pt>
                <c:pt idx="26">
                  <c:v>36093</c:v>
                </c:pt>
                <c:pt idx="27">
                  <c:v>37937</c:v>
                </c:pt>
                <c:pt idx="28">
                  <c:v>42135</c:v>
                </c:pt>
                <c:pt idx="29">
                  <c:v>44021</c:v>
                </c:pt>
                <c:pt idx="30">
                  <c:v>52263</c:v>
                </c:pt>
                <c:pt idx="31">
                  <c:v>62936</c:v>
                </c:pt>
                <c:pt idx="32">
                  <c:v>72245</c:v>
                </c:pt>
                <c:pt idx="33">
                  <c:v>79652</c:v>
                </c:pt>
                <c:pt idx="34">
                  <c:v>86165</c:v>
                </c:pt>
                <c:pt idx="35">
                  <c:v>95304</c:v>
                </c:pt>
                <c:pt idx="36">
                  <c:v>107450</c:v>
                </c:pt>
                <c:pt idx="37">
                  <c:v>117142</c:v>
                </c:pt>
                <c:pt idx="38">
                  <c:v>127893</c:v>
                </c:pt>
                <c:pt idx="39">
                  <c:v>142605</c:v>
                </c:pt>
              </c:numCache>
            </c:numRef>
          </c:val>
          <c:smooth val="0"/>
          <c:extLst>
            <c:ext xmlns:c16="http://schemas.microsoft.com/office/drawing/2014/chart" uri="{C3380CC4-5D6E-409C-BE32-E72D297353CC}">
              <c16:uniqueId val="{00000003-BA85-4CF6-94B1-A4459484F989}"/>
            </c:ext>
          </c:extLst>
        </c:ser>
        <c:ser>
          <c:idx val="4"/>
          <c:order val="4"/>
          <c:tx>
            <c:strRef>
              <c:f>'Sheet1 (2)'!$F$4:$F$5</c:f>
              <c:strCache>
                <c:ptCount val="1"/>
                <c:pt idx="0">
                  <c:v>Guanfacine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 (2)'!$A$6:$A$46</c:f>
              <c:strCache>
                <c:ptCount val="40"/>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pt idx="32">
                  <c:v>2021Q3</c:v>
                </c:pt>
                <c:pt idx="33">
                  <c:v>2021Q4</c:v>
                </c:pt>
                <c:pt idx="34">
                  <c:v>2022Q1</c:v>
                </c:pt>
                <c:pt idx="35">
                  <c:v>2022Q2</c:v>
                </c:pt>
                <c:pt idx="36">
                  <c:v>2022Q3</c:v>
                </c:pt>
                <c:pt idx="37">
                  <c:v>2022Q4</c:v>
                </c:pt>
                <c:pt idx="38">
                  <c:v>2023Q1</c:v>
                </c:pt>
                <c:pt idx="39">
                  <c:v>2023Q2</c:v>
                </c:pt>
              </c:strCache>
            </c:strRef>
          </c:cat>
          <c:val>
            <c:numRef>
              <c:f>'Sheet1 (2)'!$F$6:$F$46</c:f>
              <c:numCache>
                <c:formatCode>General</c:formatCode>
                <c:ptCount val="40"/>
                <c:pt idx="20">
                  <c:v>915</c:v>
                </c:pt>
                <c:pt idx="21">
                  <c:v>3699</c:v>
                </c:pt>
                <c:pt idx="22">
                  <c:v>6091</c:v>
                </c:pt>
                <c:pt idx="23">
                  <c:v>9520</c:v>
                </c:pt>
                <c:pt idx="24">
                  <c:v>12173</c:v>
                </c:pt>
                <c:pt idx="25">
                  <c:v>13668</c:v>
                </c:pt>
                <c:pt idx="26">
                  <c:v>14716</c:v>
                </c:pt>
                <c:pt idx="27">
                  <c:v>16024</c:v>
                </c:pt>
                <c:pt idx="28">
                  <c:v>18160</c:v>
                </c:pt>
                <c:pt idx="29">
                  <c:v>19539</c:v>
                </c:pt>
                <c:pt idx="30">
                  <c:v>20516</c:v>
                </c:pt>
                <c:pt idx="31">
                  <c:v>22620</c:v>
                </c:pt>
                <c:pt idx="32">
                  <c:v>24619</c:v>
                </c:pt>
                <c:pt idx="33">
                  <c:v>26741</c:v>
                </c:pt>
                <c:pt idx="34">
                  <c:v>27553</c:v>
                </c:pt>
                <c:pt idx="35">
                  <c:v>29530</c:v>
                </c:pt>
                <c:pt idx="36">
                  <c:v>32053</c:v>
                </c:pt>
                <c:pt idx="37">
                  <c:v>34264</c:v>
                </c:pt>
                <c:pt idx="38">
                  <c:v>35857</c:v>
                </c:pt>
                <c:pt idx="39">
                  <c:v>38819</c:v>
                </c:pt>
              </c:numCache>
            </c:numRef>
          </c:val>
          <c:smooth val="0"/>
          <c:extLst>
            <c:ext xmlns:c16="http://schemas.microsoft.com/office/drawing/2014/chart" uri="{C3380CC4-5D6E-409C-BE32-E72D297353CC}">
              <c16:uniqueId val="{00000004-BA85-4CF6-94B1-A4459484F989}"/>
            </c:ext>
          </c:extLst>
        </c:ser>
        <c:ser>
          <c:idx val="5"/>
          <c:order val="5"/>
          <c:tx>
            <c:strRef>
              <c:f>'Sheet1 (2)'!$G$4:$G$5</c:f>
              <c:strCache>
                <c:ptCount val="1"/>
                <c:pt idx="0">
                  <c:v>Atomoxetine</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 (2)'!$A$6:$A$46</c:f>
              <c:strCache>
                <c:ptCount val="40"/>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pt idx="32">
                  <c:v>2021Q3</c:v>
                </c:pt>
                <c:pt idx="33">
                  <c:v>2021Q4</c:v>
                </c:pt>
                <c:pt idx="34">
                  <c:v>2022Q1</c:v>
                </c:pt>
                <c:pt idx="35">
                  <c:v>2022Q2</c:v>
                </c:pt>
                <c:pt idx="36">
                  <c:v>2022Q3</c:v>
                </c:pt>
                <c:pt idx="37">
                  <c:v>2022Q4</c:v>
                </c:pt>
                <c:pt idx="38">
                  <c:v>2023Q1</c:v>
                </c:pt>
                <c:pt idx="39">
                  <c:v>2023Q2</c:v>
                </c:pt>
              </c:strCache>
            </c:strRef>
          </c:cat>
          <c:val>
            <c:numRef>
              <c:f>'Sheet1 (2)'!$G$6:$G$46</c:f>
              <c:numCache>
                <c:formatCode>General</c:formatCode>
                <c:ptCount val="40"/>
                <c:pt idx="0">
                  <c:v>4991</c:v>
                </c:pt>
                <c:pt idx="1">
                  <c:v>4822</c:v>
                </c:pt>
                <c:pt idx="2">
                  <c:v>4513</c:v>
                </c:pt>
                <c:pt idx="3">
                  <c:v>4750</c:v>
                </c:pt>
                <c:pt idx="4">
                  <c:v>4962</c:v>
                </c:pt>
                <c:pt idx="5">
                  <c:v>5113</c:v>
                </c:pt>
                <c:pt idx="6">
                  <c:v>4983</c:v>
                </c:pt>
                <c:pt idx="7">
                  <c:v>5187</c:v>
                </c:pt>
                <c:pt idx="8">
                  <c:v>5375</c:v>
                </c:pt>
                <c:pt idx="9">
                  <c:v>5330</c:v>
                </c:pt>
                <c:pt idx="10">
                  <c:v>5188</c:v>
                </c:pt>
                <c:pt idx="11">
                  <c:v>5531</c:v>
                </c:pt>
                <c:pt idx="12">
                  <c:v>5710</c:v>
                </c:pt>
                <c:pt idx="13">
                  <c:v>5699</c:v>
                </c:pt>
                <c:pt idx="14">
                  <c:v>5768</c:v>
                </c:pt>
                <c:pt idx="15">
                  <c:v>5971</c:v>
                </c:pt>
                <c:pt idx="16">
                  <c:v>6095</c:v>
                </c:pt>
                <c:pt idx="17">
                  <c:v>6195</c:v>
                </c:pt>
                <c:pt idx="18">
                  <c:v>6246</c:v>
                </c:pt>
                <c:pt idx="19">
                  <c:v>6433</c:v>
                </c:pt>
                <c:pt idx="20">
                  <c:v>6455</c:v>
                </c:pt>
                <c:pt idx="21">
                  <c:v>6431</c:v>
                </c:pt>
                <c:pt idx="22">
                  <c:v>6250</c:v>
                </c:pt>
                <c:pt idx="23">
                  <c:v>6437</c:v>
                </c:pt>
                <c:pt idx="24">
                  <c:v>6573</c:v>
                </c:pt>
                <c:pt idx="25">
                  <c:v>6565</c:v>
                </c:pt>
                <c:pt idx="26">
                  <c:v>6575</c:v>
                </c:pt>
                <c:pt idx="27">
                  <c:v>6638</c:v>
                </c:pt>
                <c:pt idx="28">
                  <c:v>7160</c:v>
                </c:pt>
                <c:pt idx="29">
                  <c:v>7312</c:v>
                </c:pt>
                <c:pt idx="30">
                  <c:v>7403</c:v>
                </c:pt>
                <c:pt idx="31">
                  <c:v>7934</c:v>
                </c:pt>
                <c:pt idx="32">
                  <c:v>8315</c:v>
                </c:pt>
                <c:pt idx="33">
                  <c:v>8365</c:v>
                </c:pt>
                <c:pt idx="34">
                  <c:v>8245</c:v>
                </c:pt>
                <c:pt idx="35">
                  <c:v>8653</c:v>
                </c:pt>
                <c:pt idx="36">
                  <c:v>9255</c:v>
                </c:pt>
                <c:pt idx="37">
                  <c:v>9650</c:v>
                </c:pt>
                <c:pt idx="38">
                  <c:v>9540</c:v>
                </c:pt>
                <c:pt idx="39">
                  <c:v>8643</c:v>
                </c:pt>
              </c:numCache>
            </c:numRef>
          </c:val>
          <c:smooth val="0"/>
          <c:extLst>
            <c:ext xmlns:c16="http://schemas.microsoft.com/office/drawing/2014/chart" uri="{C3380CC4-5D6E-409C-BE32-E72D297353CC}">
              <c16:uniqueId val="{00000005-BA85-4CF6-94B1-A4459484F989}"/>
            </c:ext>
          </c:extLst>
        </c:ser>
        <c:dLbls>
          <c:showLegendKey val="0"/>
          <c:showVal val="0"/>
          <c:showCatName val="0"/>
          <c:showSerName val="0"/>
          <c:showPercent val="0"/>
          <c:showBubbleSize val="0"/>
        </c:dLbls>
        <c:marker val="1"/>
        <c:smooth val="0"/>
        <c:axId val="915059048"/>
        <c:axId val="915062984"/>
      </c:lineChart>
      <c:catAx>
        <c:axId val="9150590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Quarter</a:t>
                </a:r>
              </a:p>
            </c:rich>
          </c:tx>
          <c:layout>
            <c:manualLayout>
              <c:xMode val="edge"/>
              <c:yMode val="edge"/>
              <c:x val="0.48741126194282874"/>
              <c:y val="0.8613535933426381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062984"/>
        <c:crosses val="autoZero"/>
        <c:auto val="1"/>
        <c:lblAlgn val="ctr"/>
        <c:lblOffset val="100"/>
        <c:noMultiLvlLbl val="0"/>
      </c:catAx>
      <c:valAx>
        <c:axId val="915062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patients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059048"/>
        <c:crosses val="autoZero"/>
        <c:crossBetween val="between"/>
      </c:valAx>
      <c:spPr>
        <a:noFill/>
        <a:ln>
          <a:noFill/>
        </a:ln>
        <a:effectLst/>
      </c:spPr>
    </c:plotArea>
    <c:legend>
      <c:legendPos val="b"/>
      <c:layout>
        <c:manualLayout>
          <c:xMode val="edge"/>
          <c:yMode val="edge"/>
          <c:x val="2.8594893248578005E-2"/>
          <c:y val="0.9155510494298581"/>
          <c:w val="0.93845528699222869"/>
          <c:h val="6.438206093803491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3071894864530068"/>
          <c:y val="1.8484491352976116E-2"/>
          <c:w val="0.84992666063720801"/>
          <c:h val="0.62154356994035542"/>
        </c:manualLayout>
      </c:layout>
      <c:lineChart>
        <c:grouping val="standard"/>
        <c:varyColors val="0"/>
        <c:ser>
          <c:idx val="0"/>
          <c:order val="0"/>
          <c:tx>
            <c:v>Dexamfetamine</c:v>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Lit>
              <c:ptCount val="40"/>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pt idx="32">
                <c:v>2021Q3</c:v>
              </c:pt>
              <c:pt idx="33">
                <c:v>2021Q4</c:v>
              </c:pt>
              <c:pt idx="34">
                <c:v>2022Q1</c:v>
              </c:pt>
              <c:pt idx="35">
                <c:v>2022Q2</c:v>
              </c:pt>
              <c:pt idx="36">
                <c:v>2022Q3</c:v>
              </c:pt>
              <c:pt idx="37">
                <c:v>2022Q4</c:v>
              </c:pt>
              <c:pt idx="38">
                <c:v>2023Q1</c:v>
              </c:pt>
              <c:pt idx="39">
                <c:v>2023Q2</c:v>
              </c:pt>
            </c:strLit>
          </c:cat>
          <c:val>
            <c:numLit>
              <c:formatCode>General</c:formatCode>
              <c:ptCount val="40"/>
              <c:pt idx="0">
                <c:v>19224</c:v>
              </c:pt>
              <c:pt idx="1">
                <c:v>18458</c:v>
              </c:pt>
              <c:pt idx="2">
                <c:v>17954</c:v>
              </c:pt>
              <c:pt idx="3">
                <c:v>18132</c:v>
              </c:pt>
              <c:pt idx="4">
                <c:v>18549</c:v>
              </c:pt>
              <c:pt idx="5">
                <c:v>18873</c:v>
              </c:pt>
              <c:pt idx="6">
                <c:v>18936</c:v>
              </c:pt>
              <c:pt idx="7">
                <c:v>19792</c:v>
              </c:pt>
              <c:pt idx="8">
                <c:v>20418</c:v>
              </c:pt>
              <c:pt idx="9">
                <c:v>20794</c:v>
              </c:pt>
              <c:pt idx="10">
                <c:v>20863</c:v>
              </c:pt>
              <c:pt idx="11">
                <c:v>21319</c:v>
              </c:pt>
              <c:pt idx="12">
                <c:v>21975</c:v>
              </c:pt>
              <c:pt idx="13">
                <c:v>22334</c:v>
              </c:pt>
              <c:pt idx="14">
                <c:v>22585</c:v>
              </c:pt>
              <c:pt idx="15">
                <c:v>23148</c:v>
              </c:pt>
              <c:pt idx="16">
                <c:v>23732</c:v>
              </c:pt>
              <c:pt idx="17">
                <c:v>24175</c:v>
              </c:pt>
              <c:pt idx="18">
                <c:v>24497</c:v>
              </c:pt>
              <c:pt idx="19">
                <c:v>25523</c:v>
              </c:pt>
              <c:pt idx="20">
                <c:v>26297</c:v>
              </c:pt>
              <c:pt idx="21">
                <c:v>27262</c:v>
              </c:pt>
              <c:pt idx="22">
                <c:v>27543</c:v>
              </c:pt>
              <c:pt idx="23">
                <c:v>28506</c:v>
              </c:pt>
              <c:pt idx="24">
                <c:v>29870</c:v>
              </c:pt>
              <c:pt idx="25">
                <c:v>30918</c:v>
              </c:pt>
              <c:pt idx="26">
                <c:v>32135</c:v>
              </c:pt>
              <c:pt idx="27">
                <c:v>32935</c:v>
              </c:pt>
              <c:pt idx="28">
                <c:v>35475</c:v>
              </c:pt>
              <c:pt idx="29">
                <c:v>37185</c:v>
              </c:pt>
              <c:pt idx="30">
                <c:v>38289</c:v>
              </c:pt>
              <c:pt idx="31">
                <c:v>39953</c:v>
              </c:pt>
              <c:pt idx="32">
                <c:v>42986</c:v>
              </c:pt>
              <c:pt idx="33">
                <c:v>45809</c:v>
              </c:pt>
              <c:pt idx="34">
                <c:v>47752</c:v>
              </c:pt>
              <c:pt idx="35">
                <c:v>51439</c:v>
              </c:pt>
              <c:pt idx="36">
                <c:v>55720</c:v>
              </c:pt>
              <c:pt idx="37">
                <c:v>59713</c:v>
              </c:pt>
              <c:pt idx="38">
                <c:v>59271</c:v>
              </c:pt>
              <c:pt idx="39">
                <c:v>64042</c:v>
              </c:pt>
            </c:numLit>
          </c:val>
          <c:smooth val="0"/>
          <c:extLst>
            <c:ext xmlns:c16="http://schemas.microsoft.com/office/drawing/2014/chart" uri="{C3380CC4-5D6E-409C-BE32-E72D297353CC}">
              <c16:uniqueId val="{00000000-27E9-4F59-8DBA-45F6BA944357}"/>
            </c:ext>
          </c:extLst>
        </c:ser>
        <c:ser>
          <c:idx val="1"/>
          <c:order val="1"/>
          <c:tx>
            <c:v>Lisdexamfetamine</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Lit>
              <c:ptCount val="40"/>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pt idx="32">
                <c:v>2021Q3</c:v>
              </c:pt>
              <c:pt idx="33">
                <c:v>2021Q4</c:v>
              </c:pt>
              <c:pt idx="34">
                <c:v>2022Q1</c:v>
              </c:pt>
              <c:pt idx="35">
                <c:v>2022Q2</c:v>
              </c:pt>
              <c:pt idx="36">
                <c:v>2022Q3</c:v>
              </c:pt>
              <c:pt idx="37">
                <c:v>2022Q4</c:v>
              </c:pt>
              <c:pt idx="38">
                <c:v>2023Q1</c:v>
              </c:pt>
              <c:pt idx="39">
                <c:v>2023Q2</c:v>
              </c:pt>
            </c:strLit>
          </c:cat>
          <c:val>
            <c:numLit>
              <c:formatCode>General</c:formatCode>
              <c:ptCount val="40"/>
              <c:pt idx="0">
                <c:v>0</c:v>
              </c:pt>
              <c:pt idx="1">
                <c:v>0</c:v>
              </c:pt>
              <c:pt idx="2">
                <c:v>0</c:v>
              </c:pt>
              <c:pt idx="3">
                <c:v>0</c:v>
              </c:pt>
              <c:pt idx="4">
                <c:v>0</c:v>
              </c:pt>
              <c:pt idx="5">
                <c:v>0</c:v>
              </c:pt>
              <c:pt idx="6">
                <c:v>0</c:v>
              </c:pt>
              <c:pt idx="7">
                <c:v>0</c:v>
              </c:pt>
              <c:pt idx="8">
                <c:v>243</c:v>
              </c:pt>
              <c:pt idx="9">
                <c:v>961</c:v>
              </c:pt>
              <c:pt idx="10">
                <c:v>1406</c:v>
              </c:pt>
              <c:pt idx="11">
                <c:v>1791</c:v>
              </c:pt>
              <c:pt idx="12">
                <c:v>2055</c:v>
              </c:pt>
              <c:pt idx="13">
                <c:v>2248</c:v>
              </c:pt>
              <c:pt idx="14">
                <c:v>2473</c:v>
              </c:pt>
              <c:pt idx="15">
                <c:v>2885</c:v>
              </c:pt>
              <c:pt idx="16">
                <c:v>3128</c:v>
              </c:pt>
              <c:pt idx="17">
                <c:v>3362</c:v>
              </c:pt>
              <c:pt idx="18">
                <c:v>3705</c:v>
              </c:pt>
              <c:pt idx="19">
                <c:v>4175</c:v>
              </c:pt>
              <c:pt idx="20">
                <c:v>4625</c:v>
              </c:pt>
              <c:pt idx="21">
                <c:v>5028</c:v>
              </c:pt>
              <c:pt idx="22">
                <c:v>5360</c:v>
              </c:pt>
              <c:pt idx="23">
                <c:v>5819</c:v>
              </c:pt>
              <c:pt idx="24">
                <c:v>6372</c:v>
              </c:pt>
              <c:pt idx="25">
                <c:v>6838</c:v>
              </c:pt>
              <c:pt idx="26">
                <c:v>7278</c:v>
              </c:pt>
              <c:pt idx="27">
                <c:v>8136</c:v>
              </c:pt>
              <c:pt idx="28">
                <c:v>9181</c:v>
              </c:pt>
              <c:pt idx="29">
                <c:v>9772</c:v>
              </c:pt>
              <c:pt idx="30">
                <c:v>16644</c:v>
              </c:pt>
              <c:pt idx="31">
                <c:v>24319</c:v>
              </c:pt>
              <c:pt idx="32">
                <c:v>31168</c:v>
              </c:pt>
              <c:pt idx="33">
                <c:v>36911</c:v>
              </c:pt>
              <c:pt idx="34">
                <c:v>42111</c:v>
              </c:pt>
              <c:pt idx="35">
                <c:v>48395</c:v>
              </c:pt>
              <c:pt idx="36">
                <c:v>56328</c:v>
              </c:pt>
              <c:pt idx="37">
                <c:v>63966</c:v>
              </c:pt>
              <c:pt idx="38">
                <c:v>71996</c:v>
              </c:pt>
              <c:pt idx="39">
                <c:v>82261</c:v>
              </c:pt>
            </c:numLit>
          </c:val>
          <c:smooth val="0"/>
          <c:extLst>
            <c:ext xmlns:c16="http://schemas.microsoft.com/office/drawing/2014/chart" uri="{C3380CC4-5D6E-409C-BE32-E72D297353CC}">
              <c16:uniqueId val="{00000001-27E9-4F59-8DBA-45F6BA944357}"/>
            </c:ext>
          </c:extLst>
        </c:ser>
        <c:ser>
          <c:idx val="2"/>
          <c:order val="2"/>
          <c:tx>
            <c:v>MPH-IR</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Lit>
              <c:ptCount val="40"/>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pt idx="32">
                <c:v>2021Q3</c:v>
              </c:pt>
              <c:pt idx="33">
                <c:v>2021Q4</c:v>
              </c:pt>
              <c:pt idx="34">
                <c:v>2022Q1</c:v>
              </c:pt>
              <c:pt idx="35">
                <c:v>2022Q2</c:v>
              </c:pt>
              <c:pt idx="36">
                <c:v>2022Q3</c:v>
              </c:pt>
              <c:pt idx="37">
                <c:v>2022Q4</c:v>
              </c:pt>
              <c:pt idx="38">
                <c:v>2023Q1</c:v>
              </c:pt>
              <c:pt idx="39">
                <c:v>2023Q2</c:v>
              </c:pt>
            </c:strLit>
          </c:cat>
          <c:val>
            <c:numLit>
              <c:formatCode>General</c:formatCode>
              <c:ptCount val="40"/>
              <c:pt idx="0">
                <c:v>5351</c:v>
              </c:pt>
              <c:pt idx="1">
                <c:v>5334</c:v>
              </c:pt>
              <c:pt idx="2">
                <c:v>5355</c:v>
              </c:pt>
              <c:pt idx="3">
                <c:v>5528</c:v>
              </c:pt>
              <c:pt idx="4">
                <c:v>5747</c:v>
              </c:pt>
              <c:pt idx="5">
                <c:v>5863</c:v>
              </c:pt>
              <c:pt idx="6">
                <c:v>5938</c:v>
              </c:pt>
              <c:pt idx="7">
                <c:v>6337</c:v>
              </c:pt>
              <c:pt idx="8">
                <c:v>6478</c:v>
              </c:pt>
              <c:pt idx="9">
                <c:v>6593</c:v>
              </c:pt>
              <c:pt idx="10">
                <c:v>6643</c:v>
              </c:pt>
              <c:pt idx="11">
                <c:v>7081</c:v>
              </c:pt>
              <c:pt idx="12">
                <c:v>7264</c:v>
              </c:pt>
              <c:pt idx="13">
                <c:v>7298</c:v>
              </c:pt>
              <c:pt idx="14">
                <c:v>7464</c:v>
              </c:pt>
              <c:pt idx="15">
                <c:v>7708</c:v>
              </c:pt>
              <c:pt idx="16">
                <c:v>8102</c:v>
              </c:pt>
              <c:pt idx="17">
                <c:v>8280</c:v>
              </c:pt>
              <c:pt idx="18">
                <c:v>8296</c:v>
              </c:pt>
              <c:pt idx="19">
                <c:v>8911</c:v>
              </c:pt>
              <c:pt idx="20">
                <c:v>9276</c:v>
              </c:pt>
              <c:pt idx="21">
                <c:v>9460</c:v>
              </c:pt>
              <c:pt idx="22">
                <c:v>9585</c:v>
              </c:pt>
              <c:pt idx="23">
                <c:v>10082</c:v>
              </c:pt>
              <c:pt idx="24">
                <c:v>10790</c:v>
              </c:pt>
              <c:pt idx="25">
                <c:v>11212</c:v>
              </c:pt>
              <c:pt idx="26">
                <c:v>11773</c:v>
              </c:pt>
              <c:pt idx="27">
                <c:v>12155</c:v>
              </c:pt>
              <c:pt idx="28">
                <c:v>13703</c:v>
              </c:pt>
              <c:pt idx="29">
                <c:v>14392</c:v>
              </c:pt>
              <c:pt idx="30">
                <c:v>14796</c:v>
              </c:pt>
              <c:pt idx="31">
                <c:v>15493</c:v>
              </c:pt>
              <c:pt idx="32">
                <c:v>17054</c:v>
              </c:pt>
              <c:pt idx="33">
                <c:v>17807</c:v>
              </c:pt>
              <c:pt idx="34">
                <c:v>18335</c:v>
              </c:pt>
              <c:pt idx="35">
                <c:v>19653</c:v>
              </c:pt>
              <c:pt idx="36">
                <c:v>21566</c:v>
              </c:pt>
              <c:pt idx="37">
                <c:v>22778</c:v>
              </c:pt>
              <c:pt idx="38">
                <c:v>22679</c:v>
              </c:pt>
              <c:pt idx="39">
                <c:v>24432</c:v>
              </c:pt>
            </c:numLit>
          </c:val>
          <c:smooth val="0"/>
          <c:extLst>
            <c:ext xmlns:c16="http://schemas.microsoft.com/office/drawing/2014/chart" uri="{C3380CC4-5D6E-409C-BE32-E72D297353CC}">
              <c16:uniqueId val="{00000002-27E9-4F59-8DBA-45F6BA944357}"/>
            </c:ext>
          </c:extLst>
        </c:ser>
        <c:ser>
          <c:idx val="3"/>
          <c:order val="3"/>
          <c:tx>
            <c:v>MPH-MR</c:v>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Lit>
              <c:ptCount val="40"/>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pt idx="32">
                <c:v>2021Q3</c:v>
              </c:pt>
              <c:pt idx="33">
                <c:v>2021Q4</c:v>
              </c:pt>
              <c:pt idx="34">
                <c:v>2022Q1</c:v>
              </c:pt>
              <c:pt idx="35">
                <c:v>2022Q2</c:v>
              </c:pt>
              <c:pt idx="36">
                <c:v>2022Q3</c:v>
              </c:pt>
              <c:pt idx="37">
                <c:v>2022Q4</c:v>
              </c:pt>
              <c:pt idx="38">
                <c:v>2023Q1</c:v>
              </c:pt>
              <c:pt idx="39">
                <c:v>2023Q2</c:v>
              </c:pt>
            </c:strLit>
          </c:cat>
          <c:val>
            <c:numLit>
              <c:formatCode>General</c:formatCode>
              <c:ptCount val="40"/>
              <c:pt idx="0">
                <c:v>4152</c:v>
              </c:pt>
              <c:pt idx="1">
                <c:v>4305</c:v>
              </c:pt>
              <c:pt idx="2">
                <c:v>4349</c:v>
              </c:pt>
              <c:pt idx="3">
                <c:v>4596</c:v>
              </c:pt>
              <c:pt idx="4">
                <c:v>4754</c:v>
              </c:pt>
              <c:pt idx="5">
                <c:v>4837</c:v>
              </c:pt>
              <c:pt idx="6">
                <c:v>4966</c:v>
              </c:pt>
              <c:pt idx="7">
                <c:v>5210</c:v>
              </c:pt>
              <c:pt idx="8">
                <c:v>5471</c:v>
              </c:pt>
              <c:pt idx="9">
                <c:v>5576</c:v>
              </c:pt>
              <c:pt idx="10">
                <c:v>5610</c:v>
              </c:pt>
              <c:pt idx="11">
                <c:v>5864</c:v>
              </c:pt>
              <c:pt idx="12">
                <c:v>6123</c:v>
              </c:pt>
              <c:pt idx="13">
                <c:v>6269</c:v>
              </c:pt>
              <c:pt idx="14">
                <c:v>6452</c:v>
              </c:pt>
              <c:pt idx="15">
                <c:v>6642</c:v>
              </c:pt>
              <c:pt idx="16">
                <c:v>6903</c:v>
              </c:pt>
              <c:pt idx="17">
                <c:v>7099</c:v>
              </c:pt>
              <c:pt idx="18">
                <c:v>7168</c:v>
              </c:pt>
              <c:pt idx="19">
                <c:v>7502</c:v>
              </c:pt>
              <c:pt idx="20">
                <c:v>7793</c:v>
              </c:pt>
              <c:pt idx="21">
                <c:v>7890</c:v>
              </c:pt>
              <c:pt idx="22">
                <c:v>7978</c:v>
              </c:pt>
              <c:pt idx="23">
                <c:v>8293</c:v>
              </c:pt>
              <c:pt idx="24">
                <c:v>8585</c:v>
              </c:pt>
              <c:pt idx="25">
                <c:v>8896</c:v>
              </c:pt>
              <c:pt idx="26">
                <c:v>9195</c:v>
              </c:pt>
              <c:pt idx="27">
                <c:v>9471</c:v>
              </c:pt>
              <c:pt idx="28">
                <c:v>10106</c:v>
              </c:pt>
              <c:pt idx="29">
                <c:v>10469</c:v>
              </c:pt>
              <c:pt idx="30">
                <c:v>10738</c:v>
              </c:pt>
              <c:pt idx="31">
                <c:v>11115</c:v>
              </c:pt>
              <c:pt idx="32">
                <c:v>11847</c:v>
              </c:pt>
              <c:pt idx="33">
                <c:v>12224</c:v>
              </c:pt>
              <c:pt idx="34">
                <c:v>12450</c:v>
              </c:pt>
              <c:pt idx="35">
                <c:v>13035</c:v>
              </c:pt>
              <c:pt idx="36">
                <c:v>13882</c:v>
              </c:pt>
              <c:pt idx="37">
                <c:v>14266</c:v>
              </c:pt>
              <c:pt idx="38">
                <c:v>14948</c:v>
              </c:pt>
              <c:pt idx="39">
                <c:v>16864</c:v>
              </c:pt>
            </c:numLit>
          </c:val>
          <c:smooth val="0"/>
          <c:extLst>
            <c:ext xmlns:c16="http://schemas.microsoft.com/office/drawing/2014/chart" uri="{C3380CC4-5D6E-409C-BE32-E72D297353CC}">
              <c16:uniqueId val="{00000003-27E9-4F59-8DBA-45F6BA944357}"/>
            </c:ext>
          </c:extLst>
        </c:ser>
        <c:ser>
          <c:idx val="4"/>
          <c:order val="4"/>
          <c:tx>
            <c:v>Atomoxetine</c:v>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Lit>
              <c:ptCount val="40"/>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pt idx="32">
                <c:v>2021Q3</c:v>
              </c:pt>
              <c:pt idx="33">
                <c:v>2021Q4</c:v>
              </c:pt>
              <c:pt idx="34">
                <c:v>2022Q1</c:v>
              </c:pt>
              <c:pt idx="35">
                <c:v>2022Q2</c:v>
              </c:pt>
              <c:pt idx="36">
                <c:v>2022Q3</c:v>
              </c:pt>
              <c:pt idx="37">
                <c:v>2022Q4</c:v>
              </c:pt>
              <c:pt idx="38">
                <c:v>2023Q1</c:v>
              </c:pt>
              <c:pt idx="39">
                <c:v>2023Q2</c:v>
              </c:pt>
            </c:strLit>
          </c:cat>
          <c:val>
            <c:numLit>
              <c:formatCode>General</c:formatCode>
              <c:ptCount val="40"/>
              <c:pt idx="0">
                <c:v>761</c:v>
              </c:pt>
              <c:pt idx="1">
                <c:v>803</c:v>
              </c:pt>
              <c:pt idx="2">
                <c:v>763</c:v>
              </c:pt>
              <c:pt idx="3">
                <c:v>794</c:v>
              </c:pt>
              <c:pt idx="4">
                <c:v>886</c:v>
              </c:pt>
              <c:pt idx="5">
                <c:v>935</c:v>
              </c:pt>
              <c:pt idx="6">
                <c:v>984</c:v>
              </c:pt>
              <c:pt idx="7">
                <c:v>1061</c:v>
              </c:pt>
              <c:pt idx="8">
                <c:v>1152</c:v>
              </c:pt>
              <c:pt idx="9">
                <c:v>1257</c:v>
              </c:pt>
              <c:pt idx="10">
                <c:v>1260</c:v>
              </c:pt>
              <c:pt idx="11">
                <c:v>1474</c:v>
              </c:pt>
              <c:pt idx="12">
                <c:v>1548</c:v>
              </c:pt>
              <c:pt idx="13">
                <c:v>1563</c:v>
              </c:pt>
              <c:pt idx="14">
                <c:v>1663</c:v>
              </c:pt>
              <c:pt idx="15">
                <c:v>1699</c:v>
              </c:pt>
              <c:pt idx="16">
                <c:v>1755</c:v>
              </c:pt>
              <c:pt idx="17">
                <c:v>1807</c:v>
              </c:pt>
              <c:pt idx="18">
                <c:v>1834</c:v>
              </c:pt>
              <c:pt idx="19">
                <c:v>1927</c:v>
              </c:pt>
              <c:pt idx="20">
                <c:v>1993</c:v>
              </c:pt>
              <c:pt idx="21">
                <c:v>2029</c:v>
              </c:pt>
              <c:pt idx="22">
                <c:v>2045</c:v>
              </c:pt>
              <c:pt idx="23">
                <c:v>2167</c:v>
              </c:pt>
              <c:pt idx="24">
                <c:v>2299</c:v>
              </c:pt>
              <c:pt idx="25">
                <c:v>2343</c:v>
              </c:pt>
              <c:pt idx="26">
                <c:v>2388</c:v>
              </c:pt>
              <c:pt idx="27">
                <c:v>2465</c:v>
              </c:pt>
              <c:pt idx="28">
                <c:v>2735</c:v>
              </c:pt>
              <c:pt idx="29">
                <c:v>2868</c:v>
              </c:pt>
              <c:pt idx="30">
                <c:v>3003</c:v>
              </c:pt>
              <c:pt idx="31">
                <c:v>3369</c:v>
              </c:pt>
              <c:pt idx="32">
                <c:v>3642</c:v>
              </c:pt>
              <c:pt idx="33">
                <c:v>3735</c:v>
              </c:pt>
              <c:pt idx="34">
                <c:v>3802</c:v>
              </c:pt>
              <c:pt idx="35">
                <c:v>3980</c:v>
              </c:pt>
              <c:pt idx="36">
                <c:v>4327</c:v>
              </c:pt>
              <c:pt idx="37">
                <c:v>4685</c:v>
              </c:pt>
              <c:pt idx="38">
                <c:v>4761</c:v>
              </c:pt>
              <c:pt idx="39">
                <c:v>4330</c:v>
              </c:pt>
            </c:numLit>
          </c:val>
          <c:smooth val="0"/>
          <c:extLst>
            <c:ext xmlns:c16="http://schemas.microsoft.com/office/drawing/2014/chart" uri="{C3380CC4-5D6E-409C-BE32-E72D297353CC}">
              <c16:uniqueId val="{00000004-27E9-4F59-8DBA-45F6BA944357}"/>
            </c:ext>
          </c:extLst>
        </c:ser>
        <c:ser>
          <c:idx val="5"/>
          <c:order val="5"/>
          <c:tx>
            <c:v>Guanfacine</c:v>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Lit>
              <c:ptCount val="40"/>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pt idx="32">
                <c:v>2021Q3</c:v>
              </c:pt>
              <c:pt idx="33">
                <c:v>2021Q4</c:v>
              </c:pt>
              <c:pt idx="34">
                <c:v>2022Q1</c:v>
              </c:pt>
              <c:pt idx="35">
                <c:v>2022Q2</c:v>
              </c:pt>
              <c:pt idx="36">
                <c:v>2022Q3</c:v>
              </c:pt>
              <c:pt idx="37">
                <c:v>2022Q4</c:v>
              </c:pt>
              <c:pt idx="38">
                <c:v>2023Q1</c:v>
              </c:pt>
              <c:pt idx="39">
                <c:v>2023Q2</c:v>
              </c:pt>
            </c:strLit>
          </c:cat>
          <c:val>
            <c:numLit>
              <c:formatCode>General</c:formatCode>
              <c:ptCount val="4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26</c:v>
              </c:pt>
              <c:pt idx="21">
                <c:v>223</c:v>
              </c:pt>
              <c:pt idx="22">
                <c:v>301</c:v>
              </c:pt>
              <c:pt idx="23">
                <c:v>421</c:v>
              </c:pt>
              <c:pt idx="24">
                <c:v>598</c:v>
              </c:pt>
              <c:pt idx="25">
                <c:v>693</c:v>
              </c:pt>
              <c:pt idx="26">
                <c:v>753</c:v>
              </c:pt>
              <c:pt idx="27">
                <c:v>869</c:v>
              </c:pt>
              <c:pt idx="28">
                <c:v>1047</c:v>
              </c:pt>
              <c:pt idx="29">
                <c:v>1122</c:v>
              </c:pt>
              <c:pt idx="30">
                <c:v>1227</c:v>
              </c:pt>
              <c:pt idx="31">
                <c:v>1432</c:v>
              </c:pt>
              <c:pt idx="32">
                <c:v>1719</c:v>
              </c:pt>
              <c:pt idx="33">
                <c:v>1917</c:v>
              </c:pt>
              <c:pt idx="34">
                <c:v>2057</c:v>
              </c:pt>
              <c:pt idx="35">
                <c:v>2298</c:v>
              </c:pt>
              <c:pt idx="36">
                <c:v>2595</c:v>
              </c:pt>
              <c:pt idx="37">
                <c:v>2848</c:v>
              </c:pt>
              <c:pt idx="38">
                <c:v>3076</c:v>
              </c:pt>
              <c:pt idx="39">
                <c:v>3435</c:v>
              </c:pt>
            </c:numLit>
          </c:val>
          <c:smooth val="0"/>
          <c:extLst>
            <c:ext xmlns:c16="http://schemas.microsoft.com/office/drawing/2014/chart" uri="{C3380CC4-5D6E-409C-BE32-E72D297353CC}">
              <c16:uniqueId val="{00000005-27E9-4F59-8DBA-45F6BA944357}"/>
            </c:ext>
          </c:extLst>
        </c:ser>
        <c:dLbls>
          <c:showLegendKey val="0"/>
          <c:showVal val="0"/>
          <c:showCatName val="0"/>
          <c:showSerName val="0"/>
          <c:showPercent val="0"/>
          <c:showBubbleSize val="0"/>
        </c:dLbls>
        <c:marker val="1"/>
        <c:smooth val="0"/>
        <c:axId val="915059048"/>
        <c:axId val="915062984"/>
      </c:lineChart>
      <c:catAx>
        <c:axId val="9150590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Quarter</a:t>
                </a:r>
              </a:p>
            </c:rich>
          </c:tx>
          <c:layout>
            <c:manualLayout>
              <c:xMode val="edge"/>
              <c:yMode val="edge"/>
              <c:x val="0.51423418017222533"/>
              <c:y val="0.8537382450309288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062984"/>
        <c:crosses val="autoZero"/>
        <c:auto val="1"/>
        <c:lblAlgn val="ctr"/>
        <c:lblOffset val="100"/>
        <c:noMultiLvlLbl val="0"/>
      </c:catAx>
      <c:valAx>
        <c:axId val="915062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patients over 18 years old </a:t>
                </a:r>
              </a:p>
            </c:rich>
          </c:tx>
          <c:layout>
            <c:manualLayout>
              <c:xMode val="edge"/>
              <c:yMode val="edge"/>
              <c:x val="1.291990107115761E-2"/>
              <c:y val="1.3919651796102789E-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059048"/>
        <c:crosses val="autoZero"/>
        <c:crossBetween val="between"/>
      </c:valAx>
      <c:spPr>
        <a:noFill/>
        <a:ln>
          <a:noFill/>
        </a:ln>
        <a:effectLst/>
      </c:spPr>
    </c:plotArea>
    <c:legend>
      <c:legendPos val="b"/>
      <c:layout>
        <c:manualLayout>
          <c:xMode val="edge"/>
          <c:yMode val="edge"/>
          <c:x val="3.948220952511583E-2"/>
          <c:y val="0.91605613368680672"/>
          <c:w val="0.92321304420507577"/>
          <c:h val="7.94471042878434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0.08287</cdr:x>
      <cdr:y>0.00836</cdr:y>
    </cdr:from>
    <cdr:to>
      <cdr:x>0.19301</cdr:x>
      <cdr:y>0.0418</cdr:y>
    </cdr:to>
    <cdr:sp macro="" textlink="">
      <cdr:nvSpPr>
        <cdr:cNvPr id="2" name="TextBox 1">
          <a:extLst xmlns:a="http://schemas.openxmlformats.org/drawingml/2006/main">
            <a:ext uri="{FF2B5EF4-FFF2-40B4-BE49-F238E27FC236}">
              <a16:creationId xmlns:a16="http://schemas.microsoft.com/office/drawing/2014/main" id="{A33F88E2-C98D-6F62-5E08-2B350CBF24E0}"/>
            </a:ext>
          </a:extLst>
        </cdr:cNvPr>
        <cdr:cNvSpPr txBox="1"/>
      </cdr:nvSpPr>
      <cdr:spPr>
        <a:xfrm xmlns:a="http://schemas.openxmlformats.org/drawingml/2006/main">
          <a:off x="770107" y="50665"/>
          <a:ext cx="1023431" cy="202659"/>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ctr"/>
          <a:endParaRPr lang="en-AU" sz="1100"/>
        </a:p>
      </cdr:txBody>
    </cdr:sp>
  </cdr:relSizeAnchor>
</c:userShapes>
</file>

<file path=word/drawings/drawing2.xml><?xml version="1.0" encoding="utf-8"?>
<c:userShapes xmlns:c="http://schemas.openxmlformats.org/drawingml/2006/chart">
  <cdr:relSizeAnchor xmlns:cdr="http://schemas.openxmlformats.org/drawingml/2006/chartDrawing">
    <cdr:from>
      <cdr:x>0.08287</cdr:x>
      <cdr:y>0.00836</cdr:y>
    </cdr:from>
    <cdr:to>
      <cdr:x>0.19301</cdr:x>
      <cdr:y>0.0418</cdr:y>
    </cdr:to>
    <cdr:sp macro="" textlink="">
      <cdr:nvSpPr>
        <cdr:cNvPr id="2" name="TextBox 1">
          <a:extLst xmlns:a="http://schemas.openxmlformats.org/drawingml/2006/main">
            <a:ext uri="{FF2B5EF4-FFF2-40B4-BE49-F238E27FC236}">
              <a16:creationId xmlns:a16="http://schemas.microsoft.com/office/drawing/2014/main" id="{A33F88E2-C98D-6F62-5E08-2B350CBF24E0}"/>
            </a:ext>
          </a:extLst>
        </cdr:cNvPr>
        <cdr:cNvSpPr txBox="1"/>
      </cdr:nvSpPr>
      <cdr:spPr>
        <a:xfrm xmlns:a="http://schemas.openxmlformats.org/drawingml/2006/main">
          <a:off x="770107" y="50665"/>
          <a:ext cx="1023431" cy="202659"/>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ctr"/>
          <a:endParaRPr lang="en-AU"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3C227-50D4-4D8F-AEFC-6D38EB580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11579</Words>
  <Characters>66004</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2024-03-07T06:21:00Z</dcterms:created>
  <dcterms:modified xsi:type="dcterms:W3CDTF">2024-03-12T22:54:00Z</dcterms:modified>
</cp:coreProperties>
</file>