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C130" w14:textId="7B6E6AC5" w:rsidR="00832324" w:rsidRDefault="0006147D" w:rsidP="00F73113">
      <w:pPr>
        <w:pStyle w:val="Title"/>
      </w:pPr>
      <w:r>
        <w:t>A</w:t>
      </w:r>
      <w:r w:rsidR="003228C3">
        <w:t>nalysis of a</w:t>
      </w:r>
      <w:r>
        <w:t xml:space="preserve">premilast for severe </w:t>
      </w:r>
      <w:r w:rsidR="003228C3">
        <w:t xml:space="preserve">chronic </w:t>
      </w:r>
      <w:r>
        <w:t>plaque psoriasis</w:t>
      </w:r>
      <w:r w:rsidR="00583EFD">
        <w:t xml:space="preserve"> </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4A444C23" w:rsidR="009053D3" w:rsidRPr="00F73113" w:rsidRDefault="0006147D" w:rsidP="00F73113">
      <w:pPr>
        <w:pStyle w:val="Meetingdate"/>
      </w:pPr>
      <w:r>
        <w:t>September</w:t>
      </w:r>
      <w:r w:rsidR="00D151EB" w:rsidRPr="00F73113">
        <w:t xml:space="preserve"> 20</w:t>
      </w:r>
      <w:r>
        <w:t>23</w:t>
      </w:r>
    </w:p>
    <w:p w14:paraId="1494B8AD" w14:textId="77777777" w:rsidR="005C6661" w:rsidRPr="00CF5E22" w:rsidRDefault="005C6661" w:rsidP="00CF5E22">
      <w:pPr>
        <w:pStyle w:val="Heading2"/>
      </w:pPr>
      <w:r w:rsidRPr="00CF5E22">
        <w:t>Abstract</w:t>
      </w:r>
    </w:p>
    <w:p w14:paraId="287D7939" w14:textId="77777777" w:rsidR="005C6661" w:rsidRPr="00CF5E22" w:rsidRDefault="005C6661" w:rsidP="00CF5E22">
      <w:pPr>
        <w:pStyle w:val="Heading3"/>
      </w:pPr>
      <w:r w:rsidRPr="00CF5E22">
        <w:t>Purpose</w:t>
      </w:r>
    </w:p>
    <w:p w14:paraId="109BB6A0" w14:textId="4E49FFBC" w:rsidR="001E2251" w:rsidRDefault="001E2251" w:rsidP="001E2251">
      <w:pPr>
        <w:pStyle w:val="NoSpacing"/>
      </w:pPr>
      <w:r>
        <w:t xml:space="preserve">To review the utilisation of apremilast for </w:t>
      </w:r>
      <w:r w:rsidR="002F6856">
        <w:t>severe</w:t>
      </w:r>
      <w:r>
        <w:t xml:space="preserve"> </w:t>
      </w:r>
      <w:r w:rsidR="002714A9">
        <w:t xml:space="preserve">chronic </w:t>
      </w:r>
      <w:r>
        <w:t xml:space="preserve">plaque psoriasis </w:t>
      </w:r>
      <w:r w:rsidR="002714A9">
        <w:t xml:space="preserve">(CPP) </w:t>
      </w:r>
      <w:r>
        <w:t xml:space="preserve">and a market review as requested by DUSC at its June 2023 meeting. </w:t>
      </w:r>
    </w:p>
    <w:p w14:paraId="03538E7F" w14:textId="322BB850"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14:paraId="378E50B7" w14:textId="4CFF26BA" w:rsidR="002D144A" w:rsidRPr="002D144A" w:rsidRDefault="001E2251" w:rsidP="002D144A">
      <w:r>
        <w:t xml:space="preserve">Apremilast was </w:t>
      </w:r>
      <w:r w:rsidR="00390509">
        <w:t>PBS list</w:t>
      </w:r>
      <w:r>
        <w:t xml:space="preserve">ed for </w:t>
      </w:r>
      <w:r w:rsidR="00330DF1">
        <w:t>CPP</w:t>
      </w:r>
      <w:r>
        <w:t xml:space="preserve"> </w:t>
      </w:r>
      <w:r w:rsidR="005D6581">
        <w:t>on</w:t>
      </w:r>
      <w:r>
        <w:t xml:space="preserve"> 1 January 2021. </w:t>
      </w:r>
    </w:p>
    <w:p w14:paraId="526743BB" w14:textId="77777777" w:rsidR="005C6661" w:rsidRDefault="005C6661" w:rsidP="00CF5E22">
      <w:pPr>
        <w:pStyle w:val="Heading3"/>
      </w:pPr>
      <w:r>
        <w:t>Data Source / methodology</w:t>
      </w:r>
    </w:p>
    <w:p w14:paraId="3C74AB36" w14:textId="7F2A28AF" w:rsidR="006804E0" w:rsidRDefault="006804E0" w:rsidP="005C6661">
      <w:pPr>
        <w:pStyle w:val="NoSpacing"/>
      </w:pPr>
      <w:r w:rsidRPr="006804E0">
        <w:t>Data extracted from the PBS database maintained by Department of Health and Aged Care, processed by Services Australia were used for the analyses.</w:t>
      </w:r>
    </w:p>
    <w:p w14:paraId="7599E7C1" w14:textId="77777777" w:rsidR="005C6661" w:rsidRDefault="005C6661" w:rsidP="00CF5E22">
      <w:pPr>
        <w:pStyle w:val="Heading3"/>
      </w:pPr>
      <w:r>
        <w:t>Key Findings</w:t>
      </w:r>
    </w:p>
    <w:p w14:paraId="013B8A7D" w14:textId="544C816D" w:rsidR="005C6661" w:rsidRDefault="006E3FB4" w:rsidP="005C6661">
      <w:pPr>
        <w:pStyle w:val="NoSpacing"/>
        <w:numPr>
          <w:ilvl w:val="0"/>
          <w:numId w:val="1"/>
        </w:numPr>
      </w:pPr>
      <w:r w:rsidRPr="006E3FB4">
        <w:t xml:space="preserve">In 2022, </w:t>
      </w:r>
      <w:r w:rsidR="00353E86">
        <w:t>1</w:t>
      </w:r>
      <w:r w:rsidR="00315EDA">
        <w:t>46,205</w:t>
      </w:r>
      <w:r>
        <w:t xml:space="preserve"> prescriptions for the treatment of </w:t>
      </w:r>
      <w:r w:rsidR="003F7F82">
        <w:t>CPP</w:t>
      </w:r>
      <w:r>
        <w:t xml:space="preserve"> were supplied to </w:t>
      </w:r>
      <w:r w:rsidR="00315EDA">
        <w:t>31,121</w:t>
      </w:r>
      <w:r>
        <w:t xml:space="preserve"> patients. </w:t>
      </w:r>
    </w:p>
    <w:p w14:paraId="32784190" w14:textId="7E39A1A4" w:rsidR="006E3FB4" w:rsidRPr="006E3FB4" w:rsidRDefault="006E3FB4" w:rsidP="006E3FB4">
      <w:pPr>
        <w:pStyle w:val="NoSpacing"/>
        <w:numPr>
          <w:ilvl w:val="0"/>
          <w:numId w:val="1"/>
        </w:numPr>
      </w:pPr>
      <w:r w:rsidRPr="006E3FB4">
        <w:t>In 202</w:t>
      </w:r>
      <w:r>
        <w:t>1</w:t>
      </w:r>
      <w:r w:rsidRPr="006E3FB4">
        <w:t xml:space="preserve">, </w:t>
      </w:r>
      <w:r w:rsidR="00716098">
        <w:t>1</w:t>
      </w:r>
      <w:r w:rsidR="00315EDA">
        <w:t>28</w:t>
      </w:r>
      <w:r w:rsidR="006C04F3">
        <w:t>,318</w:t>
      </w:r>
      <w:r>
        <w:t xml:space="preserve"> prescriptions for the treatment of </w:t>
      </w:r>
      <w:r w:rsidR="003F7F82">
        <w:t>CPP</w:t>
      </w:r>
      <w:r>
        <w:t xml:space="preserve"> were supplied to </w:t>
      </w:r>
      <w:r w:rsidR="006C04F3">
        <w:t>27,864</w:t>
      </w:r>
      <w:r>
        <w:t xml:space="preserve"> patients. </w:t>
      </w:r>
    </w:p>
    <w:p w14:paraId="4E3D572B" w14:textId="18D72E63" w:rsidR="006E3FB4" w:rsidRPr="006E3FB4" w:rsidRDefault="006E3FB4" w:rsidP="006E3FB4">
      <w:pPr>
        <w:pStyle w:val="NoSpacing"/>
        <w:numPr>
          <w:ilvl w:val="0"/>
          <w:numId w:val="1"/>
        </w:numPr>
      </w:pPr>
      <w:r w:rsidRPr="006E3FB4">
        <w:t xml:space="preserve">In 2022, </w:t>
      </w:r>
      <w:r w:rsidR="00353E86">
        <w:t>4,908</w:t>
      </w:r>
      <w:r>
        <w:t xml:space="preserve"> apremilast patients were supplied </w:t>
      </w:r>
      <w:r w:rsidR="00353E86">
        <w:t xml:space="preserve">25,248 </w:t>
      </w:r>
      <w:r>
        <w:t xml:space="preserve">prescriptions for the treatment of </w:t>
      </w:r>
      <w:r w:rsidR="003F7F82">
        <w:t>CPP</w:t>
      </w:r>
      <w:r>
        <w:t xml:space="preserve">. </w:t>
      </w:r>
    </w:p>
    <w:p w14:paraId="7C5EEC5C" w14:textId="60A8AB58" w:rsidR="006E3FB4" w:rsidRPr="006E3FB4" w:rsidRDefault="006E3FB4" w:rsidP="006E3FB4">
      <w:pPr>
        <w:pStyle w:val="NoSpacing"/>
        <w:numPr>
          <w:ilvl w:val="0"/>
          <w:numId w:val="1"/>
        </w:numPr>
      </w:pPr>
      <w:r w:rsidRPr="006E3FB4">
        <w:t>In 202</w:t>
      </w:r>
      <w:r>
        <w:t>1</w:t>
      </w:r>
      <w:r w:rsidRPr="006E3FB4">
        <w:t xml:space="preserve">, </w:t>
      </w:r>
      <w:r w:rsidR="00353E86">
        <w:t>3,312</w:t>
      </w:r>
      <w:r>
        <w:t xml:space="preserve"> </w:t>
      </w:r>
      <w:r w:rsidR="00353E86">
        <w:t>apremilast patients were supplied 14,311 prescriptions for the treatment of plaque psoriasis.</w:t>
      </w:r>
    </w:p>
    <w:p w14:paraId="3018FCED" w14:textId="2140245A" w:rsidR="00CE5CEC" w:rsidRPr="00475B8B" w:rsidRDefault="00CE5CEC" w:rsidP="00CE5CEC">
      <w:pPr>
        <w:pStyle w:val="NoSpacing"/>
        <w:numPr>
          <w:ilvl w:val="0"/>
          <w:numId w:val="1"/>
        </w:numPr>
      </w:pPr>
      <w:r>
        <w:t>Actual u</w:t>
      </w:r>
      <w:r w:rsidRPr="00475B8B">
        <w:t xml:space="preserve">tilisation of </w:t>
      </w:r>
      <w:r>
        <w:t>apremilast</w:t>
      </w:r>
      <w:r w:rsidRPr="00475B8B">
        <w:t xml:space="preserve"> for the </w:t>
      </w:r>
      <w:r w:rsidR="00414AAD">
        <w:t>CPP</w:t>
      </w:r>
      <w:r w:rsidRPr="00475B8B">
        <w:t xml:space="preserve"> was different from</w:t>
      </w:r>
      <w:r>
        <w:t xml:space="preserve"> estimated</w:t>
      </w:r>
      <w:r w:rsidRPr="00475B8B">
        <w:t xml:space="preserve">. The number of treated </w:t>
      </w:r>
      <w:r w:rsidRPr="009B66A3">
        <w:t>patients</w:t>
      </w:r>
      <w:r>
        <w:t xml:space="preserve"> and prescriptions </w:t>
      </w:r>
      <w:r w:rsidRPr="008D57AF">
        <w:t>supplied were lower than estimated</w:t>
      </w:r>
      <w:r>
        <w:t xml:space="preserve">. </w:t>
      </w:r>
    </w:p>
    <w:p w14:paraId="56771BF4" w14:textId="77777777" w:rsidR="006E3FB4" w:rsidRPr="006E3FB4" w:rsidRDefault="006E3FB4" w:rsidP="00353E86">
      <w:pPr>
        <w:pStyle w:val="NoSpacing"/>
        <w:ind w:left="360"/>
      </w:pPr>
    </w:p>
    <w:p w14:paraId="38B57ECC" w14:textId="77777777" w:rsidR="00BB0D1A" w:rsidRDefault="00BB0D1A">
      <w:pPr>
        <w:spacing w:line="276" w:lineRule="auto"/>
        <w:rPr>
          <w:rFonts w:eastAsiaTheme="majorEastAsia" w:cstheme="majorBidi"/>
          <w:b/>
          <w:bCs/>
          <w:sz w:val="32"/>
          <w:szCs w:val="26"/>
        </w:rPr>
      </w:pPr>
      <w:r>
        <w:br w:type="page"/>
      </w:r>
    </w:p>
    <w:p w14:paraId="5B262047" w14:textId="525241DC" w:rsidR="00E677DD" w:rsidRPr="00CF5E22" w:rsidRDefault="00E677DD" w:rsidP="00CF5E22">
      <w:pPr>
        <w:pStyle w:val="Heading1"/>
      </w:pPr>
      <w:r w:rsidRPr="00CF5E22">
        <w:lastRenderedPageBreak/>
        <w:t xml:space="preserve">Purpose of </w:t>
      </w:r>
      <w:r w:rsidR="00D151EB" w:rsidRPr="00CF5E22">
        <w:t>analysis</w:t>
      </w:r>
    </w:p>
    <w:p w14:paraId="15B957F2" w14:textId="3A6E3189" w:rsidR="00990DCF" w:rsidRDefault="0084022B" w:rsidP="0084022B">
      <w:pPr>
        <w:pStyle w:val="NoSpacing"/>
      </w:pPr>
      <w:r>
        <w:t xml:space="preserve">To review the utilisation of apremilast for </w:t>
      </w:r>
      <w:r w:rsidR="002F43DB">
        <w:t xml:space="preserve">severe </w:t>
      </w:r>
      <w:r>
        <w:t xml:space="preserve">chronic plaque psoriasis </w:t>
      </w:r>
      <w:r w:rsidR="002F43DB">
        <w:t xml:space="preserve">(CPP) </w:t>
      </w:r>
      <w:r>
        <w:t xml:space="preserve">and a market review as requested by DUSC at its June 2023 meeting. </w:t>
      </w:r>
    </w:p>
    <w:p w14:paraId="0A7F0B57" w14:textId="034D22D5" w:rsidR="006537D9" w:rsidRPr="005E22C2" w:rsidRDefault="00736041" w:rsidP="00CF5E22">
      <w:pPr>
        <w:pStyle w:val="Heading1"/>
      </w:pPr>
      <w:r w:rsidRPr="005E22C2">
        <w:t>Background</w:t>
      </w:r>
    </w:p>
    <w:p w14:paraId="2C748275" w14:textId="77777777" w:rsidR="00EE2BBB" w:rsidRPr="007247B9" w:rsidRDefault="00EE2BBB" w:rsidP="00EE2BBB">
      <w:pPr>
        <w:pStyle w:val="Heading2"/>
      </w:pPr>
      <w:r w:rsidRPr="007247B9">
        <w:t>Clinical situation</w:t>
      </w:r>
    </w:p>
    <w:p w14:paraId="08234EB4" w14:textId="0ADFF082" w:rsidR="007D2546" w:rsidRDefault="006735BF" w:rsidP="00EE2BBB">
      <w:r>
        <w:t xml:space="preserve">Psoriasis is a chronic immune-mediated, painful, and disabling disease of the skin, characterised by disfiguring, scaling and erythematous plaques that may cause significant reductions in quality of life. </w:t>
      </w:r>
      <w:r w:rsidR="006E73C4">
        <w:t>The Psoriasis Area and Severity Index (PASI) score is used to assess the severity of psoriasis.</w:t>
      </w:r>
      <w:r w:rsidR="001A18FC">
        <w:rPr>
          <w:rStyle w:val="FootnoteReference"/>
        </w:rPr>
        <w:footnoteReference w:id="1"/>
      </w:r>
    </w:p>
    <w:p w14:paraId="6EECD1B1" w14:textId="326F6DAA" w:rsidR="00EA27AF" w:rsidRDefault="006735BF" w:rsidP="006735BF">
      <w:r>
        <w:t xml:space="preserve">There are currently </w:t>
      </w:r>
      <w:r w:rsidR="00F37E88">
        <w:t xml:space="preserve">several </w:t>
      </w:r>
      <w:r w:rsidR="00390509">
        <w:t>PBS list</w:t>
      </w:r>
      <w:r w:rsidR="00F37E88">
        <w:t xml:space="preserve">ed </w:t>
      </w:r>
      <w:r>
        <w:t xml:space="preserve">therapies available for the treatment of </w:t>
      </w:r>
      <w:r w:rsidR="00D442E2">
        <w:t>CPP</w:t>
      </w:r>
      <w:r w:rsidR="005D6F2F">
        <w:t xml:space="preserve">: </w:t>
      </w:r>
      <w:r w:rsidR="00B7767C">
        <w:t xml:space="preserve">apremilast, </w:t>
      </w:r>
      <w:proofErr w:type="gramStart"/>
      <w:r w:rsidR="005D6F2F">
        <w:t>biologic</w:t>
      </w:r>
      <w:proofErr w:type="gramEnd"/>
      <w:r w:rsidR="00424E26">
        <w:t xml:space="preserve"> and </w:t>
      </w:r>
      <w:r w:rsidR="009A084C">
        <w:t>non-biologic</w:t>
      </w:r>
      <w:r w:rsidR="00424E26">
        <w:t xml:space="preserve"> therapies</w:t>
      </w:r>
      <w:r w:rsidR="005D6F2F">
        <w:t xml:space="preserve">. </w:t>
      </w:r>
    </w:p>
    <w:p w14:paraId="0495B77E" w14:textId="501342D3" w:rsidR="007D2546" w:rsidRDefault="00D442E2" w:rsidP="00EE2BBB">
      <w:r>
        <w:t xml:space="preserve">Biologic therapies </w:t>
      </w:r>
      <w:r w:rsidR="007D2546">
        <w:t xml:space="preserve">currently </w:t>
      </w:r>
      <w:r w:rsidR="00390509">
        <w:t>PBS list</w:t>
      </w:r>
      <w:r w:rsidR="007D2546">
        <w:t>ed</w:t>
      </w:r>
      <w:r>
        <w:t xml:space="preserve"> for CPP</w:t>
      </w:r>
      <w:r w:rsidR="007D2546">
        <w:t xml:space="preserve"> are:</w:t>
      </w:r>
    </w:p>
    <w:p w14:paraId="5535E8EE" w14:textId="76500445" w:rsidR="003D16BD" w:rsidRDefault="003D16BD" w:rsidP="006735BF">
      <w:pPr>
        <w:pStyle w:val="ListParagraph"/>
        <w:numPr>
          <w:ilvl w:val="0"/>
          <w:numId w:val="16"/>
        </w:numPr>
      </w:pPr>
      <w:r>
        <w:t>Tumour necrosis factor inhibitors (</w:t>
      </w:r>
      <w:proofErr w:type="spellStart"/>
      <w:r>
        <w:t>TNFi</w:t>
      </w:r>
      <w:proofErr w:type="spellEnd"/>
      <w:r>
        <w:t xml:space="preserve">): </w:t>
      </w:r>
      <w:r w:rsidR="006735BF">
        <w:t>a</w:t>
      </w:r>
      <w:r w:rsidRPr="007D2546">
        <w:t>dalimumab</w:t>
      </w:r>
      <w:r w:rsidR="006735BF">
        <w:t>, e</w:t>
      </w:r>
      <w:r w:rsidRPr="007D2546">
        <w:t>tanercept</w:t>
      </w:r>
      <w:r w:rsidR="006735BF">
        <w:t xml:space="preserve"> and i</w:t>
      </w:r>
      <w:r w:rsidRPr="007D2546">
        <w:t>nfliximab</w:t>
      </w:r>
      <w:r w:rsidR="006735BF">
        <w:t xml:space="preserve">. </w:t>
      </w:r>
    </w:p>
    <w:p w14:paraId="688F65A7" w14:textId="5E804EF3" w:rsidR="003D16BD" w:rsidRPr="007D2546" w:rsidRDefault="003D16BD" w:rsidP="006735BF">
      <w:pPr>
        <w:pStyle w:val="ListParagraph"/>
        <w:numPr>
          <w:ilvl w:val="0"/>
          <w:numId w:val="16"/>
        </w:numPr>
      </w:pPr>
      <w:r>
        <w:t xml:space="preserve">Interleukin (IL)-17 inhibitors: </w:t>
      </w:r>
      <w:proofErr w:type="spellStart"/>
      <w:r w:rsidR="006735BF">
        <w:t>i</w:t>
      </w:r>
      <w:r w:rsidRPr="007D2546">
        <w:t>xekizumab</w:t>
      </w:r>
      <w:proofErr w:type="spellEnd"/>
      <w:r w:rsidR="006735BF">
        <w:t xml:space="preserve"> and </w:t>
      </w:r>
      <w:proofErr w:type="spellStart"/>
      <w:r w:rsidR="006735BF">
        <w:t>s</w:t>
      </w:r>
      <w:r w:rsidRPr="007D2546">
        <w:t>ecukinumab</w:t>
      </w:r>
      <w:proofErr w:type="spellEnd"/>
      <w:r w:rsidR="006735BF">
        <w:t xml:space="preserve">. </w:t>
      </w:r>
    </w:p>
    <w:p w14:paraId="113D4863" w14:textId="0C4F52FC" w:rsidR="003D16BD" w:rsidRPr="007D2546" w:rsidRDefault="003D16BD" w:rsidP="006735BF">
      <w:pPr>
        <w:pStyle w:val="ListParagraph"/>
        <w:numPr>
          <w:ilvl w:val="0"/>
          <w:numId w:val="16"/>
        </w:numPr>
      </w:pPr>
      <w:r>
        <w:t xml:space="preserve">IL-12/23 inhibitor: </w:t>
      </w:r>
      <w:proofErr w:type="spellStart"/>
      <w:r w:rsidR="006735BF">
        <w:t>u</w:t>
      </w:r>
      <w:r w:rsidRPr="007D2546">
        <w:t>st</w:t>
      </w:r>
      <w:r>
        <w:t>e</w:t>
      </w:r>
      <w:r w:rsidRPr="007D2546">
        <w:t>kinumab</w:t>
      </w:r>
      <w:proofErr w:type="spellEnd"/>
      <w:r w:rsidR="006735BF">
        <w:t xml:space="preserve">. </w:t>
      </w:r>
    </w:p>
    <w:p w14:paraId="5CA5BBC7" w14:textId="1B0BF698" w:rsidR="00330DF1" w:rsidRDefault="003D16BD" w:rsidP="00330DF1">
      <w:pPr>
        <w:pStyle w:val="ListParagraph"/>
        <w:numPr>
          <w:ilvl w:val="0"/>
          <w:numId w:val="16"/>
        </w:numPr>
      </w:pPr>
      <w:r>
        <w:t>IL-23 inhibitor</w:t>
      </w:r>
      <w:r w:rsidR="00CF3FB1">
        <w:t>s</w:t>
      </w:r>
      <w:r>
        <w:t xml:space="preserve">: </w:t>
      </w:r>
      <w:proofErr w:type="spellStart"/>
      <w:r w:rsidR="006735BF">
        <w:t>g</w:t>
      </w:r>
      <w:r w:rsidR="007D2546" w:rsidRPr="007D2546">
        <w:t>uselkumab</w:t>
      </w:r>
      <w:proofErr w:type="spellEnd"/>
      <w:r w:rsidR="006735BF">
        <w:t xml:space="preserve">, </w:t>
      </w:r>
      <w:proofErr w:type="spellStart"/>
      <w:r w:rsidR="006735BF">
        <w:t>risankizumab</w:t>
      </w:r>
      <w:proofErr w:type="spellEnd"/>
      <w:r w:rsidR="006735BF">
        <w:t xml:space="preserve"> and t</w:t>
      </w:r>
      <w:r w:rsidR="007D2546" w:rsidRPr="007D2546">
        <w:t>ildrakizumab</w:t>
      </w:r>
      <w:r w:rsidR="006735BF">
        <w:t xml:space="preserve">. </w:t>
      </w:r>
    </w:p>
    <w:p w14:paraId="34FFE49C" w14:textId="428B6222" w:rsidR="00330DF1" w:rsidRDefault="009A084C" w:rsidP="00330DF1">
      <w:r>
        <w:t>Non-biologic</w:t>
      </w:r>
      <w:r w:rsidR="00330DF1">
        <w:t xml:space="preserve"> therapies currently </w:t>
      </w:r>
      <w:r w:rsidR="00390509">
        <w:t>PBS list</w:t>
      </w:r>
      <w:r w:rsidR="00330DF1">
        <w:t xml:space="preserve">ed </w:t>
      </w:r>
      <w:r w:rsidR="006A2786">
        <w:t>for CPP are</w:t>
      </w:r>
      <w:r w:rsidR="00330DF1">
        <w:t>: acitretin, cyclosporin and methotrexate.</w:t>
      </w:r>
    </w:p>
    <w:p w14:paraId="0183A567" w14:textId="413DF87B" w:rsidR="007247B9" w:rsidRDefault="007247B9" w:rsidP="00CF5E22">
      <w:pPr>
        <w:pStyle w:val="Heading2"/>
      </w:pPr>
      <w:r>
        <w:t>Pharmacology</w:t>
      </w:r>
    </w:p>
    <w:p w14:paraId="06821C4B" w14:textId="499CEAE2" w:rsidR="00AE4BAC" w:rsidRPr="007247B9" w:rsidRDefault="0084022B" w:rsidP="00AE4BAC">
      <w:r>
        <w:t xml:space="preserve">Apremilast is a small-molecule inhibitor of phosphodiesterase 4 (PDE4) and works to regulate the immune response associated with psoriasis and psoriatic arthritis and helps control the signs and symptoms of these conditions. </w:t>
      </w:r>
    </w:p>
    <w:p w14:paraId="6AC18C88" w14:textId="7A398934" w:rsidR="001420B3" w:rsidRPr="005E22C2" w:rsidRDefault="00A52918" w:rsidP="00CF5E22">
      <w:pPr>
        <w:pStyle w:val="Heading2"/>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1E393897" w14:textId="06F12AF1" w:rsidR="001420B3" w:rsidRDefault="0084022B" w:rsidP="00A35800">
      <w:r>
        <w:t xml:space="preserve">Apremilast is TGA indicated for: </w:t>
      </w:r>
    </w:p>
    <w:p w14:paraId="6D09126D" w14:textId="2BA07108" w:rsidR="0084022B" w:rsidRDefault="0084022B" w:rsidP="0084022B">
      <w:pPr>
        <w:pStyle w:val="ListParagraph"/>
        <w:numPr>
          <w:ilvl w:val="0"/>
          <w:numId w:val="10"/>
        </w:numPr>
        <w:jc w:val="both"/>
      </w:pPr>
      <w:r>
        <w:t xml:space="preserve">The treatment of signs and symptoms of active psoriatic arthritis in adult patients. </w:t>
      </w:r>
    </w:p>
    <w:p w14:paraId="451D05E4" w14:textId="00705AB6" w:rsidR="0084022B" w:rsidRDefault="0084022B" w:rsidP="0084022B">
      <w:pPr>
        <w:pStyle w:val="ListParagraph"/>
        <w:numPr>
          <w:ilvl w:val="0"/>
          <w:numId w:val="10"/>
        </w:numPr>
        <w:jc w:val="both"/>
      </w:pPr>
      <w:r>
        <w:t xml:space="preserve">The treatment of adult patients with moderate to severe plaque psoriasis who are candidates for phototherapy or systemic therapy. </w:t>
      </w:r>
    </w:p>
    <w:p w14:paraId="715497F6" w14:textId="54003072" w:rsidR="006A2786" w:rsidRDefault="006A2786" w:rsidP="006A2786">
      <w:pPr>
        <w:jc w:val="both"/>
      </w:pPr>
    </w:p>
    <w:p w14:paraId="264F6E9E" w14:textId="77777777" w:rsidR="006A2786" w:rsidRDefault="006A2786" w:rsidP="006A2786">
      <w:pPr>
        <w:jc w:val="both"/>
      </w:pPr>
    </w:p>
    <w:p w14:paraId="15E919C1" w14:textId="1B3BA560" w:rsidR="006B709B" w:rsidRDefault="006B709B" w:rsidP="00CF5E22">
      <w:pPr>
        <w:pStyle w:val="Heading2"/>
      </w:pPr>
      <w:r>
        <w:lastRenderedPageBreak/>
        <w:t>Dosage and administration</w:t>
      </w:r>
    </w:p>
    <w:p w14:paraId="4A580B3F" w14:textId="6BC68E81" w:rsidR="0017073D" w:rsidRPr="0017073D" w:rsidRDefault="0017073D" w:rsidP="00A35800">
      <w:r w:rsidRPr="0017073D">
        <w:t xml:space="preserve">Treatment should be initiated by specialists experienced in the diagnosis and treatment of psoriasis or psoriatic arthritis. </w:t>
      </w:r>
    </w:p>
    <w:p w14:paraId="3B55EE37" w14:textId="4152C4D9" w:rsidR="0017073D" w:rsidRDefault="0017073D" w:rsidP="00A35800">
      <w:r w:rsidRPr="0017073D">
        <w:t xml:space="preserve">The recommended dose is 30 mg twice daily taken orally approximately 12 hours apart. An initial titration schedule is shown in Table 1. No re-titration is required after initial titration. </w:t>
      </w:r>
    </w:p>
    <w:p w14:paraId="1F56827D" w14:textId="336BB323" w:rsidR="0017073D" w:rsidRPr="0017073D" w:rsidRDefault="0017073D" w:rsidP="00D93277">
      <w:pPr>
        <w:pStyle w:val="Tabletitle"/>
        <w:spacing w:before="200"/>
      </w:pPr>
      <w:r w:rsidRPr="0017073D">
        <w:t xml:space="preserve">Table </w:t>
      </w:r>
      <w:r>
        <w:t>1</w:t>
      </w:r>
      <w:r w:rsidRPr="0017073D">
        <w:t>: Apremilast dose titration schedule</w:t>
      </w:r>
    </w:p>
    <w:tbl>
      <w:tblPr>
        <w:tblStyle w:val="TableGrid"/>
        <w:tblW w:w="9180" w:type="dxa"/>
        <w:tblLook w:val="04A0" w:firstRow="1" w:lastRow="0" w:firstColumn="1" w:lastColumn="0" w:noHBand="0" w:noVBand="1"/>
      </w:tblPr>
      <w:tblGrid>
        <w:gridCol w:w="820"/>
        <w:gridCol w:w="821"/>
        <w:gridCol w:w="805"/>
        <w:gridCol w:w="821"/>
        <w:gridCol w:w="805"/>
        <w:gridCol w:w="821"/>
        <w:gridCol w:w="805"/>
        <w:gridCol w:w="821"/>
        <w:gridCol w:w="805"/>
        <w:gridCol w:w="893"/>
        <w:gridCol w:w="963"/>
      </w:tblGrid>
      <w:tr w:rsidR="0017073D" w:rsidRPr="00A35800" w14:paraId="41168AB0" w14:textId="77777777" w:rsidTr="0017073D">
        <w:tc>
          <w:tcPr>
            <w:tcW w:w="820" w:type="dxa"/>
            <w:shd w:val="clear" w:color="auto" w:fill="BFBFBF" w:themeFill="background1" w:themeFillShade="BF"/>
          </w:tcPr>
          <w:p w14:paraId="21EFE469" w14:textId="026478A1" w:rsidR="0017073D" w:rsidRPr="0017073D" w:rsidRDefault="0017073D" w:rsidP="00DB0347">
            <w:pPr>
              <w:pStyle w:val="Tablewriting"/>
              <w:jc w:val="center"/>
              <w:rPr>
                <w:b/>
                <w:bCs/>
              </w:rPr>
            </w:pPr>
            <w:r w:rsidRPr="0017073D">
              <w:rPr>
                <w:b/>
                <w:bCs/>
              </w:rPr>
              <w:t>Day 1</w:t>
            </w:r>
          </w:p>
        </w:tc>
        <w:tc>
          <w:tcPr>
            <w:tcW w:w="1626" w:type="dxa"/>
            <w:gridSpan w:val="2"/>
            <w:shd w:val="clear" w:color="auto" w:fill="BFBFBF" w:themeFill="background1" w:themeFillShade="BF"/>
          </w:tcPr>
          <w:p w14:paraId="097E7DFD" w14:textId="42EBF639" w:rsidR="0017073D" w:rsidRPr="0017073D" w:rsidRDefault="0017073D" w:rsidP="00DB0347">
            <w:pPr>
              <w:pStyle w:val="Tablewriting"/>
              <w:jc w:val="center"/>
              <w:rPr>
                <w:b/>
                <w:bCs/>
              </w:rPr>
            </w:pPr>
            <w:r w:rsidRPr="0017073D">
              <w:rPr>
                <w:b/>
                <w:bCs/>
              </w:rPr>
              <w:t>Day 2</w:t>
            </w:r>
          </w:p>
        </w:tc>
        <w:tc>
          <w:tcPr>
            <w:tcW w:w="1626" w:type="dxa"/>
            <w:gridSpan w:val="2"/>
            <w:shd w:val="clear" w:color="auto" w:fill="BFBFBF" w:themeFill="background1" w:themeFillShade="BF"/>
          </w:tcPr>
          <w:p w14:paraId="1AFE0346" w14:textId="13F18DD2" w:rsidR="0017073D" w:rsidRPr="0017073D" w:rsidRDefault="0017073D" w:rsidP="00DB0347">
            <w:pPr>
              <w:pStyle w:val="Tablewriting"/>
              <w:jc w:val="center"/>
              <w:rPr>
                <w:b/>
                <w:bCs/>
              </w:rPr>
            </w:pPr>
            <w:r w:rsidRPr="0017073D">
              <w:rPr>
                <w:b/>
                <w:bCs/>
              </w:rPr>
              <w:t>Day 3</w:t>
            </w:r>
          </w:p>
        </w:tc>
        <w:tc>
          <w:tcPr>
            <w:tcW w:w="1626" w:type="dxa"/>
            <w:gridSpan w:val="2"/>
            <w:shd w:val="clear" w:color="auto" w:fill="BFBFBF" w:themeFill="background1" w:themeFillShade="BF"/>
          </w:tcPr>
          <w:p w14:paraId="5E9C3053" w14:textId="63746525" w:rsidR="0017073D" w:rsidRPr="0017073D" w:rsidRDefault="0017073D" w:rsidP="00DB0347">
            <w:pPr>
              <w:pStyle w:val="Tablewriting"/>
              <w:jc w:val="center"/>
              <w:rPr>
                <w:b/>
                <w:bCs/>
              </w:rPr>
            </w:pPr>
            <w:r w:rsidRPr="0017073D">
              <w:rPr>
                <w:b/>
                <w:bCs/>
              </w:rPr>
              <w:t>Day 4</w:t>
            </w:r>
          </w:p>
        </w:tc>
        <w:tc>
          <w:tcPr>
            <w:tcW w:w="1626" w:type="dxa"/>
            <w:gridSpan w:val="2"/>
            <w:shd w:val="clear" w:color="auto" w:fill="BFBFBF" w:themeFill="background1" w:themeFillShade="BF"/>
          </w:tcPr>
          <w:p w14:paraId="1FB9AF60" w14:textId="0359202D" w:rsidR="0017073D" w:rsidRPr="0017073D" w:rsidRDefault="0017073D" w:rsidP="00DB0347">
            <w:pPr>
              <w:pStyle w:val="Tablewriting"/>
              <w:jc w:val="center"/>
              <w:rPr>
                <w:b/>
                <w:bCs/>
              </w:rPr>
            </w:pPr>
            <w:r w:rsidRPr="0017073D">
              <w:rPr>
                <w:b/>
                <w:bCs/>
              </w:rPr>
              <w:t>Day 5</w:t>
            </w:r>
          </w:p>
        </w:tc>
        <w:tc>
          <w:tcPr>
            <w:tcW w:w="1856" w:type="dxa"/>
            <w:gridSpan w:val="2"/>
            <w:shd w:val="clear" w:color="auto" w:fill="BFBFBF" w:themeFill="background1" w:themeFillShade="BF"/>
          </w:tcPr>
          <w:p w14:paraId="38F8EFDC" w14:textId="5D87145B" w:rsidR="0017073D" w:rsidRPr="0017073D" w:rsidRDefault="0017073D" w:rsidP="00DB0347">
            <w:pPr>
              <w:pStyle w:val="Tablewriting"/>
              <w:jc w:val="center"/>
              <w:rPr>
                <w:b/>
                <w:bCs/>
              </w:rPr>
            </w:pPr>
            <w:r w:rsidRPr="0017073D">
              <w:rPr>
                <w:b/>
                <w:bCs/>
              </w:rPr>
              <w:t>Day 6 &amp; thereafter</w:t>
            </w:r>
          </w:p>
        </w:tc>
      </w:tr>
      <w:tr w:rsidR="0017073D" w:rsidRPr="00A35800" w14:paraId="598C7C09" w14:textId="77777777" w:rsidTr="0017073D">
        <w:tc>
          <w:tcPr>
            <w:tcW w:w="820" w:type="dxa"/>
            <w:shd w:val="clear" w:color="auto" w:fill="BFBFBF" w:themeFill="background1" w:themeFillShade="BF"/>
          </w:tcPr>
          <w:p w14:paraId="6A25287C" w14:textId="69286073" w:rsidR="0017073D" w:rsidRPr="0017073D" w:rsidRDefault="0017073D" w:rsidP="00DB0347">
            <w:pPr>
              <w:pStyle w:val="Tablewriting"/>
              <w:jc w:val="center"/>
              <w:rPr>
                <w:b/>
                <w:bCs/>
              </w:rPr>
            </w:pPr>
            <w:r w:rsidRPr="0017073D">
              <w:rPr>
                <w:b/>
                <w:bCs/>
              </w:rPr>
              <w:t>AM</w:t>
            </w:r>
          </w:p>
        </w:tc>
        <w:tc>
          <w:tcPr>
            <w:tcW w:w="821" w:type="dxa"/>
            <w:shd w:val="clear" w:color="auto" w:fill="BFBFBF" w:themeFill="background1" w:themeFillShade="BF"/>
          </w:tcPr>
          <w:p w14:paraId="2E8F0C18" w14:textId="712D01BC" w:rsidR="0017073D" w:rsidRPr="0017073D" w:rsidRDefault="0017073D" w:rsidP="00DB0347">
            <w:pPr>
              <w:pStyle w:val="Tablewriting"/>
              <w:jc w:val="center"/>
              <w:rPr>
                <w:b/>
                <w:bCs/>
              </w:rPr>
            </w:pPr>
            <w:r w:rsidRPr="0017073D">
              <w:rPr>
                <w:b/>
                <w:bCs/>
              </w:rPr>
              <w:t>AM</w:t>
            </w:r>
          </w:p>
        </w:tc>
        <w:tc>
          <w:tcPr>
            <w:tcW w:w="805" w:type="dxa"/>
            <w:shd w:val="clear" w:color="auto" w:fill="BFBFBF" w:themeFill="background1" w:themeFillShade="BF"/>
          </w:tcPr>
          <w:p w14:paraId="40CFAF8A" w14:textId="3271F0D1" w:rsidR="0017073D" w:rsidRPr="0017073D" w:rsidRDefault="0017073D" w:rsidP="00DB0347">
            <w:pPr>
              <w:pStyle w:val="Tablewriting"/>
              <w:jc w:val="center"/>
              <w:rPr>
                <w:b/>
                <w:bCs/>
              </w:rPr>
            </w:pPr>
            <w:r w:rsidRPr="0017073D">
              <w:rPr>
                <w:b/>
                <w:bCs/>
              </w:rPr>
              <w:t>PM</w:t>
            </w:r>
          </w:p>
        </w:tc>
        <w:tc>
          <w:tcPr>
            <w:tcW w:w="821" w:type="dxa"/>
            <w:shd w:val="clear" w:color="auto" w:fill="BFBFBF" w:themeFill="background1" w:themeFillShade="BF"/>
          </w:tcPr>
          <w:p w14:paraId="7A8E0B29" w14:textId="66A86B3A" w:rsidR="0017073D" w:rsidRPr="0017073D" w:rsidRDefault="0017073D" w:rsidP="00DB0347">
            <w:pPr>
              <w:pStyle w:val="Tablewriting"/>
              <w:jc w:val="center"/>
              <w:rPr>
                <w:b/>
                <w:bCs/>
              </w:rPr>
            </w:pPr>
            <w:r w:rsidRPr="0017073D">
              <w:rPr>
                <w:b/>
                <w:bCs/>
              </w:rPr>
              <w:t>AM</w:t>
            </w:r>
          </w:p>
        </w:tc>
        <w:tc>
          <w:tcPr>
            <w:tcW w:w="805" w:type="dxa"/>
            <w:shd w:val="clear" w:color="auto" w:fill="BFBFBF" w:themeFill="background1" w:themeFillShade="BF"/>
          </w:tcPr>
          <w:p w14:paraId="364F0F6B" w14:textId="3CAAD4D1" w:rsidR="0017073D" w:rsidRPr="0017073D" w:rsidRDefault="0017073D" w:rsidP="00DB0347">
            <w:pPr>
              <w:pStyle w:val="Tablewriting"/>
              <w:jc w:val="center"/>
              <w:rPr>
                <w:b/>
                <w:bCs/>
              </w:rPr>
            </w:pPr>
            <w:r w:rsidRPr="0017073D">
              <w:rPr>
                <w:b/>
                <w:bCs/>
              </w:rPr>
              <w:t>PM</w:t>
            </w:r>
          </w:p>
        </w:tc>
        <w:tc>
          <w:tcPr>
            <w:tcW w:w="821" w:type="dxa"/>
            <w:shd w:val="clear" w:color="auto" w:fill="BFBFBF" w:themeFill="background1" w:themeFillShade="BF"/>
          </w:tcPr>
          <w:p w14:paraId="120F4887" w14:textId="6626797E" w:rsidR="0017073D" w:rsidRPr="0017073D" w:rsidRDefault="0017073D" w:rsidP="00DB0347">
            <w:pPr>
              <w:pStyle w:val="Tablewriting"/>
              <w:jc w:val="center"/>
              <w:rPr>
                <w:b/>
                <w:bCs/>
              </w:rPr>
            </w:pPr>
            <w:r w:rsidRPr="0017073D">
              <w:rPr>
                <w:b/>
                <w:bCs/>
              </w:rPr>
              <w:t>AM</w:t>
            </w:r>
          </w:p>
        </w:tc>
        <w:tc>
          <w:tcPr>
            <w:tcW w:w="805" w:type="dxa"/>
            <w:shd w:val="clear" w:color="auto" w:fill="BFBFBF" w:themeFill="background1" w:themeFillShade="BF"/>
          </w:tcPr>
          <w:p w14:paraId="6F5E0F8C" w14:textId="00B32CD9" w:rsidR="0017073D" w:rsidRPr="0017073D" w:rsidRDefault="0017073D" w:rsidP="00DB0347">
            <w:pPr>
              <w:pStyle w:val="Tablewriting"/>
              <w:jc w:val="center"/>
              <w:rPr>
                <w:b/>
                <w:bCs/>
              </w:rPr>
            </w:pPr>
            <w:r w:rsidRPr="0017073D">
              <w:rPr>
                <w:b/>
                <w:bCs/>
              </w:rPr>
              <w:t>PM</w:t>
            </w:r>
          </w:p>
        </w:tc>
        <w:tc>
          <w:tcPr>
            <w:tcW w:w="821" w:type="dxa"/>
            <w:shd w:val="clear" w:color="auto" w:fill="BFBFBF" w:themeFill="background1" w:themeFillShade="BF"/>
          </w:tcPr>
          <w:p w14:paraId="06876A05" w14:textId="6D0FC66A" w:rsidR="0017073D" w:rsidRPr="0017073D" w:rsidRDefault="0017073D" w:rsidP="00DB0347">
            <w:pPr>
              <w:pStyle w:val="Tablewriting"/>
              <w:jc w:val="center"/>
              <w:rPr>
                <w:b/>
                <w:bCs/>
              </w:rPr>
            </w:pPr>
            <w:r w:rsidRPr="0017073D">
              <w:rPr>
                <w:b/>
                <w:bCs/>
              </w:rPr>
              <w:t>AM</w:t>
            </w:r>
          </w:p>
        </w:tc>
        <w:tc>
          <w:tcPr>
            <w:tcW w:w="805" w:type="dxa"/>
            <w:shd w:val="clear" w:color="auto" w:fill="BFBFBF" w:themeFill="background1" w:themeFillShade="BF"/>
          </w:tcPr>
          <w:p w14:paraId="13FAF48C" w14:textId="74CC28EA" w:rsidR="0017073D" w:rsidRPr="0017073D" w:rsidRDefault="0017073D" w:rsidP="00DB0347">
            <w:pPr>
              <w:pStyle w:val="Tablewriting"/>
              <w:jc w:val="center"/>
              <w:rPr>
                <w:b/>
                <w:bCs/>
              </w:rPr>
            </w:pPr>
            <w:r w:rsidRPr="0017073D">
              <w:rPr>
                <w:b/>
                <w:bCs/>
              </w:rPr>
              <w:t>PM</w:t>
            </w:r>
          </w:p>
        </w:tc>
        <w:tc>
          <w:tcPr>
            <w:tcW w:w="893" w:type="dxa"/>
            <w:shd w:val="clear" w:color="auto" w:fill="BFBFBF" w:themeFill="background1" w:themeFillShade="BF"/>
          </w:tcPr>
          <w:p w14:paraId="1D845137" w14:textId="113BC314" w:rsidR="0017073D" w:rsidRPr="0017073D" w:rsidRDefault="0017073D" w:rsidP="00DB0347">
            <w:pPr>
              <w:pStyle w:val="Tablewriting"/>
              <w:jc w:val="center"/>
              <w:rPr>
                <w:b/>
                <w:bCs/>
              </w:rPr>
            </w:pPr>
            <w:r w:rsidRPr="0017073D">
              <w:rPr>
                <w:b/>
                <w:bCs/>
              </w:rPr>
              <w:t>AM</w:t>
            </w:r>
          </w:p>
        </w:tc>
        <w:tc>
          <w:tcPr>
            <w:tcW w:w="963" w:type="dxa"/>
            <w:shd w:val="clear" w:color="auto" w:fill="BFBFBF" w:themeFill="background1" w:themeFillShade="BF"/>
          </w:tcPr>
          <w:p w14:paraId="782C60DA" w14:textId="574AA007" w:rsidR="0017073D" w:rsidRPr="0017073D" w:rsidRDefault="0017073D" w:rsidP="00DB0347">
            <w:pPr>
              <w:pStyle w:val="Tablewriting"/>
              <w:jc w:val="center"/>
              <w:rPr>
                <w:b/>
                <w:bCs/>
              </w:rPr>
            </w:pPr>
            <w:r w:rsidRPr="0017073D">
              <w:rPr>
                <w:b/>
                <w:bCs/>
              </w:rPr>
              <w:t>PM</w:t>
            </w:r>
          </w:p>
        </w:tc>
      </w:tr>
      <w:tr w:rsidR="0017073D" w:rsidRPr="00A35800" w14:paraId="7AEE989B" w14:textId="77777777" w:rsidTr="0017073D">
        <w:tc>
          <w:tcPr>
            <w:tcW w:w="820" w:type="dxa"/>
          </w:tcPr>
          <w:p w14:paraId="360A11E3" w14:textId="19808E86" w:rsidR="0017073D" w:rsidRPr="00A35800" w:rsidRDefault="0017073D" w:rsidP="00DB0347">
            <w:pPr>
              <w:pStyle w:val="Tablewriting"/>
              <w:jc w:val="center"/>
            </w:pPr>
            <w:r>
              <w:t>10 mg</w:t>
            </w:r>
          </w:p>
        </w:tc>
        <w:tc>
          <w:tcPr>
            <w:tcW w:w="821" w:type="dxa"/>
          </w:tcPr>
          <w:p w14:paraId="3B5D05FC" w14:textId="71F95739" w:rsidR="0017073D" w:rsidRPr="00A35800" w:rsidRDefault="0017073D" w:rsidP="00DB0347">
            <w:pPr>
              <w:pStyle w:val="Tablewriting"/>
              <w:jc w:val="center"/>
            </w:pPr>
            <w:r>
              <w:t>10 mg</w:t>
            </w:r>
          </w:p>
        </w:tc>
        <w:tc>
          <w:tcPr>
            <w:tcW w:w="805" w:type="dxa"/>
          </w:tcPr>
          <w:p w14:paraId="7ABB6A30" w14:textId="05941FB2" w:rsidR="0017073D" w:rsidRPr="00A35800" w:rsidRDefault="0017073D" w:rsidP="00DB0347">
            <w:pPr>
              <w:pStyle w:val="Tablewriting"/>
              <w:jc w:val="center"/>
            </w:pPr>
            <w:r>
              <w:t>10 mg</w:t>
            </w:r>
          </w:p>
        </w:tc>
        <w:tc>
          <w:tcPr>
            <w:tcW w:w="821" w:type="dxa"/>
          </w:tcPr>
          <w:p w14:paraId="02E5A4E2" w14:textId="1E90980E" w:rsidR="0017073D" w:rsidRPr="00A35800" w:rsidRDefault="0017073D" w:rsidP="00DB0347">
            <w:pPr>
              <w:pStyle w:val="Tablewriting"/>
              <w:jc w:val="center"/>
            </w:pPr>
            <w:r>
              <w:t>10 mg</w:t>
            </w:r>
          </w:p>
        </w:tc>
        <w:tc>
          <w:tcPr>
            <w:tcW w:w="805" w:type="dxa"/>
          </w:tcPr>
          <w:p w14:paraId="3EF325E1" w14:textId="0C6ABF2F" w:rsidR="0017073D" w:rsidRPr="00A35800" w:rsidRDefault="0017073D" w:rsidP="00DB0347">
            <w:pPr>
              <w:pStyle w:val="Tablewriting"/>
              <w:jc w:val="center"/>
            </w:pPr>
            <w:r>
              <w:t>20 mg</w:t>
            </w:r>
          </w:p>
        </w:tc>
        <w:tc>
          <w:tcPr>
            <w:tcW w:w="821" w:type="dxa"/>
          </w:tcPr>
          <w:p w14:paraId="1100EFED" w14:textId="2E76E3FD" w:rsidR="0017073D" w:rsidRPr="00A35800" w:rsidRDefault="0017073D" w:rsidP="00DB0347">
            <w:pPr>
              <w:pStyle w:val="Tablewriting"/>
              <w:jc w:val="center"/>
            </w:pPr>
            <w:r>
              <w:t>20 mg</w:t>
            </w:r>
          </w:p>
        </w:tc>
        <w:tc>
          <w:tcPr>
            <w:tcW w:w="805" w:type="dxa"/>
          </w:tcPr>
          <w:p w14:paraId="6C0110A4" w14:textId="221526F8" w:rsidR="0017073D" w:rsidRPr="00A35800" w:rsidRDefault="0017073D" w:rsidP="00DB0347">
            <w:pPr>
              <w:pStyle w:val="Tablewriting"/>
              <w:jc w:val="center"/>
            </w:pPr>
            <w:r>
              <w:t>20 mg</w:t>
            </w:r>
          </w:p>
        </w:tc>
        <w:tc>
          <w:tcPr>
            <w:tcW w:w="821" w:type="dxa"/>
          </w:tcPr>
          <w:p w14:paraId="7FE85098" w14:textId="2084CB91" w:rsidR="0017073D" w:rsidRPr="00A35800" w:rsidRDefault="0017073D" w:rsidP="00DB0347">
            <w:pPr>
              <w:pStyle w:val="Tablewriting"/>
              <w:jc w:val="center"/>
            </w:pPr>
            <w:r>
              <w:t>20 mg</w:t>
            </w:r>
          </w:p>
        </w:tc>
        <w:tc>
          <w:tcPr>
            <w:tcW w:w="805" w:type="dxa"/>
          </w:tcPr>
          <w:p w14:paraId="0E68E284" w14:textId="21823A7E" w:rsidR="0017073D" w:rsidRPr="00A35800" w:rsidRDefault="0017073D" w:rsidP="00DB0347">
            <w:pPr>
              <w:pStyle w:val="Tablewriting"/>
              <w:jc w:val="center"/>
            </w:pPr>
            <w:r>
              <w:t>20 mg</w:t>
            </w:r>
          </w:p>
        </w:tc>
        <w:tc>
          <w:tcPr>
            <w:tcW w:w="893" w:type="dxa"/>
          </w:tcPr>
          <w:p w14:paraId="68C688D7" w14:textId="6AA4EB74" w:rsidR="0017073D" w:rsidRPr="00A35800" w:rsidRDefault="0017073D" w:rsidP="00DB0347">
            <w:pPr>
              <w:pStyle w:val="Tablewriting"/>
              <w:jc w:val="center"/>
            </w:pPr>
            <w:r>
              <w:t>30 mg</w:t>
            </w:r>
          </w:p>
        </w:tc>
        <w:tc>
          <w:tcPr>
            <w:tcW w:w="963" w:type="dxa"/>
          </w:tcPr>
          <w:p w14:paraId="237C845D" w14:textId="1DBFB7EE" w:rsidR="0017073D" w:rsidRPr="00A35800" w:rsidRDefault="0017073D" w:rsidP="00DB0347">
            <w:pPr>
              <w:pStyle w:val="Tablewriting"/>
              <w:jc w:val="center"/>
            </w:pPr>
            <w:r>
              <w:t>30 mg</w:t>
            </w:r>
          </w:p>
        </w:tc>
      </w:tr>
    </w:tbl>
    <w:p w14:paraId="64E9A8A6" w14:textId="45C425C6" w:rsidR="0017073D" w:rsidRDefault="0017073D" w:rsidP="00A35800">
      <w:pPr>
        <w:rPr>
          <w:highlight w:val="yellow"/>
        </w:rPr>
      </w:pPr>
    </w:p>
    <w:p w14:paraId="10E9F187" w14:textId="279EE3B0" w:rsidR="0017073D" w:rsidRPr="0017073D" w:rsidRDefault="0017073D" w:rsidP="00A35800">
      <w:r w:rsidRPr="0017073D">
        <w:t xml:space="preserve">Tablets should be swallowed whole, either with or without food. The tablets should not be crushed, </w:t>
      </w:r>
      <w:proofErr w:type="gramStart"/>
      <w:r w:rsidRPr="0017073D">
        <w:t>split</w:t>
      </w:r>
      <w:proofErr w:type="gramEnd"/>
      <w:r w:rsidRPr="0017073D">
        <w:t xml:space="preserve"> or chewed. </w:t>
      </w:r>
    </w:p>
    <w:p w14:paraId="1591B0A1" w14:textId="374AD2D6" w:rsidR="0017073D" w:rsidRPr="0017073D" w:rsidRDefault="0017073D" w:rsidP="00A35800">
      <w:r w:rsidRPr="0017073D">
        <w:t>If patients miss a dose, the next dose should be taken as soon as possible. If it is close to the time for their next dose, the missed dose should not be taken and the next dose should be taken at the regular time.</w:t>
      </w:r>
      <w:r w:rsidR="003A5EC1">
        <w:rPr>
          <w:rStyle w:val="FootnoteReference"/>
        </w:rPr>
        <w:footnoteReference w:id="2"/>
      </w:r>
    </w:p>
    <w:p w14:paraId="21F2C946" w14:textId="4427CFC4" w:rsidR="003A5EC1" w:rsidRDefault="00F17D4B" w:rsidP="00F17D4B">
      <w:r w:rsidRPr="002F61CA">
        <w:t xml:space="preserve">The current Product Information (PI) and Consumer Medicine Information (CMI) are available from </w:t>
      </w:r>
      <w:hyperlink r:id="rId8" w:history="1">
        <w:r>
          <w:rPr>
            <w:rStyle w:val="Hyperlink"/>
          </w:rPr>
          <w:t>the TGA (Product Information)</w:t>
        </w:r>
      </w:hyperlink>
      <w:r>
        <w:t xml:space="preserve"> and </w:t>
      </w:r>
      <w:hyperlink r:id="rId9" w:history="1">
        <w:r>
          <w:rPr>
            <w:rStyle w:val="Hyperlink"/>
          </w:rPr>
          <w:t>the TGA (Consumer Medicines Information)</w:t>
        </w:r>
      </w:hyperlink>
      <w:r>
        <w:t>.</w:t>
      </w:r>
    </w:p>
    <w:p w14:paraId="465A7CFA" w14:textId="18795671" w:rsidR="003A5EC1" w:rsidRDefault="003A5EC1" w:rsidP="00F17D4B"/>
    <w:p w14:paraId="01F5FBCE" w14:textId="54C9BDA4" w:rsidR="003A5EC1" w:rsidRDefault="003A5EC1" w:rsidP="00F17D4B"/>
    <w:p w14:paraId="5A7D1213" w14:textId="0B2B370D" w:rsidR="003A5EC1" w:rsidRDefault="003A5EC1" w:rsidP="00F17D4B"/>
    <w:p w14:paraId="13EBA087" w14:textId="517A145D" w:rsidR="003A5EC1" w:rsidRDefault="003A5EC1" w:rsidP="00F17D4B"/>
    <w:p w14:paraId="536C0BE6" w14:textId="731167C5" w:rsidR="003A5EC1" w:rsidRDefault="003A5EC1" w:rsidP="00F17D4B"/>
    <w:p w14:paraId="7DC6DC03" w14:textId="50F34B36" w:rsidR="003A5EC1" w:rsidRDefault="003A5EC1" w:rsidP="00F17D4B"/>
    <w:p w14:paraId="209934A8" w14:textId="3085C2EF" w:rsidR="003A5EC1" w:rsidRDefault="003A5EC1" w:rsidP="00F17D4B"/>
    <w:p w14:paraId="1694239E" w14:textId="77777777" w:rsidR="003A5EC1" w:rsidRPr="002F61CA" w:rsidRDefault="003A5EC1" w:rsidP="00F17D4B"/>
    <w:p w14:paraId="73E5264D" w14:textId="77777777" w:rsidR="003A5EC1" w:rsidRDefault="003A5EC1">
      <w:pPr>
        <w:spacing w:line="276" w:lineRule="auto"/>
        <w:rPr>
          <w:b/>
          <w:sz w:val="28"/>
        </w:rPr>
      </w:pPr>
      <w:r>
        <w:br w:type="page"/>
      </w:r>
    </w:p>
    <w:p w14:paraId="46E2BB42" w14:textId="2858DB63" w:rsidR="00DF0B13" w:rsidRPr="007247B9" w:rsidDel="00EE2BBB" w:rsidRDefault="00DF0B13" w:rsidP="00CF5E22">
      <w:pPr>
        <w:pStyle w:val="Heading2"/>
      </w:pPr>
      <w:r w:rsidRPr="007247B9" w:rsidDel="00EE2BBB">
        <w:lastRenderedPageBreak/>
        <w:t>PBS listing details</w:t>
      </w:r>
      <w:r w:rsidR="00D151EB" w:rsidDel="00EE2BBB">
        <w:t xml:space="preserve"> (as </w:t>
      </w:r>
      <w:proofErr w:type="gramStart"/>
      <w:r w:rsidR="00D151EB" w:rsidDel="00EE2BBB">
        <w:t>at</w:t>
      </w:r>
      <w:proofErr w:type="gramEnd"/>
      <w:r w:rsidR="00D151EB" w:rsidDel="00EE2BBB">
        <w:t xml:space="preserve"> </w:t>
      </w:r>
      <w:r w:rsidR="0084022B">
        <w:t>June 2023</w:t>
      </w:r>
      <w:r w:rsidR="00321C6A">
        <w:t>)</w:t>
      </w:r>
    </w:p>
    <w:p w14:paraId="1D47784A" w14:textId="5F1D9D32" w:rsidR="001420B3" w:rsidRPr="001420B3" w:rsidDel="00EE2BBB" w:rsidRDefault="001420B3" w:rsidP="00D93277">
      <w:pPr>
        <w:pStyle w:val="Tabletitle"/>
        <w:spacing w:before="200"/>
      </w:pPr>
      <w:r w:rsidRPr="001420B3" w:rsidDel="00EE2BBB">
        <w:t xml:space="preserve">Table </w:t>
      </w:r>
      <w:r w:rsidR="003C2E19">
        <w:t>2</w:t>
      </w:r>
      <w:r w:rsidRPr="001420B3" w:rsidDel="00EE2BBB">
        <w:t xml:space="preserve">: </w:t>
      </w:r>
      <w:r w:rsidR="009663B6" w:rsidDel="00EE2BBB">
        <w:t>PB</w:t>
      </w:r>
      <w:r w:rsidR="00D151EB" w:rsidDel="00EE2BBB">
        <w:t xml:space="preserve">S listing of </w:t>
      </w:r>
      <w:r w:rsidR="0084022B">
        <w:t xml:space="preserve">apremilast </w:t>
      </w:r>
    </w:p>
    <w:tbl>
      <w:tblPr>
        <w:tblStyle w:val="TableGrid"/>
        <w:tblW w:w="9064" w:type="dxa"/>
        <w:tblLayout w:type="fixed"/>
        <w:tblLook w:val="04A0" w:firstRow="1" w:lastRow="0" w:firstColumn="1" w:lastColumn="0" w:noHBand="0" w:noVBand="1"/>
      </w:tblPr>
      <w:tblGrid>
        <w:gridCol w:w="969"/>
        <w:gridCol w:w="3562"/>
        <w:gridCol w:w="709"/>
        <w:gridCol w:w="709"/>
        <w:gridCol w:w="1011"/>
        <w:gridCol w:w="2104"/>
      </w:tblGrid>
      <w:tr w:rsidR="0093111F" w:rsidRPr="00A35800" w:rsidDel="00EE2BBB" w14:paraId="6AA19A37" w14:textId="77B518AD" w:rsidTr="007B2853">
        <w:trPr>
          <w:trHeight w:val="694"/>
          <w:tblHeader/>
        </w:trPr>
        <w:tc>
          <w:tcPr>
            <w:tcW w:w="969" w:type="dxa"/>
            <w:shd w:val="clear" w:color="auto" w:fill="BFBFBF" w:themeFill="background1" w:themeFillShade="BF"/>
          </w:tcPr>
          <w:p w14:paraId="56A3DEA0" w14:textId="1A878237" w:rsidR="0093111F" w:rsidRPr="00A35800" w:rsidDel="00EE2BBB" w:rsidRDefault="0093111F" w:rsidP="00D93277">
            <w:pPr>
              <w:pStyle w:val="Tableheading"/>
              <w:rPr>
                <w:sz w:val="20"/>
                <w:szCs w:val="20"/>
              </w:rPr>
            </w:pPr>
            <w:r w:rsidRPr="00A35800" w:rsidDel="00EE2BBB">
              <w:rPr>
                <w:sz w:val="20"/>
                <w:szCs w:val="20"/>
              </w:rPr>
              <w:t>Item</w:t>
            </w:r>
          </w:p>
        </w:tc>
        <w:tc>
          <w:tcPr>
            <w:tcW w:w="3562" w:type="dxa"/>
            <w:shd w:val="clear" w:color="auto" w:fill="BFBFBF" w:themeFill="background1" w:themeFillShade="BF"/>
          </w:tcPr>
          <w:p w14:paraId="67A07252" w14:textId="6DE43662" w:rsidR="0093111F" w:rsidRPr="00A35800" w:rsidDel="00EE2BBB" w:rsidRDefault="0093111F" w:rsidP="00D93277">
            <w:pPr>
              <w:pStyle w:val="Tableheading"/>
              <w:rPr>
                <w:sz w:val="20"/>
                <w:szCs w:val="20"/>
              </w:rPr>
            </w:pPr>
            <w:r w:rsidRPr="00A35800" w:rsidDel="00EE2BBB">
              <w:rPr>
                <w:sz w:val="20"/>
                <w:szCs w:val="20"/>
              </w:rPr>
              <w:t>Name, form &amp; strength, pack size</w:t>
            </w:r>
          </w:p>
        </w:tc>
        <w:tc>
          <w:tcPr>
            <w:tcW w:w="709" w:type="dxa"/>
            <w:shd w:val="clear" w:color="auto" w:fill="BFBFBF" w:themeFill="background1" w:themeFillShade="BF"/>
          </w:tcPr>
          <w:p w14:paraId="114E9799" w14:textId="51D53497" w:rsidR="0093111F" w:rsidRPr="00A35800" w:rsidDel="00EE2BBB" w:rsidRDefault="0093111F" w:rsidP="00D93277">
            <w:pPr>
              <w:pStyle w:val="Tableheading"/>
              <w:rPr>
                <w:sz w:val="20"/>
                <w:szCs w:val="20"/>
              </w:rPr>
            </w:pPr>
            <w:r w:rsidRPr="00A35800" w:rsidDel="00EE2BBB">
              <w:rPr>
                <w:sz w:val="20"/>
                <w:szCs w:val="20"/>
              </w:rPr>
              <w:t>Max</w:t>
            </w:r>
            <w:r w:rsidR="00A13C60" w:rsidRPr="00A35800" w:rsidDel="00EE2BBB">
              <w:rPr>
                <w:sz w:val="20"/>
                <w:szCs w:val="20"/>
              </w:rPr>
              <w:t xml:space="preserve">. </w:t>
            </w:r>
            <w:r w:rsidR="007B2853">
              <w:rPr>
                <w:sz w:val="20"/>
                <w:szCs w:val="20"/>
              </w:rPr>
              <w:t>qty. units</w:t>
            </w:r>
            <w:r w:rsidRPr="00A35800" w:rsidDel="00EE2BBB">
              <w:rPr>
                <w:sz w:val="20"/>
                <w:szCs w:val="20"/>
              </w:rPr>
              <w:t xml:space="preserve"> </w:t>
            </w:r>
          </w:p>
        </w:tc>
        <w:tc>
          <w:tcPr>
            <w:tcW w:w="709" w:type="dxa"/>
            <w:shd w:val="clear" w:color="auto" w:fill="BFBFBF" w:themeFill="background1" w:themeFillShade="BF"/>
          </w:tcPr>
          <w:p w14:paraId="0F1A79F7" w14:textId="170F6D44" w:rsidR="0093111F" w:rsidRPr="00A35800" w:rsidDel="00EE2BBB" w:rsidRDefault="0093111F" w:rsidP="00D93277">
            <w:pPr>
              <w:pStyle w:val="Tableheading"/>
              <w:rPr>
                <w:sz w:val="20"/>
                <w:szCs w:val="20"/>
              </w:rPr>
            </w:pPr>
            <w:proofErr w:type="spellStart"/>
            <w:r w:rsidRPr="00A35800" w:rsidDel="00EE2BBB">
              <w:rPr>
                <w:sz w:val="20"/>
                <w:szCs w:val="20"/>
              </w:rPr>
              <w:t>Rpts</w:t>
            </w:r>
            <w:proofErr w:type="spellEnd"/>
            <w:r w:rsidRPr="00A35800" w:rsidDel="00EE2BBB">
              <w:rPr>
                <w:sz w:val="20"/>
                <w:szCs w:val="20"/>
              </w:rPr>
              <w:t xml:space="preserve"> </w:t>
            </w:r>
          </w:p>
        </w:tc>
        <w:tc>
          <w:tcPr>
            <w:tcW w:w="1011" w:type="dxa"/>
            <w:shd w:val="clear" w:color="auto" w:fill="BFBFBF" w:themeFill="background1" w:themeFillShade="BF"/>
          </w:tcPr>
          <w:p w14:paraId="05C5A0BF" w14:textId="2CFF9AC9" w:rsidR="0093111F" w:rsidRPr="00A35800" w:rsidDel="00EE2BBB" w:rsidRDefault="0093111F" w:rsidP="00D93277">
            <w:pPr>
              <w:pStyle w:val="Tableheading"/>
              <w:rPr>
                <w:sz w:val="20"/>
                <w:szCs w:val="20"/>
              </w:rPr>
            </w:pPr>
            <w:r w:rsidRPr="00A35800" w:rsidDel="00EE2BBB">
              <w:rPr>
                <w:sz w:val="20"/>
                <w:szCs w:val="20"/>
              </w:rPr>
              <w:t>DPMQ</w:t>
            </w:r>
          </w:p>
        </w:tc>
        <w:tc>
          <w:tcPr>
            <w:tcW w:w="2104" w:type="dxa"/>
            <w:shd w:val="clear" w:color="auto" w:fill="BFBFBF" w:themeFill="background1" w:themeFillShade="BF"/>
          </w:tcPr>
          <w:p w14:paraId="09B472B7" w14:textId="479D46E2" w:rsidR="0093111F" w:rsidRPr="00A35800" w:rsidDel="00EE2BBB" w:rsidRDefault="0093111F" w:rsidP="00D93277">
            <w:pPr>
              <w:pStyle w:val="Tableheading"/>
              <w:rPr>
                <w:sz w:val="20"/>
                <w:szCs w:val="20"/>
              </w:rPr>
            </w:pPr>
            <w:r w:rsidRPr="00A35800" w:rsidDel="00EE2BBB">
              <w:rPr>
                <w:sz w:val="20"/>
                <w:szCs w:val="20"/>
              </w:rPr>
              <w:t>Brand name and manufacturer</w:t>
            </w:r>
          </w:p>
        </w:tc>
      </w:tr>
      <w:tr w:rsidR="007B2853" w:rsidRPr="00A35800" w:rsidDel="00EE2BBB" w14:paraId="2AF9D84B" w14:textId="0D323411" w:rsidTr="007B2853">
        <w:trPr>
          <w:trHeight w:val="552"/>
          <w:tblHeader/>
        </w:trPr>
        <w:tc>
          <w:tcPr>
            <w:tcW w:w="969" w:type="dxa"/>
            <w:shd w:val="clear" w:color="auto" w:fill="auto"/>
          </w:tcPr>
          <w:p w14:paraId="0A3E3442" w14:textId="21D86C06" w:rsidR="007B2853" w:rsidRPr="00A35800" w:rsidDel="00EE2BBB" w:rsidRDefault="007B2853" w:rsidP="00D93277">
            <w:pPr>
              <w:pStyle w:val="Tablewriting"/>
            </w:pPr>
            <w:r>
              <w:rPr>
                <w:rFonts w:ascii="Calibri" w:hAnsi="Calibri"/>
              </w:rPr>
              <w:t>12218C</w:t>
            </w:r>
          </w:p>
        </w:tc>
        <w:tc>
          <w:tcPr>
            <w:tcW w:w="3562" w:type="dxa"/>
            <w:shd w:val="clear" w:color="auto" w:fill="auto"/>
          </w:tcPr>
          <w:p w14:paraId="0F676F51" w14:textId="20FB9562" w:rsidR="007B2853" w:rsidRPr="007B2853" w:rsidDel="00EE2BBB" w:rsidRDefault="007B2853" w:rsidP="00D93277">
            <w:pPr>
              <w:pStyle w:val="Tablewriting"/>
              <w:rPr>
                <w:rFonts w:ascii="Calibri" w:hAnsi="Calibri"/>
              </w:rPr>
            </w:pPr>
            <w:r w:rsidRPr="00400BFC">
              <w:rPr>
                <w:rFonts w:ascii="Calibri" w:hAnsi="Calibri"/>
              </w:rPr>
              <w:t>apremilast 10 mg tablet [4] (&amp;) apremilast 20 mg tablet [4] (&amp;) apremilast 30 mg tablet [19], 27 </w:t>
            </w:r>
          </w:p>
        </w:tc>
        <w:tc>
          <w:tcPr>
            <w:tcW w:w="709" w:type="dxa"/>
            <w:shd w:val="clear" w:color="auto" w:fill="auto"/>
          </w:tcPr>
          <w:p w14:paraId="0E2637C4" w14:textId="62B77CBA" w:rsidR="007B2853" w:rsidRPr="00A35800" w:rsidDel="00EE2BBB" w:rsidRDefault="007B2853" w:rsidP="00D93277">
            <w:pPr>
              <w:pStyle w:val="Tablewriting"/>
              <w:jc w:val="center"/>
            </w:pPr>
            <w:r>
              <w:rPr>
                <w:rFonts w:ascii="Calibri" w:hAnsi="Calibri"/>
              </w:rPr>
              <w:t>1</w:t>
            </w:r>
          </w:p>
        </w:tc>
        <w:tc>
          <w:tcPr>
            <w:tcW w:w="709" w:type="dxa"/>
            <w:shd w:val="clear" w:color="auto" w:fill="auto"/>
          </w:tcPr>
          <w:p w14:paraId="6B361CAA" w14:textId="3438D944" w:rsidR="007B2853" w:rsidRPr="00A35800" w:rsidDel="00EE2BBB" w:rsidRDefault="007B2853" w:rsidP="00D93277">
            <w:pPr>
              <w:pStyle w:val="Tablewriting"/>
              <w:jc w:val="center"/>
            </w:pPr>
            <w:r>
              <w:rPr>
                <w:rFonts w:ascii="Calibri" w:hAnsi="Calibri"/>
              </w:rPr>
              <w:t>0</w:t>
            </w:r>
          </w:p>
        </w:tc>
        <w:tc>
          <w:tcPr>
            <w:tcW w:w="1011" w:type="dxa"/>
            <w:shd w:val="clear" w:color="auto" w:fill="auto"/>
          </w:tcPr>
          <w:p w14:paraId="15F68405" w14:textId="03F3DC8D" w:rsidR="007B2853" w:rsidRPr="00A35800" w:rsidDel="00EE2BBB" w:rsidRDefault="007B2853" w:rsidP="00D93277">
            <w:pPr>
              <w:pStyle w:val="Tablewriting"/>
              <w:jc w:val="center"/>
            </w:pPr>
            <w:r>
              <w:rPr>
                <w:rFonts w:ascii="Calibri" w:hAnsi="Calibri"/>
              </w:rPr>
              <w:t>$272.35</w:t>
            </w:r>
          </w:p>
        </w:tc>
        <w:tc>
          <w:tcPr>
            <w:tcW w:w="2104" w:type="dxa"/>
            <w:shd w:val="clear" w:color="auto" w:fill="auto"/>
          </w:tcPr>
          <w:p w14:paraId="3D60AE57" w14:textId="77777777" w:rsidR="007B2853" w:rsidRDefault="007B2853" w:rsidP="00D93277">
            <w:pPr>
              <w:autoSpaceDE w:val="0"/>
              <w:autoSpaceDN w:val="0"/>
              <w:adjustRightInd w:val="0"/>
              <w:spacing w:before="60" w:after="60"/>
              <w:rPr>
                <w:rFonts w:ascii="Calibri" w:hAnsi="Calibri" w:cs="Calibri"/>
                <w:color w:val="000000"/>
                <w:sz w:val="20"/>
                <w:szCs w:val="20"/>
              </w:rPr>
            </w:pPr>
            <w:r>
              <w:rPr>
                <w:rFonts w:ascii="Calibri" w:hAnsi="Calibri" w:cs="Calibri"/>
                <w:color w:val="000000"/>
                <w:sz w:val="20"/>
                <w:szCs w:val="20"/>
              </w:rPr>
              <w:t>Otezla®</w:t>
            </w:r>
          </w:p>
          <w:p w14:paraId="2D337AC6" w14:textId="410D2462" w:rsidR="007B2853" w:rsidRPr="00A35800" w:rsidDel="00EE2BBB" w:rsidRDefault="007B2853" w:rsidP="00D93277">
            <w:pPr>
              <w:pStyle w:val="Tablewriting"/>
            </w:pPr>
            <w:r>
              <w:rPr>
                <w:rFonts w:ascii="Calibri" w:hAnsi="Calibri"/>
              </w:rPr>
              <w:t xml:space="preserve">Amgen Australia Pty Limited </w:t>
            </w:r>
          </w:p>
        </w:tc>
      </w:tr>
      <w:tr w:rsidR="007B2853" w:rsidRPr="00A35800" w:rsidDel="00EE2BBB" w14:paraId="5A26F6DA" w14:textId="5F9D4936" w:rsidTr="007B2853">
        <w:trPr>
          <w:trHeight w:val="546"/>
          <w:tblHeader/>
        </w:trPr>
        <w:tc>
          <w:tcPr>
            <w:tcW w:w="969" w:type="dxa"/>
            <w:shd w:val="clear" w:color="auto" w:fill="auto"/>
          </w:tcPr>
          <w:p w14:paraId="76F26606" w14:textId="3039A935" w:rsidR="007B2853" w:rsidRPr="00A35800" w:rsidDel="00EE2BBB" w:rsidRDefault="007B2853" w:rsidP="00D93277">
            <w:pPr>
              <w:pStyle w:val="Tablewriting"/>
            </w:pPr>
            <w:r>
              <w:rPr>
                <w:rFonts w:ascii="Calibri" w:hAnsi="Calibri"/>
              </w:rPr>
              <w:t>12223H</w:t>
            </w:r>
          </w:p>
        </w:tc>
        <w:tc>
          <w:tcPr>
            <w:tcW w:w="3562" w:type="dxa"/>
            <w:shd w:val="clear" w:color="auto" w:fill="auto"/>
          </w:tcPr>
          <w:p w14:paraId="4C40F7E7" w14:textId="2F1D156B" w:rsidR="007B2853" w:rsidRPr="00A35800" w:rsidDel="00EE2BBB" w:rsidRDefault="007B2853" w:rsidP="00D93277">
            <w:pPr>
              <w:pStyle w:val="Tablewriting"/>
            </w:pPr>
            <w:r w:rsidRPr="00400BFC">
              <w:rPr>
                <w:rFonts w:ascii="Calibri" w:hAnsi="Calibri"/>
              </w:rPr>
              <w:t>apremilast 30 mg tablet, 56</w:t>
            </w:r>
          </w:p>
        </w:tc>
        <w:tc>
          <w:tcPr>
            <w:tcW w:w="709" w:type="dxa"/>
            <w:shd w:val="clear" w:color="auto" w:fill="auto"/>
          </w:tcPr>
          <w:p w14:paraId="73733F58" w14:textId="09CB886F" w:rsidR="007B2853" w:rsidRPr="00A35800" w:rsidDel="00EE2BBB" w:rsidRDefault="007B2853" w:rsidP="00D93277">
            <w:pPr>
              <w:pStyle w:val="Tablewriting"/>
              <w:jc w:val="center"/>
            </w:pPr>
            <w:r>
              <w:rPr>
                <w:rFonts w:ascii="Calibri" w:hAnsi="Calibri"/>
              </w:rPr>
              <w:t>56</w:t>
            </w:r>
          </w:p>
        </w:tc>
        <w:tc>
          <w:tcPr>
            <w:tcW w:w="709" w:type="dxa"/>
            <w:shd w:val="clear" w:color="auto" w:fill="auto"/>
          </w:tcPr>
          <w:p w14:paraId="2751F86C" w14:textId="603DC6A4" w:rsidR="007B2853" w:rsidRPr="00A35800" w:rsidDel="00EE2BBB" w:rsidRDefault="007B2853" w:rsidP="00D93277">
            <w:pPr>
              <w:pStyle w:val="Tablewriting"/>
              <w:jc w:val="center"/>
            </w:pPr>
            <w:r>
              <w:rPr>
                <w:rFonts w:ascii="Calibri" w:hAnsi="Calibri"/>
              </w:rPr>
              <w:t>5</w:t>
            </w:r>
          </w:p>
        </w:tc>
        <w:tc>
          <w:tcPr>
            <w:tcW w:w="1011" w:type="dxa"/>
            <w:shd w:val="clear" w:color="auto" w:fill="auto"/>
          </w:tcPr>
          <w:p w14:paraId="0EB41EFB" w14:textId="3CFA63E2" w:rsidR="007B2853" w:rsidRPr="00A35800" w:rsidDel="00EE2BBB" w:rsidRDefault="007B2853" w:rsidP="00D93277">
            <w:pPr>
              <w:pStyle w:val="Tablewriting"/>
              <w:jc w:val="center"/>
            </w:pPr>
            <w:r>
              <w:rPr>
                <w:rFonts w:ascii="Calibri" w:hAnsi="Calibri"/>
              </w:rPr>
              <w:t>$652.86</w:t>
            </w:r>
          </w:p>
        </w:tc>
        <w:tc>
          <w:tcPr>
            <w:tcW w:w="2104" w:type="dxa"/>
            <w:shd w:val="clear" w:color="auto" w:fill="auto"/>
          </w:tcPr>
          <w:p w14:paraId="705D03C0" w14:textId="77777777" w:rsidR="007B2853" w:rsidRDefault="007B2853" w:rsidP="00D93277">
            <w:pPr>
              <w:autoSpaceDE w:val="0"/>
              <w:autoSpaceDN w:val="0"/>
              <w:adjustRightInd w:val="0"/>
              <w:spacing w:before="60" w:after="60"/>
              <w:rPr>
                <w:rFonts w:ascii="Calibri" w:hAnsi="Calibri" w:cs="Calibri"/>
                <w:color w:val="000000"/>
                <w:sz w:val="20"/>
                <w:szCs w:val="20"/>
              </w:rPr>
            </w:pPr>
            <w:r>
              <w:rPr>
                <w:rFonts w:ascii="Calibri" w:hAnsi="Calibri" w:cs="Calibri"/>
                <w:color w:val="000000"/>
                <w:sz w:val="20"/>
                <w:szCs w:val="20"/>
              </w:rPr>
              <w:t>Otezla®</w:t>
            </w:r>
          </w:p>
          <w:p w14:paraId="2F152B32" w14:textId="3B65CE7E" w:rsidR="007B2853" w:rsidRPr="00A35800" w:rsidDel="00EE2BBB" w:rsidRDefault="007B2853" w:rsidP="00D93277">
            <w:pPr>
              <w:pStyle w:val="Tablewriting"/>
            </w:pPr>
            <w:r>
              <w:rPr>
                <w:rFonts w:ascii="Calibri" w:hAnsi="Calibri"/>
              </w:rPr>
              <w:t>Amgen Australia Pty Limited</w:t>
            </w:r>
          </w:p>
        </w:tc>
      </w:tr>
    </w:tbl>
    <w:p w14:paraId="3DA764DD" w14:textId="77777777" w:rsidR="00AC4F69" w:rsidRDefault="007408C7" w:rsidP="00BB1D3B">
      <w:pPr>
        <w:pStyle w:val="Notes"/>
      </w:pPr>
      <w:r w:rsidRPr="00A35800" w:rsidDel="00EE2BBB">
        <w:t xml:space="preserve">Source: </w:t>
      </w:r>
      <w:r w:rsidR="001624D7" w:rsidDel="00EE2BBB">
        <w:t xml:space="preserve">the </w:t>
      </w:r>
      <w:hyperlink r:id="rId10" w:history="1">
        <w:r w:rsidR="001624D7" w:rsidRPr="001624D7" w:rsidDel="00EE2BBB">
          <w:rPr>
            <w:rStyle w:val="Hyperlink"/>
          </w:rPr>
          <w:t>PBS website</w:t>
        </w:r>
      </w:hyperlink>
      <w:r w:rsidR="001624D7" w:rsidDel="00EE2BBB">
        <w:t>.</w:t>
      </w:r>
      <w:r w:rsidR="0080485E" w:rsidDel="00EE2BBB">
        <w:t xml:space="preserve">  </w:t>
      </w:r>
    </w:p>
    <w:p w14:paraId="0F37CEF2" w14:textId="77777777" w:rsidR="00AC4F69" w:rsidRDefault="00AC4F69" w:rsidP="00BB1D3B">
      <w:pPr>
        <w:pStyle w:val="Notes"/>
      </w:pPr>
      <w:r>
        <w:t xml:space="preserve">Notes: </w:t>
      </w:r>
    </w:p>
    <w:p w14:paraId="1183F151" w14:textId="70B1E3A6" w:rsidR="007247B9" w:rsidRDefault="00AC4F69" w:rsidP="00AC4F69">
      <w:pPr>
        <w:pStyle w:val="Notes"/>
        <w:numPr>
          <w:ilvl w:val="0"/>
          <w:numId w:val="12"/>
        </w:numPr>
      </w:pPr>
      <w:r>
        <w:t xml:space="preserve">No increase in the maximum quantity or number of units may be authorised. </w:t>
      </w:r>
    </w:p>
    <w:p w14:paraId="73775C86" w14:textId="2D847347" w:rsidR="00AC4F69" w:rsidRDefault="00AC4F69" w:rsidP="00AC4F69">
      <w:pPr>
        <w:pStyle w:val="Notes"/>
        <w:numPr>
          <w:ilvl w:val="0"/>
          <w:numId w:val="12"/>
        </w:numPr>
      </w:pPr>
      <w:r>
        <w:t xml:space="preserve">No increase in the maximum number of repeats may be authorised. </w:t>
      </w:r>
    </w:p>
    <w:p w14:paraId="4F922368" w14:textId="448816A3" w:rsidR="00424E26" w:rsidRPr="00A35800" w:rsidDel="00EE2BBB" w:rsidRDefault="00AC4F69" w:rsidP="000E2123">
      <w:pPr>
        <w:pStyle w:val="Notes"/>
        <w:numPr>
          <w:ilvl w:val="0"/>
          <w:numId w:val="12"/>
        </w:numPr>
      </w:pPr>
      <w:r>
        <w:t xml:space="preserve">Special Pricing Arrangements apply. </w:t>
      </w:r>
    </w:p>
    <w:p w14:paraId="1AFA1485" w14:textId="3186A599" w:rsidR="004C3186" w:rsidDel="00EE2BBB" w:rsidRDefault="004C3186" w:rsidP="00CF5E22">
      <w:pPr>
        <w:pStyle w:val="Heading3"/>
      </w:pPr>
      <w:r w:rsidDel="00EE2BBB">
        <w:t>Restriction</w:t>
      </w:r>
    </w:p>
    <w:p w14:paraId="0E090CF7" w14:textId="7E5EAC3A" w:rsidR="00AC4F69" w:rsidRPr="00AC4F69" w:rsidRDefault="00AC4F69" w:rsidP="007B2853">
      <w:r w:rsidRPr="00AC4F69">
        <w:t xml:space="preserve">Apremilast is </w:t>
      </w:r>
      <w:r w:rsidR="00390509">
        <w:t>PBS list</w:t>
      </w:r>
      <w:r w:rsidRPr="00AC4F69">
        <w:t xml:space="preserve">ed as an Authority Required (STREAMLINED) listing for severe chronic plaque psoriasis. </w:t>
      </w:r>
    </w:p>
    <w:p w14:paraId="4A13CAF9" w14:textId="14294357" w:rsidR="007B2853" w:rsidRPr="007B2853" w:rsidRDefault="007B2853" w:rsidP="007B2853">
      <w:r w:rsidRPr="007B2853">
        <w:rPr>
          <w:b/>
          <w:bCs/>
        </w:rPr>
        <w:t>Clinical criteria:</w:t>
      </w:r>
    </w:p>
    <w:p w14:paraId="745E8ED7" w14:textId="77777777" w:rsidR="007B2853" w:rsidRPr="007B2853" w:rsidRDefault="007B2853" w:rsidP="007B2853">
      <w:pPr>
        <w:numPr>
          <w:ilvl w:val="0"/>
          <w:numId w:val="4"/>
        </w:numPr>
      </w:pPr>
      <w:r w:rsidRPr="007B2853">
        <w:t>Patient must have failed to achieve an adequate response after at least 6 weeks of treatment with methotrexate prior to initiating treatment with this drug; OR</w:t>
      </w:r>
    </w:p>
    <w:p w14:paraId="6A9ACCE2" w14:textId="77777777" w:rsidR="007B2853" w:rsidRPr="007B2853" w:rsidRDefault="007B2853" w:rsidP="007B2853">
      <w:pPr>
        <w:numPr>
          <w:ilvl w:val="0"/>
          <w:numId w:val="4"/>
        </w:numPr>
      </w:pPr>
      <w:r w:rsidRPr="007B2853">
        <w:t xml:space="preserve">Patient must have a contraindication to methotrexate according to the Therapeutic Goods Administration (TGA) approved Product </w:t>
      </w:r>
      <w:proofErr w:type="gramStart"/>
      <w:r w:rsidRPr="007B2853">
        <w:t>Information;</w:t>
      </w:r>
      <w:proofErr w:type="gramEnd"/>
      <w:r w:rsidRPr="007B2853">
        <w:t xml:space="preserve"> OR</w:t>
      </w:r>
    </w:p>
    <w:p w14:paraId="4FB2E0D4" w14:textId="77777777" w:rsidR="007B2853" w:rsidRPr="007B2853" w:rsidRDefault="007B2853" w:rsidP="007B2853">
      <w:pPr>
        <w:numPr>
          <w:ilvl w:val="0"/>
          <w:numId w:val="4"/>
        </w:numPr>
      </w:pPr>
      <w:r w:rsidRPr="007B2853">
        <w:t>Patient must have demonstrated severe intolerance of, or toxicity due to, methotrexate,</w:t>
      </w:r>
    </w:p>
    <w:p w14:paraId="1C67FFFB" w14:textId="77777777" w:rsidR="007B2853" w:rsidRPr="007B2853" w:rsidRDefault="007B2853" w:rsidP="007B2853">
      <w:r w:rsidRPr="007B2853">
        <w:rPr>
          <w:b/>
          <w:bCs/>
        </w:rPr>
        <w:t>AND</w:t>
      </w:r>
    </w:p>
    <w:p w14:paraId="5CD4074A" w14:textId="77777777" w:rsidR="007B2853" w:rsidRPr="007B2853" w:rsidRDefault="007B2853" w:rsidP="007B2853">
      <w:pPr>
        <w:numPr>
          <w:ilvl w:val="0"/>
          <w:numId w:val="5"/>
        </w:numPr>
      </w:pPr>
      <w:r w:rsidRPr="007B2853">
        <w:t>The condition must have caused significant interference with quality of life,</w:t>
      </w:r>
    </w:p>
    <w:p w14:paraId="4D288A2F" w14:textId="77777777" w:rsidR="007B2853" w:rsidRPr="007B2853" w:rsidRDefault="007B2853" w:rsidP="007B2853">
      <w:r w:rsidRPr="007B2853">
        <w:rPr>
          <w:b/>
          <w:bCs/>
        </w:rPr>
        <w:t>AND</w:t>
      </w:r>
    </w:p>
    <w:p w14:paraId="274A00EC" w14:textId="77777777" w:rsidR="007B2853" w:rsidRPr="007B2853" w:rsidRDefault="007B2853" w:rsidP="007B2853">
      <w:pPr>
        <w:numPr>
          <w:ilvl w:val="0"/>
          <w:numId w:val="6"/>
        </w:numPr>
      </w:pPr>
      <w:r w:rsidRPr="007B2853">
        <w:t>Patient must not be undergoing concurrent PBS-subsidised treatment for psoriasis with each of: (</w:t>
      </w:r>
      <w:proofErr w:type="spellStart"/>
      <w:r w:rsidRPr="007B2853">
        <w:t>i</w:t>
      </w:r>
      <w:proofErr w:type="spellEnd"/>
      <w:r w:rsidRPr="007B2853">
        <w:t>) a biological medicine, (ii) ciclosporin.</w:t>
      </w:r>
    </w:p>
    <w:p w14:paraId="5D121B06" w14:textId="77777777" w:rsidR="007B2853" w:rsidRPr="007B2853" w:rsidRDefault="007B2853" w:rsidP="007B2853">
      <w:r w:rsidRPr="007B2853">
        <w:rPr>
          <w:b/>
          <w:bCs/>
        </w:rPr>
        <w:t>Treatment criteria:</w:t>
      </w:r>
    </w:p>
    <w:p w14:paraId="1AA3A55A" w14:textId="77777777" w:rsidR="007B2853" w:rsidRPr="007B2853" w:rsidRDefault="007B2853" w:rsidP="007B2853">
      <w:pPr>
        <w:numPr>
          <w:ilvl w:val="0"/>
          <w:numId w:val="7"/>
        </w:numPr>
      </w:pPr>
      <w:r w:rsidRPr="007B2853">
        <w:t>Must be treated by a medical practitioner who is either: (</w:t>
      </w:r>
      <w:proofErr w:type="spellStart"/>
      <w:r w:rsidRPr="007B2853">
        <w:t>i</w:t>
      </w:r>
      <w:proofErr w:type="spellEnd"/>
      <w:r w:rsidRPr="007B2853">
        <w:t>) a dermatologist, (ii) an accredited dermatology registrar in consultation with a dermatologist; OR</w:t>
      </w:r>
    </w:p>
    <w:p w14:paraId="130B1DF4" w14:textId="77777777" w:rsidR="007B2853" w:rsidRPr="007B2853" w:rsidRDefault="007B2853" w:rsidP="007B2853">
      <w:pPr>
        <w:numPr>
          <w:ilvl w:val="0"/>
          <w:numId w:val="7"/>
        </w:numPr>
      </w:pPr>
      <w:r w:rsidRPr="007B2853">
        <w:lastRenderedPageBreak/>
        <w:t>Must be treated by a general practitioner who has been directed to continue treatment (not initiate treatment) by one of the above practitioner types.</w:t>
      </w:r>
    </w:p>
    <w:p w14:paraId="2C88CC38" w14:textId="77777777" w:rsidR="007B2853" w:rsidRPr="007B2853" w:rsidRDefault="007B2853" w:rsidP="007B2853">
      <w:r w:rsidRPr="007B2853">
        <w:rPr>
          <w:b/>
          <w:bCs/>
        </w:rPr>
        <w:t>Population criteria:</w:t>
      </w:r>
    </w:p>
    <w:p w14:paraId="758197A8" w14:textId="55C18868" w:rsidR="007B2853" w:rsidRPr="007B2853" w:rsidDel="00EE2BBB" w:rsidRDefault="007B2853" w:rsidP="00A35800">
      <w:pPr>
        <w:numPr>
          <w:ilvl w:val="0"/>
          <w:numId w:val="8"/>
        </w:numPr>
      </w:pPr>
      <w:r w:rsidRPr="007B2853">
        <w:t>Patient must be at least 18 years of age.</w:t>
      </w:r>
    </w:p>
    <w:p w14:paraId="71A46BDF" w14:textId="188A6B0B" w:rsidR="000E3F21" w:rsidRDefault="006775F1" w:rsidP="00A35800">
      <w:pPr>
        <w:rPr>
          <w:rStyle w:val="Hyperlink"/>
        </w:rPr>
      </w:pPr>
      <w:r w:rsidRPr="006775F1" w:rsidDel="00EE2BBB">
        <w:t xml:space="preserve">For </w:t>
      </w:r>
      <w:r w:rsidR="00835337" w:rsidDel="00EE2BBB">
        <w:t xml:space="preserve">details of the current PBS listing </w:t>
      </w:r>
      <w:r w:rsidR="00133252">
        <w:t xml:space="preserve">of apremilast and CPP </w:t>
      </w:r>
      <w:r w:rsidR="00390509">
        <w:t>PBS list</w:t>
      </w:r>
      <w:r w:rsidR="003A4A6C">
        <w:t xml:space="preserve">ed medicines, </w:t>
      </w:r>
      <w:r w:rsidR="00835337" w:rsidDel="00EE2BBB">
        <w:t xml:space="preserve">refer to the </w:t>
      </w:r>
      <w:hyperlink r:id="rId11" w:history="1">
        <w:r w:rsidR="00835337" w:rsidRPr="00645D51" w:rsidDel="00EE2BBB">
          <w:rPr>
            <w:rStyle w:val="Hyperlink"/>
          </w:rPr>
          <w:t>PBS website</w:t>
        </w:r>
      </w:hyperlink>
      <w:r w:rsidR="00835337" w:rsidDel="00EE2BBB">
        <w:rPr>
          <w:rStyle w:val="Hyperlink"/>
        </w:rPr>
        <w:t>.</w:t>
      </w:r>
    </w:p>
    <w:p w14:paraId="52AC6692" w14:textId="7482C9BC" w:rsidR="003A4A6C" w:rsidRDefault="003A4A6C" w:rsidP="003A4A6C">
      <w:pPr>
        <w:pStyle w:val="Heading3"/>
      </w:pPr>
      <w:r>
        <w:t>Date of listing on the PBS</w:t>
      </w:r>
    </w:p>
    <w:p w14:paraId="71EF70C8" w14:textId="3B00A7B7" w:rsidR="003A4A6C" w:rsidRPr="003A4A6C" w:rsidDel="00EE2BBB" w:rsidRDefault="003A4A6C" w:rsidP="00A35800">
      <w:r>
        <w:t xml:space="preserve">Apremilast was </w:t>
      </w:r>
      <w:r w:rsidR="00390509">
        <w:t>PBS list</w:t>
      </w:r>
      <w:r>
        <w:t xml:space="preserve">ed for CPP </w:t>
      </w:r>
      <w:r w:rsidR="00004BDC">
        <w:t>on</w:t>
      </w:r>
      <w:r>
        <w:t xml:space="preserve"> 1 January 2021. </w:t>
      </w:r>
      <w:r w:rsidR="003A715A">
        <w:t xml:space="preserve">The listing history of CPP </w:t>
      </w:r>
      <w:r w:rsidR="00390509">
        <w:t>PBS list</w:t>
      </w:r>
      <w:r w:rsidR="003A715A">
        <w:t xml:space="preserve">ed medicines can be found in Appendix A. </w:t>
      </w:r>
    </w:p>
    <w:p w14:paraId="39EF75ED" w14:textId="73256AB5" w:rsidR="00675BB1" w:rsidRPr="00675BB1" w:rsidDel="00EE2BBB" w:rsidRDefault="00675BB1" w:rsidP="00CF5E22">
      <w:pPr>
        <w:pStyle w:val="Heading3"/>
      </w:pPr>
      <w:r w:rsidRPr="00675BB1" w:rsidDel="00EE2BBB">
        <w:t>Changes to listing</w:t>
      </w:r>
    </w:p>
    <w:p w14:paraId="5B23A25F" w14:textId="76FEE184" w:rsidR="007B2853" w:rsidDel="00EE2BBB" w:rsidRDefault="007B2853" w:rsidP="00A35800">
      <w:r w:rsidRPr="00BF4E38">
        <w:rPr>
          <w:rFonts w:cstheme="minorHAnsi"/>
          <w:b/>
          <w:bCs/>
        </w:rPr>
        <w:t>September 2022</w:t>
      </w:r>
      <w:r w:rsidR="00BF4E38" w:rsidRPr="00BF4E38">
        <w:rPr>
          <w:rFonts w:cstheme="minorHAnsi"/>
          <w:b/>
          <w:bCs/>
        </w:rPr>
        <w:t xml:space="preserve">: </w:t>
      </w:r>
      <w:r w:rsidRPr="009C4982">
        <w:rPr>
          <w:rFonts w:cstheme="minorHAnsi"/>
        </w:rPr>
        <w:t>Extension of</w:t>
      </w:r>
      <w:r w:rsidR="00BF4E38">
        <w:rPr>
          <w:rFonts w:cstheme="minorHAnsi"/>
        </w:rPr>
        <w:t xml:space="preserve"> apremilast</w:t>
      </w:r>
      <w:r w:rsidR="00B57786">
        <w:rPr>
          <w:rFonts w:cstheme="minorHAnsi"/>
        </w:rPr>
        <w:t>’s</w:t>
      </w:r>
      <w:r w:rsidRPr="009C4982">
        <w:rPr>
          <w:rFonts w:cstheme="minorHAnsi"/>
        </w:rPr>
        <w:t xml:space="preserve"> listing to</w:t>
      </w:r>
      <w:r w:rsidR="00BF4E38">
        <w:rPr>
          <w:rFonts w:cstheme="minorHAnsi"/>
        </w:rPr>
        <w:t xml:space="preserve"> </w:t>
      </w:r>
      <w:r w:rsidR="00BF4E38">
        <w:t xml:space="preserve">allow accredited dermatology registrars to initiate treatment in consultation with a dermatologist and to allow general practitioners to prescribe maintenance treatment in consultation with a dermatologist or accredited dermatology registrar. This was recommended at the May 2022 PBAC meeting. </w:t>
      </w:r>
    </w:p>
    <w:p w14:paraId="240406DE" w14:textId="498834BC" w:rsidR="003A5EC1" w:rsidRPr="002F61CA" w:rsidDel="00EE2BBB" w:rsidRDefault="00BF544D" w:rsidP="00BF544D">
      <w:r w:rsidRPr="002F61CA" w:rsidDel="00EE2BBB">
        <w:t xml:space="preserve">Current PBS listing details are available from </w:t>
      </w:r>
      <w:r w:rsidDel="00EE2BBB">
        <w:t xml:space="preserve">the </w:t>
      </w:r>
      <w:hyperlink r:id="rId12" w:history="1">
        <w:r w:rsidRPr="00645D51" w:rsidDel="00EE2BBB">
          <w:rPr>
            <w:rStyle w:val="Hyperlink"/>
          </w:rPr>
          <w:t>PBS website</w:t>
        </w:r>
      </w:hyperlink>
      <w:r w:rsidDel="00EE2BBB">
        <w:t>.</w:t>
      </w:r>
    </w:p>
    <w:p w14:paraId="47C165DD" w14:textId="77777777" w:rsidR="006A2786" w:rsidRDefault="006A2786">
      <w:pPr>
        <w:spacing w:line="276" w:lineRule="auto"/>
        <w:rPr>
          <w:b/>
          <w:sz w:val="28"/>
        </w:rPr>
      </w:pPr>
      <w:r>
        <w:br w:type="page"/>
      </w:r>
    </w:p>
    <w:p w14:paraId="61FD42EA" w14:textId="059888B6" w:rsidR="000B0887" w:rsidRPr="000B0887" w:rsidRDefault="00394AEE" w:rsidP="000B0887">
      <w:pPr>
        <w:pStyle w:val="Heading2"/>
      </w:pPr>
      <w:r>
        <w:lastRenderedPageBreak/>
        <w:t>Relevant aspects of</w:t>
      </w:r>
      <w:r w:rsidR="00736041" w:rsidRPr="005E22C2">
        <w:t xml:space="preserve"> consideration</w:t>
      </w:r>
      <w:r>
        <w:t xml:space="preserve"> by the Pharmaceutical Benefits Advisory Committee (PBAC)</w:t>
      </w:r>
    </w:p>
    <w:p w14:paraId="667E4382" w14:textId="7C895B4C" w:rsidR="003A5EC1" w:rsidRDefault="00321C6A" w:rsidP="00321C6A">
      <w:r>
        <w:t xml:space="preserve">The PBAC has considered </w:t>
      </w:r>
      <w:r w:rsidR="00FE4A96">
        <w:t>7</w:t>
      </w:r>
      <w:r>
        <w:t xml:space="preserve"> submissions for apremilast for </w:t>
      </w:r>
      <w:r w:rsidR="00CE5CEC">
        <w:t xml:space="preserve">the treatment of </w:t>
      </w:r>
      <w:r w:rsidR="003A5EC1">
        <w:t>CPP</w:t>
      </w:r>
      <w:r>
        <w:t xml:space="preserve">. </w:t>
      </w:r>
    </w:p>
    <w:p w14:paraId="4227A671" w14:textId="16909767" w:rsidR="00605493" w:rsidRPr="0035132E" w:rsidRDefault="0035132E" w:rsidP="0035132E">
      <w:pPr>
        <w:pStyle w:val="Tabletitle"/>
        <w:spacing w:before="200"/>
      </w:pPr>
      <w:r w:rsidRPr="001420B3" w:rsidDel="00EE2BBB">
        <w:t xml:space="preserve">Table </w:t>
      </w:r>
      <w:r>
        <w:t>3</w:t>
      </w:r>
      <w:r w:rsidRPr="001420B3" w:rsidDel="00EE2BBB">
        <w:t xml:space="preserve">: </w:t>
      </w:r>
      <w:r>
        <w:t xml:space="preserve">Previous PBAC considerations for apremilast for CPP </w:t>
      </w:r>
    </w:p>
    <w:tbl>
      <w:tblPr>
        <w:tblStyle w:val="TableGrid"/>
        <w:tblW w:w="0" w:type="auto"/>
        <w:tblInd w:w="-5" w:type="dxa"/>
        <w:tblLook w:val="04A0" w:firstRow="1" w:lastRow="0" w:firstColumn="1" w:lastColumn="0" w:noHBand="0" w:noVBand="1"/>
        <w:tblCaption w:val="Table 2"/>
      </w:tblPr>
      <w:tblGrid>
        <w:gridCol w:w="1355"/>
        <w:gridCol w:w="3253"/>
        <w:gridCol w:w="983"/>
        <w:gridCol w:w="3361"/>
      </w:tblGrid>
      <w:tr w:rsidR="00605493" w:rsidRPr="003D0904" w14:paraId="61F82108" w14:textId="77777777" w:rsidTr="00CE5CEC">
        <w:trPr>
          <w:tblHeader/>
        </w:trPr>
        <w:tc>
          <w:tcPr>
            <w:tcW w:w="1365" w:type="dxa"/>
            <w:shd w:val="clear" w:color="auto" w:fill="BFBFBF" w:themeFill="background1" w:themeFillShade="BF"/>
          </w:tcPr>
          <w:p w14:paraId="06292282" w14:textId="77777777" w:rsidR="00605493" w:rsidRPr="00D93277" w:rsidRDefault="00605493" w:rsidP="00D93277">
            <w:pPr>
              <w:pStyle w:val="TableText"/>
              <w:spacing w:before="60" w:after="60"/>
              <w:rPr>
                <w:rFonts w:asciiTheme="minorHAnsi" w:hAnsiTheme="minorHAnsi" w:cstheme="minorHAnsi"/>
                <w:b/>
              </w:rPr>
            </w:pPr>
            <w:r w:rsidRPr="00D93277">
              <w:rPr>
                <w:rFonts w:asciiTheme="minorHAnsi" w:hAnsiTheme="minorHAnsi" w:cstheme="minorHAnsi"/>
                <w:b/>
              </w:rPr>
              <w:t>Meeting date</w:t>
            </w:r>
          </w:p>
        </w:tc>
        <w:tc>
          <w:tcPr>
            <w:tcW w:w="3313" w:type="dxa"/>
            <w:shd w:val="clear" w:color="auto" w:fill="BFBFBF" w:themeFill="background1" w:themeFillShade="BF"/>
          </w:tcPr>
          <w:p w14:paraId="731D8674" w14:textId="77777777" w:rsidR="00605493" w:rsidRPr="00D93277" w:rsidRDefault="00605493" w:rsidP="00D93277">
            <w:pPr>
              <w:pStyle w:val="TableText"/>
              <w:spacing w:before="60" w:after="60"/>
              <w:rPr>
                <w:rFonts w:asciiTheme="minorHAnsi" w:hAnsiTheme="minorHAnsi" w:cstheme="minorHAnsi"/>
                <w:b/>
              </w:rPr>
            </w:pPr>
            <w:r w:rsidRPr="00D93277">
              <w:rPr>
                <w:rFonts w:asciiTheme="minorHAnsi" w:hAnsiTheme="minorHAnsi" w:cstheme="minorHAnsi"/>
                <w:b/>
              </w:rPr>
              <w:t>Request</w:t>
            </w:r>
          </w:p>
        </w:tc>
        <w:tc>
          <w:tcPr>
            <w:tcW w:w="851" w:type="dxa"/>
            <w:shd w:val="clear" w:color="auto" w:fill="BFBFBF" w:themeFill="background1" w:themeFillShade="BF"/>
          </w:tcPr>
          <w:p w14:paraId="4EBBF6F1" w14:textId="77777777" w:rsidR="00605493" w:rsidRPr="00D93277" w:rsidRDefault="00605493" w:rsidP="00D93277">
            <w:pPr>
              <w:pStyle w:val="TableText"/>
              <w:spacing w:before="60" w:after="60"/>
              <w:rPr>
                <w:rFonts w:asciiTheme="minorHAnsi" w:hAnsiTheme="minorHAnsi" w:cstheme="minorHAnsi"/>
                <w:b/>
              </w:rPr>
            </w:pPr>
            <w:r w:rsidRPr="00D93277">
              <w:rPr>
                <w:rFonts w:asciiTheme="minorHAnsi" w:hAnsiTheme="minorHAnsi" w:cstheme="minorHAnsi"/>
                <w:b/>
              </w:rPr>
              <w:t>Outcome</w:t>
            </w:r>
          </w:p>
        </w:tc>
        <w:tc>
          <w:tcPr>
            <w:tcW w:w="3423" w:type="dxa"/>
            <w:shd w:val="clear" w:color="auto" w:fill="BFBFBF" w:themeFill="background1" w:themeFillShade="BF"/>
          </w:tcPr>
          <w:p w14:paraId="1BFD5D7C" w14:textId="77777777" w:rsidR="00605493" w:rsidRPr="00D93277" w:rsidRDefault="00605493" w:rsidP="00D93277">
            <w:pPr>
              <w:pStyle w:val="TableText"/>
              <w:spacing w:before="60" w:after="60"/>
              <w:rPr>
                <w:rFonts w:asciiTheme="minorHAnsi" w:hAnsiTheme="minorHAnsi" w:cstheme="minorHAnsi"/>
                <w:b/>
              </w:rPr>
            </w:pPr>
            <w:r w:rsidRPr="00D93277">
              <w:rPr>
                <w:rFonts w:asciiTheme="minorHAnsi" w:hAnsiTheme="minorHAnsi" w:cstheme="minorHAnsi"/>
                <w:b/>
              </w:rPr>
              <w:t>Detail</w:t>
            </w:r>
          </w:p>
        </w:tc>
      </w:tr>
      <w:tr w:rsidR="00605493" w:rsidRPr="003D0904" w14:paraId="36A6AFD8" w14:textId="77777777" w:rsidTr="00CE5CEC">
        <w:tc>
          <w:tcPr>
            <w:tcW w:w="1365" w:type="dxa"/>
          </w:tcPr>
          <w:p w14:paraId="07181896" w14:textId="77777777" w:rsidR="00605493" w:rsidRPr="00D93277" w:rsidRDefault="00605493" w:rsidP="00D93277">
            <w:pPr>
              <w:pStyle w:val="TableText"/>
              <w:spacing w:before="60" w:after="60"/>
              <w:rPr>
                <w:rFonts w:asciiTheme="minorHAnsi" w:hAnsiTheme="minorHAnsi" w:cstheme="minorHAnsi"/>
                <w:szCs w:val="20"/>
              </w:rPr>
            </w:pPr>
            <w:r w:rsidRPr="00D93277">
              <w:rPr>
                <w:rFonts w:asciiTheme="minorHAnsi" w:hAnsiTheme="minorHAnsi" w:cstheme="minorHAnsi"/>
                <w:szCs w:val="20"/>
              </w:rPr>
              <w:t>March 2015</w:t>
            </w:r>
          </w:p>
        </w:tc>
        <w:tc>
          <w:tcPr>
            <w:tcW w:w="3313" w:type="dxa"/>
          </w:tcPr>
          <w:p w14:paraId="4273DC74" w14:textId="77777777" w:rsidR="00605493" w:rsidRPr="00D93277" w:rsidRDefault="00605493" w:rsidP="00D93277">
            <w:pPr>
              <w:pStyle w:val="TableText"/>
              <w:spacing w:before="60" w:after="60"/>
              <w:rPr>
                <w:rFonts w:asciiTheme="minorHAnsi" w:hAnsiTheme="minorHAnsi" w:cstheme="minorHAnsi"/>
                <w:szCs w:val="20"/>
              </w:rPr>
            </w:pPr>
            <w:r w:rsidRPr="00D93277">
              <w:rPr>
                <w:rFonts w:asciiTheme="minorHAnsi" w:hAnsiTheme="minorHAnsi" w:cstheme="minorHAnsi"/>
                <w:szCs w:val="20"/>
              </w:rPr>
              <w:t xml:space="preserve">Streamlined authority listing for moderate-severe plaque psoriasis </w:t>
            </w:r>
            <w:proofErr w:type="gramStart"/>
            <w:r w:rsidRPr="00D93277">
              <w:rPr>
                <w:rFonts w:asciiTheme="minorHAnsi" w:hAnsiTheme="minorHAnsi" w:cstheme="minorHAnsi"/>
                <w:szCs w:val="20"/>
              </w:rPr>
              <w:t>on the basis of</w:t>
            </w:r>
            <w:proofErr w:type="gramEnd"/>
            <w:r w:rsidRPr="00D93277">
              <w:rPr>
                <w:rFonts w:asciiTheme="minorHAnsi" w:hAnsiTheme="minorHAnsi" w:cstheme="minorHAnsi"/>
                <w:szCs w:val="20"/>
              </w:rPr>
              <w:t xml:space="preserve"> non-inferior efficacy/superior safety to cyclosporin and cost-utility analysis of delay to initiation of biologics.</w:t>
            </w:r>
          </w:p>
        </w:tc>
        <w:tc>
          <w:tcPr>
            <w:tcW w:w="851" w:type="dxa"/>
          </w:tcPr>
          <w:p w14:paraId="71DD1D30" w14:textId="77777777" w:rsidR="00605493" w:rsidRPr="00D93277" w:rsidRDefault="00605493" w:rsidP="00D93277">
            <w:pPr>
              <w:pStyle w:val="TableText"/>
              <w:spacing w:before="60" w:after="60"/>
              <w:rPr>
                <w:rFonts w:asciiTheme="minorHAnsi" w:hAnsiTheme="minorHAnsi" w:cstheme="minorHAnsi"/>
                <w:szCs w:val="20"/>
              </w:rPr>
            </w:pPr>
            <w:r w:rsidRPr="00D93277">
              <w:rPr>
                <w:rFonts w:asciiTheme="minorHAnsi" w:hAnsiTheme="minorHAnsi" w:cstheme="minorHAnsi"/>
                <w:szCs w:val="20"/>
              </w:rPr>
              <w:t>Rejected</w:t>
            </w:r>
          </w:p>
        </w:tc>
        <w:tc>
          <w:tcPr>
            <w:tcW w:w="3423" w:type="dxa"/>
          </w:tcPr>
          <w:p w14:paraId="4AB5AC7A" w14:textId="77777777" w:rsidR="00605493" w:rsidRPr="00D93277" w:rsidRDefault="00605493" w:rsidP="00D93277">
            <w:pPr>
              <w:pStyle w:val="TableText"/>
              <w:spacing w:before="60" w:after="60"/>
              <w:rPr>
                <w:rFonts w:asciiTheme="minorHAnsi" w:hAnsiTheme="minorHAnsi" w:cstheme="minorHAnsi"/>
                <w:szCs w:val="20"/>
              </w:rPr>
            </w:pPr>
            <w:r w:rsidRPr="00D93277">
              <w:rPr>
                <w:rFonts w:asciiTheme="minorHAnsi" w:hAnsiTheme="minorHAnsi" w:cstheme="minorHAnsi"/>
                <w:szCs w:val="20"/>
              </w:rPr>
              <w:t>Cost-effectiveness to cyclosporin not adequately established; incremental benefit not evident, therefore not appropriate to require patients to trial an additional line of therapy prior to biologics (paragraph 7.1)</w:t>
            </w:r>
          </w:p>
        </w:tc>
      </w:tr>
      <w:tr w:rsidR="00605493" w:rsidRPr="003D0904" w14:paraId="78E62AE1" w14:textId="77777777" w:rsidTr="00CE5CEC">
        <w:tc>
          <w:tcPr>
            <w:tcW w:w="1365" w:type="dxa"/>
          </w:tcPr>
          <w:p w14:paraId="33B4BE0C" w14:textId="77777777" w:rsidR="00605493" w:rsidRPr="00D93277" w:rsidRDefault="00605493" w:rsidP="00D93277">
            <w:pPr>
              <w:pStyle w:val="TableText"/>
              <w:spacing w:before="60" w:after="60"/>
              <w:rPr>
                <w:rFonts w:asciiTheme="minorHAnsi" w:hAnsiTheme="minorHAnsi" w:cstheme="minorHAnsi"/>
                <w:szCs w:val="20"/>
              </w:rPr>
            </w:pPr>
            <w:r w:rsidRPr="00D93277">
              <w:rPr>
                <w:rFonts w:asciiTheme="minorHAnsi" w:hAnsiTheme="minorHAnsi" w:cstheme="minorHAnsi"/>
                <w:szCs w:val="20"/>
              </w:rPr>
              <w:t>November 2016</w:t>
            </w:r>
          </w:p>
        </w:tc>
        <w:tc>
          <w:tcPr>
            <w:tcW w:w="3313" w:type="dxa"/>
          </w:tcPr>
          <w:p w14:paraId="37EB9E43" w14:textId="77777777" w:rsidR="00605493" w:rsidRPr="00D93277" w:rsidRDefault="00605493" w:rsidP="00D93277">
            <w:pPr>
              <w:pStyle w:val="TableText"/>
              <w:spacing w:before="60" w:after="60"/>
              <w:rPr>
                <w:rFonts w:asciiTheme="minorHAnsi" w:hAnsiTheme="minorHAnsi" w:cstheme="minorHAnsi"/>
                <w:szCs w:val="20"/>
              </w:rPr>
            </w:pPr>
            <w:r w:rsidRPr="00D93277">
              <w:rPr>
                <w:rFonts w:asciiTheme="minorHAnsi" w:hAnsiTheme="minorHAnsi" w:cstheme="minorHAnsi"/>
                <w:szCs w:val="20"/>
              </w:rPr>
              <w:t>Streamlined authority listing for moderate-severe plaque psoriasis based on superior efficacy and safety to cyclosporin.</w:t>
            </w:r>
          </w:p>
        </w:tc>
        <w:tc>
          <w:tcPr>
            <w:tcW w:w="851" w:type="dxa"/>
          </w:tcPr>
          <w:p w14:paraId="65234A40" w14:textId="77777777" w:rsidR="00605493" w:rsidRPr="00D93277" w:rsidRDefault="00605493" w:rsidP="00D93277">
            <w:pPr>
              <w:pStyle w:val="TableText"/>
              <w:spacing w:before="60" w:after="60"/>
              <w:rPr>
                <w:rFonts w:asciiTheme="minorHAnsi" w:hAnsiTheme="minorHAnsi" w:cstheme="minorHAnsi"/>
                <w:szCs w:val="20"/>
              </w:rPr>
            </w:pPr>
            <w:r w:rsidRPr="00D93277">
              <w:rPr>
                <w:rFonts w:asciiTheme="minorHAnsi" w:hAnsiTheme="minorHAnsi" w:cstheme="minorHAnsi"/>
                <w:szCs w:val="20"/>
              </w:rPr>
              <w:t>Rejected</w:t>
            </w:r>
          </w:p>
        </w:tc>
        <w:tc>
          <w:tcPr>
            <w:tcW w:w="3423" w:type="dxa"/>
          </w:tcPr>
          <w:p w14:paraId="15E47842" w14:textId="77777777" w:rsidR="00605493" w:rsidRPr="00D93277" w:rsidRDefault="00605493" w:rsidP="00D93277">
            <w:pPr>
              <w:pStyle w:val="TableText"/>
              <w:spacing w:before="60" w:after="60"/>
              <w:rPr>
                <w:rFonts w:asciiTheme="minorHAnsi" w:hAnsiTheme="minorHAnsi" w:cstheme="minorHAnsi"/>
                <w:szCs w:val="20"/>
              </w:rPr>
            </w:pPr>
            <w:r w:rsidRPr="00D93277">
              <w:rPr>
                <w:rFonts w:asciiTheme="minorHAnsi" w:hAnsiTheme="minorHAnsi" w:cstheme="minorHAnsi"/>
                <w:szCs w:val="20"/>
              </w:rPr>
              <w:t>The evidence presented did not support the claims of superior comparative efficacy or safety versus cyclosporin (paragraph 7.1).</w:t>
            </w:r>
          </w:p>
        </w:tc>
      </w:tr>
      <w:tr w:rsidR="00605493" w:rsidRPr="003D0904" w14:paraId="4D15724E" w14:textId="77777777" w:rsidTr="00CE5CEC">
        <w:tc>
          <w:tcPr>
            <w:tcW w:w="1365" w:type="dxa"/>
          </w:tcPr>
          <w:p w14:paraId="3107EEB4" w14:textId="77777777" w:rsidR="00605493" w:rsidRPr="00D93277" w:rsidRDefault="00605493" w:rsidP="00D93277">
            <w:pPr>
              <w:pStyle w:val="TableText"/>
              <w:spacing w:before="60" w:after="60"/>
              <w:rPr>
                <w:rFonts w:asciiTheme="minorHAnsi" w:hAnsiTheme="minorHAnsi" w:cstheme="minorHAnsi"/>
                <w:szCs w:val="20"/>
              </w:rPr>
            </w:pPr>
            <w:r w:rsidRPr="00D93277">
              <w:rPr>
                <w:rFonts w:asciiTheme="minorHAnsi" w:hAnsiTheme="minorHAnsi" w:cstheme="minorHAnsi"/>
                <w:szCs w:val="20"/>
              </w:rPr>
              <w:t>March 2017</w:t>
            </w:r>
          </w:p>
        </w:tc>
        <w:tc>
          <w:tcPr>
            <w:tcW w:w="3313" w:type="dxa"/>
          </w:tcPr>
          <w:p w14:paraId="185D37B3" w14:textId="77777777" w:rsidR="00605493" w:rsidRPr="00D93277" w:rsidRDefault="00605493" w:rsidP="00D93277">
            <w:pPr>
              <w:pStyle w:val="TableText"/>
              <w:spacing w:before="60" w:after="60"/>
              <w:rPr>
                <w:rFonts w:asciiTheme="minorHAnsi" w:hAnsiTheme="minorHAnsi" w:cstheme="minorHAnsi"/>
                <w:szCs w:val="20"/>
              </w:rPr>
            </w:pPr>
            <w:r w:rsidRPr="00D93277">
              <w:rPr>
                <w:rFonts w:asciiTheme="minorHAnsi" w:hAnsiTheme="minorHAnsi" w:cstheme="minorHAnsi"/>
                <w:szCs w:val="20"/>
              </w:rPr>
              <w:t>Streamlined authority listing for moderate-severe psoriasis in patients who have failed to achieve an adequate response to or are contraindicated to methotrexate.</w:t>
            </w:r>
          </w:p>
        </w:tc>
        <w:tc>
          <w:tcPr>
            <w:tcW w:w="851" w:type="dxa"/>
          </w:tcPr>
          <w:p w14:paraId="4B2E8C5E" w14:textId="77777777" w:rsidR="00605493" w:rsidRPr="00D93277" w:rsidRDefault="00605493" w:rsidP="00D93277">
            <w:pPr>
              <w:pStyle w:val="TableText"/>
              <w:spacing w:before="60" w:after="60"/>
              <w:rPr>
                <w:rFonts w:asciiTheme="minorHAnsi" w:hAnsiTheme="minorHAnsi" w:cstheme="minorHAnsi"/>
                <w:szCs w:val="20"/>
              </w:rPr>
            </w:pPr>
            <w:r w:rsidRPr="00D93277">
              <w:rPr>
                <w:rFonts w:asciiTheme="minorHAnsi" w:hAnsiTheme="minorHAnsi" w:cstheme="minorHAnsi"/>
                <w:szCs w:val="20"/>
              </w:rPr>
              <w:t>Rejected</w:t>
            </w:r>
          </w:p>
        </w:tc>
        <w:tc>
          <w:tcPr>
            <w:tcW w:w="3423" w:type="dxa"/>
          </w:tcPr>
          <w:p w14:paraId="53CBD0C8" w14:textId="77777777" w:rsidR="00605493" w:rsidRPr="00D93277" w:rsidRDefault="00605493" w:rsidP="00D93277">
            <w:pPr>
              <w:pStyle w:val="TableText"/>
              <w:spacing w:before="60" w:after="60"/>
              <w:rPr>
                <w:rFonts w:asciiTheme="minorHAnsi" w:hAnsiTheme="minorHAnsi" w:cstheme="minorHAnsi"/>
                <w:szCs w:val="20"/>
              </w:rPr>
            </w:pPr>
            <w:r w:rsidRPr="00D93277">
              <w:rPr>
                <w:rFonts w:asciiTheme="minorHAnsi" w:hAnsiTheme="minorHAnsi" w:cstheme="minorHAnsi"/>
                <w:szCs w:val="20"/>
              </w:rPr>
              <w:t>The resubmission did not address issues identified in its November 2016 consideration of apremilast (paragraph 7.2).</w:t>
            </w:r>
          </w:p>
        </w:tc>
      </w:tr>
      <w:tr w:rsidR="00605493" w:rsidRPr="003D0904" w14:paraId="4C18994D" w14:textId="77777777" w:rsidTr="00CE5CEC">
        <w:tc>
          <w:tcPr>
            <w:tcW w:w="1365" w:type="dxa"/>
          </w:tcPr>
          <w:p w14:paraId="4ACEF885" w14:textId="77777777" w:rsidR="00605493" w:rsidRPr="00D93277" w:rsidRDefault="00605493" w:rsidP="00D93277">
            <w:pPr>
              <w:pStyle w:val="TableText"/>
              <w:spacing w:before="60" w:after="60"/>
              <w:rPr>
                <w:rFonts w:asciiTheme="minorHAnsi" w:hAnsiTheme="minorHAnsi" w:cstheme="minorHAnsi"/>
                <w:szCs w:val="20"/>
              </w:rPr>
            </w:pPr>
            <w:r w:rsidRPr="00D93277">
              <w:rPr>
                <w:rFonts w:asciiTheme="minorHAnsi" w:hAnsiTheme="minorHAnsi" w:cstheme="minorHAnsi"/>
                <w:szCs w:val="20"/>
              </w:rPr>
              <w:t>November 2017</w:t>
            </w:r>
          </w:p>
        </w:tc>
        <w:tc>
          <w:tcPr>
            <w:tcW w:w="3313" w:type="dxa"/>
          </w:tcPr>
          <w:p w14:paraId="0120EC86" w14:textId="77777777" w:rsidR="00605493" w:rsidRPr="00D93277" w:rsidRDefault="00605493" w:rsidP="00D93277">
            <w:pPr>
              <w:pStyle w:val="TableText"/>
              <w:spacing w:before="60" w:after="60"/>
              <w:rPr>
                <w:rFonts w:asciiTheme="minorHAnsi" w:hAnsiTheme="minorHAnsi" w:cstheme="minorHAnsi"/>
                <w:szCs w:val="20"/>
              </w:rPr>
            </w:pPr>
            <w:r w:rsidRPr="00D93277">
              <w:rPr>
                <w:rFonts w:asciiTheme="minorHAnsi" w:hAnsiTheme="minorHAnsi" w:cstheme="minorHAnsi"/>
                <w:szCs w:val="20"/>
              </w:rPr>
              <w:t>Streamlined authority listing for moderate-severe psoriasis on a cost-minimisation basis with cyclosporin.</w:t>
            </w:r>
          </w:p>
        </w:tc>
        <w:tc>
          <w:tcPr>
            <w:tcW w:w="851" w:type="dxa"/>
          </w:tcPr>
          <w:p w14:paraId="671E7ADD" w14:textId="77777777" w:rsidR="00605493" w:rsidRPr="00D93277" w:rsidRDefault="00605493" w:rsidP="00D93277">
            <w:pPr>
              <w:pStyle w:val="TableText"/>
              <w:spacing w:before="60" w:after="60"/>
              <w:rPr>
                <w:rFonts w:asciiTheme="minorHAnsi" w:hAnsiTheme="minorHAnsi" w:cstheme="minorHAnsi"/>
                <w:szCs w:val="20"/>
              </w:rPr>
            </w:pPr>
            <w:r w:rsidRPr="00D93277">
              <w:rPr>
                <w:rFonts w:asciiTheme="minorHAnsi" w:hAnsiTheme="minorHAnsi" w:cstheme="minorHAnsi"/>
                <w:szCs w:val="20"/>
              </w:rPr>
              <w:t>Deferred</w:t>
            </w:r>
          </w:p>
        </w:tc>
        <w:tc>
          <w:tcPr>
            <w:tcW w:w="3423" w:type="dxa"/>
          </w:tcPr>
          <w:p w14:paraId="175C543E" w14:textId="77777777" w:rsidR="00605493" w:rsidRPr="00D93277" w:rsidRDefault="00605493" w:rsidP="00D93277">
            <w:pPr>
              <w:pStyle w:val="TableText"/>
              <w:spacing w:before="60" w:after="60"/>
              <w:rPr>
                <w:rFonts w:asciiTheme="minorHAnsi" w:hAnsiTheme="minorHAnsi" w:cstheme="minorHAnsi"/>
                <w:szCs w:val="20"/>
              </w:rPr>
            </w:pPr>
            <w:r w:rsidRPr="00D93277">
              <w:rPr>
                <w:rFonts w:asciiTheme="minorHAnsi" w:hAnsiTheme="minorHAnsi" w:cstheme="minorHAnsi"/>
                <w:szCs w:val="20"/>
              </w:rPr>
              <w:t>The PBAC deferred making a recommendation on whether apremilast should be listed on the PBS to allow further work to establish a price that could be considered cost effective (paragraph 7.1).</w:t>
            </w:r>
          </w:p>
        </w:tc>
      </w:tr>
      <w:tr w:rsidR="00605493" w:rsidRPr="003D0904" w14:paraId="1FBF96E9" w14:textId="77777777" w:rsidTr="00CE5CEC">
        <w:tc>
          <w:tcPr>
            <w:tcW w:w="1365" w:type="dxa"/>
          </w:tcPr>
          <w:p w14:paraId="66BE0373" w14:textId="77777777" w:rsidR="00605493" w:rsidRPr="00D93277" w:rsidRDefault="00605493" w:rsidP="00D93277">
            <w:pPr>
              <w:pStyle w:val="TableText"/>
              <w:spacing w:before="60" w:after="60"/>
              <w:rPr>
                <w:rFonts w:asciiTheme="minorHAnsi" w:hAnsiTheme="minorHAnsi" w:cstheme="minorHAnsi"/>
                <w:szCs w:val="20"/>
              </w:rPr>
            </w:pPr>
            <w:r w:rsidRPr="00D93277">
              <w:rPr>
                <w:rFonts w:asciiTheme="minorHAnsi" w:hAnsiTheme="minorHAnsi" w:cstheme="minorHAnsi"/>
                <w:szCs w:val="20"/>
              </w:rPr>
              <w:t>March 2018</w:t>
            </w:r>
          </w:p>
        </w:tc>
        <w:tc>
          <w:tcPr>
            <w:tcW w:w="3313" w:type="dxa"/>
          </w:tcPr>
          <w:p w14:paraId="229742DF" w14:textId="13D7D09A" w:rsidR="00605493" w:rsidRPr="00D93277" w:rsidRDefault="00605493" w:rsidP="00D93277">
            <w:pPr>
              <w:pStyle w:val="TableText"/>
              <w:spacing w:before="60" w:after="60"/>
              <w:rPr>
                <w:rFonts w:asciiTheme="minorHAnsi" w:hAnsiTheme="minorHAnsi" w:cstheme="minorHAnsi"/>
                <w:szCs w:val="20"/>
              </w:rPr>
            </w:pPr>
            <w:r w:rsidRPr="00D93277">
              <w:rPr>
                <w:rFonts w:asciiTheme="minorHAnsi" w:hAnsiTheme="minorHAnsi" w:cstheme="minorHAnsi"/>
                <w:szCs w:val="20"/>
              </w:rPr>
              <w:t xml:space="preserve">Price and </w:t>
            </w:r>
            <w:r w:rsidR="00B57786">
              <w:rPr>
                <w:rFonts w:asciiTheme="minorHAnsi" w:hAnsiTheme="minorHAnsi" w:cstheme="minorHAnsi"/>
                <w:szCs w:val="20"/>
              </w:rPr>
              <w:t>risk sharing arrangement (</w:t>
            </w:r>
            <w:r w:rsidRPr="00D93277">
              <w:rPr>
                <w:rFonts w:asciiTheme="minorHAnsi" w:hAnsiTheme="minorHAnsi" w:cstheme="minorHAnsi"/>
                <w:szCs w:val="20"/>
              </w:rPr>
              <w:t>RSA</w:t>
            </w:r>
            <w:r w:rsidR="00B57786">
              <w:rPr>
                <w:rFonts w:asciiTheme="minorHAnsi" w:hAnsiTheme="minorHAnsi" w:cstheme="minorHAnsi"/>
                <w:szCs w:val="20"/>
              </w:rPr>
              <w:t>)</w:t>
            </w:r>
            <w:r w:rsidRPr="00D93277">
              <w:rPr>
                <w:rFonts w:asciiTheme="minorHAnsi" w:hAnsiTheme="minorHAnsi" w:cstheme="minorHAnsi"/>
                <w:szCs w:val="20"/>
              </w:rPr>
              <w:t xml:space="preserve"> proposal to achieve cost effective listing of apremilast.</w:t>
            </w:r>
          </w:p>
        </w:tc>
        <w:tc>
          <w:tcPr>
            <w:tcW w:w="851" w:type="dxa"/>
          </w:tcPr>
          <w:p w14:paraId="1FED34AA" w14:textId="77777777" w:rsidR="00605493" w:rsidRPr="00D93277" w:rsidRDefault="00605493" w:rsidP="00D93277">
            <w:pPr>
              <w:pStyle w:val="TableText"/>
              <w:spacing w:before="60" w:after="60"/>
              <w:rPr>
                <w:rFonts w:asciiTheme="minorHAnsi" w:hAnsiTheme="minorHAnsi" w:cstheme="minorHAnsi"/>
                <w:szCs w:val="20"/>
              </w:rPr>
            </w:pPr>
            <w:r w:rsidRPr="00D93277">
              <w:rPr>
                <w:rFonts w:asciiTheme="minorHAnsi" w:hAnsiTheme="minorHAnsi" w:cstheme="minorHAnsi"/>
                <w:szCs w:val="20"/>
              </w:rPr>
              <w:t>Rejected</w:t>
            </w:r>
          </w:p>
        </w:tc>
        <w:tc>
          <w:tcPr>
            <w:tcW w:w="3423" w:type="dxa"/>
          </w:tcPr>
          <w:p w14:paraId="6A0A1474" w14:textId="77777777" w:rsidR="00605493" w:rsidRPr="00D93277" w:rsidRDefault="00605493" w:rsidP="00D93277">
            <w:pPr>
              <w:pStyle w:val="TableText"/>
              <w:spacing w:before="60" w:after="60"/>
              <w:rPr>
                <w:rFonts w:asciiTheme="minorHAnsi" w:hAnsiTheme="minorHAnsi" w:cstheme="minorHAnsi"/>
                <w:i/>
                <w:szCs w:val="20"/>
              </w:rPr>
            </w:pPr>
            <w:r w:rsidRPr="00D93277">
              <w:rPr>
                <w:rFonts w:asciiTheme="minorHAnsi" w:hAnsiTheme="minorHAnsi" w:cstheme="minorHAnsi"/>
                <w:szCs w:val="20"/>
              </w:rPr>
              <w:t xml:space="preserve">The PBAC considered the RSA proposed by the sponsor was unlikely to achieve an overall price per patient for apremilast within the range the PBAC considered cost effective at its November 2017 meeting (paragraph 7.1). </w:t>
            </w:r>
          </w:p>
        </w:tc>
      </w:tr>
    </w:tbl>
    <w:p w14:paraId="73CB7D41" w14:textId="3CB8C920" w:rsidR="00605493" w:rsidRDefault="00605493" w:rsidP="00605493">
      <w:pPr>
        <w:spacing w:after="120"/>
        <w:rPr>
          <w:rFonts w:eastAsiaTheme="minorHAnsi" w:cstheme="minorHAnsi"/>
          <w:sz w:val="20"/>
          <w:szCs w:val="20"/>
        </w:rPr>
      </w:pPr>
      <w:r w:rsidRPr="00405034">
        <w:rPr>
          <w:rFonts w:eastAsiaTheme="minorHAnsi" w:cstheme="minorHAnsi"/>
          <w:sz w:val="20"/>
          <w:szCs w:val="20"/>
        </w:rPr>
        <w:t xml:space="preserve">Source: Paragraph references for March 2015, November 2016, March 2017, November </w:t>
      </w:r>
      <w:proofErr w:type="gramStart"/>
      <w:r w:rsidRPr="00405034">
        <w:rPr>
          <w:rFonts w:eastAsiaTheme="minorHAnsi" w:cstheme="minorHAnsi"/>
          <w:sz w:val="20"/>
          <w:szCs w:val="20"/>
        </w:rPr>
        <w:t>2017</w:t>
      </w:r>
      <w:proofErr w:type="gramEnd"/>
      <w:r w:rsidRPr="00405034">
        <w:rPr>
          <w:rFonts w:eastAsiaTheme="minorHAnsi" w:cstheme="minorHAnsi"/>
          <w:sz w:val="20"/>
          <w:szCs w:val="20"/>
        </w:rPr>
        <w:t xml:space="preserve"> and March 2018 refer to apremilast public summary documents (PSDs).</w:t>
      </w:r>
    </w:p>
    <w:p w14:paraId="1808B302" w14:textId="77777777" w:rsidR="000B0887" w:rsidRPr="000B0887" w:rsidRDefault="000B0887" w:rsidP="00605493">
      <w:pPr>
        <w:spacing w:after="120"/>
        <w:rPr>
          <w:rFonts w:eastAsiaTheme="minorHAnsi" w:cstheme="minorHAnsi"/>
          <w:sz w:val="20"/>
          <w:szCs w:val="20"/>
        </w:rPr>
      </w:pPr>
    </w:p>
    <w:p w14:paraId="676BD71E" w14:textId="6878ACE9" w:rsidR="00605493" w:rsidRPr="00605493" w:rsidRDefault="00075D76" w:rsidP="00605493">
      <w:pPr>
        <w:rPr>
          <w:b/>
          <w:bCs/>
        </w:rPr>
      </w:pPr>
      <w:r w:rsidRPr="00605493">
        <w:rPr>
          <w:b/>
          <w:bCs/>
        </w:rPr>
        <w:t>July 2020</w:t>
      </w:r>
      <w:r w:rsidR="009C4982">
        <w:rPr>
          <w:b/>
          <w:bCs/>
        </w:rPr>
        <w:t xml:space="preserve"> PBAC meeting</w:t>
      </w:r>
    </w:p>
    <w:p w14:paraId="5866D365" w14:textId="307523F1" w:rsidR="00BF4E38" w:rsidRPr="00BF4E38" w:rsidRDefault="00605493" w:rsidP="00BF4E38">
      <w:r w:rsidRPr="00605493">
        <w:t xml:space="preserve">The PBAC recommended the General Schedule, Authority Required (STREAMLINED) listing of apremilast for the treatment of severe </w:t>
      </w:r>
      <w:r w:rsidR="00B57786">
        <w:t>CPP</w:t>
      </w:r>
      <w:r w:rsidRPr="00605493">
        <w:t xml:space="preserve"> in patients who have failed treatment with or who are contraindicated or intolerant to methotrexate. In making this recommendation, the PBAC accepted that the resubmission had adequately addressed concerns raised in previous </w:t>
      </w:r>
      <w:proofErr w:type="gramStart"/>
      <w:r w:rsidRPr="00605493">
        <w:t>considerations, and</w:t>
      </w:r>
      <w:proofErr w:type="gramEnd"/>
      <w:r w:rsidRPr="00605493">
        <w:t xml:space="preserve"> had appropriately proposed a price and risk sharing arrangement (RSA) consistent with Committee’s November 2017 advice. </w:t>
      </w:r>
    </w:p>
    <w:p w14:paraId="2098BAF5" w14:textId="0CFE357A" w:rsidR="00BF4E38" w:rsidRPr="00BF4E38" w:rsidRDefault="00BF4E38" w:rsidP="00BF4E38">
      <w:r w:rsidRPr="00BF4E38">
        <w:lastRenderedPageBreak/>
        <w:t>The PBAC recommended the listing of apremilast on a cost minimisation basis with cyclosporin, accounting for differential adverse event and drug monitoring costs</w:t>
      </w:r>
      <w:r>
        <w:t xml:space="preserve">. </w:t>
      </w:r>
    </w:p>
    <w:p w14:paraId="7C024F7A" w14:textId="52AE7B12" w:rsidR="00BF4E38" w:rsidRPr="00605493" w:rsidRDefault="00BF4E38" w:rsidP="00605493">
      <w:r w:rsidRPr="00BF4E38">
        <w:t xml:space="preserve">The PBAC recalled previous concerns that there was significant uncertainty in the utilisation estimates and the Committee’s advice that this uncertainty could be addressed through the implementation of a tiered RSA based on patient numbers (paragraph 7.10, apremilast PSD, November 2017 PBAC Meeting). The PBAC noted the amendments to the financial estimates along with clarification from the pre-PBAC response that a product familiarisation program was no longer in operation. The PBAC considered that it was reasonable to accept the Tier 1 and Tier 2 utilisation estimates as presented in the resubmission as the basis of </w:t>
      </w:r>
      <w:r w:rsidR="00004BDC" w:rsidRPr="00BF4E38">
        <w:t>an</w:t>
      </w:r>
      <w:r w:rsidRPr="00BF4E38">
        <w:t xml:space="preserve"> RSA. </w:t>
      </w:r>
    </w:p>
    <w:p w14:paraId="5A16D4B1" w14:textId="40184959" w:rsidR="00075D76" w:rsidRDefault="00605493" w:rsidP="00A35800">
      <w:r>
        <w:t xml:space="preserve">For further details refer to </w:t>
      </w:r>
      <w:r w:rsidRPr="00F65F0D">
        <w:t xml:space="preserve">the </w:t>
      </w:r>
      <w:hyperlink r:id="rId13" w:history="1">
        <w:r w:rsidRPr="009C4982">
          <w:rPr>
            <w:rStyle w:val="Hyperlink"/>
          </w:rPr>
          <w:t>Public Summary Document</w:t>
        </w:r>
      </w:hyperlink>
      <w:r w:rsidR="009C4982">
        <w:t xml:space="preserve"> </w:t>
      </w:r>
      <w:r w:rsidRPr="00F65F0D">
        <w:t xml:space="preserve">from the </w:t>
      </w:r>
      <w:r w:rsidR="009C4982">
        <w:t xml:space="preserve">July 2020 </w:t>
      </w:r>
      <w:r>
        <w:t>PBAC meeting.</w:t>
      </w:r>
    </w:p>
    <w:p w14:paraId="079EEF39" w14:textId="778C750F" w:rsidR="007B2853" w:rsidRPr="00605493" w:rsidRDefault="007B2853" w:rsidP="00A35800">
      <w:pPr>
        <w:rPr>
          <w:b/>
          <w:bCs/>
        </w:rPr>
      </w:pPr>
      <w:r w:rsidRPr="00605493">
        <w:rPr>
          <w:b/>
          <w:bCs/>
        </w:rPr>
        <w:t xml:space="preserve">May 2022 </w:t>
      </w:r>
      <w:r w:rsidR="00321C6A">
        <w:rPr>
          <w:b/>
          <w:bCs/>
        </w:rPr>
        <w:t>PBAC meeting</w:t>
      </w:r>
    </w:p>
    <w:p w14:paraId="0A5F48D8" w14:textId="55287FF5" w:rsidR="007B2853" w:rsidRDefault="007B2853" w:rsidP="00A35800">
      <w:r>
        <w:t>The PBAC recommended amendments to the treatment criteria for apremilast to allow accredited dermatology registrars to initiate treatment in consultation with a dermatologist and to allow general practitioners to prescribe maintenance treatment in consultation with a dermatologist or accredited dermatology registrar</w:t>
      </w:r>
      <w:r w:rsidR="00605493">
        <w:t>.</w:t>
      </w:r>
    </w:p>
    <w:p w14:paraId="70539E18" w14:textId="53D1D9A3" w:rsidR="00D94863" w:rsidRPr="00F65F0D" w:rsidRDefault="00D94863" w:rsidP="00D94863">
      <w:r>
        <w:t xml:space="preserve">For further details refer to </w:t>
      </w:r>
      <w:r w:rsidRPr="00F65F0D">
        <w:t xml:space="preserve">the </w:t>
      </w:r>
      <w:hyperlink r:id="rId14" w:history="1">
        <w:r w:rsidRPr="009C4982">
          <w:rPr>
            <w:rStyle w:val="Hyperlink"/>
          </w:rPr>
          <w:t>Public Summary Documen</w:t>
        </w:r>
        <w:r w:rsidR="009C4982" w:rsidRPr="009C4982">
          <w:rPr>
            <w:rStyle w:val="Hyperlink"/>
          </w:rPr>
          <w:t>t</w:t>
        </w:r>
      </w:hyperlink>
      <w:r w:rsidR="009C4982">
        <w:t xml:space="preserve"> </w:t>
      </w:r>
      <w:r w:rsidRPr="00F65F0D">
        <w:t xml:space="preserve">from the </w:t>
      </w:r>
      <w:r w:rsidR="00AE1BA6">
        <w:t xml:space="preserve">May 2022 </w:t>
      </w:r>
      <w:r>
        <w:t>PBAC meeting.</w:t>
      </w:r>
    </w:p>
    <w:p w14:paraId="0DEBD50F" w14:textId="69B931E7" w:rsidR="00094DCF" w:rsidRDefault="00ED633B" w:rsidP="00CF5E22">
      <w:pPr>
        <w:pStyle w:val="Heading2"/>
      </w:pPr>
      <w:r>
        <w:t xml:space="preserve">Previous reviews by </w:t>
      </w:r>
      <w:r w:rsidR="00177B86">
        <w:t xml:space="preserve">the </w:t>
      </w:r>
      <w:r>
        <w:t>DUSC</w:t>
      </w:r>
    </w:p>
    <w:p w14:paraId="1EAF14F1" w14:textId="2DB2E82E" w:rsidR="003D16BD" w:rsidRPr="003D16BD" w:rsidRDefault="003D16BD" w:rsidP="00A35800">
      <w:pPr>
        <w:rPr>
          <w:b/>
          <w:bCs/>
        </w:rPr>
      </w:pPr>
      <w:r w:rsidRPr="003D16BD">
        <w:rPr>
          <w:b/>
          <w:bCs/>
        </w:rPr>
        <w:t xml:space="preserve">September 2007 </w:t>
      </w:r>
      <w:r w:rsidR="007C689A">
        <w:rPr>
          <w:b/>
          <w:bCs/>
        </w:rPr>
        <w:t>DUSC meeting</w:t>
      </w:r>
    </w:p>
    <w:p w14:paraId="4D128B39" w14:textId="5EA4FA71" w:rsidR="003D16BD" w:rsidRDefault="003D16BD" w:rsidP="00A35800">
      <w:r>
        <w:t xml:space="preserve">DUSC examined the utilisation of efalizumab in the first 12 months of listing. The analysis found </w:t>
      </w:r>
      <w:r w:rsidRPr="00BA2A71">
        <w:t>lower</w:t>
      </w:r>
      <w:r>
        <w:t xml:space="preserve"> than expected patient numbers (approximately </w:t>
      </w:r>
      <w:r w:rsidRPr="00BA2A71">
        <w:t>20%</w:t>
      </w:r>
      <w:r>
        <w:t xml:space="preserve"> of predicted) but a </w:t>
      </w:r>
      <w:r w:rsidRPr="00BA2A71">
        <w:t>higher</w:t>
      </w:r>
      <w:r>
        <w:t xml:space="preserve"> rate of continuation than predicted. The DUSC considered the eligible population was probably </w:t>
      </w:r>
      <w:r w:rsidRPr="00BA2A71">
        <w:t>overestimated</w:t>
      </w:r>
      <w:r>
        <w:t xml:space="preserve"> due to uncertainty in the prevalence of the disease and the proportion of patients with severe disease that would qualify for treatment. The DUSC also noted this was the first written Authority for dermatologists and experience with rheumatologists showed that uptake of new treatments may be slow.</w:t>
      </w:r>
    </w:p>
    <w:p w14:paraId="62DBD20A" w14:textId="312E7756" w:rsidR="003D16BD" w:rsidRPr="003D16BD" w:rsidRDefault="003D16BD" w:rsidP="00A35800">
      <w:pPr>
        <w:rPr>
          <w:b/>
          <w:bCs/>
        </w:rPr>
      </w:pPr>
      <w:r w:rsidRPr="003D16BD">
        <w:rPr>
          <w:b/>
          <w:bCs/>
        </w:rPr>
        <w:t xml:space="preserve">June 2014 </w:t>
      </w:r>
      <w:r w:rsidR="007C689A">
        <w:rPr>
          <w:b/>
          <w:bCs/>
        </w:rPr>
        <w:t>DUSC meeting</w:t>
      </w:r>
    </w:p>
    <w:p w14:paraId="42EFA88A" w14:textId="4DE10034" w:rsidR="00442801" w:rsidRDefault="00442801" w:rsidP="00A35800">
      <w:r>
        <w:t>DUSC reviewed b</w:t>
      </w:r>
      <w:r w:rsidR="009C4982">
        <w:t xml:space="preserve">iological </w:t>
      </w:r>
      <w:r>
        <w:t>t</w:t>
      </w:r>
      <w:r w:rsidR="009C4982">
        <w:t xml:space="preserve">reatments (adalimumab, etanercept, infliximab and </w:t>
      </w:r>
      <w:proofErr w:type="spellStart"/>
      <w:r w:rsidR="009C4982">
        <w:t>ustekinumab</w:t>
      </w:r>
      <w:proofErr w:type="spellEnd"/>
      <w:r w:rsidR="009C4982">
        <w:t xml:space="preserve">) for </w:t>
      </w:r>
      <w:r w:rsidR="00CE5CEC">
        <w:t>s</w:t>
      </w:r>
      <w:r w:rsidR="009C4982">
        <w:t xml:space="preserve">evere </w:t>
      </w:r>
      <w:r w:rsidR="00335432">
        <w:t>CPP</w:t>
      </w:r>
      <w:r>
        <w:t xml:space="preserve">. </w:t>
      </w:r>
    </w:p>
    <w:p w14:paraId="6A8AEAE3" w14:textId="7CFFACDC" w:rsidR="009C4982" w:rsidRDefault="009C4982" w:rsidP="00A35800">
      <w:r>
        <w:t xml:space="preserve">The number of patients on treatment has increased steadily since the first product was listed in 2006. During 2013, almost 3,500 patients accessed </w:t>
      </w:r>
      <w:r w:rsidR="004B0085">
        <w:t xml:space="preserve">biologics for </w:t>
      </w:r>
      <w:r w:rsidR="005D3C2A">
        <w:t>CPP</w:t>
      </w:r>
      <w:r>
        <w:t xml:space="preserve">, with adalimumab and </w:t>
      </w:r>
      <w:proofErr w:type="spellStart"/>
      <w:r>
        <w:t>ustekinumab</w:t>
      </w:r>
      <w:proofErr w:type="spellEnd"/>
      <w:r>
        <w:t xml:space="preserve"> being </w:t>
      </w:r>
      <w:proofErr w:type="gramStart"/>
      <w:r>
        <w:t>most commonly used</w:t>
      </w:r>
      <w:proofErr w:type="gramEnd"/>
      <w:r>
        <w:t xml:space="preserve">. </w:t>
      </w:r>
      <w:proofErr w:type="gramStart"/>
      <w:r>
        <w:t>The majority of</w:t>
      </w:r>
      <w:proofErr w:type="gramEnd"/>
      <w:r>
        <w:t xml:space="preserve"> patients who start treatment continue long term. DUSC considered that there may be some eligible patients with severe refractory disease not treated with </w:t>
      </w:r>
      <w:r w:rsidR="004B0085">
        <w:t>biologics</w:t>
      </w:r>
      <w:r>
        <w:t xml:space="preserve"> if they do not have access to a dermatologist. DUSC also considered there may be some use of subsidised </w:t>
      </w:r>
      <w:r w:rsidR="004B0085">
        <w:t>biologics</w:t>
      </w:r>
      <w:r>
        <w:t xml:space="preserve"> for </w:t>
      </w:r>
      <w:r>
        <w:lastRenderedPageBreak/>
        <w:t>less severe psoriasis, outside of the PBS criteria, although this cannot be ascertained from prescription data.</w:t>
      </w:r>
    </w:p>
    <w:p w14:paraId="5C143877" w14:textId="176582C2" w:rsidR="00E371EA" w:rsidRPr="00ED633B" w:rsidRDefault="009D1ED5" w:rsidP="00A35800">
      <w:r>
        <w:t xml:space="preserve">For details of the DUSC consideration of </w:t>
      </w:r>
      <w:r w:rsidR="004B0085">
        <w:t>biologics</w:t>
      </w:r>
      <w:r w:rsidR="009C4982">
        <w:t xml:space="preserve"> </w:t>
      </w:r>
      <w:r w:rsidR="00442801">
        <w:t xml:space="preserve">for severe chronic plaque psoriasis </w:t>
      </w:r>
      <w:r>
        <w:t xml:space="preserve">refer to the </w:t>
      </w:r>
      <w:hyperlink r:id="rId15" w:history="1">
        <w:r w:rsidRPr="009C4982">
          <w:rPr>
            <w:rStyle w:val="Hyperlink"/>
          </w:rPr>
          <w:t>Public Release Document</w:t>
        </w:r>
      </w:hyperlink>
      <w:r>
        <w:t xml:space="preserve"> from the </w:t>
      </w:r>
      <w:r w:rsidR="009C4982">
        <w:t>June 2014</w:t>
      </w:r>
      <w:r>
        <w:t xml:space="preserve"> DUSC meeting.</w:t>
      </w:r>
    </w:p>
    <w:p w14:paraId="0E49EAA3" w14:textId="77777777" w:rsidR="00CE5CEC" w:rsidRDefault="00CE5CEC">
      <w:pPr>
        <w:spacing w:line="276" w:lineRule="auto"/>
        <w:rPr>
          <w:rFonts w:eastAsiaTheme="majorEastAsia" w:cstheme="majorBidi"/>
          <w:b/>
          <w:bCs/>
          <w:sz w:val="32"/>
          <w:szCs w:val="32"/>
        </w:rPr>
      </w:pPr>
      <w:r>
        <w:br w:type="page"/>
      </w:r>
    </w:p>
    <w:p w14:paraId="0312FFEC" w14:textId="335CE856" w:rsidR="00E677DD" w:rsidRPr="005E22C2" w:rsidRDefault="00E677DD" w:rsidP="00CF5E22">
      <w:pPr>
        <w:pStyle w:val="Heading1"/>
      </w:pPr>
      <w:r w:rsidRPr="005E22C2">
        <w:lastRenderedPageBreak/>
        <w:t>Method</w:t>
      </w:r>
      <w:r w:rsidR="001B5D37" w:rsidRPr="005E22C2">
        <w:t>s</w:t>
      </w:r>
    </w:p>
    <w:p w14:paraId="6D8C9BF9" w14:textId="4B0A8799" w:rsidR="006804E0" w:rsidRDefault="006804E0" w:rsidP="009A17A9">
      <w:pPr>
        <w:jc w:val="both"/>
        <w:rPr>
          <w:rFonts w:eastAsia="Times New Roman" w:cstheme="minorHAnsi"/>
        </w:rPr>
      </w:pPr>
      <w:r w:rsidRPr="006804E0">
        <w:t xml:space="preserve">Data extracted from the PBS claims database maintained by the Department of Health and Aged Care and processed by Services Australia were used for the analyses. Prescription data were extracted from </w:t>
      </w:r>
      <w:r w:rsidR="009A17A9">
        <w:t>1 January 2013</w:t>
      </w:r>
      <w:r w:rsidRPr="006804E0">
        <w:t xml:space="preserve"> up to and including </w:t>
      </w:r>
      <w:r w:rsidR="00321C6A">
        <w:t>3</w:t>
      </w:r>
      <w:r w:rsidR="009A17A9">
        <w:t>0</w:t>
      </w:r>
      <w:r w:rsidR="00321C6A">
        <w:t xml:space="preserve"> </w:t>
      </w:r>
      <w:r w:rsidR="009A17A9">
        <w:t>June</w:t>
      </w:r>
      <w:r w:rsidR="00321C6A">
        <w:t xml:space="preserve"> 2023. </w:t>
      </w:r>
      <w:r w:rsidRPr="006804E0">
        <w:t xml:space="preserve"> </w:t>
      </w:r>
    </w:p>
    <w:p w14:paraId="1105D3A7" w14:textId="0990A51F" w:rsidR="004E71CA" w:rsidRDefault="00A60ABB" w:rsidP="000E1FE4">
      <w:r>
        <w:t>T</w:t>
      </w:r>
      <w:r w:rsidR="008D2268" w:rsidRPr="00993C79">
        <w:t xml:space="preserve">hese data were used to determine the prescription and patients counts, and the age and gender of initiating patients for the CPP market. </w:t>
      </w:r>
    </w:p>
    <w:p w14:paraId="3643E513" w14:textId="0995E093" w:rsidR="004E71CA" w:rsidRDefault="00FC5303" w:rsidP="000E1FE4">
      <w:r>
        <w:t>For these analyse</w:t>
      </w:r>
      <w:r w:rsidR="005C3599">
        <w:t xml:space="preserve">s, </w:t>
      </w:r>
      <w:r w:rsidR="00046F78">
        <w:t>a</w:t>
      </w:r>
      <w:r w:rsidR="00046F78" w:rsidRPr="000E1FE4">
        <w:t xml:space="preserve">dalimumab, etanercept, </w:t>
      </w:r>
      <w:proofErr w:type="spellStart"/>
      <w:r w:rsidR="00046F78" w:rsidRPr="000E1FE4">
        <w:t>guselkumab</w:t>
      </w:r>
      <w:proofErr w:type="spellEnd"/>
      <w:r w:rsidR="00046F78" w:rsidRPr="000E1FE4">
        <w:t xml:space="preserve">, infliximab, </w:t>
      </w:r>
      <w:proofErr w:type="spellStart"/>
      <w:r w:rsidR="00046F78" w:rsidRPr="000E1FE4">
        <w:t>ixekizumab</w:t>
      </w:r>
      <w:proofErr w:type="spellEnd"/>
      <w:r w:rsidR="00046F78" w:rsidRPr="000E1FE4">
        <w:t xml:space="preserve">, </w:t>
      </w:r>
      <w:proofErr w:type="spellStart"/>
      <w:r w:rsidR="00046F78" w:rsidRPr="000E1FE4">
        <w:t>secukinumab</w:t>
      </w:r>
      <w:proofErr w:type="spellEnd"/>
      <w:r w:rsidR="00046F78" w:rsidRPr="000E1FE4">
        <w:t xml:space="preserve">, </w:t>
      </w:r>
      <w:proofErr w:type="spellStart"/>
      <w:r w:rsidR="00046F78" w:rsidRPr="000E1FE4">
        <w:t>risankizumab</w:t>
      </w:r>
      <w:proofErr w:type="spellEnd"/>
      <w:r w:rsidR="00046F78" w:rsidRPr="000E1FE4">
        <w:t xml:space="preserve">, tildrakizumab and </w:t>
      </w:r>
      <w:proofErr w:type="spellStart"/>
      <w:r w:rsidR="00046F78" w:rsidRPr="000E1FE4">
        <w:t>ustekinumab</w:t>
      </w:r>
      <w:proofErr w:type="spellEnd"/>
      <w:r w:rsidR="005C3599">
        <w:t xml:space="preserve"> were categorised as biologic</w:t>
      </w:r>
      <w:r w:rsidR="00A60ABB">
        <w:t xml:space="preserve"> therapies</w:t>
      </w:r>
      <w:r w:rsidR="00046F78">
        <w:t xml:space="preserve">. </w:t>
      </w:r>
      <w:r w:rsidR="005C3599">
        <w:t>A</w:t>
      </w:r>
      <w:r w:rsidR="00AB0260">
        <w:t>citretin, ciclosporin and methotrexate</w:t>
      </w:r>
      <w:r w:rsidR="002360CC">
        <w:t xml:space="preserve"> were categorised as </w:t>
      </w:r>
      <w:r w:rsidR="009A084C">
        <w:t>non-biologic</w:t>
      </w:r>
      <w:r w:rsidR="004E619D">
        <w:t xml:space="preserve"> therapies</w:t>
      </w:r>
      <w:r w:rsidR="00AB0260">
        <w:t xml:space="preserve">. </w:t>
      </w:r>
      <w:r w:rsidR="00A60ABB">
        <w:t>As b</w:t>
      </w:r>
      <w:r w:rsidR="00AB0260">
        <w:t>iologics were</w:t>
      </w:r>
      <w:r w:rsidR="00594056">
        <w:t xml:space="preserve"> </w:t>
      </w:r>
      <w:r w:rsidR="00390509">
        <w:t>PBS list</w:t>
      </w:r>
      <w:r w:rsidR="004E71CA">
        <w:t xml:space="preserve">ed with </w:t>
      </w:r>
      <w:r w:rsidR="0088621B">
        <w:t xml:space="preserve">an item code corresponding with their </w:t>
      </w:r>
      <w:proofErr w:type="gramStart"/>
      <w:r w:rsidR="0088621B">
        <w:t>indication,  analyses</w:t>
      </w:r>
      <w:proofErr w:type="gramEnd"/>
      <w:r w:rsidR="0088621B">
        <w:t xml:space="preserve"> were conducted based on </w:t>
      </w:r>
      <w:r w:rsidR="00A60ABB">
        <w:t xml:space="preserve">the relevant </w:t>
      </w:r>
      <w:r w:rsidR="0088621B">
        <w:t xml:space="preserve">item code. </w:t>
      </w:r>
      <w:r w:rsidR="001F11B6">
        <w:t xml:space="preserve">For </w:t>
      </w:r>
      <w:r w:rsidR="009A084C">
        <w:t>non-biologic</w:t>
      </w:r>
      <w:r w:rsidR="004E619D">
        <w:t xml:space="preserve"> therapies</w:t>
      </w:r>
      <w:r w:rsidR="00594056">
        <w:t xml:space="preserve">, </w:t>
      </w:r>
      <w:r w:rsidR="00A60ABB">
        <w:t xml:space="preserve">as </w:t>
      </w:r>
      <w:r w:rsidR="00594056">
        <w:t xml:space="preserve">item codes corresponded to multiple </w:t>
      </w:r>
      <w:r w:rsidR="00811CCC">
        <w:t>indications,</w:t>
      </w:r>
      <w:r w:rsidR="00A60ABB">
        <w:t xml:space="preserve"> the</w:t>
      </w:r>
      <w:r w:rsidR="00A03B76">
        <w:t xml:space="preserve"> indication was derived based</w:t>
      </w:r>
      <w:r w:rsidR="000D79D8">
        <w:t xml:space="preserve"> </w:t>
      </w:r>
      <w:r w:rsidR="00A03B76">
        <w:t xml:space="preserve">on their streamlined </w:t>
      </w:r>
      <w:r w:rsidR="000D79D8">
        <w:t xml:space="preserve">authority code. </w:t>
      </w:r>
      <w:r w:rsidR="00CE55A6">
        <w:t xml:space="preserve">Utilisation for methotrexate </w:t>
      </w:r>
      <w:r w:rsidR="00197F17">
        <w:t>tablets</w:t>
      </w:r>
      <w:r w:rsidR="00A60ABB">
        <w:t xml:space="preserve"> were </w:t>
      </w:r>
      <w:r w:rsidR="00CE55A6">
        <w:t xml:space="preserve">unable to be derived as it </w:t>
      </w:r>
      <w:r w:rsidR="00DF2617">
        <w:t>is</w:t>
      </w:r>
      <w:r w:rsidR="00296231">
        <w:t xml:space="preserve"> an </w:t>
      </w:r>
      <w:r w:rsidR="00F009FB">
        <w:t xml:space="preserve">unrestricted </w:t>
      </w:r>
      <w:r w:rsidR="00296231">
        <w:t xml:space="preserve">PBS </w:t>
      </w:r>
      <w:r w:rsidR="00F009FB">
        <w:t xml:space="preserve">listing. </w:t>
      </w:r>
    </w:p>
    <w:p w14:paraId="2A5B7FA5" w14:textId="61D389D1" w:rsidR="002C1A24" w:rsidRDefault="008D2268" w:rsidP="00296231">
      <w:r w:rsidRPr="00993C79">
        <w:t xml:space="preserve">For apremilast, these data were used to determine the number of incident and prevalent patients, number of prescriptions supplied, </w:t>
      </w:r>
      <w:r w:rsidR="00F90028">
        <w:t xml:space="preserve">prescriber type </w:t>
      </w:r>
      <w:r w:rsidRPr="00993C79">
        <w:t xml:space="preserve">and to analyse patient demographics </w:t>
      </w:r>
      <w:r w:rsidR="005E4237">
        <w:t>including</w:t>
      </w:r>
      <w:r w:rsidRPr="00993C79">
        <w:t xml:space="preserve"> age and gender. Initiating and prevalent patients were counted by quarter of supply. An initiating patient was defined based on their first date of supply of </w:t>
      </w:r>
      <w:r w:rsidR="00993C79">
        <w:t>apremilast</w:t>
      </w:r>
      <w:r w:rsidRPr="00993C79">
        <w:t>.</w:t>
      </w:r>
    </w:p>
    <w:p w14:paraId="6C52CF77" w14:textId="34767F22" w:rsidR="00B63480" w:rsidRPr="000E1FE4" w:rsidRDefault="000E1FE4" w:rsidP="00654B9A">
      <w:r w:rsidRPr="000E1FE4">
        <w:t xml:space="preserve">A </w:t>
      </w:r>
      <w:r w:rsidR="00DF2617">
        <w:t xml:space="preserve">drug </w:t>
      </w:r>
      <w:r w:rsidRPr="000E1FE4">
        <w:t>sequence analysis was conducted</w:t>
      </w:r>
      <w:r w:rsidR="00DF2617">
        <w:t xml:space="preserve"> </w:t>
      </w:r>
      <w:r w:rsidR="001305BC">
        <w:t>to examine the pattern of</w:t>
      </w:r>
      <w:r w:rsidR="00DF2617">
        <w:t xml:space="preserve"> </w:t>
      </w:r>
      <w:r w:rsidR="001305BC">
        <w:t>utilisation in patients.</w:t>
      </w:r>
      <w:r w:rsidR="00F90028">
        <w:t xml:space="preserve"> </w:t>
      </w:r>
      <w:r w:rsidR="001305BC">
        <w:t xml:space="preserve">Two cohorts were selected for this analysis to compare therapy patterns before and after </w:t>
      </w:r>
      <w:r w:rsidR="00E10EBF">
        <w:t>apremilast</w:t>
      </w:r>
      <w:r w:rsidR="001305BC">
        <w:t xml:space="preserve"> was </w:t>
      </w:r>
      <w:r w:rsidR="00390509">
        <w:t>PBS list</w:t>
      </w:r>
      <w:r w:rsidR="001305BC">
        <w:t xml:space="preserve">ed. </w:t>
      </w:r>
      <w:r w:rsidR="001305BC" w:rsidRPr="00D833E4">
        <w:t xml:space="preserve">The first cohort were patients who were followed from </w:t>
      </w:r>
      <w:r w:rsidR="00D833E4">
        <w:t>January 201</w:t>
      </w:r>
      <w:r w:rsidR="004E51EF">
        <w:t>9</w:t>
      </w:r>
      <w:r w:rsidR="00D833E4" w:rsidRPr="00D833E4">
        <w:t xml:space="preserve"> to December 2020, </w:t>
      </w:r>
      <w:r w:rsidR="001305BC" w:rsidRPr="00D833E4">
        <w:t xml:space="preserve">before </w:t>
      </w:r>
      <w:r w:rsidR="00DE4754" w:rsidRPr="00D833E4">
        <w:t>apremilast</w:t>
      </w:r>
      <w:r w:rsidR="001305BC" w:rsidRPr="00D833E4">
        <w:t xml:space="preserve"> was PBS</w:t>
      </w:r>
      <w:r w:rsidR="00390509">
        <w:t xml:space="preserve"> </w:t>
      </w:r>
      <w:r w:rsidR="001305BC" w:rsidRPr="00D833E4">
        <w:t xml:space="preserve">listed. The second group were patients who were followed </w:t>
      </w:r>
      <w:r w:rsidR="00D833E4" w:rsidRPr="00D833E4">
        <w:t xml:space="preserve">from </w:t>
      </w:r>
      <w:r w:rsidR="00D833E4">
        <w:t>January 2019</w:t>
      </w:r>
      <w:r w:rsidR="001305BC" w:rsidRPr="00D833E4">
        <w:t xml:space="preserve"> to</w:t>
      </w:r>
      <w:r w:rsidR="00DE4754" w:rsidRPr="00D833E4">
        <w:t xml:space="preserve"> June 2023</w:t>
      </w:r>
      <w:r w:rsidR="00D833E4" w:rsidRPr="00D833E4">
        <w:t>, the analysis end date</w:t>
      </w:r>
      <w:r w:rsidR="00D833E4">
        <w:t>.</w:t>
      </w:r>
      <w:r w:rsidR="001305BC">
        <w:t xml:space="preserve"> In </w:t>
      </w:r>
      <w:proofErr w:type="gramStart"/>
      <w:r w:rsidR="001305BC">
        <w:t>both of these</w:t>
      </w:r>
      <w:proofErr w:type="gramEnd"/>
      <w:r w:rsidR="001305BC">
        <w:t xml:space="preserve"> cohorts, the first prescribed drug was recorded and if patients were subsequently supplied other drugs, these were noted to form the patient’s drug chronological sequence. </w:t>
      </w:r>
      <w:r w:rsidR="00B63480" w:rsidRPr="000E1FE4">
        <w:t xml:space="preserve"> </w:t>
      </w:r>
    </w:p>
    <w:p w14:paraId="52EF0CFE" w14:textId="62032E52" w:rsidR="008D2268" w:rsidRPr="009A17A9" w:rsidRDefault="008D2268" w:rsidP="000E1FE4">
      <w:pPr>
        <w:rPr>
          <w:rFonts w:eastAsia="Times New Roman" w:cstheme="minorHAnsi"/>
        </w:rPr>
      </w:pPr>
      <w:r w:rsidRPr="00993C79">
        <w:t>A coadministration analysis was conducted. If a</w:t>
      </w:r>
      <w:r w:rsidR="00640587">
        <w:t xml:space="preserve"> </w:t>
      </w:r>
      <w:r w:rsidR="00B63480">
        <w:t>biologic</w:t>
      </w:r>
      <w:r w:rsidR="00F03F5C">
        <w:t xml:space="preserve"> or </w:t>
      </w:r>
      <w:r w:rsidR="009A084C">
        <w:t>non-biologic</w:t>
      </w:r>
      <w:r w:rsidR="00F03F5C">
        <w:t xml:space="preserve"> therapy</w:t>
      </w:r>
      <w:r w:rsidR="00B63480">
        <w:t xml:space="preserve"> </w:t>
      </w:r>
      <w:r w:rsidRPr="00993C79">
        <w:t xml:space="preserve">was supplied within </w:t>
      </w:r>
      <w:r w:rsidR="00993C79">
        <w:t>28 days</w:t>
      </w:r>
      <w:r w:rsidRPr="00993C79">
        <w:t xml:space="preserve"> of the first supply of </w:t>
      </w:r>
      <w:r w:rsidR="00993C79">
        <w:t>apremilast</w:t>
      </w:r>
      <w:r w:rsidRPr="00993C79">
        <w:t xml:space="preserve">, and there was more than one occurrence of this supply, this was identified as a potential co-administration of </w:t>
      </w:r>
      <w:r w:rsidR="00993C79">
        <w:t>apremilast</w:t>
      </w:r>
      <w:r w:rsidRPr="00993C79">
        <w:t xml:space="preserve"> with </w:t>
      </w:r>
      <w:r w:rsidR="00640587">
        <w:t xml:space="preserve">a </w:t>
      </w:r>
      <w:r w:rsidR="00F24552">
        <w:t>biologic</w:t>
      </w:r>
      <w:r w:rsidR="00F03F5C">
        <w:t xml:space="preserve"> or </w:t>
      </w:r>
      <w:r w:rsidR="009A084C">
        <w:t>non-biologic</w:t>
      </w:r>
      <w:r w:rsidR="00F03F5C">
        <w:t xml:space="preserve"> therapy</w:t>
      </w:r>
      <w:r w:rsidRPr="00993C79">
        <w:t xml:space="preserve">. To exclude possible switching between drugs, co-administration was only counted if there were at least two occurrences where a patient received </w:t>
      </w:r>
      <w:r w:rsidR="00993C79">
        <w:t>apremilast</w:t>
      </w:r>
      <w:r w:rsidRPr="00993C79">
        <w:t xml:space="preserve"> and </w:t>
      </w:r>
      <w:r w:rsidR="00640587">
        <w:t xml:space="preserve">a </w:t>
      </w:r>
      <w:r w:rsidR="00F24552">
        <w:t>biologic</w:t>
      </w:r>
      <w:r w:rsidR="00F03F5C">
        <w:t xml:space="preserve"> or </w:t>
      </w:r>
      <w:r w:rsidR="009A084C">
        <w:t>non-biologic</w:t>
      </w:r>
      <w:r w:rsidR="00C12877">
        <w:t xml:space="preserve"> therapy</w:t>
      </w:r>
      <w:r w:rsidR="00640587" w:rsidRPr="00993C79">
        <w:t xml:space="preserve">. </w:t>
      </w:r>
    </w:p>
    <w:p w14:paraId="7CF38CFF" w14:textId="673E3AC8" w:rsidR="009A17A9" w:rsidRPr="000B0887" w:rsidRDefault="006804E0" w:rsidP="000B0887">
      <w:r w:rsidRPr="006804E0">
        <w:t>As this analysis uses date of supply prescription data, there may be small differences compared with publicly available Services Australia Medicare date of processing data.</w:t>
      </w:r>
      <w:r w:rsidR="00576B18">
        <w:rPr>
          <w:rStyle w:val="FootnoteReference"/>
        </w:rPr>
        <w:footnoteReference w:id="3"/>
      </w:r>
      <w:r w:rsidR="00576B18">
        <w:t xml:space="preserve"> </w:t>
      </w:r>
      <w:r w:rsidR="0090691F">
        <w:t xml:space="preserve">The </w:t>
      </w:r>
      <w:r w:rsidR="00AC5054">
        <w:t xml:space="preserve">publicly available </w:t>
      </w:r>
      <w:r w:rsidRPr="006804E0">
        <w:t xml:space="preserve">Services Australia </w:t>
      </w:r>
      <w:r w:rsidR="0090691F">
        <w:t xml:space="preserve">Medicare data </w:t>
      </w:r>
      <w:r w:rsidR="008E3F8C">
        <w:t xml:space="preserve">only </w:t>
      </w:r>
      <w:r w:rsidR="0090691F">
        <w:t xml:space="preserve">includes </w:t>
      </w:r>
      <w:r w:rsidR="00524D13">
        <w:t xml:space="preserve">subsidised R/PBS prescriptions </w:t>
      </w:r>
      <w:r w:rsidR="008E3F8C">
        <w:t xml:space="preserve">with prescriptions </w:t>
      </w:r>
      <w:r w:rsidR="00524D13">
        <w:t xml:space="preserve">under </w:t>
      </w:r>
      <w:r w:rsidR="00DD29A3">
        <w:t xml:space="preserve">the </w:t>
      </w:r>
      <w:r w:rsidR="00524D13">
        <w:t xml:space="preserve">patient co-payment </w:t>
      </w:r>
      <w:r w:rsidR="008E3F8C">
        <w:t>not included</w:t>
      </w:r>
      <w:r w:rsidR="00524D13">
        <w:t>.</w:t>
      </w:r>
      <w:r w:rsidR="00DD29A3">
        <w:t xml:space="preserve"> </w:t>
      </w:r>
    </w:p>
    <w:p w14:paraId="4F91A98A" w14:textId="35CC62B5" w:rsidR="00C714D0" w:rsidRPr="005E22C2" w:rsidRDefault="00C714D0" w:rsidP="00CF5E22">
      <w:pPr>
        <w:pStyle w:val="Heading1"/>
      </w:pPr>
      <w:r w:rsidRPr="005E22C2">
        <w:lastRenderedPageBreak/>
        <w:t>Results</w:t>
      </w:r>
    </w:p>
    <w:p w14:paraId="2221FF19" w14:textId="336CE8B2" w:rsidR="00736041" w:rsidRPr="005E22C2" w:rsidRDefault="001B5D37" w:rsidP="00CF5E22">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0C234A63" w14:textId="6F24DC3B" w:rsidR="00103F59" w:rsidRPr="00103F59" w:rsidRDefault="00736041" w:rsidP="00AC4F69">
      <w:pPr>
        <w:pStyle w:val="Heading3"/>
      </w:pPr>
      <w:r w:rsidRPr="005E22C2">
        <w:t>Overall utilisation</w:t>
      </w:r>
    </w:p>
    <w:p w14:paraId="1B752F8E" w14:textId="4438A059" w:rsidR="00637CCB" w:rsidRPr="00637CCB" w:rsidRDefault="008C53D9" w:rsidP="00103F59">
      <w:pPr>
        <w:jc w:val="center"/>
      </w:pPr>
      <w:r>
        <w:rPr>
          <w:noProof/>
        </w:rPr>
        <w:drawing>
          <wp:inline distT="0" distB="0" distL="0" distR="0" wp14:anchorId="4B6C5C62" wp14:editId="01F7F221">
            <wp:extent cx="4705350" cy="2909888"/>
            <wp:effectExtent l="0" t="0" r="0" b="5080"/>
            <wp:docPr id="4" name="Chart 4">
              <a:extLst xmlns:a="http://schemas.openxmlformats.org/drawingml/2006/main">
                <a:ext uri="{FF2B5EF4-FFF2-40B4-BE49-F238E27FC236}">
                  <a16:creationId xmlns:a16="http://schemas.microsoft.com/office/drawing/2014/main" id="{FD2730DF-208A-E99F-8D9C-DC3E26C7914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C53DD7B" w14:textId="56A32216" w:rsidR="00B03098" w:rsidRPr="00FE645A" w:rsidRDefault="00B03098" w:rsidP="00B03098">
      <w:pPr>
        <w:pStyle w:val="Figuretitle"/>
      </w:pPr>
      <w:r w:rsidRPr="00FE645A">
        <w:t xml:space="preserve">Figure 1: </w:t>
      </w:r>
      <w:r>
        <w:t xml:space="preserve">Patients treated for </w:t>
      </w:r>
      <w:r w:rsidR="009B29AC">
        <w:t>CPP</w:t>
      </w:r>
      <w:r>
        <w:t xml:space="preserve"> (</w:t>
      </w:r>
      <w:r w:rsidR="009A4F73">
        <w:t xml:space="preserve">first </w:t>
      </w:r>
      <w:r w:rsidR="00637CCB">
        <w:t>initiating</w:t>
      </w:r>
      <w:r>
        <w:t xml:space="preserve"> and prevalent) </w:t>
      </w:r>
    </w:p>
    <w:p w14:paraId="6C09D18E" w14:textId="0A611D33" w:rsidR="00870B2D" w:rsidRDefault="00870B2D" w:rsidP="00B03098"/>
    <w:p w14:paraId="5FFA3E81" w14:textId="425541C7" w:rsidR="001D0498" w:rsidRDefault="001D0498" w:rsidP="001D0498">
      <w:pPr>
        <w:pStyle w:val="Tabletitle"/>
        <w:spacing w:before="200"/>
      </w:pPr>
      <w:r w:rsidRPr="001420B3" w:rsidDel="00EE2BBB">
        <w:t xml:space="preserve">Table </w:t>
      </w:r>
      <w:r w:rsidR="0035132E">
        <w:t>4</w:t>
      </w:r>
      <w:r>
        <w:t xml:space="preserve">: Number of patients treated for CPP per calendar </w:t>
      </w:r>
      <w:proofErr w:type="gramStart"/>
      <w:r>
        <w:t>year</w:t>
      </w:r>
      <w:proofErr w:type="gramEnd"/>
      <w:r>
        <w:t xml:space="preserve"> </w:t>
      </w:r>
    </w:p>
    <w:tbl>
      <w:tblPr>
        <w:tblStyle w:val="TableGrid"/>
        <w:tblW w:w="3964" w:type="dxa"/>
        <w:tblLayout w:type="fixed"/>
        <w:tblLook w:val="04A0" w:firstRow="1" w:lastRow="0" w:firstColumn="1" w:lastColumn="0" w:noHBand="0" w:noVBand="1"/>
      </w:tblPr>
      <w:tblGrid>
        <w:gridCol w:w="1413"/>
        <w:gridCol w:w="1417"/>
        <w:gridCol w:w="1134"/>
      </w:tblGrid>
      <w:tr w:rsidR="001D0498" w:rsidRPr="001D0858" w14:paraId="143B9F2D" w14:textId="77777777" w:rsidTr="002D770C">
        <w:trPr>
          <w:trHeight w:val="462"/>
          <w:tblHeader/>
        </w:trPr>
        <w:tc>
          <w:tcPr>
            <w:tcW w:w="1413" w:type="dxa"/>
            <w:shd w:val="clear" w:color="auto" w:fill="BFBFBF" w:themeFill="background1" w:themeFillShade="BF"/>
          </w:tcPr>
          <w:p w14:paraId="1E3CD6B9" w14:textId="77777777" w:rsidR="001D0498" w:rsidRDefault="001D0498" w:rsidP="002D770C">
            <w:pPr>
              <w:pStyle w:val="Tableheading"/>
              <w:rPr>
                <w:sz w:val="20"/>
                <w:szCs w:val="20"/>
              </w:rPr>
            </w:pPr>
            <w:r>
              <w:rPr>
                <w:sz w:val="20"/>
                <w:szCs w:val="20"/>
              </w:rPr>
              <w:t>Year</w:t>
            </w:r>
          </w:p>
        </w:tc>
        <w:tc>
          <w:tcPr>
            <w:tcW w:w="1417" w:type="dxa"/>
            <w:shd w:val="clear" w:color="auto" w:fill="BFBFBF" w:themeFill="background1" w:themeFillShade="BF"/>
          </w:tcPr>
          <w:p w14:paraId="1F06345A" w14:textId="77777777" w:rsidR="001D0498" w:rsidRPr="005D0C9B" w:rsidRDefault="001D0498" w:rsidP="002D770C">
            <w:pPr>
              <w:pStyle w:val="Tableheading"/>
              <w:rPr>
                <w:sz w:val="20"/>
                <w:szCs w:val="20"/>
              </w:rPr>
            </w:pPr>
            <w:r>
              <w:rPr>
                <w:sz w:val="20"/>
                <w:szCs w:val="20"/>
              </w:rPr>
              <w:t>Patients</w:t>
            </w:r>
          </w:p>
        </w:tc>
        <w:tc>
          <w:tcPr>
            <w:tcW w:w="1134" w:type="dxa"/>
            <w:shd w:val="clear" w:color="auto" w:fill="BFBFBF" w:themeFill="background1" w:themeFillShade="BF"/>
          </w:tcPr>
          <w:p w14:paraId="4C131C90" w14:textId="77777777" w:rsidR="001D0498" w:rsidRPr="005D0C9B" w:rsidRDefault="001D0498" w:rsidP="002D770C">
            <w:pPr>
              <w:pStyle w:val="Tableheading"/>
              <w:rPr>
                <w:sz w:val="20"/>
                <w:szCs w:val="20"/>
              </w:rPr>
            </w:pPr>
            <w:r>
              <w:rPr>
                <w:sz w:val="20"/>
                <w:szCs w:val="20"/>
              </w:rPr>
              <w:t xml:space="preserve">% Growth </w:t>
            </w:r>
          </w:p>
        </w:tc>
      </w:tr>
      <w:tr w:rsidR="001D0498" w:rsidRPr="001D0858" w14:paraId="5C7B3742" w14:textId="77777777" w:rsidTr="002D770C">
        <w:trPr>
          <w:trHeight w:val="129"/>
          <w:tblHeader/>
        </w:trPr>
        <w:tc>
          <w:tcPr>
            <w:tcW w:w="1413" w:type="dxa"/>
            <w:shd w:val="clear" w:color="auto" w:fill="FFFFFF" w:themeFill="background1"/>
          </w:tcPr>
          <w:p w14:paraId="4E56332D" w14:textId="77777777" w:rsidR="001D0498" w:rsidRPr="005D0C9B" w:rsidRDefault="001D0498" w:rsidP="002D770C">
            <w:pPr>
              <w:pStyle w:val="Tableheading"/>
              <w:rPr>
                <w:b w:val="0"/>
                <w:bCs/>
                <w:sz w:val="20"/>
                <w:szCs w:val="20"/>
              </w:rPr>
            </w:pPr>
            <w:r>
              <w:rPr>
                <w:b w:val="0"/>
                <w:bCs/>
                <w:sz w:val="20"/>
                <w:szCs w:val="20"/>
              </w:rPr>
              <w:t>2014</w:t>
            </w:r>
          </w:p>
        </w:tc>
        <w:tc>
          <w:tcPr>
            <w:tcW w:w="1417" w:type="dxa"/>
            <w:shd w:val="clear" w:color="auto" w:fill="FFFFFF" w:themeFill="background1"/>
          </w:tcPr>
          <w:p w14:paraId="5BF6172B" w14:textId="5094042F" w:rsidR="001D0498" w:rsidRPr="005D0C9B" w:rsidRDefault="001C6041" w:rsidP="002D770C">
            <w:pPr>
              <w:pStyle w:val="Tableheading"/>
              <w:rPr>
                <w:b w:val="0"/>
                <w:bCs/>
                <w:sz w:val="20"/>
                <w:szCs w:val="20"/>
              </w:rPr>
            </w:pPr>
            <w:r>
              <w:rPr>
                <w:b w:val="0"/>
                <w:bCs/>
                <w:sz w:val="20"/>
                <w:szCs w:val="20"/>
              </w:rPr>
              <w:t>9,708</w:t>
            </w:r>
          </w:p>
        </w:tc>
        <w:tc>
          <w:tcPr>
            <w:tcW w:w="1134" w:type="dxa"/>
            <w:shd w:val="clear" w:color="auto" w:fill="FFFFFF" w:themeFill="background1"/>
          </w:tcPr>
          <w:p w14:paraId="0AE3B3F3" w14:textId="77777777" w:rsidR="001D0498" w:rsidRDefault="001D0498" w:rsidP="002D770C">
            <w:pPr>
              <w:pStyle w:val="Tableheading"/>
              <w:rPr>
                <w:b w:val="0"/>
                <w:bCs/>
                <w:sz w:val="20"/>
                <w:szCs w:val="20"/>
              </w:rPr>
            </w:pPr>
          </w:p>
        </w:tc>
      </w:tr>
      <w:tr w:rsidR="001D0498" w:rsidRPr="001D0858" w14:paraId="2276C37C" w14:textId="77777777" w:rsidTr="002D770C">
        <w:trPr>
          <w:trHeight w:val="129"/>
          <w:tblHeader/>
        </w:trPr>
        <w:tc>
          <w:tcPr>
            <w:tcW w:w="1413" w:type="dxa"/>
            <w:shd w:val="clear" w:color="auto" w:fill="FFFFFF" w:themeFill="background1"/>
          </w:tcPr>
          <w:p w14:paraId="7E03D1D7" w14:textId="77777777" w:rsidR="001D0498" w:rsidRPr="005D0C9B" w:rsidRDefault="001D0498" w:rsidP="002D770C">
            <w:pPr>
              <w:pStyle w:val="Tableheading"/>
              <w:rPr>
                <w:b w:val="0"/>
                <w:bCs/>
                <w:sz w:val="20"/>
                <w:szCs w:val="20"/>
              </w:rPr>
            </w:pPr>
            <w:r>
              <w:rPr>
                <w:b w:val="0"/>
                <w:bCs/>
                <w:sz w:val="20"/>
                <w:szCs w:val="20"/>
              </w:rPr>
              <w:t>2015</w:t>
            </w:r>
          </w:p>
        </w:tc>
        <w:tc>
          <w:tcPr>
            <w:tcW w:w="1417" w:type="dxa"/>
            <w:shd w:val="clear" w:color="auto" w:fill="FFFFFF" w:themeFill="background1"/>
          </w:tcPr>
          <w:p w14:paraId="73961066" w14:textId="198F0290" w:rsidR="001D0498" w:rsidRPr="005D0C9B" w:rsidRDefault="001C6041" w:rsidP="002D770C">
            <w:pPr>
              <w:pStyle w:val="Tableheading"/>
              <w:rPr>
                <w:b w:val="0"/>
                <w:bCs/>
                <w:sz w:val="20"/>
                <w:szCs w:val="20"/>
              </w:rPr>
            </w:pPr>
            <w:r>
              <w:rPr>
                <w:b w:val="0"/>
                <w:bCs/>
                <w:sz w:val="20"/>
                <w:szCs w:val="20"/>
              </w:rPr>
              <w:t>10,7</w:t>
            </w:r>
            <w:r w:rsidR="006E2571">
              <w:rPr>
                <w:b w:val="0"/>
                <w:bCs/>
                <w:sz w:val="20"/>
                <w:szCs w:val="20"/>
              </w:rPr>
              <w:t>42</w:t>
            </w:r>
          </w:p>
        </w:tc>
        <w:tc>
          <w:tcPr>
            <w:tcW w:w="1134" w:type="dxa"/>
            <w:shd w:val="clear" w:color="auto" w:fill="FFFFFF" w:themeFill="background1"/>
          </w:tcPr>
          <w:p w14:paraId="5F001D74" w14:textId="47F550BD" w:rsidR="001D0498" w:rsidRPr="005D0C9B" w:rsidRDefault="00B0018E" w:rsidP="002D770C">
            <w:pPr>
              <w:pStyle w:val="Tableheading"/>
              <w:rPr>
                <w:b w:val="0"/>
                <w:bCs/>
                <w:sz w:val="20"/>
                <w:szCs w:val="20"/>
              </w:rPr>
            </w:pPr>
            <w:r>
              <w:rPr>
                <w:b w:val="0"/>
                <w:bCs/>
                <w:sz w:val="20"/>
                <w:szCs w:val="20"/>
              </w:rPr>
              <w:t>12</w:t>
            </w:r>
            <w:r w:rsidR="001D0498" w:rsidRPr="005D0C9B">
              <w:rPr>
                <w:b w:val="0"/>
                <w:bCs/>
                <w:sz w:val="20"/>
                <w:szCs w:val="20"/>
              </w:rPr>
              <w:t>%</w:t>
            </w:r>
          </w:p>
        </w:tc>
      </w:tr>
      <w:tr w:rsidR="001D0498" w:rsidRPr="001D0858" w14:paraId="2CDB493D" w14:textId="77777777" w:rsidTr="002D770C">
        <w:trPr>
          <w:trHeight w:val="129"/>
          <w:tblHeader/>
        </w:trPr>
        <w:tc>
          <w:tcPr>
            <w:tcW w:w="1413" w:type="dxa"/>
            <w:shd w:val="clear" w:color="auto" w:fill="FFFFFF" w:themeFill="background1"/>
          </w:tcPr>
          <w:p w14:paraId="41362571" w14:textId="77777777" w:rsidR="001D0498" w:rsidRDefault="001D0498" w:rsidP="002D770C">
            <w:pPr>
              <w:pStyle w:val="Tableheading"/>
              <w:rPr>
                <w:b w:val="0"/>
                <w:bCs/>
                <w:sz w:val="20"/>
                <w:szCs w:val="20"/>
              </w:rPr>
            </w:pPr>
            <w:r>
              <w:rPr>
                <w:b w:val="0"/>
                <w:bCs/>
                <w:sz w:val="20"/>
                <w:szCs w:val="20"/>
              </w:rPr>
              <w:t>2016</w:t>
            </w:r>
          </w:p>
        </w:tc>
        <w:tc>
          <w:tcPr>
            <w:tcW w:w="1417" w:type="dxa"/>
            <w:shd w:val="clear" w:color="auto" w:fill="FFFFFF" w:themeFill="background1"/>
          </w:tcPr>
          <w:p w14:paraId="55473F22" w14:textId="36230CE3" w:rsidR="001D0498" w:rsidRPr="005D0C9B" w:rsidRDefault="006E2571" w:rsidP="002D770C">
            <w:pPr>
              <w:pStyle w:val="Tableheading"/>
              <w:rPr>
                <w:b w:val="0"/>
                <w:bCs/>
                <w:sz w:val="20"/>
                <w:szCs w:val="20"/>
              </w:rPr>
            </w:pPr>
            <w:r>
              <w:rPr>
                <w:b w:val="0"/>
                <w:bCs/>
                <w:sz w:val="20"/>
                <w:szCs w:val="20"/>
              </w:rPr>
              <w:t>12,336</w:t>
            </w:r>
          </w:p>
        </w:tc>
        <w:tc>
          <w:tcPr>
            <w:tcW w:w="1134" w:type="dxa"/>
            <w:shd w:val="clear" w:color="auto" w:fill="FFFFFF" w:themeFill="background1"/>
          </w:tcPr>
          <w:p w14:paraId="294DE873" w14:textId="79CA1F51" w:rsidR="001D0498" w:rsidRPr="005D0C9B" w:rsidRDefault="001D0498" w:rsidP="002D770C">
            <w:pPr>
              <w:pStyle w:val="Tableheading"/>
              <w:rPr>
                <w:b w:val="0"/>
                <w:bCs/>
                <w:sz w:val="20"/>
                <w:szCs w:val="20"/>
              </w:rPr>
            </w:pPr>
            <w:r>
              <w:rPr>
                <w:b w:val="0"/>
                <w:bCs/>
                <w:sz w:val="20"/>
                <w:szCs w:val="20"/>
              </w:rPr>
              <w:t>1</w:t>
            </w:r>
            <w:r w:rsidR="00B0018E">
              <w:rPr>
                <w:b w:val="0"/>
                <w:bCs/>
                <w:sz w:val="20"/>
                <w:szCs w:val="20"/>
              </w:rPr>
              <w:t>1</w:t>
            </w:r>
            <w:r w:rsidRPr="005D0C9B">
              <w:rPr>
                <w:b w:val="0"/>
                <w:bCs/>
                <w:sz w:val="20"/>
                <w:szCs w:val="20"/>
              </w:rPr>
              <w:t>%</w:t>
            </w:r>
          </w:p>
        </w:tc>
      </w:tr>
      <w:tr w:rsidR="001D0498" w:rsidRPr="001D0858" w14:paraId="49F45A32" w14:textId="77777777" w:rsidTr="002D770C">
        <w:trPr>
          <w:trHeight w:val="129"/>
          <w:tblHeader/>
        </w:trPr>
        <w:tc>
          <w:tcPr>
            <w:tcW w:w="1413" w:type="dxa"/>
            <w:shd w:val="clear" w:color="auto" w:fill="FFFFFF" w:themeFill="background1"/>
          </w:tcPr>
          <w:p w14:paraId="73956B3E" w14:textId="77777777" w:rsidR="001D0498" w:rsidRDefault="001D0498" w:rsidP="002D770C">
            <w:pPr>
              <w:pStyle w:val="Tableheading"/>
              <w:rPr>
                <w:b w:val="0"/>
                <w:bCs/>
                <w:sz w:val="20"/>
                <w:szCs w:val="20"/>
              </w:rPr>
            </w:pPr>
            <w:r>
              <w:rPr>
                <w:b w:val="0"/>
                <w:bCs/>
                <w:sz w:val="20"/>
                <w:szCs w:val="20"/>
              </w:rPr>
              <w:t>2017</w:t>
            </w:r>
          </w:p>
        </w:tc>
        <w:tc>
          <w:tcPr>
            <w:tcW w:w="1417" w:type="dxa"/>
            <w:shd w:val="clear" w:color="auto" w:fill="FFFFFF" w:themeFill="background1"/>
          </w:tcPr>
          <w:p w14:paraId="464031AB" w14:textId="38F8965C" w:rsidR="001D0498" w:rsidRPr="005D0C9B" w:rsidRDefault="001D0498" w:rsidP="002D770C">
            <w:pPr>
              <w:pStyle w:val="Tableheading"/>
              <w:rPr>
                <w:b w:val="0"/>
                <w:bCs/>
                <w:sz w:val="20"/>
                <w:szCs w:val="20"/>
              </w:rPr>
            </w:pPr>
            <w:r>
              <w:rPr>
                <w:b w:val="0"/>
                <w:bCs/>
                <w:sz w:val="20"/>
                <w:szCs w:val="20"/>
              </w:rPr>
              <w:t>13,</w:t>
            </w:r>
            <w:r w:rsidR="006E2571">
              <w:rPr>
                <w:b w:val="0"/>
                <w:bCs/>
                <w:sz w:val="20"/>
                <w:szCs w:val="20"/>
              </w:rPr>
              <w:t>875</w:t>
            </w:r>
          </w:p>
        </w:tc>
        <w:tc>
          <w:tcPr>
            <w:tcW w:w="1134" w:type="dxa"/>
            <w:shd w:val="clear" w:color="auto" w:fill="FFFFFF" w:themeFill="background1"/>
          </w:tcPr>
          <w:p w14:paraId="27BE489C" w14:textId="26D1CE76" w:rsidR="001D0498" w:rsidRPr="005D0C9B" w:rsidRDefault="001D0498" w:rsidP="002D770C">
            <w:pPr>
              <w:pStyle w:val="Tableheading"/>
              <w:rPr>
                <w:b w:val="0"/>
                <w:bCs/>
                <w:sz w:val="20"/>
                <w:szCs w:val="20"/>
              </w:rPr>
            </w:pPr>
            <w:r>
              <w:rPr>
                <w:b w:val="0"/>
                <w:bCs/>
                <w:sz w:val="20"/>
                <w:szCs w:val="20"/>
              </w:rPr>
              <w:t>1</w:t>
            </w:r>
            <w:r w:rsidR="00B0018E">
              <w:rPr>
                <w:b w:val="0"/>
                <w:bCs/>
                <w:sz w:val="20"/>
                <w:szCs w:val="20"/>
              </w:rPr>
              <w:t>5</w:t>
            </w:r>
            <w:r w:rsidRPr="005D0C9B">
              <w:rPr>
                <w:b w:val="0"/>
                <w:bCs/>
                <w:sz w:val="20"/>
                <w:szCs w:val="20"/>
              </w:rPr>
              <w:t>%</w:t>
            </w:r>
          </w:p>
        </w:tc>
      </w:tr>
      <w:tr w:rsidR="001D0498" w:rsidRPr="001D0858" w14:paraId="4E9E0EB0" w14:textId="77777777" w:rsidTr="002D770C">
        <w:trPr>
          <w:trHeight w:val="129"/>
          <w:tblHeader/>
        </w:trPr>
        <w:tc>
          <w:tcPr>
            <w:tcW w:w="1413" w:type="dxa"/>
            <w:shd w:val="clear" w:color="auto" w:fill="FFFFFF" w:themeFill="background1"/>
          </w:tcPr>
          <w:p w14:paraId="3E34FB9E" w14:textId="77777777" w:rsidR="001D0498" w:rsidRDefault="001D0498" w:rsidP="002D770C">
            <w:pPr>
              <w:pStyle w:val="Tableheading"/>
              <w:rPr>
                <w:b w:val="0"/>
                <w:bCs/>
                <w:sz w:val="20"/>
                <w:szCs w:val="20"/>
              </w:rPr>
            </w:pPr>
            <w:r>
              <w:rPr>
                <w:b w:val="0"/>
                <w:bCs/>
                <w:sz w:val="20"/>
                <w:szCs w:val="20"/>
              </w:rPr>
              <w:t>2018</w:t>
            </w:r>
          </w:p>
        </w:tc>
        <w:tc>
          <w:tcPr>
            <w:tcW w:w="1417" w:type="dxa"/>
            <w:shd w:val="clear" w:color="auto" w:fill="FFFFFF" w:themeFill="background1"/>
          </w:tcPr>
          <w:p w14:paraId="11A5B2DE" w14:textId="620E62E6" w:rsidR="001D0498" w:rsidRPr="005D0C9B" w:rsidRDefault="001D0498" w:rsidP="002D770C">
            <w:pPr>
              <w:pStyle w:val="Tableheading"/>
              <w:rPr>
                <w:b w:val="0"/>
                <w:bCs/>
                <w:sz w:val="20"/>
                <w:szCs w:val="20"/>
              </w:rPr>
            </w:pPr>
            <w:r>
              <w:rPr>
                <w:b w:val="0"/>
                <w:bCs/>
                <w:sz w:val="20"/>
                <w:szCs w:val="20"/>
              </w:rPr>
              <w:t>16,</w:t>
            </w:r>
            <w:r w:rsidR="006E2571">
              <w:rPr>
                <w:b w:val="0"/>
                <w:bCs/>
                <w:sz w:val="20"/>
                <w:szCs w:val="20"/>
              </w:rPr>
              <w:t>572</w:t>
            </w:r>
          </w:p>
        </w:tc>
        <w:tc>
          <w:tcPr>
            <w:tcW w:w="1134" w:type="dxa"/>
            <w:shd w:val="clear" w:color="auto" w:fill="FFFFFF" w:themeFill="background1"/>
          </w:tcPr>
          <w:p w14:paraId="1CCBB9A7" w14:textId="0F2BF856" w:rsidR="001D0498" w:rsidRPr="005D0C9B" w:rsidRDefault="001D0498" w:rsidP="002D770C">
            <w:pPr>
              <w:pStyle w:val="Tableheading"/>
              <w:rPr>
                <w:b w:val="0"/>
                <w:bCs/>
                <w:sz w:val="20"/>
                <w:szCs w:val="20"/>
              </w:rPr>
            </w:pPr>
            <w:r>
              <w:rPr>
                <w:b w:val="0"/>
                <w:bCs/>
                <w:sz w:val="20"/>
                <w:szCs w:val="20"/>
              </w:rPr>
              <w:t>1</w:t>
            </w:r>
            <w:r w:rsidR="00B0018E">
              <w:rPr>
                <w:b w:val="0"/>
                <w:bCs/>
                <w:sz w:val="20"/>
                <w:szCs w:val="20"/>
              </w:rPr>
              <w:t>2</w:t>
            </w:r>
            <w:r w:rsidRPr="005D0C9B">
              <w:rPr>
                <w:b w:val="0"/>
                <w:bCs/>
                <w:sz w:val="20"/>
                <w:szCs w:val="20"/>
              </w:rPr>
              <w:t>%</w:t>
            </w:r>
          </w:p>
        </w:tc>
      </w:tr>
      <w:tr w:rsidR="001D0498" w:rsidRPr="001D0858" w14:paraId="301E9D41" w14:textId="77777777" w:rsidTr="002D770C">
        <w:trPr>
          <w:trHeight w:val="129"/>
          <w:tblHeader/>
        </w:trPr>
        <w:tc>
          <w:tcPr>
            <w:tcW w:w="1413" w:type="dxa"/>
            <w:shd w:val="clear" w:color="auto" w:fill="FFFFFF" w:themeFill="background1"/>
          </w:tcPr>
          <w:p w14:paraId="20A659AB" w14:textId="77777777" w:rsidR="001D0498" w:rsidRDefault="001D0498" w:rsidP="002D770C">
            <w:pPr>
              <w:pStyle w:val="Tableheading"/>
              <w:rPr>
                <w:b w:val="0"/>
                <w:bCs/>
                <w:sz w:val="20"/>
                <w:szCs w:val="20"/>
              </w:rPr>
            </w:pPr>
            <w:r>
              <w:rPr>
                <w:b w:val="0"/>
                <w:bCs/>
                <w:sz w:val="20"/>
                <w:szCs w:val="20"/>
              </w:rPr>
              <w:t>2019</w:t>
            </w:r>
          </w:p>
        </w:tc>
        <w:tc>
          <w:tcPr>
            <w:tcW w:w="1417" w:type="dxa"/>
            <w:shd w:val="clear" w:color="auto" w:fill="FFFFFF" w:themeFill="background1"/>
          </w:tcPr>
          <w:p w14:paraId="28CAC5E5" w14:textId="42B8A5EF" w:rsidR="001D0498" w:rsidRPr="005D0C9B" w:rsidRDefault="001D0498" w:rsidP="002D770C">
            <w:pPr>
              <w:pStyle w:val="Tableheading"/>
              <w:rPr>
                <w:b w:val="0"/>
                <w:bCs/>
                <w:sz w:val="20"/>
                <w:szCs w:val="20"/>
              </w:rPr>
            </w:pPr>
            <w:r>
              <w:rPr>
                <w:b w:val="0"/>
                <w:bCs/>
                <w:sz w:val="20"/>
                <w:szCs w:val="20"/>
              </w:rPr>
              <w:t>1</w:t>
            </w:r>
            <w:r w:rsidR="006E2571">
              <w:rPr>
                <w:b w:val="0"/>
                <w:bCs/>
                <w:sz w:val="20"/>
                <w:szCs w:val="20"/>
              </w:rPr>
              <w:t>9,910</w:t>
            </w:r>
          </w:p>
        </w:tc>
        <w:tc>
          <w:tcPr>
            <w:tcW w:w="1134" w:type="dxa"/>
            <w:shd w:val="clear" w:color="auto" w:fill="FFFFFF" w:themeFill="background1"/>
          </w:tcPr>
          <w:p w14:paraId="0616B4B1" w14:textId="25D74BB8" w:rsidR="001D0498" w:rsidRPr="005D0C9B" w:rsidRDefault="001D0498" w:rsidP="002D770C">
            <w:pPr>
              <w:pStyle w:val="Tableheading"/>
              <w:rPr>
                <w:b w:val="0"/>
                <w:bCs/>
                <w:sz w:val="20"/>
                <w:szCs w:val="20"/>
              </w:rPr>
            </w:pPr>
            <w:r>
              <w:rPr>
                <w:b w:val="0"/>
                <w:bCs/>
                <w:sz w:val="20"/>
                <w:szCs w:val="20"/>
              </w:rPr>
              <w:t>1</w:t>
            </w:r>
            <w:r w:rsidR="00B0018E">
              <w:rPr>
                <w:b w:val="0"/>
                <w:bCs/>
                <w:sz w:val="20"/>
                <w:szCs w:val="20"/>
              </w:rPr>
              <w:t>9</w:t>
            </w:r>
            <w:r w:rsidRPr="005D0C9B">
              <w:rPr>
                <w:b w:val="0"/>
                <w:bCs/>
                <w:sz w:val="20"/>
                <w:szCs w:val="20"/>
              </w:rPr>
              <w:t>%</w:t>
            </w:r>
          </w:p>
        </w:tc>
      </w:tr>
      <w:tr w:rsidR="001D0498" w:rsidRPr="001D0858" w14:paraId="50C84B94" w14:textId="77777777" w:rsidTr="002D770C">
        <w:trPr>
          <w:trHeight w:val="129"/>
          <w:tblHeader/>
        </w:trPr>
        <w:tc>
          <w:tcPr>
            <w:tcW w:w="1413" w:type="dxa"/>
            <w:shd w:val="clear" w:color="auto" w:fill="FFFFFF" w:themeFill="background1"/>
          </w:tcPr>
          <w:p w14:paraId="21838DDF" w14:textId="77777777" w:rsidR="001D0498" w:rsidRDefault="001D0498" w:rsidP="002D770C">
            <w:pPr>
              <w:pStyle w:val="Tableheading"/>
              <w:rPr>
                <w:b w:val="0"/>
                <w:bCs/>
                <w:sz w:val="20"/>
                <w:szCs w:val="20"/>
              </w:rPr>
            </w:pPr>
            <w:r>
              <w:rPr>
                <w:b w:val="0"/>
                <w:bCs/>
                <w:sz w:val="20"/>
                <w:szCs w:val="20"/>
              </w:rPr>
              <w:t>2020</w:t>
            </w:r>
          </w:p>
        </w:tc>
        <w:tc>
          <w:tcPr>
            <w:tcW w:w="1417" w:type="dxa"/>
            <w:shd w:val="clear" w:color="auto" w:fill="FFFFFF" w:themeFill="background1"/>
          </w:tcPr>
          <w:p w14:paraId="4EE673E2" w14:textId="4FD0FCEC" w:rsidR="001D0498" w:rsidRPr="005D0C9B" w:rsidRDefault="001D0498" w:rsidP="002D770C">
            <w:pPr>
              <w:pStyle w:val="Tableheading"/>
              <w:rPr>
                <w:b w:val="0"/>
                <w:bCs/>
                <w:sz w:val="20"/>
                <w:szCs w:val="20"/>
              </w:rPr>
            </w:pPr>
            <w:r>
              <w:rPr>
                <w:b w:val="0"/>
                <w:bCs/>
                <w:sz w:val="20"/>
                <w:szCs w:val="20"/>
              </w:rPr>
              <w:t>2</w:t>
            </w:r>
            <w:r w:rsidR="006E2571">
              <w:rPr>
                <w:b w:val="0"/>
                <w:bCs/>
                <w:sz w:val="20"/>
                <w:szCs w:val="20"/>
              </w:rPr>
              <w:t>2,764</w:t>
            </w:r>
          </w:p>
        </w:tc>
        <w:tc>
          <w:tcPr>
            <w:tcW w:w="1134" w:type="dxa"/>
            <w:shd w:val="clear" w:color="auto" w:fill="FFFFFF" w:themeFill="background1"/>
          </w:tcPr>
          <w:p w14:paraId="79F89710" w14:textId="577612CA" w:rsidR="001D0498" w:rsidRPr="005D0C9B" w:rsidRDefault="00B0018E" w:rsidP="002D770C">
            <w:pPr>
              <w:pStyle w:val="Tableheading"/>
              <w:rPr>
                <w:b w:val="0"/>
                <w:bCs/>
                <w:sz w:val="20"/>
                <w:szCs w:val="20"/>
              </w:rPr>
            </w:pPr>
            <w:r>
              <w:rPr>
                <w:b w:val="0"/>
                <w:bCs/>
                <w:sz w:val="20"/>
                <w:szCs w:val="20"/>
              </w:rPr>
              <w:t>20</w:t>
            </w:r>
            <w:r w:rsidR="001D0498" w:rsidRPr="005D0C9B">
              <w:rPr>
                <w:b w:val="0"/>
                <w:bCs/>
                <w:sz w:val="20"/>
                <w:szCs w:val="20"/>
              </w:rPr>
              <w:t>%</w:t>
            </w:r>
          </w:p>
        </w:tc>
      </w:tr>
      <w:tr w:rsidR="001D0498" w:rsidRPr="001D0858" w14:paraId="4F109E11" w14:textId="77777777" w:rsidTr="002D770C">
        <w:trPr>
          <w:trHeight w:val="129"/>
          <w:tblHeader/>
        </w:trPr>
        <w:tc>
          <w:tcPr>
            <w:tcW w:w="1413" w:type="dxa"/>
            <w:shd w:val="clear" w:color="auto" w:fill="FFFFFF" w:themeFill="background1"/>
          </w:tcPr>
          <w:p w14:paraId="2F0855E4" w14:textId="77777777" w:rsidR="001D0498" w:rsidRDefault="001D0498" w:rsidP="002D770C">
            <w:pPr>
              <w:pStyle w:val="Tableheading"/>
              <w:rPr>
                <w:b w:val="0"/>
                <w:bCs/>
                <w:sz w:val="20"/>
                <w:szCs w:val="20"/>
              </w:rPr>
            </w:pPr>
            <w:r>
              <w:rPr>
                <w:b w:val="0"/>
                <w:bCs/>
                <w:sz w:val="20"/>
                <w:szCs w:val="20"/>
              </w:rPr>
              <w:t>2021</w:t>
            </w:r>
          </w:p>
        </w:tc>
        <w:tc>
          <w:tcPr>
            <w:tcW w:w="1417" w:type="dxa"/>
            <w:shd w:val="clear" w:color="auto" w:fill="FFFFFF" w:themeFill="background1"/>
          </w:tcPr>
          <w:p w14:paraId="6DD3DF98" w14:textId="101AD136" w:rsidR="001D0498" w:rsidRPr="005D0C9B" w:rsidRDefault="001D0498" w:rsidP="002D770C">
            <w:pPr>
              <w:pStyle w:val="Tableheading"/>
              <w:rPr>
                <w:b w:val="0"/>
                <w:bCs/>
                <w:sz w:val="20"/>
                <w:szCs w:val="20"/>
              </w:rPr>
            </w:pPr>
            <w:r>
              <w:rPr>
                <w:b w:val="0"/>
                <w:bCs/>
                <w:sz w:val="20"/>
                <w:szCs w:val="20"/>
              </w:rPr>
              <w:t>2</w:t>
            </w:r>
            <w:r w:rsidR="006E2571">
              <w:rPr>
                <w:b w:val="0"/>
                <w:bCs/>
                <w:sz w:val="20"/>
                <w:szCs w:val="20"/>
              </w:rPr>
              <w:t>7,864</w:t>
            </w:r>
          </w:p>
        </w:tc>
        <w:tc>
          <w:tcPr>
            <w:tcW w:w="1134" w:type="dxa"/>
            <w:shd w:val="clear" w:color="auto" w:fill="FFFFFF" w:themeFill="background1"/>
          </w:tcPr>
          <w:p w14:paraId="7435CD44" w14:textId="2E8DF97E" w:rsidR="001D0498" w:rsidRPr="005D0C9B" w:rsidRDefault="00B0018E" w:rsidP="002D770C">
            <w:pPr>
              <w:pStyle w:val="Tableheading"/>
              <w:rPr>
                <w:b w:val="0"/>
                <w:bCs/>
                <w:sz w:val="20"/>
                <w:szCs w:val="20"/>
              </w:rPr>
            </w:pPr>
            <w:r>
              <w:rPr>
                <w:b w:val="0"/>
                <w:bCs/>
                <w:sz w:val="20"/>
                <w:szCs w:val="20"/>
              </w:rPr>
              <w:t>14</w:t>
            </w:r>
            <w:r w:rsidR="001D0498" w:rsidRPr="005D0C9B">
              <w:rPr>
                <w:b w:val="0"/>
                <w:bCs/>
                <w:sz w:val="20"/>
                <w:szCs w:val="20"/>
              </w:rPr>
              <w:t>%</w:t>
            </w:r>
          </w:p>
        </w:tc>
      </w:tr>
      <w:tr w:rsidR="001D0498" w:rsidRPr="001D0858" w14:paraId="3E52C115" w14:textId="77777777" w:rsidTr="002D770C">
        <w:trPr>
          <w:trHeight w:val="129"/>
          <w:tblHeader/>
        </w:trPr>
        <w:tc>
          <w:tcPr>
            <w:tcW w:w="1413" w:type="dxa"/>
            <w:shd w:val="clear" w:color="auto" w:fill="FFFFFF" w:themeFill="background1"/>
          </w:tcPr>
          <w:p w14:paraId="4B8CCF76" w14:textId="77777777" w:rsidR="001D0498" w:rsidRDefault="001D0498" w:rsidP="002D770C">
            <w:pPr>
              <w:pStyle w:val="Tableheading"/>
              <w:rPr>
                <w:b w:val="0"/>
                <w:bCs/>
                <w:sz w:val="20"/>
                <w:szCs w:val="20"/>
              </w:rPr>
            </w:pPr>
            <w:r>
              <w:rPr>
                <w:b w:val="0"/>
                <w:bCs/>
                <w:sz w:val="20"/>
                <w:szCs w:val="20"/>
              </w:rPr>
              <w:t>2022</w:t>
            </w:r>
          </w:p>
        </w:tc>
        <w:tc>
          <w:tcPr>
            <w:tcW w:w="1417" w:type="dxa"/>
            <w:shd w:val="clear" w:color="auto" w:fill="FFFFFF" w:themeFill="background1"/>
          </w:tcPr>
          <w:p w14:paraId="73FFC12C" w14:textId="1A13039C" w:rsidR="001D0498" w:rsidRPr="005D0C9B" w:rsidRDefault="006E2571" w:rsidP="002D770C">
            <w:pPr>
              <w:pStyle w:val="Tableheading"/>
              <w:rPr>
                <w:b w:val="0"/>
                <w:bCs/>
                <w:sz w:val="20"/>
                <w:szCs w:val="20"/>
              </w:rPr>
            </w:pPr>
            <w:r>
              <w:rPr>
                <w:b w:val="0"/>
                <w:bCs/>
                <w:sz w:val="20"/>
                <w:szCs w:val="20"/>
              </w:rPr>
              <w:t>31,121</w:t>
            </w:r>
          </w:p>
        </w:tc>
        <w:tc>
          <w:tcPr>
            <w:tcW w:w="1134" w:type="dxa"/>
            <w:shd w:val="clear" w:color="auto" w:fill="FFFFFF" w:themeFill="background1"/>
          </w:tcPr>
          <w:p w14:paraId="35A2B6FC" w14:textId="5183FFA7" w:rsidR="001D0498" w:rsidRPr="005D0C9B" w:rsidRDefault="00B0018E" w:rsidP="002D770C">
            <w:pPr>
              <w:pStyle w:val="Tableheading"/>
              <w:rPr>
                <w:b w:val="0"/>
                <w:bCs/>
                <w:sz w:val="20"/>
                <w:szCs w:val="20"/>
              </w:rPr>
            </w:pPr>
            <w:r>
              <w:rPr>
                <w:b w:val="0"/>
                <w:bCs/>
                <w:sz w:val="20"/>
                <w:szCs w:val="20"/>
              </w:rPr>
              <w:t>2</w:t>
            </w:r>
            <w:r w:rsidR="001D0498">
              <w:rPr>
                <w:b w:val="0"/>
                <w:bCs/>
                <w:sz w:val="20"/>
                <w:szCs w:val="20"/>
              </w:rPr>
              <w:t>2</w:t>
            </w:r>
            <w:r w:rsidR="001D0498" w:rsidRPr="005D0C9B">
              <w:rPr>
                <w:b w:val="0"/>
                <w:bCs/>
                <w:sz w:val="20"/>
                <w:szCs w:val="20"/>
              </w:rPr>
              <w:t>%</w:t>
            </w:r>
          </w:p>
        </w:tc>
      </w:tr>
    </w:tbl>
    <w:p w14:paraId="53BEF643" w14:textId="77777777" w:rsidR="001D0498" w:rsidRDefault="001D0498" w:rsidP="00B03098"/>
    <w:p w14:paraId="4C3F6468" w14:textId="51C888E3" w:rsidR="00A5705D" w:rsidRDefault="00F5323C" w:rsidP="00B03098">
      <w:r>
        <w:t xml:space="preserve">As shown in Figure 1 and Table </w:t>
      </w:r>
      <w:r w:rsidR="0035132E">
        <w:t>4</w:t>
      </w:r>
      <w:r>
        <w:t>, the number of patients treated for CPP has been increasing over time</w:t>
      </w:r>
      <w:r w:rsidR="006B4D58">
        <w:t xml:space="preserve">, with </w:t>
      </w:r>
      <w:r w:rsidR="001E385D">
        <w:t xml:space="preserve">the largest increase observed between 2021 and 2022. </w:t>
      </w:r>
    </w:p>
    <w:p w14:paraId="460D0191" w14:textId="7C01E91F" w:rsidR="003610F7" w:rsidRDefault="003610F7" w:rsidP="009A17A9"/>
    <w:p w14:paraId="7059351B" w14:textId="0C9F2CB3" w:rsidR="003610F7" w:rsidRDefault="003610F7" w:rsidP="003610F7">
      <w:pPr>
        <w:jc w:val="center"/>
      </w:pPr>
    </w:p>
    <w:p w14:paraId="0ABCBC30" w14:textId="677395CF" w:rsidR="00DD2262" w:rsidRDefault="00AE0973" w:rsidP="003610F7">
      <w:pPr>
        <w:jc w:val="center"/>
      </w:pPr>
      <w:r>
        <w:rPr>
          <w:noProof/>
        </w:rPr>
        <w:drawing>
          <wp:inline distT="0" distB="0" distL="0" distR="0" wp14:anchorId="58470CA0" wp14:editId="533E9A9A">
            <wp:extent cx="4705200" cy="2908800"/>
            <wp:effectExtent l="0" t="0" r="635" b="6350"/>
            <wp:docPr id="5" name="Chart 5">
              <a:extLst xmlns:a="http://schemas.openxmlformats.org/drawingml/2006/main">
                <a:ext uri="{FF2B5EF4-FFF2-40B4-BE49-F238E27FC236}">
                  <a16:creationId xmlns:a16="http://schemas.microsoft.com/office/drawing/2014/main" id="{B0F26A7F-CB41-E8F4-AEA8-42D8C896D9A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BDA4805" w14:textId="403412BF" w:rsidR="003610F7" w:rsidRPr="00FE645A" w:rsidRDefault="003610F7" w:rsidP="003610F7">
      <w:pPr>
        <w:pStyle w:val="Figuretitle"/>
      </w:pPr>
      <w:r w:rsidRPr="00FE645A">
        <w:t xml:space="preserve">Figure </w:t>
      </w:r>
      <w:r w:rsidR="001F5037">
        <w:t>2</w:t>
      </w:r>
      <w:r w:rsidRPr="00FE645A">
        <w:t>:</w:t>
      </w:r>
      <w:r>
        <w:t xml:space="preserve"> Patients treated by therapy type</w:t>
      </w:r>
      <w:r w:rsidR="003D7124">
        <w:t xml:space="preserve"> by calendar </w:t>
      </w:r>
      <w:proofErr w:type="gramStart"/>
      <w:r w:rsidR="003D7124">
        <w:t>year</w:t>
      </w:r>
      <w:proofErr w:type="gramEnd"/>
      <w:r w:rsidR="003D7124">
        <w:t xml:space="preserve"> </w:t>
      </w:r>
    </w:p>
    <w:p w14:paraId="4C53C6A9" w14:textId="77777777" w:rsidR="008E7A8C" w:rsidRDefault="008E7A8C" w:rsidP="009A17A9"/>
    <w:p w14:paraId="37D4EE7C" w14:textId="0882AE1E" w:rsidR="00186CE5" w:rsidRPr="001F5037" w:rsidRDefault="00186CE5" w:rsidP="009A17A9">
      <w:r w:rsidRPr="003D7124">
        <w:t xml:space="preserve">As shown in Figure </w:t>
      </w:r>
      <w:r w:rsidR="006E5881">
        <w:t>2</w:t>
      </w:r>
      <w:r w:rsidRPr="003D7124">
        <w:t>, the number of patients treated with biologic therapies have been increasing over time</w:t>
      </w:r>
      <w:r w:rsidR="003C3DDF">
        <w:t>, with the rate of increas</w:t>
      </w:r>
      <w:r w:rsidR="004648DB">
        <w:t xml:space="preserve">e greater for those treated with </w:t>
      </w:r>
      <w:r w:rsidR="009A084C">
        <w:t>non-biologic</w:t>
      </w:r>
      <w:r w:rsidR="004648DB">
        <w:t xml:space="preserve"> therapies. </w:t>
      </w:r>
    </w:p>
    <w:p w14:paraId="763A94E6" w14:textId="77777777" w:rsidR="00186CE5" w:rsidRDefault="00186CE5" w:rsidP="009A17A9">
      <w:pPr>
        <w:rPr>
          <w:sz w:val="20"/>
          <w:szCs w:val="20"/>
        </w:rPr>
      </w:pPr>
    </w:p>
    <w:p w14:paraId="1BFD692B" w14:textId="77777777" w:rsidR="002C65AB" w:rsidRDefault="002C65AB" w:rsidP="009A17A9">
      <w:pPr>
        <w:rPr>
          <w:sz w:val="20"/>
          <w:szCs w:val="20"/>
        </w:rPr>
      </w:pPr>
    </w:p>
    <w:p w14:paraId="217BA628" w14:textId="517C3993" w:rsidR="00186CE5" w:rsidRDefault="007359D1" w:rsidP="00186CE5">
      <w:pPr>
        <w:jc w:val="center"/>
      </w:pPr>
      <w:r>
        <w:rPr>
          <w:noProof/>
        </w:rPr>
        <w:lastRenderedPageBreak/>
        <w:drawing>
          <wp:inline distT="0" distB="0" distL="0" distR="0" wp14:anchorId="25B98CBA" wp14:editId="2140BFB1">
            <wp:extent cx="5372100" cy="3830129"/>
            <wp:effectExtent l="0" t="0" r="0" b="18415"/>
            <wp:docPr id="1" name="Chart 1">
              <a:extLst xmlns:a="http://schemas.openxmlformats.org/drawingml/2006/main">
                <a:ext uri="{FF2B5EF4-FFF2-40B4-BE49-F238E27FC236}">
                  <a16:creationId xmlns:a16="http://schemas.microsoft.com/office/drawing/2014/main" id="{F11A7E40-3FBA-1134-5B7D-5B5DBD6A7E7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FA2004F" w14:textId="230EA3B2" w:rsidR="00186CE5" w:rsidRPr="00FE645A" w:rsidRDefault="00186CE5" w:rsidP="00186CE5">
      <w:pPr>
        <w:pStyle w:val="Figuretitle"/>
      </w:pPr>
      <w:r w:rsidRPr="00FE645A">
        <w:t xml:space="preserve">Figure </w:t>
      </w:r>
      <w:r w:rsidR="001F5037">
        <w:t>3</w:t>
      </w:r>
      <w:r w:rsidRPr="00FE645A">
        <w:t xml:space="preserve">: </w:t>
      </w:r>
      <w:r>
        <w:t xml:space="preserve">Number of patients treated for CPP by </w:t>
      </w:r>
      <w:r w:rsidR="008E7A8C">
        <w:t xml:space="preserve">drug and </w:t>
      </w:r>
      <w:r>
        <w:t xml:space="preserve">calendar </w:t>
      </w:r>
      <w:proofErr w:type="gramStart"/>
      <w:r>
        <w:t>year</w:t>
      </w:r>
      <w:proofErr w:type="gramEnd"/>
      <w:r>
        <w:t xml:space="preserve"> </w:t>
      </w:r>
    </w:p>
    <w:p w14:paraId="04B38D5E" w14:textId="44F91996" w:rsidR="000519D1" w:rsidRDefault="00186CE5" w:rsidP="000519D1">
      <w:pPr>
        <w:pStyle w:val="Figurecaption"/>
      </w:pPr>
      <w:r>
        <w:t xml:space="preserve">Note: Methotrexate figures were only based on the methotrexate injection as the PBS listing for methotrexate tablets were unrestricted. </w:t>
      </w:r>
    </w:p>
    <w:p w14:paraId="23576151" w14:textId="6F6B69B3" w:rsidR="008E7A8C" w:rsidRDefault="008E7A8C" w:rsidP="000519D1">
      <w:pPr>
        <w:pStyle w:val="Figurecaption"/>
      </w:pPr>
    </w:p>
    <w:p w14:paraId="06C2E31B" w14:textId="33CBB8EB" w:rsidR="008E7A8C" w:rsidRPr="008E7A8C" w:rsidRDefault="008E7A8C" w:rsidP="000519D1">
      <w:pPr>
        <w:pStyle w:val="Figurecaption"/>
        <w:rPr>
          <w:sz w:val="24"/>
          <w:szCs w:val="24"/>
        </w:rPr>
      </w:pPr>
      <w:r>
        <w:rPr>
          <w:sz w:val="24"/>
          <w:szCs w:val="24"/>
        </w:rPr>
        <w:t xml:space="preserve">Figure 3 shows the number of patients treated for CPP by drug and calendar year. Patients have most commonly been treated with acitretin. Ustekinumab was the second most treatment up until 2021. </w:t>
      </w:r>
      <w:r w:rsidR="00031157">
        <w:rPr>
          <w:sz w:val="24"/>
          <w:szCs w:val="24"/>
        </w:rPr>
        <w:t xml:space="preserve">The second most common treatment in 2021 was </w:t>
      </w:r>
      <w:proofErr w:type="spellStart"/>
      <w:r w:rsidR="00031157">
        <w:rPr>
          <w:sz w:val="24"/>
          <w:szCs w:val="24"/>
        </w:rPr>
        <w:t>guselkumab</w:t>
      </w:r>
      <w:proofErr w:type="spellEnd"/>
      <w:r w:rsidR="00031157">
        <w:rPr>
          <w:sz w:val="24"/>
          <w:szCs w:val="24"/>
        </w:rPr>
        <w:t xml:space="preserve"> and in 2022 was apremilast. </w:t>
      </w:r>
    </w:p>
    <w:p w14:paraId="3596A602" w14:textId="77777777" w:rsidR="008E7A8C" w:rsidRDefault="008E7A8C" w:rsidP="000519D1">
      <w:pPr>
        <w:pStyle w:val="Figurecaption"/>
      </w:pPr>
    </w:p>
    <w:p w14:paraId="4636BF50" w14:textId="77777777" w:rsidR="008E7A8C" w:rsidRDefault="008E7A8C" w:rsidP="000519D1">
      <w:pPr>
        <w:pStyle w:val="Figurecaption"/>
      </w:pPr>
    </w:p>
    <w:p w14:paraId="0EBF7261" w14:textId="77777777" w:rsidR="007359D1" w:rsidRDefault="007359D1" w:rsidP="000519D1">
      <w:pPr>
        <w:pStyle w:val="Figurecaption"/>
      </w:pPr>
    </w:p>
    <w:p w14:paraId="505A2EF1" w14:textId="6448917D" w:rsidR="00945082" w:rsidRDefault="00D42A55" w:rsidP="00945082">
      <w:pPr>
        <w:pStyle w:val="Figurecaption"/>
        <w:jc w:val="center"/>
      </w:pPr>
      <w:r>
        <w:rPr>
          <w:noProof/>
        </w:rPr>
        <w:lastRenderedPageBreak/>
        <w:drawing>
          <wp:inline distT="0" distB="0" distL="0" distR="0" wp14:anchorId="4F024C10" wp14:editId="722911DB">
            <wp:extent cx="4971600" cy="3099600"/>
            <wp:effectExtent l="0" t="0" r="635" b="5715"/>
            <wp:docPr id="9" name="Chart 9">
              <a:extLst xmlns:a="http://schemas.openxmlformats.org/drawingml/2006/main">
                <a:ext uri="{FF2B5EF4-FFF2-40B4-BE49-F238E27FC236}">
                  <a16:creationId xmlns:a16="http://schemas.microsoft.com/office/drawing/2014/main" id="{9EE34830-A757-A91D-C523-7FC3915AAB6C}"/>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18430E1" w14:textId="5AAFA793" w:rsidR="00945082" w:rsidRPr="00FE645A" w:rsidRDefault="00945082" w:rsidP="00945082">
      <w:pPr>
        <w:pStyle w:val="Figuretitle"/>
      </w:pPr>
      <w:r w:rsidRPr="00FE645A">
        <w:t xml:space="preserve">Figure </w:t>
      </w:r>
      <w:r w:rsidR="006D5A70">
        <w:t>4</w:t>
      </w:r>
      <w:r w:rsidRPr="00FE645A">
        <w:t xml:space="preserve">: </w:t>
      </w:r>
      <w:r w:rsidR="001F5037">
        <w:t>Number of patients</w:t>
      </w:r>
      <w:r>
        <w:t xml:space="preserve"> </w:t>
      </w:r>
      <w:r w:rsidR="001F5037">
        <w:t>treated</w:t>
      </w:r>
      <w:r>
        <w:t xml:space="preserve"> by </w:t>
      </w:r>
      <w:r w:rsidR="00F24552">
        <w:t>biologic</w:t>
      </w:r>
      <w:r w:rsidR="008A7FC6">
        <w:t xml:space="preserve"> therapy</w:t>
      </w:r>
      <w:r w:rsidR="00640587">
        <w:t xml:space="preserve"> type</w:t>
      </w:r>
      <w:r w:rsidR="001F5037">
        <w:t xml:space="preserve"> by calendar </w:t>
      </w:r>
      <w:proofErr w:type="gramStart"/>
      <w:r w:rsidR="001F5037">
        <w:t>year</w:t>
      </w:r>
      <w:proofErr w:type="gramEnd"/>
      <w:r w:rsidR="001F5037">
        <w:t xml:space="preserve"> </w:t>
      </w:r>
    </w:p>
    <w:p w14:paraId="4002A817" w14:textId="1B047FCA" w:rsidR="00945082" w:rsidRDefault="00945082" w:rsidP="000519D1">
      <w:pPr>
        <w:pStyle w:val="Figurecaption"/>
      </w:pPr>
    </w:p>
    <w:p w14:paraId="486AB05D" w14:textId="0D9A10C4" w:rsidR="001F5037" w:rsidRDefault="001F5037" w:rsidP="000519D1">
      <w:pPr>
        <w:pStyle w:val="Figurecaption"/>
        <w:rPr>
          <w:sz w:val="24"/>
          <w:szCs w:val="24"/>
        </w:rPr>
      </w:pPr>
      <w:r w:rsidRPr="00857A5D">
        <w:rPr>
          <w:sz w:val="24"/>
          <w:szCs w:val="24"/>
        </w:rPr>
        <w:t>Figure 4 shows the util</w:t>
      </w:r>
      <w:r w:rsidR="004C232E" w:rsidRPr="00857A5D">
        <w:rPr>
          <w:sz w:val="24"/>
          <w:szCs w:val="24"/>
        </w:rPr>
        <w:t xml:space="preserve">isation by type of biologic </w:t>
      </w:r>
      <w:r w:rsidR="004D620C" w:rsidRPr="00857A5D">
        <w:rPr>
          <w:sz w:val="24"/>
          <w:szCs w:val="24"/>
        </w:rPr>
        <w:t>therapy</w:t>
      </w:r>
      <w:r w:rsidR="004C232E" w:rsidRPr="00857A5D">
        <w:rPr>
          <w:sz w:val="24"/>
          <w:szCs w:val="24"/>
        </w:rPr>
        <w:t xml:space="preserve">. From 2019 onwards, </w:t>
      </w:r>
      <w:r w:rsidR="004D620C">
        <w:rPr>
          <w:sz w:val="24"/>
          <w:szCs w:val="24"/>
        </w:rPr>
        <w:t xml:space="preserve">IL-23 </w:t>
      </w:r>
      <w:r w:rsidR="00F8472E">
        <w:rPr>
          <w:sz w:val="24"/>
          <w:szCs w:val="24"/>
        </w:rPr>
        <w:t>inhib</w:t>
      </w:r>
      <w:r w:rsidR="00692576">
        <w:rPr>
          <w:sz w:val="24"/>
          <w:szCs w:val="24"/>
        </w:rPr>
        <w:t>i</w:t>
      </w:r>
      <w:r w:rsidR="00F8472E">
        <w:rPr>
          <w:sz w:val="24"/>
          <w:szCs w:val="24"/>
        </w:rPr>
        <w:t>tors</w:t>
      </w:r>
      <w:r w:rsidR="004D620C">
        <w:rPr>
          <w:sz w:val="24"/>
          <w:szCs w:val="24"/>
        </w:rPr>
        <w:t xml:space="preserve"> </w:t>
      </w:r>
      <w:r w:rsidR="008D6B72">
        <w:rPr>
          <w:sz w:val="24"/>
          <w:szCs w:val="24"/>
        </w:rPr>
        <w:t xml:space="preserve">became the most common biologic therapy. </w:t>
      </w:r>
    </w:p>
    <w:p w14:paraId="00A66EC8" w14:textId="77777777" w:rsidR="008D6B72" w:rsidRDefault="008D6B72" w:rsidP="000519D1">
      <w:pPr>
        <w:pStyle w:val="Figurecaption"/>
        <w:rPr>
          <w:sz w:val="24"/>
          <w:szCs w:val="24"/>
        </w:rPr>
      </w:pPr>
    </w:p>
    <w:p w14:paraId="44D42ED1" w14:textId="77777777" w:rsidR="008D6B72" w:rsidRDefault="008D6B72" w:rsidP="000519D1">
      <w:pPr>
        <w:pStyle w:val="Figurecaption"/>
        <w:rPr>
          <w:sz w:val="24"/>
          <w:szCs w:val="24"/>
        </w:rPr>
      </w:pPr>
    </w:p>
    <w:p w14:paraId="33CC4120" w14:textId="533A3F91" w:rsidR="008D6B72" w:rsidRDefault="00F22C8C" w:rsidP="008D6B72">
      <w:pPr>
        <w:pStyle w:val="Figurecaption"/>
        <w:jc w:val="center"/>
      </w:pPr>
      <w:r>
        <w:rPr>
          <w:noProof/>
        </w:rPr>
        <w:drawing>
          <wp:inline distT="0" distB="0" distL="0" distR="0" wp14:anchorId="7CA583CD" wp14:editId="23BDEAE0">
            <wp:extent cx="5086800" cy="2833689"/>
            <wp:effectExtent l="0" t="0" r="0" b="5080"/>
            <wp:docPr id="14" name="Chart 14">
              <a:extLst xmlns:a="http://schemas.openxmlformats.org/drawingml/2006/main">
                <a:ext uri="{FF2B5EF4-FFF2-40B4-BE49-F238E27FC236}">
                  <a16:creationId xmlns:a16="http://schemas.microsoft.com/office/drawing/2014/main" id="{BF31EB4D-5925-DA2E-304D-3DDA994FB136}"/>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DEB2F35" w14:textId="1E4357F8" w:rsidR="008D6B72" w:rsidRPr="00FE645A" w:rsidRDefault="008D6B72" w:rsidP="008D6B72">
      <w:pPr>
        <w:pStyle w:val="Figuretitle"/>
      </w:pPr>
      <w:r w:rsidRPr="00FE645A">
        <w:t xml:space="preserve">Figure </w:t>
      </w:r>
      <w:r w:rsidR="00875FF0">
        <w:t>5</w:t>
      </w:r>
      <w:r w:rsidRPr="00FE645A">
        <w:t xml:space="preserve">: </w:t>
      </w:r>
      <w:r>
        <w:t xml:space="preserve">Prescriptions supplied by therapy type and calendar </w:t>
      </w:r>
      <w:proofErr w:type="gramStart"/>
      <w:r>
        <w:t>year</w:t>
      </w:r>
      <w:proofErr w:type="gramEnd"/>
      <w:r>
        <w:t xml:space="preserve"> </w:t>
      </w:r>
    </w:p>
    <w:p w14:paraId="094193B5" w14:textId="77777777" w:rsidR="008D6B72" w:rsidRPr="00857A5D" w:rsidRDefault="008D6B72" w:rsidP="000519D1">
      <w:pPr>
        <w:pStyle w:val="Figurecaption"/>
        <w:rPr>
          <w:sz w:val="24"/>
          <w:szCs w:val="24"/>
        </w:rPr>
      </w:pPr>
    </w:p>
    <w:p w14:paraId="208B8725" w14:textId="118FC191" w:rsidR="00DD6B57" w:rsidRPr="001F5037" w:rsidRDefault="00DD6B57" w:rsidP="00DD6B57">
      <w:proofErr w:type="gramStart"/>
      <w:r>
        <w:t>Similar to</w:t>
      </w:r>
      <w:proofErr w:type="gramEnd"/>
      <w:r w:rsidRPr="003D7124">
        <w:t xml:space="preserve"> Figure </w:t>
      </w:r>
      <w:r>
        <w:t>2</w:t>
      </w:r>
      <w:r w:rsidRPr="003D7124">
        <w:t xml:space="preserve">, </w:t>
      </w:r>
      <w:r>
        <w:t xml:space="preserve">in Figure 5 the number of prescriptions supplied for </w:t>
      </w:r>
      <w:r w:rsidRPr="003D7124">
        <w:t>biologic therapies have been increasing over time</w:t>
      </w:r>
      <w:r>
        <w:t xml:space="preserve">, with the rate of increase greater than for those treated with </w:t>
      </w:r>
      <w:r w:rsidR="0029063F">
        <w:t>non-biologic</w:t>
      </w:r>
      <w:r>
        <w:t xml:space="preserve"> therapies. </w:t>
      </w:r>
    </w:p>
    <w:p w14:paraId="63B9EF86" w14:textId="77777777" w:rsidR="006D5A70" w:rsidRDefault="006D5A70" w:rsidP="000519D1">
      <w:pPr>
        <w:pStyle w:val="Figurecaption"/>
      </w:pPr>
    </w:p>
    <w:p w14:paraId="5CBED8AF" w14:textId="77777777" w:rsidR="00DD6B57" w:rsidRDefault="00DD6B57" w:rsidP="000519D1">
      <w:pPr>
        <w:pStyle w:val="Figurecaption"/>
      </w:pPr>
    </w:p>
    <w:p w14:paraId="7A236DA8" w14:textId="69121DE7" w:rsidR="000519D1" w:rsidRDefault="0061786A" w:rsidP="001A510A">
      <w:pPr>
        <w:pStyle w:val="Figurecaption"/>
        <w:jc w:val="center"/>
      </w:pPr>
      <w:r>
        <w:rPr>
          <w:noProof/>
        </w:rPr>
        <w:drawing>
          <wp:inline distT="0" distB="0" distL="0" distR="0" wp14:anchorId="77121C41" wp14:editId="673F1796">
            <wp:extent cx="5295900" cy="3448050"/>
            <wp:effectExtent l="0" t="0" r="0" b="0"/>
            <wp:docPr id="12" name="Chart 12">
              <a:extLst xmlns:a="http://schemas.openxmlformats.org/drawingml/2006/main">
                <a:ext uri="{FF2B5EF4-FFF2-40B4-BE49-F238E27FC236}">
                  <a16:creationId xmlns:a16="http://schemas.microsoft.com/office/drawing/2014/main" id="{4DC14501-1140-9C2A-8FA8-210429798AF4}"/>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8961180" w14:textId="470880A0" w:rsidR="000519D1" w:rsidRPr="00FE645A" w:rsidRDefault="000519D1" w:rsidP="000519D1">
      <w:pPr>
        <w:pStyle w:val="Figuretitle"/>
      </w:pPr>
      <w:r w:rsidRPr="00FE645A">
        <w:t xml:space="preserve">Figure </w:t>
      </w:r>
      <w:r w:rsidR="00875FF0">
        <w:t>6</w:t>
      </w:r>
      <w:r w:rsidRPr="00FE645A">
        <w:t xml:space="preserve">: </w:t>
      </w:r>
      <w:r w:rsidR="008A7FC6">
        <w:t>Number of p</w:t>
      </w:r>
      <w:r>
        <w:t>rescriptions</w:t>
      </w:r>
      <w:r w:rsidR="008A7FC6">
        <w:t xml:space="preserve"> supplied in the</w:t>
      </w:r>
      <w:r>
        <w:t xml:space="preserve"> CPP market </w:t>
      </w:r>
      <w:r w:rsidR="008A7FC6">
        <w:t xml:space="preserve">by calendar </w:t>
      </w:r>
      <w:proofErr w:type="gramStart"/>
      <w:r w:rsidR="008A7FC6">
        <w:t>year</w:t>
      </w:r>
      <w:proofErr w:type="gramEnd"/>
      <w:r w:rsidR="008A7FC6">
        <w:t xml:space="preserve"> </w:t>
      </w:r>
    </w:p>
    <w:p w14:paraId="386CB494" w14:textId="77777777" w:rsidR="00D22B5C" w:rsidRDefault="00D22B5C" w:rsidP="00D22B5C">
      <w:pPr>
        <w:pStyle w:val="Figurecaption"/>
      </w:pPr>
      <w:r>
        <w:t xml:space="preserve">Note: Methotrexate figures are only based on the methotrexate injection as the PBS listing for methotrexate tablets are unrestricted. </w:t>
      </w:r>
    </w:p>
    <w:p w14:paraId="05BE3A5A" w14:textId="6DD14384" w:rsidR="003610F7" w:rsidRDefault="003610F7" w:rsidP="000519D1">
      <w:pPr>
        <w:pStyle w:val="Figurecaption"/>
      </w:pPr>
    </w:p>
    <w:p w14:paraId="10182155" w14:textId="77777777" w:rsidR="003610F7" w:rsidRDefault="003610F7" w:rsidP="000519D1">
      <w:pPr>
        <w:pStyle w:val="Figurecaption"/>
      </w:pPr>
    </w:p>
    <w:p w14:paraId="281EE7A2" w14:textId="36BB7317" w:rsidR="00F56E9C" w:rsidRDefault="00F56E9C" w:rsidP="00F56E9C">
      <w:pPr>
        <w:pStyle w:val="Figurecaption"/>
        <w:jc w:val="center"/>
      </w:pPr>
      <w:r>
        <w:rPr>
          <w:noProof/>
        </w:rPr>
        <w:drawing>
          <wp:inline distT="0" distB="0" distL="0" distR="0" wp14:anchorId="5DFCFF87" wp14:editId="63DCE63A">
            <wp:extent cx="5175849" cy="3148641"/>
            <wp:effectExtent l="0" t="0" r="6350" b="13970"/>
            <wp:docPr id="2" name="Chart 2">
              <a:extLst xmlns:a="http://schemas.openxmlformats.org/drawingml/2006/main">
                <a:ext uri="{FF2B5EF4-FFF2-40B4-BE49-F238E27FC236}">
                  <a16:creationId xmlns:a16="http://schemas.microsoft.com/office/drawing/2014/main" id="{82E38242-4D54-09E9-B362-BDA5864F37B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2AB89F0" w14:textId="06151B49" w:rsidR="00F56E9C" w:rsidRDefault="00F56E9C" w:rsidP="00F56E9C">
      <w:pPr>
        <w:pStyle w:val="Figuretitle"/>
      </w:pPr>
      <w:r w:rsidRPr="00FE645A">
        <w:t xml:space="preserve">Figure </w:t>
      </w:r>
      <w:r w:rsidR="006D5A70">
        <w:t>7</w:t>
      </w:r>
      <w:r w:rsidRPr="00FE645A">
        <w:t xml:space="preserve">: </w:t>
      </w:r>
      <w:r>
        <w:t xml:space="preserve">Prescriptions supplied by </w:t>
      </w:r>
      <w:r w:rsidR="00F24552">
        <w:t>biologic</w:t>
      </w:r>
      <w:r w:rsidR="00675C71">
        <w:t xml:space="preserve"> type </w:t>
      </w:r>
      <w:r w:rsidR="00911107">
        <w:t xml:space="preserve">and calendar </w:t>
      </w:r>
      <w:proofErr w:type="gramStart"/>
      <w:r w:rsidR="00911107">
        <w:t>year</w:t>
      </w:r>
      <w:proofErr w:type="gramEnd"/>
    </w:p>
    <w:p w14:paraId="699CF2B4" w14:textId="77777777" w:rsidR="00712300" w:rsidRPr="00712300" w:rsidRDefault="00712300" w:rsidP="00712300"/>
    <w:p w14:paraId="216C56EB" w14:textId="77777777" w:rsidR="00F56E9C" w:rsidRDefault="00F56E9C" w:rsidP="000519D1">
      <w:pPr>
        <w:pStyle w:val="Figurecaption"/>
      </w:pPr>
    </w:p>
    <w:p w14:paraId="7C4E1809" w14:textId="60AC2CE3" w:rsidR="000519D1" w:rsidRDefault="008A6A2F" w:rsidP="00982418">
      <w:pPr>
        <w:pStyle w:val="Figurecaption"/>
        <w:jc w:val="center"/>
      </w:pPr>
      <w:r>
        <w:rPr>
          <w:noProof/>
        </w:rPr>
        <w:lastRenderedPageBreak/>
        <w:drawing>
          <wp:inline distT="0" distB="0" distL="0" distR="0" wp14:anchorId="4842DA61" wp14:editId="517593F3">
            <wp:extent cx="5115464" cy="2941608"/>
            <wp:effectExtent l="0" t="0" r="9525" b="11430"/>
            <wp:docPr id="6" name="Chart 6">
              <a:extLst xmlns:a="http://schemas.openxmlformats.org/drawingml/2006/main">
                <a:ext uri="{FF2B5EF4-FFF2-40B4-BE49-F238E27FC236}">
                  <a16:creationId xmlns:a16="http://schemas.microsoft.com/office/drawing/2014/main" id="{E4A6CDE4-B29B-4CA7-B401-A9B47D3D3A38}"/>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0D095B0" w14:textId="70C4E01D" w:rsidR="000519D1" w:rsidRPr="00FE645A" w:rsidRDefault="000519D1" w:rsidP="000519D1">
      <w:pPr>
        <w:pStyle w:val="Figuretitle"/>
      </w:pPr>
      <w:bookmarkStart w:id="0" w:name="_Hlk141745078"/>
      <w:r w:rsidRPr="00FE645A">
        <w:t xml:space="preserve">Figure </w:t>
      </w:r>
      <w:r w:rsidR="006D5A70">
        <w:t>8</w:t>
      </w:r>
      <w:r w:rsidRPr="00FE645A">
        <w:t xml:space="preserve">: </w:t>
      </w:r>
      <w:r>
        <w:t xml:space="preserve">Number of initiating and prevalent apremilast patients </w:t>
      </w:r>
      <w:r w:rsidR="00982418">
        <w:t xml:space="preserve">by supply quarter </w:t>
      </w:r>
      <w:bookmarkEnd w:id="0"/>
    </w:p>
    <w:p w14:paraId="7332B89D" w14:textId="24CBF9B9" w:rsidR="005B1574" w:rsidRDefault="005B1574" w:rsidP="00A35800"/>
    <w:p w14:paraId="0E5A74B4" w14:textId="3F3BD297" w:rsidR="00E2231F" w:rsidRPr="00E2231F" w:rsidRDefault="00622908" w:rsidP="00E2231F">
      <w:r>
        <w:t xml:space="preserve">As shown in Figure 8, the number of </w:t>
      </w:r>
      <w:r w:rsidR="004309FF">
        <w:t>patients</w:t>
      </w:r>
      <w:r>
        <w:t xml:space="preserve"> treated with apremilast has been increasing over time. There has been an average of approximately 750 patients </w:t>
      </w:r>
      <w:r w:rsidR="004309FF">
        <w:t>initiating</w:t>
      </w:r>
      <w:r>
        <w:t xml:space="preserve"> treatment with </w:t>
      </w:r>
      <w:r w:rsidR="004309FF">
        <w:t>apremilast</w:t>
      </w:r>
      <w:r>
        <w:t xml:space="preserve"> per supply quarter. </w:t>
      </w:r>
    </w:p>
    <w:p w14:paraId="62BD7A7B" w14:textId="3B82A6E4" w:rsidR="004309FF" w:rsidRDefault="00736041" w:rsidP="004309FF">
      <w:pPr>
        <w:pStyle w:val="Heading3"/>
      </w:pPr>
      <w:r w:rsidRPr="005E22C2">
        <w:t>Utilisation by relevant sub-populations/regions</w:t>
      </w:r>
      <w:r w:rsidR="001B5D37" w:rsidRPr="005E22C2">
        <w:t xml:space="preserve"> or patient level analysis</w:t>
      </w:r>
    </w:p>
    <w:p w14:paraId="7B592800" w14:textId="5AE21C7C" w:rsidR="004309FF" w:rsidRDefault="002450B0" w:rsidP="004309FF">
      <w:pPr>
        <w:jc w:val="center"/>
      </w:pPr>
      <w:r>
        <w:rPr>
          <w:noProof/>
        </w:rPr>
        <w:drawing>
          <wp:inline distT="0" distB="0" distL="0" distR="0" wp14:anchorId="2F6BAC58" wp14:editId="2EA772F1">
            <wp:extent cx="4942936" cy="2958861"/>
            <wp:effectExtent l="0" t="0" r="10160" b="13335"/>
            <wp:docPr id="13" name="Chart 13">
              <a:extLst xmlns:a="http://schemas.openxmlformats.org/drawingml/2006/main">
                <a:ext uri="{FF2B5EF4-FFF2-40B4-BE49-F238E27FC236}">
                  <a16:creationId xmlns:a16="http://schemas.microsoft.com/office/drawing/2014/main" id="{4881AFF3-6F18-7D57-5625-031FE05CF5EC}"/>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3996D6C" w14:textId="1CC582E8" w:rsidR="00ED63C0" w:rsidRDefault="004309FF" w:rsidP="00AC7BF5">
      <w:pPr>
        <w:pStyle w:val="Figuretitle"/>
      </w:pPr>
      <w:r w:rsidRPr="00FE645A">
        <w:t xml:space="preserve">Figure </w:t>
      </w:r>
      <w:r w:rsidR="00DD6B57">
        <w:t>9</w:t>
      </w:r>
      <w:r w:rsidRPr="00FE645A">
        <w:t xml:space="preserve">: </w:t>
      </w:r>
      <w:r>
        <w:t xml:space="preserve">Age and gender distribution of initiating CPP patients </w:t>
      </w:r>
    </w:p>
    <w:p w14:paraId="7BC1D523" w14:textId="79AC26F2" w:rsidR="004309FF" w:rsidRDefault="004309FF" w:rsidP="004309FF">
      <w:r>
        <w:t xml:space="preserve">The </w:t>
      </w:r>
      <w:r w:rsidR="00DD439F">
        <w:t>age of female patients initiating treatment were slightly higher compared to males</w:t>
      </w:r>
      <w:r w:rsidR="00AC7BF5">
        <w:t>. For females</w:t>
      </w:r>
      <w:r w:rsidR="00DD439F">
        <w:t xml:space="preserve"> </w:t>
      </w:r>
      <w:r w:rsidR="00AC7BF5">
        <w:t xml:space="preserve">the mean age was </w:t>
      </w:r>
      <w:r w:rsidR="002450B0">
        <w:t>54</w:t>
      </w:r>
      <w:r w:rsidR="00DD439F">
        <w:t xml:space="preserve"> years and median of 5</w:t>
      </w:r>
      <w:r w:rsidR="007411C4">
        <w:t>5</w:t>
      </w:r>
      <w:r w:rsidR="00DD439F">
        <w:t xml:space="preserve"> years</w:t>
      </w:r>
      <w:r w:rsidR="00AC7BF5">
        <w:t xml:space="preserve"> whereas the mean and median age for males was 51 years. </w:t>
      </w:r>
    </w:p>
    <w:p w14:paraId="0C4C5E1A" w14:textId="77777777" w:rsidR="004309FF" w:rsidRPr="004309FF" w:rsidRDefault="004309FF" w:rsidP="004309FF"/>
    <w:p w14:paraId="09FEC1E8" w14:textId="303073AA" w:rsidR="006E3FB4" w:rsidRDefault="008F54E0" w:rsidP="006C3530">
      <w:pPr>
        <w:jc w:val="center"/>
      </w:pPr>
      <w:r>
        <w:rPr>
          <w:noProof/>
        </w:rPr>
        <w:drawing>
          <wp:inline distT="0" distB="0" distL="0" distR="0" wp14:anchorId="18B98C72" wp14:editId="0836E74E">
            <wp:extent cx="4924800" cy="2991600"/>
            <wp:effectExtent l="0" t="0" r="9525" b="18415"/>
            <wp:docPr id="7" name="Chart 7">
              <a:extLst xmlns:a="http://schemas.openxmlformats.org/drawingml/2006/main">
                <a:ext uri="{FF2B5EF4-FFF2-40B4-BE49-F238E27FC236}">
                  <a16:creationId xmlns:a16="http://schemas.microsoft.com/office/drawing/2014/main" id="{9B7DE74C-71AB-480F-9447-F692CB44608C}"/>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F8472CC" w14:textId="1AF3352F" w:rsidR="00AC7BF5" w:rsidRDefault="009A17A9" w:rsidP="00CC75E4">
      <w:pPr>
        <w:pStyle w:val="Figuretitle"/>
      </w:pPr>
      <w:r w:rsidRPr="00FE645A">
        <w:t xml:space="preserve">Figure </w:t>
      </w:r>
      <w:r w:rsidR="00DD6B57">
        <w:t>10</w:t>
      </w:r>
      <w:r w:rsidRPr="00FE645A">
        <w:t xml:space="preserve">: </w:t>
      </w:r>
      <w:r>
        <w:t xml:space="preserve">Age and gender distribution of </w:t>
      </w:r>
      <w:r w:rsidR="008F54E0">
        <w:t xml:space="preserve">initiating </w:t>
      </w:r>
      <w:r>
        <w:t>apremilast</w:t>
      </w:r>
      <w:r w:rsidR="008F54E0">
        <w:t xml:space="preserve"> </w:t>
      </w:r>
      <w:proofErr w:type="gramStart"/>
      <w:r w:rsidR="008F54E0">
        <w:t>patients</w:t>
      </w:r>
      <w:proofErr w:type="gramEnd"/>
    </w:p>
    <w:p w14:paraId="083F9EB5" w14:textId="26B9A859" w:rsidR="006E3FB4" w:rsidRDefault="00AC7BF5" w:rsidP="009A17A9">
      <w:r>
        <w:t xml:space="preserve">The </w:t>
      </w:r>
      <w:r w:rsidR="009E23DE">
        <w:t xml:space="preserve">age of patients initiating treatment with apremilast was similar across </w:t>
      </w:r>
      <w:r w:rsidR="00CC75E4">
        <w:t xml:space="preserve">both genders. The median age of initiation for both genders was 55 years. The mean age of initiation for females was 54 years, whereas for males this was 55 years. </w:t>
      </w:r>
    </w:p>
    <w:p w14:paraId="3B7C145B" w14:textId="2225BF7A" w:rsidR="00F8472E" w:rsidRDefault="00F8472E" w:rsidP="009A17A9"/>
    <w:p w14:paraId="1D2F6BB0" w14:textId="3F42F38A" w:rsidR="00F8472E" w:rsidRDefault="00F8472E" w:rsidP="009A17A9"/>
    <w:p w14:paraId="0685BC3E" w14:textId="53935876" w:rsidR="00F8472E" w:rsidRDefault="00F8472E" w:rsidP="009A17A9"/>
    <w:p w14:paraId="56B57AB6" w14:textId="0B317BC6" w:rsidR="00F8472E" w:rsidRDefault="00F8472E" w:rsidP="009A17A9"/>
    <w:p w14:paraId="046624BD" w14:textId="5D9C16EA" w:rsidR="00F8472E" w:rsidRDefault="00F8472E" w:rsidP="009A17A9"/>
    <w:p w14:paraId="4827E7F3" w14:textId="77777777" w:rsidR="00F8472E" w:rsidRDefault="00F8472E" w:rsidP="009A17A9"/>
    <w:p w14:paraId="51F783A1" w14:textId="2B13A51E" w:rsidR="00E17419" w:rsidRPr="009A17A9" w:rsidRDefault="005D0D3E" w:rsidP="00287F01">
      <w:pPr>
        <w:jc w:val="center"/>
      </w:pPr>
      <w:r>
        <w:rPr>
          <w:noProof/>
        </w:rPr>
        <w:lastRenderedPageBreak/>
        <w:drawing>
          <wp:inline distT="0" distB="0" distL="0" distR="0" wp14:anchorId="2BB24997" wp14:editId="3D545A80">
            <wp:extent cx="4834890" cy="2787091"/>
            <wp:effectExtent l="0" t="0" r="3810" b="13335"/>
            <wp:docPr id="3" name="Chart 3">
              <a:extLst xmlns:a="http://schemas.openxmlformats.org/drawingml/2006/main">
                <a:ext uri="{FF2B5EF4-FFF2-40B4-BE49-F238E27FC236}">
                  <a16:creationId xmlns:a16="http://schemas.microsoft.com/office/drawing/2014/main" id="{C34A43F7-9891-4E4D-BE7A-8585D696853C}"/>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248C241" w14:textId="45EDA0A9" w:rsidR="009A17A9" w:rsidRDefault="009A17A9" w:rsidP="009A17A9">
      <w:pPr>
        <w:pStyle w:val="Figuretitle"/>
      </w:pPr>
      <w:r w:rsidRPr="00FE645A">
        <w:t xml:space="preserve">Figure </w:t>
      </w:r>
      <w:r w:rsidR="006D5A70">
        <w:t>11</w:t>
      </w:r>
      <w:r w:rsidRPr="00FE645A">
        <w:t xml:space="preserve">: </w:t>
      </w:r>
      <w:r>
        <w:t>Prescriber type</w:t>
      </w:r>
      <w:r w:rsidR="005D0D3E">
        <w:t xml:space="preserve"> of initiating</w:t>
      </w:r>
      <w:r>
        <w:t xml:space="preserve"> apremilast</w:t>
      </w:r>
      <w:r w:rsidR="005D0D3E">
        <w:t xml:space="preserve"> patients</w:t>
      </w:r>
      <w:r w:rsidR="006D21DA">
        <w:t xml:space="preserve"> since PBS </w:t>
      </w:r>
      <w:proofErr w:type="gramStart"/>
      <w:r w:rsidR="006D21DA">
        <w:t>listing</w:t>
      </w:r>
      <w:proofErr w:type="gramEnd"/>
      <w:r>
        <w:t xml:space="preserve"> </w:t>
      </w:r>
    </w:p>
    <w:p w14:paraId="40DB2733" w14:textId="327BA52C" w:rsidR="009A17A9" w:rsidRDefault="009A17A9" w:rsidP="009A17A9"/>
    <w:p w14:paraId="63FC035B" w14:textId="108722B7" w:rsidR="00CC75E4" w:rsidRPr="009A17A9" w:rsidRDefault="00CC75E4" w:rsidP="009A17A9">
      <w:r>
        <w:t xml:space="preserve">As shown in Figure 11, </w:t>
      </w:r>
      <w:proofErr w:type="gramStart"/>
      <w:r>
        <w:t>the majority of</w:t>
      </w:r>
      <w:proofErr w:type="gramEnd"/>
      <w:r>
        <w:t xml:space="preserve"> patients </w:t>
      </w:r>
      <w:r w:rsidR="00D36AF3">
        <w:t>initiating</w:t>
      </w:r>
      <w:r>
        <w:t xml:space="preserve"> treatment with apremilast were </w:t>
      </w:r>
      <w:r w:rsidR="00875FF0">
        <w:t xml:space="preserve">with dermatologists. </w:t>
      </w:r>
    </w:p>
    <w:p w14:paraId="4C7C5410" w14:textId="3231C5E1" w:rsidR="009A17A9" w:rsidRDefault="009A17A9" w:rsidP="009A17A9"/>
    <w:p w14:paraId="19B72607" w14:textId="356A8654" w:rsidR="006C3530" w:rsidRPr="009A17A9" w:rsidRDefault="00C941DD" w:rsidP="00DD6B57">
      <w:pPr>
        <w:jc w:val="center"/>
      </w:pPr>
      <w:r>
        <w:rPr>
          <w:noProof/>
        </w:rPr>
        <w:drawing>
          <wp:inline distT="0" distB="0" distL="0" distR="0" wp14:anchorId="52B01AE8" wp14:editId="6820BF0F">
            <wp:extent cx="5017273" cy="2671638"/>
            <wp:effectExtent l="0" t="0" r="12065" b="14605"/>
            <wp:docPr id="17" name="Chart 17">
              <a:extLst xmlns:a="http://schemas.openxmlformats.org/drawingml/2006/main">
                <a:ext uri="{FF2B5EF4-FFF2-40B4-BE49-F238E27FC236}">
                  <a16:creationId xmlns:a16="http://schemas.microsoft.com/office/drawing/2014/main" id="{2F37707E-A37B-B418-1A3C-83DC9310DF23}"/>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5D1FEC9" w14:textId="7BDD4B6A" w:rsidR="00C941DD" w:rsidRDefault="00C941DD" w:rsidP="00C941DD">
      <w:pPr>
        <w:pStyle w:val="Figuretitle"/>
      </w:pPr>
      <w:r w:rsidRPr="00FE645A">
        <w:t xml:space="preserve">Figure </w:t>
      </w:r>
      <w:r>
        <w:t>12</w:t>
      </w:r>
      <w:r w:rsidRPr="00FE645A">
        <w:t xml:space="preserve">: </w:t>
      </w:r>
      <w:r>
        <w:t xml:space="preserve">Prescriber type of initiating apremilast patients </w:t>
      </w:r>
      <w:r w:rsidR="00E778EC">
        <w:t>before and after the September 2022 extens</w:t>
      </w:r>
      <w:r w:rsidR="008228AB">
        <w:t xml:space="preserve">ion to the </w:t>
      </w:r>
      <w:r w:rsidR="005B2BAA">
        <w:t xml:space="preserve">PBS </w:t>
      </w:r>
      <w:proofErr w:type="gramStart"/>
      <w:r w:rsidR="008228AB">
        <w:t>listing</w:t>
      </w:r>
      <w:proofErr w:type="gramEnd"/>
      <w:r>
        <w:t xml:space="preserve"> </w:t>
      </w:r>
    </w:p>
    <w:p w14:paraId="3E162894" w14:textId="48A5DA18" w:rsidR="006C3530" w:rsidRDefault="006C3530">
      <w:pPr>
        <w:spacing w:line="276" w:lineRule="auto"/>
        <w:rPr>
          <w:b/>
          <w:i/>
          <w:szCs w:val="28"/>
        </w:rPr>
      </w:pPr>
    </w:p>
    <w:p w14:paraId="512E6794" w14:textId="3FAC9D91" w:rsidR="007F7EDD" w:rsidRPr="00F8472E" w:rsidRDefault="00C13F28" w:rsidP="00F8472E">
      <w:r>
        <w:t>In Figure 12, following the listing extension in September 2022 there was a slight decrease in patients who initiated treatment with dermatologists and increase in patients who initiated treatment with GPs.</w:t>
      </w:r>
      <w:r w:rsidR="007F7EDD">
        <w:br w:type="page"/>
      </w:r>
    </w:p>
    <w:p w14:paraId="71F0D4D3" w14:textId="3B9B5591" w:rsidR="0044315A" w:rsidRDefault="00DC49E9" w:rsidP="00875FF0">
      <w:pPr>
        <w:pStyle w:val="Heading3"/>
      </w:pPr>
      <w:r w:rsidRPr="005E22C2">
        <w:lastRenderedPageBreak/>
        <w:t>Changes in the use of other drugs</w:t>
      </w:r>
    </w:p>
    <w:p w14:paraId="14456EFC" w14:textId="428D5A8C" w:rsidR="002E1F30" w:rsidRDefault="002E1F30" w:rsidP="002E1F30">
      <w:pPr>
        <w:pStyle w:val="Tabletitle"/>
        <w:spacing w:before="200"/>
      </w:pPr>
      <w:r>
        <w:t>T</w:t>
      </w:r>
      <w:r w:rsidRPr="001420B3" w:rsidDel="00EE2BBB">
        <w:t xml:space="preserve">able </w:t>
      </w:r>
      <w:r w:rsidR="0035132E">
        <w:t>5</w:t>
      </w:r>
      <w:r>
        <w:t xml:space="preserve">: Sequence analysis of patients prior to the </w:t>
      </w:r>
      <w:r w:rsidR="00390509">
        <w:t>PBS list</w:t>
      </w:r>
      <w:r>
        <w:t xml:space="preserve">ing of apremilast </w:t>
      </w:r>
    </w:p>
    <w:tbl>
      <w:tblPr>
        <w:tblStyle w:val="TableGrid1"/>
        <w:tblW w:w="5000" w:type="pct"/>
        <w:tblLook w:val="04A0" w:firstRow="1" w:lastRow="0" w:firstColumn="1" w:lastColumn="0" w:noHBand="0" w:noVBand="1"/>
      </w:tblPr>
      <w:tblGrid>
        <w:gridCol w:w="5240"/>
        <w:gridCol w:w="1986"/>
        <w:gridCol w:w="1721"/>
      </w:tblGrid>
      <w:tr w:rsidR="002E1F30" w:rsidRPr="005B1574" w14:paraId="19161748" w14:textId="77777777" w:rsidTr="002D770C">
        <w:trPr>
          <w:tblHeader/>
        </w:trPr>
        <w:tc>
          <w:tcPr>
            <w:tcW w:w="2928" w:type="pct"/>
            <w:shd w:val="clear" w:color="auto" w:fill="BFBFBF" w:themeFill="background1" w:themeFillShade="BF"/>
          </w:tcPr>
          <w:p w14:paraId="46BF76D7" w14:textId="77777777" w:rsidR="002E1F30" w:rsidRPr="005B1574" w:rsidRDefault="002E1F30" w:rsidP="002D770C">
            <w:pPr>
              <w:keepNext/>
              <w:keepLines/>
              <w:spacing w:before="60" w:after="60"/>
              <w:rPr>
                <w:rFonts w:asciiTheme="minorHAnsi" w:eastAsia="Calibri" w:hAnsiTheme="minorHAnsi" w:cstheme="minorHAnsi"/>
                <w:b/>
                <w:color w:val="000000"/>
                <w:sz w:val="20"/>
                <w:szCs w:val="20"/>
              </w:rPr>
            </w:pPr>
            <w:r>
              <w:rPr>
                <w:rFonts w:asciiTheme="minorHAnsi" w:eastAsia="Calibri" w:hAnsiTheme="minorHAnsi" w:cstheme="minorHAnsi"/>
                <w:b/>
                <w:color w:val="000000"/>
                <w:sz w:val="20"/>
                <w:szCs w:val="20"/>
              </w:rPr>
              <w:t xml:space="preserve">Sequence analysis </w:t>
            </w:r>
          </w:p>
        </w:tc>
        <w:tc>
          <w:tcPr>
            <w:tcW w:w="1110" w:type="pct"/>
            <w:shd w:val="clear" w:color="auto" w:fill="BFBFBF" w:themeFill="background1" w:themeFillShade="BF"/>
          </w:tcPr>
          <w:p w14:paraId="3A3EDFE9" w14:textId="77777777" w:rsidR="002E1F30" w:rsidRPr="005B1574" w:rsidRDefault="002E1F30" w:rsidP="002D770C">
            <w:pPr>
              <w:keepNext/>
              <w:keepLines/>
              <w:spacing w:before="60" w:after="60"/>
              <w:rPr>
                <w:rFonts w:asciiTheme="minorHAnsi" w:eastAsia="Calibri" w:hAnsiTheme="minorHAnsi" w:cstheme="minorHAnsi"/>
                <w:b/>
                <w:color w:val="000000"/>
                <w:sz w:val="20"/>
                <w:szCs w:val="20"/>
              </w:rPr>
            </w:pPr>
            <w:r>
              <w:rPr>
                <w:rFonts w:asciiTheme="minorHAnsi" w:eastAsia="Calibri" w:hAnsiTheme="minorHAnsi" w:cstheme="minorHAnsi"/>
                <w:b/>
                <w:color w:val="000000"/>
                <w:sz w:val="20"/>
                <w:szCs w:val="20"/>
              </w:rPr>
              <w:t xml:space="preserve">Number of patients </w:t>
            </w:r>
          </w:p>
        </w:tc>
        <w:tc>
          <w:tcPr>
            <w:tcW w:w="962" w:type="pct"/>
            <w:shd w:val="clear" w:color="auto" w:fill="BFBFBF" w:themeFill="background1" w:themeFillShade="BF"/>
          </w:tcPr>
          <w:p w14:paraId="1920C444" w14:textId="77777777" w:rsidR="002E1F30" w:rsidRPr="005B1574" w:rsidRDefault="002E1F30" w:rsidP="002D770C">
            <w:pPr>
              <w:keepNext/>
              <w:keepLines/>
              <w:spacing w:before="60" w:after="60"/>
              <w:rPr>
                <w:rFonts w:asciiTheme="minorHAnsi" w:eastAsia="Calibri" w:hAnsiTheme="minorHAnsi" w:cstheme="minorHAnsi"/>
                <w:b/>
                <w:color w:val="000000"/>
                <w:sz w:val="20"/>
                <w:szCs w:val="20"/>
              </w:rPr>
            </w:pPr>
            <w:r>
              <w:rPr>
                <w:rFonts w:asciiTheme="minorHAnsi" w:eastAsia="Calibri" w:hAnsiTheme="minorHAnsi" w:cstheme="minorHAnsi"/>
                <w:b/>
                <w:color w:val="000000"/>
                <w:sz w:val="20"/>
                <w:szCs w:val="20"/>
              </w:rPr>
              <w:t xml:space="preserve">Proportion </w:t>
            </w:r>
          </w:p>
        </w:tc>
      </w:tr>
      <w:tr w:rsidR="002E1F30" w:rsidRPr="005B1574" w14:paraId="086E67E5" w14:textId="77777777" w:rsidTr="002D770C">
        <w:trPr>
          <w:tblHeader/>
        </w:trPr>
        <w:tc>
          <w:tcPr>
            <w:tcW w:w="2928" w:type="pct"/>
            <w:shd w:val="clear" w:color="auto" w:fill="auto"/>
          </w:tcPr>
          <w:p w14:paraId="45DE14BA" w14:textId="18F6365E" w:rsidR="002E1F30" w:rsidRPr="00B26555" w:rsidRDefault="00A61DF6" w:rsidP="002E1F30">
            <w:pPr>
              <w:keepNext/>
              <w:keepLines/>
              <w:spacing w:before="60" w:after="60"/>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BIOLOGIC</w:t>
            </w:r>
            <w:r w:rsidR="004E619D">
              <w:rPr>
                <w:rFonts w:asciiTheme="minorHAnsi" w:eastAsia="Calibri" w:hAnsiTheme="minorHAnsi" w:cstheme="minorHAnsi"/>
                <w:bCs/>
                <w:color w:val="000000"/>
                <w:sz w:val="20"/>
                <w:szCs w:val="20"/>
              </w:rPr>
              <w:t xml:space="preserve"> THERAPIES</w:t>
            </w:r>
          </w:p>
        </w:tc>
        <w:tc>
          <w:tcPr>
            <w:tcW w:w="1110" w:type="pct"/>
            <w:shd w:val="clear" w:color="auto" w:fill="auto"/>
          </w:tcPr>
          <w:p w14:paraId="73CE0756" w14:textId="62169770" w:rsidR="002E1F30" w:rsidRPr="00B26555" w:rsidRDefault="00506E96" w:rsidP="002E1F30">
            <w:pPr>
              <w:keepNext/>
              <w:keepLines/>
              <w:spacing w:before="60" w:after="60"/>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13,</w:t>
            </w:r>
            <w:r w:rsidR="00893DA7">
              <w:rPr>
                <w:rFonts w:asciiTheme="minorHAnsi" w:eastAsia="Calibri" w:hAnsiTheme="minorHAnsi" w:cstheme="minorHAnsi"/>
                <w:bCs/>
                <w:color w:val="000000"/>
                <w:sz w:val="20"/>
                <w:szCs w:val="20"/>
              </w:rPr>
              <w:t>43</w:t>
            </w:r>
            <w:r>
              <w:rPr>
                <w:rFonts w:asciiTheme="minorHAnsi" w:eastAsia="Calibri" w:hAnsiTheme="minorHAnsi" w:cstheme="minorHAnsi"/>
                <w:bCs/>
                <w:color w:val="000000"/>
                <w:sz w:val="20"/>
                <w:szCs w:val="20"/>
              </w:rPr>
              <w:t>2</w:t>
            </w:r>
          </w:p>
        </w:tc>
        <w:tc>
          <w:tcPr>
            <w:tcW w:w="962" w:type="pct"/>
            <w:shd w:val="clear" w:color="auto" w:fill="auto"/>
          </w:tcPr>
          <w:p w14:paraId="41FC55A5" w14:textId="453D0D5B" w:rsidR="002E1F30" w:rsidRPr="00B26555" w:rsidRDefault="00893DA7" w:rsidP="002E1F30">
            <w:pPr>
              <w:keepNext/>
              <w:keepLines/>
              <w:spacing w:before="60" w:after="60"/>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48</w:t>
            </w:r>
            <w:r w:rsidR="00824A69" w:rsidRPr="00B26555">
              <w:rPr>
                <w:rFonts w:asciiTheme="minorHAnsi" w:eastAsia="Calibri" w:hAnsiTheme="minorHAnsi" w:cstheme="minorHAnsi"/>
                <w:bCs/>
                <w:color w:val="000000"/>
                <w:sz w:val="20"/>
                <w:szCs w:val="20"/>
              </w:rPr>
              <w:t>%</w:t>
            </w:r>
          </w:p>
        </w:tc>
      </w:tr>
      <w:tr w:rsidR="002E1F30" w:rsidRPr="005B1574" w14:paraId="1C5155B3" w14:textId="77777777" w:rsidTr="002D770C">
        <w:trPr>
          <w:tblHeader/>
        </w:trPr>
        <w:tc>
          <w:tcPr>
            <w:tcW w:w="2928" w:type="pct"/>
            <w:shd w:val="clear" w:color="auto" w:fill="auto"/>
          </w:tcPr>
          <w:p w14:paraId="7F87EFEE" w14:textId="1FB8DA1A" w:rsidR="002E1F30" w:rsidRPr="00B26555" w:rsidRDefault="0029063F" w:rsidP="002E1F30">
            <w:pPr>
              <w:keepNext/>
              <w:keepLines/>
              <w:spacing w:before="60" w:after="60"/>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NON-BIOLOGIC</w:t>
            </w:r>
            <w:r w:rsidR="004457CB">
              <w:rPr>
                <w:rFonts w:asciiTheme="minorHAnsi" w:eastAsia="Calibri" w:hAnsiTheme="minorHAnsi" w:cstheme="minorHAnsi"/>
                <w:bCs/>
                <w:color w:val="000000"/>
                <w:sz w:val="20"/>
                <w:szCs w:val="20"/>
              </w:rPr>
              <w:t xml:space="preserve"> THERAPIES </w:t>
            </w:r>
          </w:p>
        </w:tc>
        <w:tc>
          <w:tcPr>
            <w:tcW w:w="1110" w:type="pct"/>
            <w:shd w:val="clear" w:color="auto" w:fill="auto"/>
          </w:tcPr>
          <w:p w14:paraId="1D0C884E" w14:textId="2381BC43" w:rsidR="002E1F30" w:rsidRPr="00B26555" w:rsidRDefault="002E1F30" w:rsidP="002E1F30">
            <w:pPr>
              <w:keepNext/>
              <w:keepLines/>
              <w:spacing w:before="60" w:after="60"/>
              <w:rPr>
                <w:rFonts w:asciiTheme="minorHAnsi" w:eastAsia="Calibri" w:hAnsiTheme="minorHAnsi" w:cstheme="minorHAnsi"/>
                <w:bCs/>
                <w:color w:val="000000"/>
                <w:sz w:val="20"/>
                <w:szCs w:val="20"/>
              </w:rPr>
            </w:pPr>
            <w:r w:rsidRPr="00B26555">
              <w:rPr>
                <w:rFonts w:asciiTheme="minorHAnsi" w:eastAsia="Calibri" w:hAnsiTheme="minorHAnsi" w:cstheme="minorHAnsi"/>
                <w:bCs/>
                <w:color w:val="000000"/>
                <w:sz w:val="20"/>
                <w:szCs w:val="20"/>
              </w:rPr>
              <w:t>1</w:t>
            </w:r>
            <w:r w:rsidR="00893DA7">
              <w:rPr>
                <w:rFonts w:asciiTheme="minorHAnsi" w:eastAsia="Calibri" w:hAnsiTheme="minorHAnsi" w:cstheme="minorHAnsi"/>
                <w:bCs/>
                <w:color w:val="000000"/>
                <w:sz w:val="20"/>
                <w:szCs w:val="20"/>
              </w:rPr>
              <w:t>2,304</w:t>
            </w:r>
          </w:p>
        </w:tc>
        <w:tc>
          <w:tcPr>
            <w:tcW w:w="962" w:type="pct"/>
            <w:shd w:val="clear" w:color="auto" w:fill="auto"/>
          </w:tcPr>
          <w:p w14:paraId="04D5E225" w14:textId="06E67166" w:rsidR="002E1F30" w:rsidRPr="00B26555" w:rsidRDefault="00506E96" w:rsidP="002E1F30">
            <w:pPr>
              <w:keepNext/>
              <w:keepLines/>
              <w:spacing w:before="60" w:after="60"/>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4</w:t>
            </w:r>
            <w:r w:rsidR="00893DA7">
              <w:rPr>
                <w:rFonts w:asciiTheme="minorHAnsi" w:eastAsia="Calibri" w:hAnsiTheme="minorHAnsi" w:cstheme="minorHAnsi"/>
                <w:bCs/>
                <w:color w:val="000000"/>
                <w:sz w:val="20"/>
                <w:szCs w:val="20"/>
              </w:rPr>
              <w:t>4</w:t>
            </w:r>
            <w:r w:rsidR="002E1F30" w:rsidRPr="00B26555">
              <w:rPr>
                <w:rFonts w:asciiTheme="minorHAnsi" w:eastAsia="Calibri" w:hAnsiTheme="minorHAnsi" w:cstheme="minorHAnsi"/>
                <w:bCs/>
                <w:color w:val="000000"/>
                <w:sz w:val="20"/>
                <w:szCs w:val="20"/>
              </w:rPr>
              <w:t>%</w:t>
            </w:r>
          </w:p>
        </w:tc>
      </w:tr>
      <w:tr w:rsidR="002E1F30" w:rsidRPr="005B1574" w14:paraId="7766066D" w14:textId="77777777" w:rsidTr="002D770C">
        <w:trPr>
          <w:tblHeader/>
        </w:trPr>
        <w:tc>
          <w:tcPr>
            <w:tcW w:w="2928" w:type="pct"/>
            <w:shd w:val="clear" w:color="auto" w:fill="auto"/>
          </w:tcPr>
          <w:p w14:paraId="7751669A" w14:textId="4BEEE48E" w:rsidR="002E1F30" w:rsidRPr="00B26555" w:rsidRDefault="0029063F" w:rsidP="002E1F30">
            <w:pPr>
              <w:keepNext/>
              <w:keepLines/>
              <w:spacing w:before="60" w:after="60"/>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NON-BIOLOGIC</w:t>
            </w:r>
            <w:r w:rsidR="004E619D">
              <w:rPr>
                <w:rFonts w:asciiTheme="minorHAnsi" w:eastAsia="Calibri" w:hAnsiTheme="minorHAnsi" w:cstheme="minorHAnsi"/>
                <w:bCs/>
                <w:color w:val="000000"/>
                <w:sz w:val="20"/>
                <w:szCs w:val="20"/>
              </w:rPr>
              <w:t xml:space="preserve"> THERAPIES</w:t>
            </w:r>
            <w:r w:rsidR="00824A69" w:rsidRPr="00B26555">
              <w:rPr>
                <w:rFonts w:asciiTheme="minorHAnsi" w:eastAsia="Calibri" w:hAnsiTheme="minorHAnsi" w:cstheme="minorHAnsi"/>
                <w:bCs/>
                <w:color w:val="000000"/>
                <w:sz w:val="20"/>
                <w:szCs w:val="20"/>
              </w:rPr>
              <w:t>&gt;BIOLOGICS</w:t>
            </w:r>
          </w:p>
        </w:tc>
        <w:tc>
          <w:tcPr>
            <w:tcW w:w="1110" w:type="pct"/>
            <w:shd w:val="clear" w:color="auto" w:fill="auto"/>
          </w:tcPr>
          <w:p w14:paraId="08DA1317" w14:textId="2FBF179B" w:rsidR="002E1F30" w:rsidRPr="00B26555" w:rsidRDefault="00893DA7" w:rsidP="002E1F30">
            <w:pPr>
              <w:keepNext/>
              <w:keepLines/>
              <w:spacing w:before="60" w:after="60"/>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1,736</w:t>
            </w:r>
          </w:p>
        </w:tc>
        <w:tc>
          <w:tcPr>
            <w:tcW w:w="962" w:type="pct"/>
            <w:shd w:val="clear" w:color="auto" w:fill="auto"/>
          </w:tcPr>
          <w:p w14:paraId="311B179F" w14:textId="79262005" w:rsidR="002E1F30" w:rsidRPr="00B26555" w:rsidRDefault="00893DA7" w:rsidP="002E1F30">
            <w:pPr>
              <w:keepNext/>
              <w:keepLines/>
              <w:spacing w:before="60" w:after="60"/>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6</w:t>
            </w:r>
            <w:r w:rsidR="00824A69" w:rsidRPr="00B26555">
              <w:rPr>
                <w:rFonts w:asciiTheme="minorHAnsi" w:eastAsia="Calibri" w:hAnsiTheme="minorHAnsi" w:cstheme="minorHAnsi"/>
                <w:bCs/>
                <w:color w:val="000000"/>
                <w:sz w:val="20"/>
                <w:szCs w:val="20"/>
              </w:rPr>
              <w:t>%</w:t>
            </w:r>
          </w:p>
        </w:tc>
      </w:tr>
      <w:tr w:rsidR="002E1F30" w:rsidRPr="005B1574" w14:paraId="2CFB6403" w14:textId="77777777" w:rsidTr="002D770C">
        <w:trPr>
          <w:tblHeader/>
        </w:trPr>
        <w:tc>
          <w:tcPr>
            <w:tcW w:w="2928" w:type="pct"/>
            <w:shd w:val="clear" w:color="auto" w:fill="auto"/>
          </w:tcPr>
          <w:p w14:paraId="018D1F45" w14:textId="77777777" w:rsidR="002E1F30" w:rsidRPr="00B26555" w:rsidRDefault="002E1F30" w:rsidP="002E1F30">
            <w:pPr>
              <w:keepNext/>
              <w:keepLines/>
              <w:spacing w:before="60" w:after="60"/>
              <w:rPr>
                <w:rFonts w:asciiTheme="minorHAnsi" w:eastAsia="Calibri" w:hAnsiTheme="minorHAnsi" w:cstheme="minorHAnsi"/>
                <w:bCs/>
                <w:color w:val="000000"/>
                <w:sz w:val="20"/>
                <w:szCs w:val="20"/>
              </w:rPr>
            </w:pPr>
            <w:r w:rsidRPr="00B26555">
              <w:rPr>
                <w:rFonts w:asciiTheme="minorHAnsi" w:eastAsia="Calibri" w:hAnsiTheme="minorHAnsi" w:cstheme="minorHAnsi"/>
                <w:bCs/>
                <w:color w:val="000000"/>
                <w:sz w:val="20"/>
                <w:szCs w:val="20"/>
              </w:rPr>
              <w:t xml:space="preserve">Other sequences </w:t>
            </w:r>
          </w:p>
        </w:tc>
        <w:tc>
          <w:tcPr>
            <w:tcW w:w="1110" w:type="pct"/>
            <w:shd w:val="clear" w:color="auto" w:fill="auto"/>
          </w:tcPr>
          <w:p w14:paraId="1DF5465A" w14:textId="25603EFA" w:rsidR="002E1F30" w:rsidRPr="00B26555" w:rsidRDefault="00BA376D" w:rsidP="002E1F30">
            <w:pPr>
              <w:keepNext/>
              <w:keepLines/>
              <w:spacing w:before="60" w:after="60"/>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227</w:t>
            </w:r>
          </w:p>
        </w:tc>
        <w:tc>
          <w:tcPr>
            <w:tcW w:w="962" w:type="pct"/>
            <w:shd w:val="clear" w:color="auto" w:fill="auto"/>
          </w:tcPr>
          <w:p w14:paraId="6598AB95" w14:textId="23E3FF60" w:rsidR="002E1F30" w:rsidRPr="00B26555" w:rsidRDefault="00506E96" w:rsidP="002E1F30">
            <w:pPr>
              <w:keepNext/>
              <w:keepLines/>
              <w:spacing w:before="60" w:after="60"/>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&lt;</w:t>
            </w:r>
            <w:r w:rsidR="00824A69" w:rsidRPr="00B26555">
              <w:rPr>
                <w:rFonts w:asciiTheme="minorHAnsi" w:eastAsia="Calibri" w:hAnsiTheme="minorHAnsi" w:cstheme="minorHAnsi"/>
                <w:bCs/>
                <w:color w:val="000000"/>
                <w:sz w:val="20"/>
                <w:szCs w:val="20"/>
              </w:rPr>
              <w:t>1</w:t>
            </w:r>
            <w:r w:rsidR="002E1F30" w:rsidRPr="00B26555">
              <w:rPr>
                <w:rFonts w:asciiTheme="minorHAnsi" w:eastAsia="Calibri" w:hAnsiTheme="minorHAnsi" w:cstheme="minorHAnsi"/>
                <w:bCs/>
                <w:color w:val="000000"/>
                <w:sz w:val="20"/>
                <w:szCs w:val="20"/>
              </w:rPr>
              <w:t>%</w:t>
            </w:r>
          </w:p>
        </w:tc>
      </w:tr>
    </w:tbl>
    <w:p w14:paraId="1FD7C56E" w14:textId="77777777" w:rsidR="001B70E9" w:rsidRDefault="001B70E9">
      <w:pPr>
        <w:spacing w:line="276" w:lineRule="auto"/>
      </w:pPr>
    </w:p>
    <w:p w14:paraId="17BFCD23" w14:textId="3C158CB2" w:rsidR="00573A31" w:rsidRDefault="00573A31" w:rsidP="00573A31">
      <w:pPr>
        <w:pStyle w:val="Tabletitle"/>
        <w:spacing w:before="200"/>
      </w:pPr>
      <w:r>
        <w:t>T</w:t>
      </w:r>
      <w:r w:rsidRPr="001420B3" w:rsidDel="00EE2BBB">
        <w:t xml:space="preserve">able </w:t>
      </w:r>
      <w:r w:rsidR="0035132E">
        <w:t>6</w:t>
      </w:r>
      <w:r>
        <w:t xml:space="preserve">: Sequence analysis of </w:t>
      </w:r>
      <w:r w:rsidR="0010142B">
        <w:t xml:space="preserve">patients following </w:t>
      </w:r>
      <w:r w:rsidR="002E1F30">
        <w:t xml:space="preserve">the </w:t>
      </w:r>
      <w:r w:rsidR="00390509">
        <w:t>PBS list</w:t>
      </w:r>
      <w:r w:rsidR="0010142B">
        <w:t xml:space="preserve">ing of </w:t>
      </w:r>
      <w:proofErr w:type="gramStart"/>
      <w:r w:rsidR="0010142B">
        <w:t>apremilast</w:t>
      </w:r>
      <w:proofErr w:type="gramEnd"/>
      <w:r w:rsidR="0010142B">
        <w:t xml:space="preserve"> </w:t>
      </w:r>
    </w:p>
    <w:tbl>
      <w:tblPr>
        <w:tblStyle w:val="TableGrid1"/>
        <w:tblW w:w="5000" w:type="pct"/>
        <w:tblLook w:val="04A0" w:firstRow="1" w:lastRow="0" w:firstColumn="1" w:lastColumn="0" w:noHBand="0" w:noVBand="1"/>
      </w:tblPr>
      <w:tblGrid>
        <w:gridCol w:w="5240"/>
        <w:gridCol w:w="1986"/>
        <w:gridCol w:w="1721"/>
      </w:tblGrid>
      <w:tr w:rsidR="00573A31" w:rsidRPr="005B1574" w14:paraId="4B2DE7C3" w14:textId="77777777" w:rsidTr="002D770C">
        <w:trPr>
          <w:tblHeader/>
        </w:trPr>
        <w:tc>
          <w:tcPr>
            <w:tcW w:w="2928" w:type="pct"/>
            <w:shd w:val="clear" w:color="auto" w:fill="BFBFBF" w:themeFill="background1" w:themeFillShade="BF"/>
          </w:tcPr>
          <w:p w14:paraId="342D7B87" w14:textId="77777777" w:rsidR="00573A31" w:rsidRPr="005B1574" w:rsidRDefault="00573A31" w:rsidP="002D770C">
            <w:pPr>
              <w:keepNext/>
              <w:keepLines/>
              <w:spacing w:before="60" w:after="60"/>
              <w:rPr>
                <w:rFonts w:asciiTheme="minorHAnsi" w:eastAsia="Calibri" w:hAnsiTheme="minorHAnsi" w:cstheme="minorHAnsi"/>
                <w:b/>
                <w:color w:val="000000"/>
                <w:sz w:val="20"/>
                <w:szCs w:val="20"/>
              </w:rPr>
            </w:pPr>
            <w:r>
              <w:rPr>
                <w:rFonts w:asciiTheme="minorHAnsi" w:eastAsia="Calibri" w:hAnsiTheme="minorHAnsi" w:cstheme="minorHAnsi"/>
                <w:b/>
                <w:color w:val="000000"/>
                <w:sz w:val="20"/>
                <w:szCs w:val="20"/>
              </w:rPr>
              <w:t xml:space="preserve">Sequence analysis </w:t>
            </w:r>
          </w:p>
        </w:tc>
        <w:tc>
          <w:tcPr>
            <w:tcW w:w="1110" w:type="pct"/>
            <w:shd w:val="clear" w:color="auto" w:fill="BFBFBF" w:themeFill="background1" w:themeFillShade="BF"/>
          </w:tcPr>
          <w:p w14:paraId="4FE8AC47" w14:textId="77777777" w:rsidR="00573A31" w:rsidRPr="005B1574" w:rsidRDefault="00573A31" w:rsidP="002D770C">
            <w:pPr>
              <w:keepNext/>
              <w:keepLines/>
              <w:spacing w:before="60" w:after="60"/>
              <w:rPr>
                <w:rFonts w:asciiTheme="minorHAnsi" w:eastAsia="Calibri" w:hAnsiTheme="minorHAnsi" w:cstheme="minorHAnsi"/>
                <w:b/>
                <w:color w:val="000000"/>
                <w:sz w:val="20"/>
                <w:szCs w:val="20"/>
              </w:rPr>
            </w:pPr>
            <w:r>
              <w:rPr>
                <w:rFonts w:asciiTheme="minorHAnsi" w:eastAsia="Calibri" w:hAnsiTheme="minorHAnsi" w:cstheme="minorHAnsi"/>
                <w:b/>
                <w:color w:val="000000"/>
                <w:sz w:val="20"/>
                <w:szCs w:val="20"/>
              </w:rPr>
              <w:t xml:space="preserve">Number of patients </w:t>
            </w:r>
          </w:p>
        </w:tc>
        <w:tc>
          <w:tcPr>
            <w:tcW w:w="962" w:type="pct"/>
            <w:shd w:val="clear" w:color="auto" w:fill="BFBFBF" w:themeFill="background1" w:themeFillShade="BF"/>
          </w:tcPr>
          <w:p w14:paraId="2C260F83" w14:textId="77777777" w:rsidR="00573A31" w:rsidRPr="005B1574" w:rsidRDefault="00573A31" w:rsidP="002D770C">
            <w:pPr>
              <w:keepNext/>
              <w:keepLines/>
              <w:spacing w:before="60" w:after="60"/>
              <w:rPr>
                <w:rFonts w:asciiTheme="minorHAnsi" w:eastAsia="Calibri" w:hAnsiTheme="minorHAnsi" w:cstheme="minorHAnsi"/>
                <w:b/>
                <w:color w:val="000000"/>
                <w:sz w:val="20"/>
                <w:szCs w:val="20"/>
              </w:rPr>
            </w:pPr>
            <w:r>
              <w:rPr>
                <w:rFonts w:asciiTheme="minorHAnsi" w:eastAsia="Calibri" w:hAnsiTheme="minorHAnsi" w:cstheme="minorHAnsi"/>
                <w:b/>
                <w:color w:val="000000"/>
                <w:sz w:val="20"/>
                <w:szCs w:val="20"/>
              </w:rPr>
              <w:t xml:space="preserve">Proportion </w:t>
            </w:r>
          </w:p>
        </w:tc>
      </w:tr>
      <w:tr w:rsidR="00573A31" w:rsidRPr="005B1574" w14:paraId="029758BE" w14:textId="77777777" w:rsidTr="002D770C">
        <w:trPr>
          <w:tblHeader/>
        </w:trPr>
        <w:tc>
          <w:tcPr>
            <w:tcW w:w="2928" w:type="pct"/>
            <w:shd w:val="clear" w:color="auto" w:fill="auto"/>
          </w:tcPr>
          <w:p w14:paraId="3B20EF25" w14:textId="109BA434" w:rsidR="00573A31" w:rsidRPr="00235071" w:rsidRDefault="00574969" w:rsidP="002D770C">
            <w:pPr>
              <w:keepNext/>
              <w:keepLines/>
              <w:spacing w:before="60" w:after="60"/>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BIOLOGICS</w:t>
            </w:r>
          </w:p>
        </w:tc>
        <w:tc>
          <w:tcPr>
            <w:tcW w:w="1110" w:type="pct"/>
            <w:shd w:val="clear" w:color="auto" w:fill="auto"/>
          </w:tcPr>
          <w:p w14:paraId="798326F8" w14:textId="771BD290" w:rsidR="00573A31" w:rsidRPr="00A44605" w:rsidRDefault="00574969" w:rsidP="002D770C">
            <w:pPr>
              <w:keepNext/>
              <w:keepLines/>
              <w:spacing w:before="60" w:after="60"/>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19,</w:t>
            </w:r>
            <w:r w:rsidR="00DB2C32">
              <w:rPr>
                <w:rFonts w:asciiTheme="minorHAnsi" w:eastAsia="Calibri" w:hAnsiTheme="minorHAnsi" w:cstheme="minorHAnsi"/>
                <w:bCs/>
                <w:color w:val="000000"/>
                <w:sz w:val="20"/>
                <w:szCs w:val="20"/>
              </w:rPr>
              <w:t>438</w:t>
            </w:r>
          </w:p>
        </w:tc>
        <w:tc>
          <w:tcPr>
            <w:tcW w:w="962" w:type="pct"/>
            <w:shd w:val="clear" w:color="auto" w:fill="auto"/>
          </w:tcPr>
          <w:p w14:paraId="377AF1B4" w14:textId="74A31D6D" w:rsidR="00573A31" w:rsidRPr="009447AA" w:rsidRDefault="008044B2" w:rsidP="002D770C">
            <w:pPr>
              <w:keepNext/>
              <w:keepLines/>
              <w:spacing w:before="60" w:after="60"/>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38</w:t>
            </w:r>
            <w:r w:rsidR="00574969">
              <w:rPr>
                <w:rFonts w:asciiTheme="minorHAnsi" w:eastAsia="Calibri" w:hAnsiTheme="minorHAnsi" w:cstheme="minorHAnsi"/>
                <w:bCs/>
                <w:color w:val="000000"/>
                <w:sz w:val="20"/>
                <w:szCs w:val="20"/>
              </w:rPr>
              <w:t>%</w:t>
            </w:r>
          </w:p>
        </w:tc>
      </w:tr>
      <w:tr w:rsidR="00573A31" w:rsidRPr="005B1574" w14:paraId="3F1FC546" w14:textId="77777777" w:rsidTr="002D770C">
        <w:trPr>
          <w:tblHeader/>
        </w:trPr>
        <w:tc>
          <w:tcPr>
            <w:tcW w:w="2928" w:type="pct"/>
            <w:shd w:val="clear" w:color="auto" w:fill="auto"/>
          </w:tcPr>
          <w:p w14:paraId="0334160B" w14:textId="452C1DC1" w:rsidR="00573A31" w:rsidRPr="00235071" w:rsidRDefault="0029063F" w:rsidP="002D770C">
            <w:pPr>
              <w:keepNext/>
              <w:keepLines/>
              <w:spacing w:before="60" w:after="60"/>
              <w:rPr>
                <w:rFonts w:eastAsia="Calibri" w:cstheme="minorHAnsi"/>
                <w:bCs/>
                <w:color w:val="000000"/>
                <w:sz w:val="20"/>
                <w:szCs w:val="20"/>
              </w:rPr>
            </w:pPr>
            <w:r>
              <w:rPr>
                <w:rFonts w:asciiTheme="minorHAnsi" w:eastAsia="Calibri" w:hAnsiTheme="minorHAnsi" w:cstheme="minorHAnsi"/>
                <w:bCs/>
                <w:color w:val="000000"/>
                <w:sz w:val="20"/>
                <w:szCs w:val="20"/>
              </w:rPr>
              <w:t xml:space="preserve">NON-BIOLOGIC </w:t>
            </w:r>
            <w:r w:rsidR="004E619D">
              <w:rPr>
                <w:rFonts w:asciiTheme="minorHAnsi" w:eastAsia="Calibri" w:hAnsiTheme="minorHAnsi" w:cstheme="minorHAnsi"/>
                <w:bCs/>
                <w:color w:val="000000"/>
                <w:sz w:val="20"/>
                <w:szCs w:val="20"/>
              </w:rPr>
              <w:t>THERAPIES</w:t>
            </w:r>
          </w:p>
        </w:tc>
        <w:tc>
          <w:tcPr>
            <w:tcW w:w="1110" w:type="pct"/>
            <w:shd w:val="clear" w:color="auto" w:fill="auto"/>
          </w:tcPr>
          <w:p w14:paraId="003E4D23" w14:textId="302D2582" w:rsidR="00573A31" w:rsidRPr="00A44605" w:rsidRDefault="00DB2C32" w:rsidP="002D770C">
            <w:pPr>
              <w:keepNext/>
              <w:keepLines/>
              <w:spacing w:before="60" w:after="60"/>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19,002</w:t>
            </w:r>
          </w:p>
        </w:tc>
        <w:tc>
          <w:tcPr>
            <w:tcW w:w="962" w:type="pct"/>
            <w:shd w:val="clear" w:color="auto" w:fill="auto"/>
          </w:tcPr>
          <w:p w14:paraId="7121F779" w14:textId="79158F4F" w:rsidR="00573A31" w:rsidRPr="009447AA" w:rsidRDefault="008044B2" w:rsidP="002D770C">
            <w:pPr>
              <w:keepNext/>
              <w:keepLines/>
              <w:spacing w:before="60" w:after="60"/>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38</w:t>
            </w:r>
            <w:r w:rsidR="00DA4546">
              <w:rPr>
                <w:rFonts w:asciiTheme="minorHAnsi" w:eastAsia="Calibri" w:hAnsiTheme="minorHAnsi" w:cstheme="minorHAnsi"/>
                <w:bCs/>
                <w:color w:val="000000"/>
                <w:sz w:val="20"/>
                <w:szCs w:val="20"/>
              </w:rPr>
              <w:t>%</w:t>
            </w:r>
          </w:p>
        </w:tc>
      </w:tr>
      <w:tr w:rsidR="00573A31" w:rsidRPr="005B1574" w14:paraId="7EDC39E2" w14:textId="77777777" w:rsidTr="002D770C">
        <w:trPr>
          <w:tblHeader/>
        </w:trPr>
        <w:tc>
          <w:tcPr>
            <w:tcW w:w="2928" w:type="pct"/>
            <w:shd w:val="clear" w:color="auto" w:fill="auto"/>
          </w:tcPr>
          <w:p w14:paraId="40DFE13A" w14:textId="2DDA5DE7" w:rsidR="00573A31" w:rsidRPr="00235071" w:rsidRDefault="00DA4546" w:rsidP="002D770C">
            <w:pPr>
              <w:keepNext/>
              <w:keepLines/>
              <w:spacing w:before="60" w:after="60"/>
              <w:rPr>
                <w:rFonts w:eastAsia="Calibri" w:cstheme="minorHAnsi"/>
                <w:bCs/>
                <w:color w:val="000000"/>
                <w:sz w:val="20"/>
                <w:szCs w:val="20"/>
              </w:rPr>
            </w:pPr>
            <w:r>
              <w:rPr>
                <w:rFonts w:asciiTheme="minorHAnsi" w:eastAsia="Calibri" w:hAnsiTheme="minorHAnsi" w:cstheme="minorHAnsi"/>
                <w:bCs/>
                <w:color w:val="000000"/>
                <w:sz w:val="20"/>
                <w:szCs w:val="20"/>
              </w:rPr>
              <w:t>APREMILAST</w:t>
            </w:r>
          </w:p>
        </w:tc>
        <w:tc>
          <w:tcPr>
            <w:tcW w:w="1110" w:type="pct"/>
            <w:shd w:val="clear" w:color="auto" w:fill="auto"/>
          </w:tcPr>
          <w:p w14:paraId="67D03CE5" w14:textId="3F408183" w:rsidR="00573A31" w:rsidRPr="00A44605" w:rsidRDefault="00DA4546" w:rsidP="002D770C">
            <w:pPr>
              <w:keepNext/>
              <w:keepLines/>
              <w:spacing w:before="60" w:after="60"/>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4,</w:t>
            </w:r>
            <w:r w:rsidR="008044B2">
              <w:rPr>
                <w:rFonts w:asciiTheme="minorHAnsi" w:eastAsia="Calibri" w:hAnsiTheme="minorHAnsi" w:cstheme="minorHAnsi"/>
                <w:bCs/>
                <w:color w:val="000000"/>
                <w:sz w:val="20"/>
                <w:szCs w:val="20"/>
              </w:rPr>
              <w:t>279</w:t>
            </w:r>
          </w:p>
        </w:tc>
        <w:tc>
          <w:tcPr>
            <w:tcW w:w="962" w:type="pct"/>
            <w:shd w:val="clear" w:color="auto" w:fill="auto"/>
          </w:tcPr>
          <w:p w14:paraId="3ABCFA54" w14:textId="50991351" w:rsidR="00573A31" w:rsidRPr="009447AA" w:rsidRDefault="008044B2" w:rsidP="002D770C">
            <w:pPr>
              <w:keepNext/>
              <w:keepLines/>
              <w:spacing w:before="60" w:after="60"/>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8</w:t>
            </w:r>
            <w:r w:rsidR="00DA4546">
              <w:rPr>
                <w:rFonts w:asciiTheme="minorHAnsi" w:eastAsia="Calibri" w:hAnsiTheme="minorHAnsi" w:cstheme="minorHAnsi"/>
                <w:bCs/>
                <w:color w:val="000000"/>
                <w:sz w:val="20"/>
                <w:szCs w:val="20"/>
              </w:rPr>
              <w:t>%</w:t>
            </w:r>
          </w:p>
        </w:tc>
      </w:tr>
      <w:tr w:rsidR="00573A31" w:rsidRPr="005B1574" w14:paraId="5300712F" w14:textId="77777777" w:rsidTr="002D770C">
        <w:trPr>
          <w:tblHeader/>
        </w:trPr>
        <w:tc>
          <w:tcPr>
            <w:tcW w:w="2928" w:type="pct"/>
            <w:shd w:val="clear" w:color="auto" w:fill="auto"/>
          </w:tcPr>
          <w:p w14:paraId="61A59D58" w14:textId="2E49339A" w:rsidR="00573A31" w:rsidRPr="00235071" w:rsidRDefault="0029063F" w:rsidP="002D770C">
            <w:pPr>
              <w:keepNext/>
              <w:keepLines/>
              <w:spacing w:before="60" w:after="60"/>
              <w:rPr>
                <w:rFonts w:eastAsia="Calibri" w:cstheme="minorHAnsi"/>
                <w:bCs/>
                <w:color w:val="000000"/>
                <w:sz w:val="20"/>
                <w:szCs w:val="20"/>
              </w:rPr>
            </w:pPr>
            <w:r>
              <w:rPr>
                <w:rFonts w:asciiTheme="minorHAnsi" w:eastAsia="Calibri" w:hAnsiTheme="minorHAnsi" w:cstheme="minorHAnsi"/>
                <w:bCs/>
                <w:color w:val="000000"/>
                <w:sz w:val="20"/>
                <w:szCs w:val="20"/>
              </w:rPr>
              <w:t xml:space="preserve">NON-BIOLOGIC </w:t>
            </w:r>
            <w:r w:rsidR="004E619D">
              <w:rPr>
                <w:rFonts w:asciiTheme="minorHAnsi" w:eastAsia="Calibri" w:hAnsiTheme="minorHAnsi" w:cstheme="minorHAnsi"/>
                <w:bCs/>
                <w:color w:val="000000"/>
                <w:sz w:val="20"/>
                <w:szCs w:val="20"/>
              </w:rPr>
              <w:t>THERAPIES</w:t>
            </w:r>
            <w:r w:rsidR="00DA4546">
              <w:rPr>
                <w:rFonts w:asciiTheme="minorHAnsi" w:eastAsia="Calibri" w:hAnsiTheme="minorHAnsi" w:cstheme="minorHAnsi"/>
                <w:bCs/>
                <w:color w:val="000000"/>
                <w:sz w:val="20"/>
                <w:szCs w:val="20"/>
              </w:rPr>
              <w:t>&gt;BIOLOGICS</w:t>
            </w:r>
          </w:p>
        </w:tc>
        <w:tc>
          <w:tcPr>
            <w:tcW w:w="1110" w:type="pct"/>
            <w:shd w:val="clear" w:color="auto" w:fill="auto"/>
          </w:tcPr>
          <w:p w14:paraId="299217C1" w14:textId="1C266390" w:rsidR="00573A31" w:rsidRPr="00A44605" w:rsidRDefault="00D37EFF" w:rsidP="002D770C">
            <w:pPr>
              <w:keepNext/>
              <w:keepLines/>
              <w:spacing w:before="60" w:after="60"/>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3,</w:t>
            </w:r>
            <w:r w:rsidR="008044B2">
              <w:rPr>
                <w:rFonts w:asciiTheme="minorHAnsi" w:eastAsia="Calibri" w:hAnsiTheme="minorHAnsi" w:cstheme="minorHAnsi"/>
                <w:bCs/>
                <w:color w:val="000000"/>
                <w:sz w:val="20"/>
                <w:szCs w:val="20"/>
              </w:rPr>
              <w:t>882</w:t>
            </w:r>
          </w:p>
        </w:tc>
        <w:tc>
          <w:tcPr>
            <w:tcW w:w="962" w:type="pct"/>
            <w:shd w:val="clear" w:color="auto" w:fill="auto"/>
          </w:tcPr>
          <w:p w14:paraId="64A61855" w14:textId="4266EE45" w:rsidR="00573A31" w:rsidRPr="009447AA" w:rsidRDefault="006D2F22" w:rsidP="002D770C">
            <w:pPr>
              <w:keepNext/>
              <w:keepLines/>
              <w:spacing w:before="60" w:after="60"/>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8</w:t>
            </w:r>
            <w:r w:rsidR="00D03359">
              <w:rPr>
                <w:rFonts w:asciiTheme="minorHAnsi" w:eastAsia="Calibri" w:hAnsiTheme="minorHAnsi" w:cstheme="minorHAnsi"/>
                <w:bCs/>
                <w:color w:val="000000"/>
                <w:sz w:val="20"/>
                <w:szCs w:val="20"/>
              </w:rPr>
              <w:t>%</w:t>
            </w:r>
          </w:p>
        </w:tc>
      </w:tr>
      <w:tr w:rsidR="00D03359" w:rsidRPr="005B1574" w14:paraId="5AC165AF" w14:textId="77777777" w:rsidTr="002D770C">
        <w:trPr>
          <w:tblHeader/>
        </w:trPr>
        <w:tc>
          <w:tcPr>
            <w:tcW w:w="2928" w:type="pct"/>
            <w:shd w:val="clear" w:color="auto" w:fill="auto"/>
          </w:tcPr>
          <w:p w14:paraId="3EE4FCF7" w14:textId="3C3FF7FB" w:rsidR="00D03359" w:rsidRPr="0078534F" w:rsidRDefault="00D03359" w:rsidP="002D770C">
            <w:pPr>
              <w:keepNext/>
              <w:keepLines/>
              <w:spacing w:before="60" w:after="60"/>
              <w:rPr>
                <w:rFonts w:asciiTheme="minorHAnsi" w:eastAsia="Calibri" w:hAnsiTheme="minorHAnsi" w:cstheme="minorHAnsi"/>
                <w:bCs/>
                <w:color w:val="000000"/>
                <w:sz w:val="20"/>
                <w:szCs w:val="20"/>
              </w:rPr>
            </w:pPr>
            <w:r w:rsidRPr="0078534F">
              <w:rPr>
                <w:rFonts w:asciiTheme="minorHAnsi" w:eastAsia="Calibri" w:hAnsiTheme="minorHAnsi" w:cstheme="minorHAnsi"/>
                <w:bCs/>
                <w:color w:val="000000"/>
                <w:sz w:val="20"/>
                <w:szCs w:val="20"/>
              </w:rPr>
              <w:t xml:space="preserve">APREMILAST&gt;BIOLOGICS </w:t>
            </w:r>
          </w:p>
        </w:tc>
        <w:tc>
          <w:tcPr>
            <w:tcW w:w="1110" w:type="pct"/>
            <w:shd w:val="clear" w:color="auto" w:fill="auto"/>
          </w:tcPr>
          <w:p w14:paraId="71C95B1B" w14:textId="47458804" w:rsidR="00D03359" w:rsidRPr="0078534F" w:rsidRDefault="0078534F" w:rsidP="002D770C">
            <w:pPr>
              <w:keepNext/>
              <w:keepLines/>
              <w:spacing w:before="60" w:after="60"/>
              <w:rPr>
                <w:rFonts w:asciiTheme="minorHAnsi" w:eastAsia="Calibri" w:hAnsiTheme="minorHAnsi" w:cstheme="minorHAnsi"/>
                <w:bCs/>
                <w:color w:val="000000"/>
                <w:sz w:val="20"/>
                <w:szCs w:val="20"/>
              </w:rPr>
            </w:pPr>
            <w:r w:rsidRPr="0078534F">
              <w:rPr>
                <w:rFonts w:asciiTheme="minorHAnsi" w:eastAsia="Calibri" w:hAnsiTheme="minorHAnsi" w:cstheme="minorHAnsi"/>
                <w:bCs/>
                <w:color w:val="000000"/>
                <w:sz w:val="20"/>
                <w:szCs w:val="20"/>
              </w:rPr>
              <w:t>1,</w:t>
            </w:r>
            <w:r w:rsidR="00D37EFF">
              <w:rPr>
                <w:rFonts w:asciiTheme="minorHAnsi" w:eastAsia="Calibri" w:hAnsiTheme="minorHAnsi" w:cstheme="minorHAnsi"/>
                <w:bCs/>
                <w:color w:val="000000"/>
                <w:sz w:val="20"/>
                <w:szCs w:val="20"/>
              </w:rPr>
              <w:t>3</w:t>
            </w:r>
            <w:r w:rsidR="008044B2">
              <w:rPr>
                <w:rFonts w:asciiTheme="minorHAnsi" w:eastAsia="Calibri" w:hAnsiTheme="minorHAnsi" w:cstheme="minorHAnsi"/>
                <w:bCs/>
                <w:color w:val="000000"/>
                <w:sz w:val="20"/>
                <w:szCs w:val="20"/>
              </w:rPr>
              <w:t>40</w:t>
            </w:r>
          </w:p>
        </w:tc>
        <w:tc>
          <w:tcPr>
            <w:tcW w:w="962" w:type="pct"/>
            <w:shd w:val="clear" w:color="auto" w:fill="auto"/>
          </w:tcPr>
          <w:p w14:paraId="54B910AB" w14:textId="13E17F60" w:rsidR="00D03359" w:rsidRPr="0078534F" w:rsidRDefault="006D2F22" w:rsidP="002D770C">
            <w:pPr>
              <w:keepNext/>
              <w:keepLines/>
              <w:spacing w:before="60" w:after="60"/>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3</w:t>
            </w:r>
            <w:r w:rsidR="0078534F" w:rsidRPr="0078534F">
              <w:rPr>
                <w:rFonts w:asciiTheme="minorHAnsi" w:eastAsia="Calibri" w:hAnsiTheme="minorHAnsi" w:cstheme="minorHAnsi"/>
                <w:bCs/>
                <w:color w:val="000000"/>
                <w:sz w:val="20"/>
                <w:szCs w:val="20"/>
              </w:rPr>
              <w:t>%</w:t>
            </w:r>
          </w:p>
        </w:tc>
      </w:tr>
      <w:tr w:rsidR="00D03359" w:rsidRPr="005B1574" w14:paraId="4F461622" w14:textId="77777777" w:rsidTr="002D770C">
        <w:trPr>
          <w:tblHeader/>
        </w:trPr>
        <w:tc>
          <w:tcPr>
            <w:tcW w:w="2928" w:type="pct"/>
            <w:shd w:val="clear" w:color="auto" w:fill="auto"/>
          </w:tcPr>
          <w:p w14:paraId="5B1AF110" w14:textId="39894B95" w:rsidR="00D03359" w:rsidRPr="00A347F0" w:rsidRDefault="0029063F" w:rsidP="002D770C">
            <w:pPr>
              <w:keepNext/>
              <w:keepLines/>
              <w:spacing w:before="60" w:after="60"/>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 xml:space="preserve">NON-BIOLOGIC </w:t>
            </w:r>
            <w:r w:rsidR="004E619D">
              <w:rPr>
                <w:rFonts w:asciiTheme="minorHAnsi" w:eastAsia="Calibri" w:hAnsiTheme="minorHAnsi" w:cstheme="minorHAnsi"/>
                <w:bCs/>
                <w:color w:val="000000"/>
                <w:sz w:val="20"/>
                <w:szCs w:val="20"/>
              </w:rPr>
              <w:t>THERAPIES</w:t>
            </w:r>
            <w:r w:rsidR="0078534F" w:rsidRPr="00A347F0">
              <w:rPr>
                <w:rFonts w:asciiTheme="minorHAnsi" w:eastAsia="Calibri" w:hAnsiTheme="minorHAnsi" w:cstheme="minorHAnsi"/>
                <w:bCs/>
                <w:color w:val="000000"/>
                <w:sz w:val="20"/>
                <w:szCs w:val="20"/>
              </w:rPr>
              <w:t xml:space="preserve">&gt;APREMILAST </w:t>
            </w:r>
          </w:p>
        </w:tc>
        <w:tc>
          <w:tcPr>
            <w:tcW w:w="1110" w:type="pct"/>
            <w:shd w:val="clear" w:color="auto" w:fill="auto"/>
          </w:tcPr>
          <w:p w14:paraId="339EC922" w14:textId="41FC7EE7" w:rsidR="00D03359" w:rsidRPr="00A347F0" w:rsidRDefault="006D2F22" w:rsidP="002D770C">
            <w:pPr>
              <w:keepNext/>
              <w:keepLines/>
              <w:spacing w:before="60" w:after="60"/>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9</w:t>
            </w:r>
            <w:r w:rsidR="008044B2">
              <w:rPr>
                <w:rFonts w:asciiTheme="minorHAnsi" w:eastAsia="Calibri" w:hAnsiTheme="minorHAnsi" w:cstheme="minorHAnsi"/>
                <w:bCs/>
                <w:color w:val="000000"/>
                <w:sz w:val="20"/>
                <w:szCs w:val="20"/>
              </w:rPr>
              <w:t>70</w:t>
            </w:r>
          </w:p>
        </w:tc>
        <w:tc>
          <w:tcPr>
            <w:tcW w:w="962" w:type="pct"/>
            <w:shd w:val="clear" w:color="auto" w:fill="auto"/>
          </w:tcPr>
          <w:p w14:paraId="6D96DA6A" w14:textId="4FA66A26" w:rsidR="00D03359" w:rsidRPr="00A347F0" w:rsidRDefault="006D2F22" w:rsidP="002D770C">
            <w:pPr>
              <w:keepNext/>
              <w:keepLines/>
              <w:spacing w:before="60" w:after="60"/>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2</w:t>
            </w:r>
            <w:r w:rsidR="0078534F" w:rsidRPr="00A347F0">
              <w:rPr>
                <w:rFonts w:asciiTheme="minorHAnsi" w:eastAsia="Calibri" w:hAnsiTheme="minorHAnsi" w:cstheme="minorHAnsi"/>
                <w:bCs/>
                <w:color w:val="000000"/>
                <w:sz w:val="20"/>
                <w:szCs w:val="20"/>
              </w:rPr>
              <w:t>%</w:t>
            </w:r>
          </w:p>
        </w:tc>
      </w:tr>
      <w:tr w:rsidR="003E60D5" w:rsidRPr="005B1574" w14:paraId="6242565E" w14:textId="77777777" w:rsidTr="002D770C">
        <w:trPr>
          <w:tblHeader/>
        </w:trPr>
        <w:tc>
          <w:tcPr>
            <w:tcW w:w="2928" w:type="pct"/>
            <w:shd w:val="clear" w:color="auto" w:fill="auto"/>
          </w:tcPr>
          <w:p w14:paraId="6F8202E6" w14:textId="2DD517A3" w:rsidR="003E60D5" w:rsidRPr="00A347F0" w:rsidRDefault="0029063F" w:rsidP="002D770C">
            <w:pPr>
              <w:keepNext/>
              <w:keepLines/>
              <w:spacing w:before="60" w:after="60"/>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 xml:space="preserve">NON-BIOLOGIC </w:t>
            </w:r>
            <w:r w:rsidR="004E619D">
              <w:rPr>
                <w:rFonts w:asciiTheme="minorHAnsi" w:eastAsia="Calibri" w:hAnsiTheme="minorHAnsi" w:cstheme="minorHAnsi"/>
                <w:bCs/>
                <w:color w:val="000000"/>
                <w:sz w:val="20"/>
                <w:szCs w:val="20"/>
              </w:rPr>
              <w:t>THERAPIES</w:t>
            </w:r>
            <w:r w:rsidR="003E60D5" w:rsidRPr="00A347F0">
              <w:rPr>
                <w:rFonts w:asciiTheme="minorHAnsi" w:eastAsia="Calibri" w:hAnsiTheme="minorHAnsi" w:cstheme="minorHAnsi"/>
                <w:bCs/>
                <w:color w:val="000000"/>
                <w:sz w:val="20"/>
                <w:szCs w:val="20"/>
              </w:rPr>
              <w:t>&gt;</w:t>
            </w:r>
            <w:r w:rsidR="00441D2C" w:rsidRPr="00A347F0">
              <w:rPr>
                <w:rFonts w:asciiTheme="minorHAnsi" w:eastAsia="Calibri" w:hAnsiTheme="minorHAnsi" w:cstheme="minorHAnsi"/>
                <w:bCs/>
                <w:color w:val="000000"/>
                <w:sz w:val="20"/>
                <w:szCs w:val="20"/>
              </w:rPr>
              <w:t>APREMILAST&gt;BIOLOGICS</w:t>
            </w:r>
          </w:p>
        </w:tc>
        <w:tc>
          <w:tcPr>
            <w:tcW w:w="1110" w:type="pct"/>
            <w:shd w:val="clear" w:color="auto" w:fill="auto"/>
          </w:tcPr>
          <w:p w14:paraId="69B62278" w14:textId="7144DEB1" w:rsidR="003E60D5" w:rsidRPr="00A347F0" w:rsidRDefault="008044B2" w:rsidP="002D770C">
            <w:pPr>
              <w:keepNext/>
              <w:keepLines/>
              <w:spacing w:before="60" w:after="60"/>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410</w:t>
            </w:r>
          </w:p>
        </w:tc>
        <w:tc>
          <w:tcPr>
            <w:tcW w:w="962" w:type="pct"/>
            <w:shd w:val="clear" w:color="auto" w:fill="auto"/>
          </w:tcPr>
          <w:p w14:paraId="0B554B9C" w14:textId="2C9D6E0E" w:rsidR="003E60D5" w:rsidRPr="00A347F0" w:rsidRDefault="006D2F22" w:rsidP="002D770C">
            <w:pPr>
              <w:keepNext/>
              <w:keepLines/>
              <w:spacing w:before="60" w:after="60"/>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1</w:t>
            </w:r>
            <w:r w:rsidR="00441D2C" w:rsidRPr="00A347F0">
              <w:rPr>
                <w:rFonts w:asciiTheme="minorHAnsi" w:eastAsia="Calibri" w:hAnsiTheme="minorHAnsi" w:cstheme="minorHAnsi"/>
                <w:bCs/>
                <w:color w:val="000000"/>
                <w:sz w:val="20"/>
                <w:szCs w:val="20"/>
              </w:rPr>
              <w:t>%</w:t>
            </w:r>
          </w:p>
        </w:tc>
      </w:tr>
      <w:tr w:rsidR="00573A31" w:rsidRPr="005B1574" w14:paraId="10322A6F" w14:textId="77777777" w:rsidTr="002D770C">
        <w:trPr>
          <w:tblHeader/>
        </w:trPr>
        <w:tc>
          <w:tcPr>
            <w:tcW w:w="2928" w:type="pct"/>
            <w:shd w:val="clear" w:color="auto" w:fill="auto"/>
          </w:tcPr>
          <w:p w14:paraId="27F7ECB9" w14:textId="77777777" w:rsidR="00573A31" w:rsidRPr="00A347F0" w:rsidRDefault="00573A31" w:rsidP="002D770C">
            <w:pPr>
              <w:keepNext/>
              <w:keepLines/>
              <w:spacing w:before="60" w:after="60"/>
              <w:rPr>
                <w:rFonts w:asciiTheme="minorHAnsi" w:eastAsia="Calibri" w:hAnsiTheme="minorHAnsi" w:cstheme="minorHAnsi"/>
                <w:bCs/>
                <w:color w:val="000000"/>
                <w:sz w:val="20"/>
                <w:szCs w:val="20"/>
              </w:rPr>
            </w:pPr>
            <w:r w:rsidRPr="00A347F0">
              <w:rPr>
                <w:rFonts w:asciiTheme="minorHAnsi" w:eastAsia="Calibri" w:hAnsiTheme="minorHAnsi" w:cstheme="minorHAnsi"/>
                <w:bCs/>
                <w:color w:val="000000"/>
                <w:sz w:val="20"/>
                <w:szCs w:val="20"/>
              </w:rPr>
              <w:t xml:space="preserve">Other sequences </w:t>
            </w:r>
          </w:p>
        </w:tc>
        <w:tc>
          <w:tcPr>
            <w:tcW w:w="1110" w:type="pct"/>
            <w:shd w:val="clear" w:color="auto" w:fill="auto"/>
          </w:tcPr>
          <w:p w14:paraId="6D412D7A" w14:textId="4C79A22E" w:rsidR="00573A31" w:rsidRPr="00A347F0" w:rsidRDefault="00757F00" w:rsidP="002D770C">
            <w:pPr>
              <w:keepNext/>
              <w:keepLines/>
              <w:spacing w:before="60" w:after="60"/>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1,349</w:t>
            </w:r>
          </w:p>
        </w:tc>
        <w:tc>
          <w:tcPr>
            <w:tcW w:w="962" w:type="pct"/>
            <w:shd w:val="clear" w:color="auto" w:fill="auto"/>
          </w:tcPr>
          <w:p w14:paraId="787A8AF7" w14:textId="7301F46F" w:rsidR="00573A31" w:rsidRPr="00A347F0" w:rsidRDefault="00BA7E47" w:rsidP="002D770C">
            <w:pPr>
              <w:keepNext/>
              <w:keepLines/>
              <w:spacing w:before="60" w:after="60"/>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3</w:t>
            </w:r>
            <w:r w:rsidR="00573A31" w:rsidRPr="00A347F0">
              <w:rPr>
                <w:rFonts w:asciiTheme="minorHAnsi" w:eastAsia="Calibri" w:hAnsiTheme="minorHAnsi" w:cstheme="minorHAnsi"/>
                <w:bCs/>
                <w:color w:val="000000"/>
                <w:sz w:val="20"/>
                <w:szCs w:val="20"/>
              </w:rPr>
              <w:t>%</w:t>
            </w:r>
          </w:p>
        </w:tc>
      </w:tr>
    </w:tbl>
    <w:p w14:paraId="7100BF05" w14:textId="77777777" w:rsidR="00F8472E" w:rsidRDefault="00F8472E" w:rsidP="00C32300"/>
    <w:p w14:paraId="5CBC71A7" w14:textId="44AD1395" w:rsidR="00C32300" w:rsidRDefault="00F8472E" w:rsidP="00C32300">
      <w:r>
        <w:t>A</w:t>
      </w:r>
      <w:r w:rsidR="001B70E9">
        <w:t xml:space="preserve">s shown in Table </w:t>
      </w:r>
      <w:r w:rsidR="0035132E">
        <w:t>5</w:t>
      </w:r>
      <w:r w:rsidR="001B70E9">
        <w:t xml:space="preserve"> and </w:t>
      </w:r>
      <w:r w:rsidR="0035132E">
        <w:t>6</w:t>
      </w:r>
      <w:r w:rsidR="001B70E9">
        <w:t xml:space="preserve">, </w:t>
      </w:r>
      <w:proofErr w:type="gramStart"/>
      <w:r w:rsidR="004457CB">
        <w:t>the majority of</w:t>
      </w:r>
      <w:proofErr w:type="gramEnd"/>
      <w:r w:rsidR="004457CB">
        <w:t xml:space="preserve"> patients have remained on</w:t>
      </w:r>
      <w:r w:rsidR="006A335C">
        <w:t xml:space="preserve"> or switched </w:t>
      </w:r>
      <w:r w:rsidR="005D6581">
        <w:t>to biologic</w:t>
      </w:r>
      <w:r w:rsidR="004457CB">
        <w:t xml:space="preserve"> therapies prior and </w:t>
      </w:r>
      <w:r w:rsidR="005547DD">
        <w:t>following the PBS</w:t>
      </w:r>
      <w:r w:rsidR="001631D8">
        <w:t xml:space="preserve"> </w:t>
      </w:r>
      <w:r w:rsidR="005547DD">
        <w:t>listing of apremilast</w:t>
      </w:r>
      <w:r w:rsidR="006A335C">
        <w:t xml:space="preserve">. </w:t>
      </w:r>
    </w:p>
    <w:p w14:paraId="5237EA6F" w14:textId="5C9E260F" w:rsidR="001B70E9" w:rsidRDefault="00C32300" w:rsidP="00C32300">
      <w:r>
        <w:t>1</w:t>
      </w:r>
      <w:r w:rsidR="00C6507D">
        <w:t>50</w:t>
      </w:r>
      <w:r>
        <w:t xml:space="preserve"> patients may have been </w:t>
      </w:r>
      <w:proofErr w:type="spellStart"/>
      <w:r>
        <w:t>coadministered</w:t>
      </w:r>
      <w:proofErr w:type="spellEnd"/>
      <w:r>
        <w:t xml:space="preserve"> apremilast with a biologic o</w:t>
      </w:r>
      <w:r w:rsidR="0029063F">
        <w:t xml:space="preserve">r non-biologic </w:t>
      </w:r>
      <w:r>
        <w:t xml:space="preserve">treatment within 28 days. </w:t>
      </w:r>
    </w:p>
    <w:p w14:paraId="39916429" w14:textId="7E9BFB1F" w:rsidR="00C32300" w:rsidRDefault="00C32300" w:rsidP="00C32300">
      <w:pPr>
        <w:pStyle w:val="Tabletitle"/>
        <w:spacing w:before="200"/>
      </w:pPr>
      <w:r>
        <w:t>T</w:t>
      </w:r>
      <w:r w:rsidRPr="001420B3" w:rsidDel="00EE2BBB">
        <w:t>able</w:t>
      </w:r>
      <w:r>
        <w:t xml:space="preserve"> </w:t>
      </w:r>
      <w:r w:rsidR="0035132E">
        <w:t>7</w:t>
      </w:r>
      <w:r>
        <w:t xml:space="preserve">: Sequence analysis of </w:t>
      </w:r>
      <w:r w:rsidR="00290702">
        <w:t xml:space="preserve">apremilast patients </w:t>
      </w:r>
    </w:p>
    <w:tbl>
      <w:tblPr>
        <w:tblStyle w:val="TableGrid1"/>
        <w:tblW w:w="3890" w:type="pct"/>
        <w:tblLook w:val="04A0" w:firstRow="1" w:lastRow="0" w:firstColumn="1" w:lastColumn="0" w:noHBand="0" w:noVBand="1"/>
      </w:tblPr>
      <w:tblGrid>
        <w:gridCol w:w="5240"/>
        <w:gridCol w:w="1721"/>
      </w:tblGrid>
      <w:tr w:rsidR="00C32300" w:rsidRPr="005B1574" w14:paraId="4C53840F" w14:textId="77777777" w:rsidTr="00C32300">
        <w:trPr>
          <w:tblHeader/>
        </w:trPr>
        <w:tc>
          <w:tcPr>
            <w:tcW w:w="3764" w:type="pct"/>
            <w:shd w:val="clear" w:color="auto" w:fill="BFBFBF" w:themeFill="background1" w:themeFillShade="BF"/>
          </w:tcPr>
          <w:p w14:paraId="5650D7AB" w14:textId="77777777" w:rsidR="00C32300" w:rsidRPr="005B1574" w:rsidRDefault="00C32300" w:rsidP="002D770C">
            <w:pPr>
              <w:keepNext/>
              <w:keepLines/>
              <w:spacing w:before="60" w:after="60"/>
              <w:rPr>
                <w:rFonts w:asciiTheme="minorHAnsi" w:eastAsia="Calibri" w:hAnsiTheme="minorHAnsi" w:cstheme="minorHAnsi"/>
                <w:b/>
                <w:color w:val="000000"/>
                <w:sz w:val="20"/>
                <w:szCs w:val="20"/>
              </w:rPr>
            </w:pPr>
            <w:r>
              <w:rPr>
                <w:rFonts w:asciiTheme="minorHAnsi" w:eastAsia="Calibri" w:hAnsiTheme="minorHAnsi" w:cstheme="minorHAnsi"/>
                <w:b/>
                <w:color w:val="000000"/>
                <w:sz w:val="20"/>
                <w:szCs w:val="20"/>
              </w:rPr>
              <w:t xml:space="preserve">Sequence analysis </w:t>
            </w:r>
          </w:p>
        </w:tc>
        <w:tc>
          <w:tcPr>
            <w:tcW w:w="1236" w:type="pct"/>
            <w:shd w:val="clear" w:color="auto" w:fill="BFBFBF" w:themeFill="background1" w:themeFillShade="BF"/>
          </w:tcPr>
          <w:p w14:paraId="0CF92029" w14:textId="77777777" w:rsidR="00C32300" w:rsidRPr="005B1574" w:rsidRDefault="00C32300" w:rsidP="002D770C">
            <w:pPr>
              <w:keepNext/>
              <w:keepLines/>
              <w:spacing w:before="60" w:after="60"/>
              <w:rPr>
                <w:rFonts w:asciiTheme="minorHAnsi" w:eastAsia="Calibri" w:hAnsiTheme="minorHAnsi" w:cstheme="minorHAnsi"/>
                <w:b/>
                <w:color w:val="000000"/>
                <w:sz w:val="20"/>
                <w:szCs w:val="20"/>
              </w:rPr>
            </w:pPr>
            <w:r>
              <w:rPr>
                <w:rFonts w:asciiTheme="minorHAnsi" w:eastAsia="Calibri" w:hAnsiTheme="minorHAnsi" w:cstheme="minorHAnsi"/>
                <w:b/>
                <w:color w:val="000000"/>
                <w:sz w:val="20"/>
                <w:szCs w:val="20"/>
              </w:rPr>
              <w:t xml:space="preserve">Proportion </w:t>
            </w:r>
          </w:p>
        </w:tc>
      </w:tr>
      <w:tr w:rsidR="00C32300" w:rsidRPr="005B1574" w14:paraId="334B0AD2" w14:textId="77777777" w:rsidTr="00C32300">
        <w:trPr>
          <w:tblHeader/>
        </w:trPr>
        <w:tc>
          <w:tcPr>
            <w:tcW w:w="3764" w:type="pct"/>
            <w:shd w:val="clear" w:color="auto" w:fill="auto"/>
          </w:tcPr>
          <w:p w14:paraId="3AFE1202" w14:textId="77777777" w:rsidR="00C32300" w:rsidRPr="00235071" w:rsidRDefault="00C32300" w:rsidP="002D770C">
            <w:pPr>
              <w:keepNext/>
              <w:keepLines/>
              <w:spacing w:before="60" w:after="60"/>
              <w:rPr>
                <w:rFonts w:asciiTheme="minorHAnsi" w:eastAsia="Calibri" w:hAnsiTheme="minorHAnsi" w:cstheme="minorHAnsi"/>
                <w:bCs/>
                <w:color w:val="000000"/>
                <w:sz w:val="20"/>
                <w:szCs w:val="20"/>
              </w:rPr>
            </w:pPr>
            <w:r w:rsidRPr="00235071">
              <w:rPr>
                <w:rFonts w:asciiTheme="minorHAnsi" w:eastAsia="Calibri" w:hAnsiTheme="minorHAnsi" w:cstheme="minorHAnsi"/>
                <w:bCs/>
                <w:color w:val="000000"/>
                <w:sz w:val="20"/>
                <w:szCs w:val="20"/>
              </w:rPr>
              <w:t>APREMILAST</w:t>
            </w:r>
          </w:p>
        </w:tc>
        <w:tc>
          <w:tcPr>
            <w:tcW w:w="1236" w:type="pct"/>
            <w:shd w:val="clear" w:color="auto" w:fill="auto"/>
          </w:tcPr>
          <w:p w14:paraId="36A6AD17" w14:textId="6AF01D3D" w:rsidR="00C32300" w:rsidRPr="009447AA" w:rsidRDefault="00290702" w:rsidP="002D770C">
            <w:pPr>
              <w:keepNext/>
              <w:keepLines/>
              <w:spacing w:before="60" w:after="60"/>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75</w:t>
            </w:r>
            <w:r w:rsidR="00C32300" w:rsidRPr="009447AA">
              <w:rPr>
                <w:rFonts w:asciiTheme="minorHAnsi" w:eastAsia="Calibri" w:hAnsiTheme="minorHAnsi" w:cstheme="minorHAnsi"/>
                <w:bCs/>
                <w:color w:val="000000"/>
                <w:sz w:val="20"/>
                <w:szCs w:val="20"/>
              </w:rPr>
              <w:t>%</w:t>
            </w:r>
          </w:p>
        </w:tc>
      </w:tr>
      <w:tr w:rsidR="00C32300" w:rsidRPr="005B1574" w14:paraId="0EBCA8A3" w14:textId="77777777" w:rsidTr="00C32300">
        <w:trPr>
          <w:tblHeader/>
        </w:trPr>
        <w:tc>
          <w:tcPr>
            <w:tcW w:w="3764" w:type="pct"/>
            <w:shd w:val="clear" w:color="auto" w:fill="auto"/>
          </w:tcPr>
          <w:p w14:paraId="60EAEE5B" w14:textId="77777777" w:rsidR="00C32300" w:rsidRPr="00235071" w:rsidRDefault="00C32300" w:rsidP="002D770C">
            <w:pPr>
              <w:keepNext/>
              <w:keepLines/>
              <w:spacing w:before="60" w:after="60"/>
              <w:rPr>
                <w:rFonts w:eastAsia="Calibri" w:cstheme="minorHAnsi"/>
                <w:bCs/>
                <w:color w:val="000000"/>
                <w:sz w:val="20"/>
                <w:szCs w:val="20"/>
              </w:rPr>
            </w:pPr>
            <w:r w:rsidRPr="00235071">
              <w:rPr>
                <w:rFonts w:asciiTheme="minorHAnsi" w:eastAsia="Calibri" w:hAnsiTheme="minorHAnsi" w:cstheme="minorHAnsi"/>
                <w:bCs/>
                <w:color w:val="000000"/>
                <w:sz w:val="20"/>
                <w:szCs w:val="20"/>
              </w:rPr>
              <w:t>APREMILAST&gt;RISANKIZUMAB</w:t>
            </w:r>
          </w:p>
        </w:tc>
        <w:tc>
          <w:tcPr>
            <w:tcW w:w="1236" w:type="pct"/>
            <w:shd w:val="clear" w:color="auto" w:fill="auto"/>
          </w:tcPr>
          <w:p w14:paraId="02FBBE35" w14:textId="1BBBFDD5" w:rsidR="00C32300" w:rsidRPr="009447AA" w:rsidRDefault="00290702" w:rsidP="002D770C">
            <w:pPr>
              <w:keepNext/>
              <w:keepLines/>
              <w:spacing w:before="60" w:after="60"/>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7</w:t>
            </w:r>
            <w:r w:rsidR="00C32300" w:rsidRPr="009447AA">
              <w:rPr>
                <w:rFonts w:asciiTheme="minorHAnsi" w:eastAsia="Calibri" w:hAnsiTheme="minorHAnsi" w:cstheme="minorHAnsi"/>
                <w:bCs/>
                <w:color w:val="000000"/>
                <w:sz w:val="20"/>
                <w:szCs w:val="20"/>
              </w:rPr>
              <w:t>%</w:t>
            </w:r>
          </w:p>
        </w:tc>
      </w:tr>
      <w:tr w:rsidR="00C32300" w:rsidRPr="005B1574" w14:paraId="52C65C77" w14:textId="77777777" w:rsidTr="00C32300">
        <w:trPr>
          <w:tblHeader/>
        </w:trPr>
        <w:tc>
          <w:tcPr>
            <w:tcW w:w="3764" w:type="pct"/>
            <w:shd w:val="clear" w:color="auto" w:fill="auto"/>
          </w:tcPr>
          <w:p w14:paraId="769E1D3A" w14:textId="77777777" w:rsidR="00C32300" w:rsidRPr="00235071" w:rsidRDefault="00C32300" w:rsidP="002D770C">
            <w:pPr>
              <w:keepNext/>
              <w:keepLines/>
              <w:spacing w:before="60" w:after="60"/>
              <w:rPr>
                <w:rFonts w:eastAsia="Calibri" w:cstheme="minorHAnsi"/>
                <w:bCs/>
                <w:color w:val="000000"/>
                <w:sz w:val="20"/>
                <w:szCs w:val="20"/>
              </w:rPr>
            </w:pPr>
            <w:r w:rsidRPr="00235071">
              <w:rPr>
                <w:rFonts w:asciiTheme="minorHAnsi" w:eastAsia="Calibri" w:hAnsiTheme="minorHAnsi" w:cstheme="minorHAnsi"/>
                <w:bCs/>
                <w:color w:val="000000"/>
                <w:sz w:val="20"/>
                <w:szCs w:val="20"/>
              </w:rPr>
              <w:t>APREMILAST&gt;GUSELKUMAB</w:t>
            </w:r>
          </w:p>
        </w:tc>
        <w:tc>
          <w:tcPr>
            <w:tcW w:w="1236" w:type="pct"/>
            <w:shd w:val="clear" w:color="auto" w:fill="auto"/>
          </w:tcPr>
          <w:p w14:paraId="28795BE0" w14:textId="7D61652E" w:rsidR="00C32300" w:rsidRPr="009447AA" w:rsidRDefault="00290702" w:rsidP="002D770C">
            <w:pPr>
              <w:keepNext/>
              <w:keepLines/>
              <w:spacing w:before="60" w:after="60"/>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7</w:t>
            </w:r>
            <w:r w:rsidR="00C32300" w:rsidRPr="009447AA">
              <w:rPr>
                <w:rFonts w:asciiTheme="minorHAnsi" w:eastAsia="Calibri" w:hAnsiTheme="minorHAnsi" w:cstheme="minorHAnsi"/>
                <w:bCs/>
                <w:color w:val="000000"/>
                <w:sz w:val="20"/>
                <w:szCs w:val="20"/>
              </w:rPr>
              <w:t>%</w:t>
            </w:r>
          </w:p>
        </w:tc>
      </w:tr>
      <w:tr w:rsidR="00C32300" w:rsidRPr="005B1574" w14:paraId="527C391C" w14:textId="77777777" w:rsidTr="00C32300">
        <w:trPr>
          <w:tblHeader/>
        </w:trPr>
        <w:tc>
          <w:tcPr>
            <w:tcW w:w="3764" w:type="pct"/>
            <w:shd w:val="clear" w:color="auto" w:fill="auto"/>
          </w:tcPr>
          <w:p w14:paraId="1ED634FF" w14:textId="77777777" w:rsidR="00C32300" w:rsidRPr="00235071" w:rsidRDefault="00C32300" w:rsidP="002D770C">
            <w:pPr>
              <w:keepNext/>
              <w:keepLines/>
              <w:spacing w:before="60" w:after="60"/>
              <w:rPr>
                <w:rFonts w:eastAsia="Calibri" w:cstheme="minorHAnsi"/>
                <w:bCs/>
                <w:color w:val="000000"/>
                <w:sz w:val="20"/>
                <w:szCs w:val="20"/>
              </w:rPr>
            </w:pPr>
            <w:r w:rsidRPr="00235071">
              <w:rPr>
                <w:rFonts w:asciiTheme="minorHAnsi" w:eastAsia="Calibri" w:hAnsiTheme="minorHAnsi" w:cstheme="minorHAnsi"/>
                <w:bCs/>
                <w:color w:val="000000"/>
                <w:sz w:val="20"/>
                <w:szCs w:val="20"/>
              </w:rPr>
              <w:t>APREMILAST&gt;TILDRAKIZUMAB</w:t>
            </w:r>
          </w:p>
        </w:tc>
        <w:tc>
          <w:tcPr>
            <w:tcW w:w="1236" w:type="pct"/>
            <w:shd w:val="clear" w:color="auto" w:fill="auto"/>
          </w:tcPr>
          <w:p w14:paraId="3585362D" w14:textId="1A858CF9" w:rsidR="00C32300" w:rsidRPr="009447AA" w:rsidRDefault="00290702" w:rsidP="002D770C">
            <w:pPr>
              <w:keepNext/>
              <w:keepLines/>
              <w:spacing w:before="60" w:after="60"/>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4</w:t>
            </w:r>
            <w:r w:rsidR="00C32300" w:rsidRPr="009447AA">
              <w:rPr>
                <w:rFonts w:asciiTheme="minorHAnsi" w:eastAsia="Calibri" w:hAnsiTheme="minorHAnsi" w:cstheme="minorHAnsi"/>
                <w:bCs/>
                <w:color w:val="000000"/>
                <w:sz w:val="20"/>
                <w:szCs w:val="20"/>
              </w:rPr>
              <w:t>%</w:t>
            </w:r>
          </w:p>
        </w:tc>
      </w:tr>
      <w:tr w:rsidR="00C32300" w:rsidRPr="005B1574" w14:paraId="520AC247" w14:textId="77777777" w:rsidTr="00C32300">
        <w:trPr>
          <w:tblHeader/>
        </w:trPr>
        <w:tc>
          <w:tcPr>
            <w:tcW w:w="3764" w:type="pct"/>
            <w:shd w:val="clear" w:color="auto" w:fill="auto"/>
          </w:tcPr>
          <w:p w14:paraId="02A7BC12" w14:textId="77777777" w:rsidR="00C32300" w:rsidRPr="00235071" w:rsidRDefault="00C32300" w:rsidP="002D770C">
            <w:pPr>
              <w:keepNext/>
              <w:keepLines/>
              <w:spacing w:before="60" w:after="60"/>
              <w:rPr>
                <w:rFonts w:eastAsia="Calibri" w:cstheme="minorHAnsi"/>
                <w:bCs/>
                <w:color w:val="000000"/>
                <w:sz w:val="20"/>
                <w:szCs w:val="20"/>
              </w:rPr>
            </w:pPr>
            <w:r w:rsidRPr="00235071">
              <w:rPr>
                <w:rFonts w:asciiTheme="minorHAnsi" w:eastAsia="Calibri" w:hAnsiTheme="minorHAnsi" w:cstheme="minorHAnsi"/>
                <w:bCs/>
                <w:color w:val="000000"/>
                <w:sz w:val="20"/>
                <w:szCs w:val="20"/>
              </w:rPr>
              <w:t>APREMILAST&gt;IXEKIZUMAB</w:t>
            </w:r>
          </w:p>
        </w:tc>
        <w:tc>
          <w:tcPr>
            <w:tcW w:w="1236" w:type="pct"/>
            <w:shd w:val="clear" w:color="auto" w:fill="auto"/>
          </w:tcPr>
          <w:p w14:paraId="67200272" w14:textId="4A54CADB" w:rsidR="00C32300" w:rsidRPr="009447AA" w:rsidRDefault="00C32300" w:rsidP="002D770C">
            <w:pPr>
              <w:keepNext/>
              <w:keepLines/>
              <w:spacing w:before="60" w:after="60"/>
              <w:rPr>
                <w:rFonts w:asciiTheme="minorHAnsi" w:eastAsia="Calibri" w:hAnsiTheme="minorHAnsi" w:cstheme="minorHAnsi"/>
                <w:bCs/>
                <w:color w:val="000000"/>
                <w:sz w:val="20"/>
                <w:szCs w:val="20"/>
              </w:rPr>
            </w:pPr>
            <w:r w:rsidRPr="009447AA">
              <w:rPr>
                <w:rFonts w:asciiTheme="minorHAnsi" w:eastAsia="Calibri" w:hAnsiTheme="minorHAnsi" w:cstheme="minorHAnsi"/>
                <w:bCs/>
                <w:color w:val="000000"/>
                <w:sz w:val="20"/>
                <w:szCs w:val="20"/>
              </w:rPr>
              <w:t>2%</w:t>
            </w:r>
          </w:p>
        </w:tc>
      </w:tr>
      <w:tr w:rsidR="00C32300" w:rsidRPr="005B1574" w14:paraId="6B9AB800" w14:textId="77777777" w:rsidTr="00C32300">
        <w:trPr>
          <w:tblHeader/>
        </w:trPr>
        <w:tc>
          <w:tcPr>
            <w:tcW w:w="3764" w:type="pct"/>
            <w:shd w:val="clear" w:color="auto" w:fill="auto"/>
          </w:tcPr>
          <w:p w14:paraId="01CC0918" w14:textId="77777777" w:rsidR="00C32300" w:rsidRPr="00235071" w:rsidRDefault="00C32300" w:rsidP="002D770C">
            <w:pPr>
              <w:keepNext/>
              <w:keepLines/>
              <w:spacing w:before="60" w:after="60"/>
              <w:rPr>
                <w:rFonts w:eastAsia="Calibri" w:cstheme="minorHAnsi"/>
                <w:bCs/>
                <w:color w:val="000000"/>
                <w:sz w:val="20"/>
                <w:szCs w:val="20"/>
              </w:rPr>
            </w:pPr>
            <w:r w:rsidRPr="00235071">
              <w:rPr>
                <w:rFonts w:asciiTheme="minorHAnsi" w:eastAsia="Calibri" w:hAnsiTheme="minorHAnsi" w:cstheme="minorHAnsi"/>
                <w:bCs/>
                <w:color w:val="000000"/>
                <w:sz w:val="20"/>
                <w:szCs w:val="20"/>
              </w:rPr>
              <w:t>APREMILAST&gt;SECUKINUMAB</w:t>
            </w:r>
          </w:p>
        </w:tc>
        <w:tc>
          <w:tcPr>
            <w:tcW w:w="1236" w:type="pct"/>
            <w:shd w:val="clear" w:color="auto" w:fill="auto"/>
          </w:tcPr>
          <w:p w14:paraId="1EC0F599" w14:textId="3813A012" w:rsidR="00C32300" w:rsidRPr="009447AA" w:rsidRDefault="00290702" w:rsidP="002D770C">
            <w:pPr>
              <w:keepNext/>
              <w:keepLines/>
              <w:spacing w:before="60" w:after="60"/>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2</w:t>
            </w:r>
            <w:r w:rsidR="00C32300" w:rsidRPr="009447AA">
              <w:rPr>
                <w:rFonts w:asciiTheme="minorHAnsi" w:eastAsia="Calibri" w:hAnsiTheme="minorHAnsi" w:cstheme="minorHAnsi"/>
                <w:bCs/>
                <w:color w:val="000000"/>
                <w:sz w:val="20"/>
                <w:szCs w:val="20"/>
              </w:rPr>
              <w:t>%</w:t>
            </w:r>
          </w:p>
        </w:tc>
      </w:tr>
      <w:tr w:rsidR="00C32300" w:rsidRPr="005B1574" w14:paraId="1EF5C91D" w14:textId="77777777" w:rsidTr="00C32300">
        <w:trPr>
          <w:tblHeader/>
        </w:trPr>
        <w:tc>
          <w:tcPr>
            <w:tcW w:w="3764" w:type="pct"/>
            <w:shd w:val="clear" w:color="auto" w:fill="auto"/>
          </w:tcPr>
          <w:p w14:paraId="2991C941" w14:textId="77777777" w:rsidR="00C32300" w:rsidRPr="00235071" w:rsidRDefault="00C32300" w:rsidP="002D770C">
            <w:pPr>
              <w:keepNext/>
              <w:keepLines/>
              <w:spacing w:before="60" w:after="60"/>
              <w:rPr>
                <w:rFonts w:asciiTheme="minorHAnsi" w:eastAsia="Calibri" w:hAnsiTheme="minorHAnsi" w:cstheme="minorHAnsi"/>
                <w:bCs/>
                <w:color w:val="000000"/>
                <w:sz w:val="20"/>
                <w:szCs w:val="20"/>
              </w:rPr>
            </w:pPr>
            <w:r w:rsidRPr="00235071">
              <w:rPr>
                <w:rFonts w:asciiTheme="minorHAnsi" w:eastAsia="Calibri" w:hAnsiTheme="minorHAnsi" w:cstheme="minorHAnsi"/>
                <w:bCs/>
                <w:color w:val="000000"/>
                <w:sz w:val="20"/>
                <w:szCs w:val="20"/>
              </w:rPr>
              <w:t>APREMILAST&gt;USTEKINUMAB</w:t>
            </w:r>
          </w:p>
        </w:tc>
        <w:tc>
          <w:tcPr>
            <w:tcW w:w="1236" w:type="pct"/>
            <w:shd w:val="clear" w:color="auto" w:fill="auto"/>
          </w:tcPr>
          <w:p w14:paraId="08E39C74" w14:textId="4514BA68" w:rsidR="00C32300" w:rsidRPr="009447AA" w:rsidRDefault="00290702" w:rsidP="002D770C">
            <w:pPr>
              <w:keepNext/>
              <w:keepLines/>
              <w:spacing w:before="60" w:after="60"/>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&lt;1</w:t>
            </w:r>
            <w:r w:rsidR="00C32300" w:rsidRPr="009447AA">
              <w:rPr>
                <w:rFonts w:asciiTheme="minorHAnsi" w:eastAsia="Calibri" w:hAnsiTheme="minorHAnsi" w:cstheme="minorHAnsi"/>
                <w:bCs/>
                <w:color w:val="000000"/>
                <w:sz w:val="20"/>
                <w:szCs w:val="20"/>
              </w:rPr>
              <w:t>%</w:t>
            </w:r>
          </w:p>
        </w:tc>
      </w:tr>
      <w:tr w:rsidR="00C32300" w:rsidRPr="005B1574" w14:paraId="31721397" w14:textId="77777777" w:rsidTr="00C32300">
        <w:trPr>
          <w:tblHeader/>
        </w:trPr>
        <w:tc>
          <w:tcPr>
            <w:tcW w:w="3764" w:type="pct"/>
            <w:shd w:val="clear" w:color="auto" w:fill="auto"/>
          </w:tcPr>
          <w:p w14:paraId="56310F23" w14:textId="77777777" w:rsidR="00C32300" w:rsidRPr="00235071" w:rsidRDefault="00C32300" w:rsidP="002D770C">
            <w:pPr>
              <w:keepNext/>
              <w:keepLines/>
              <w:spacing w:before="60" w:after="60"/>
              <w:rPr>
                <w:rFonts w:asciiTheme="minorHAnsi" w:eastAsia="Calibri" w:hAnsiTheme="minorHAnsi" w:cstheme="minorHAnsi"/>
                <w:bCs/>
                <w:color w:val="000000"/>
                <w:sz w:val="20"/>
                <w:szCs w:val="20"/>
              </w:rPr>
            </w:pPr>
            <w:r w:rsidRPr="00235071">
              <w:rPr>
                <w:rFonts w:asciiTheme="minorHAnsi" w:eastAsia="Calibri" w:hAnsiTheme="minorHAnsi" w:cstheme="minorHAnsi"/>
                <w:bCs/>
                <w:color w:val="000000"/>
                <w:sz w:val="20"/>
                <w:szCs w:val="20"/>
              </w:rPr>
              <w:t xml:space="preserve">Other sequences </w:t>
            </w:r>
          </w:p>
        </w:tc>
        <w:tc>
          <w:tcPr>
            <w:tcW w:w="1236" w:type="pct"/>
            <w:shd w:val="clear" w:color="auto" w:fill="auto"/>
          </w:tcPr>
          <w:p w14:paraId="3746C7F7" w14:textId="77777777" w:rsidR="00C32300" w:rsidRPr="009447AA" w:rsidRDefault="00C32300" w:rsidP="002D770C">
            <w:pPr>
              <w:keepNext/>
              <w:keepLines/>
              <w:spacing w:before="60" w:after="60"/>
              <w:rPr>
                <w:rFonts w:asciiTheme="minorHAnsi" w:eastAsia="Calibri" w:hAnsiTheme="minorHAnsi" w:cstheme="minorHAnsi"/>
                <w:bCs/>
                <w:color w:val="000000"/>
                <w:sz w:val="20"/>
                <w:szCs w:val="20"/>
              </w:rPr>
            </w:pPr>
            <w:r w:rsidRPr="009447AA">
              <w:rPr>
                <w:rFonts w:asciiTheme="minorHAnsi" w:eastAsia="Calibri" w:hAnsiTheme="minorHAnsi" w:cstheme="minorHAnsi"/>
                <w:bCs/>
                <w:color w:val="000000"/>
                <w:sz w:val="20"/>
                <w:szCs w:val="20"/>
              </w:rPr>
              <w:t>4.2%</w:t>
            </w:r>
          </w:p>
        </w:tc>
      </w:tr>
    </w:tbl>
    <w:p w14:paraId="444CEDF0" w14:textId="77777777" w:rsidR="00C32300" w:rsidRDefault="00C32300">
      <w:pPr>
        <w:spacing w:line="276" w:lineRule="auto"/>
      </w:pPr>
    </w:p>
    <w:p w14:paraId="3016EDE8" w14:textId="3ED52334" w:rsidR="003D1A30" w:rsidRDefault="00A24673" w:rsidP="00F8472E">
      <w:r>
        <w:lastRenderedPageBreak/>
        <w:t xml:space="preserve">Table </w:t>
      </w:r>
      <w:r w:rsidR="0035132E">
        <w:t>7</w:t>
      </w:r>
      <w:r>
        <w:t xml:space="preserve"> shows </w:t>
      </w:r>
      <w:r w:rsidR="00E86D2B">
        <w:t xml:space="preserve">that </w:t>
      </w:r>
      <w:r>
        <w:t xml:space="preserve">the </w:t>
      </w:r>
      <w:r w:rsidR="00E86D2B">
        <w:t xml:space="preserve">in </w:t>
      </w:r>
      <w:proofErr w:type="gramStart"/>
      <w:r w:rsidR="00E86D2B">
        <w:t>the majority of</w:t>
      </w:r>
      <w:proofErr w:type="gramEnd"/>
      <w:r w:rsidR="00E86D2B">
        <w:t xml:space="preserve"> patients to switched to a different biologic, </w:t>
      </w:r>
      <w:r w:rsidR="0078012D">
        <w:t>patients had recently listed IL-23 inhibitors (</w:t>
      </w:r>
      <w:proofErr w:type="spellStart"/>
      <w:r w:rsidR="0078012D">
        <w:t>guselkuzumab</w:t>
      </w:r>
      <w:proofErr w:type="spellEnd"/>
      <w:r w:rsidR="0078012D">
        <w:t xml:space="preserve">, </w:t>
      </w:r>
      <w:proofErr w:type="spellStart"/>
      <w:r w:rsidR="0078012D">
        <w:t>risankisumab</w:t>
      </w:r>
      <w:proofErr w:type="spellEnd"/>
      <w:r w:rsidR="0078012D">
        <w:t>, tildrakizumab).</w:t>
      </w:r>
    </w:p>
    <w:p w14:paraId="5F22B4D8" w14:textId="21001FB8" w:rsidR="00736041" w:rsidRDefault="00D151EB" w:rsidP="00F73113">
      <w:pPr>
        <w:pStyle w:val="Heading2"/>
      </w:pPr>
      <w:r>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p>
    <w:p w14:paraId="6B3B90E1" w14:textId="77777777" w:rsidR="003E3DD8" w:rsidRPr="00202629" w:rsidRDefault="003E3DD8" w:rsidP="003E3DD8">
      <w:pPr>
        <w:pStyle w:val="Heading2"/>
        <w:rPr>
          <w:sz w:val="24"/>
          <w:szCs w:val="22"/>
        </w:rPr>
      </w:pPr>
      <w:r w:rsidRPr="00202629">
        <w:rPr>
          <w:sz w:val="24"/>
          <w:szCs w:val="22"/>
        </w:rPr>
        <w:t xml:space="preserve">Approach taken to estimate </w:t>
      </w:r>
      <w:proofErr w:type="gramStart"/>
      <w:r w:rsidRPr="00202629">
        <w:rPr>
          <w:sz w:val="24"/>
          <w:szCs w:val="22"/>
        </w:rPr>
        <w:t>utilisation</w:t>
      </w:r>
      <w:proofErr w:type="gramEnd"/>
    </w:p>
    <w:p w14:paraId="04002A73" w14:textId="7C1EDD6A" w:rsidR="006E3FB4" w:rsidRDefault="00D27CF9" w:rsidP="00D27CF9">
      <w:r w:rsidRPr="00D27CF9">
        <w:t xml:space="preserve">The </w:t>
      </w:r>
      <w:r w:rsidR="005B1574">
        <w:t xml:space="preserve">July 2020 </w:t>
      </w:r>
      <w:r w:rsidRPr="00D27CF9">
        <w:t xml:space="preserve">minor resubmission presented two utilisation models with assumptions of use up to the Tier 1 and Tier 2 caps in the proposed RSA. The proposed utilisation models and RSA tiers were based on utilisation models in the November 2017 submission (Tier 1) and new utilisation estimates which include some re-specified assumptions recommended by the DUSC in November 2017 (Tier 2). A comparison of the utilisation model assumptions </w:t>
      </w:r>
      <w:proofErr w:type="gramStart"/>
      <w:r w:rsidRPr="00D27CF9">
        <w:t>are</w:t>
      </w:r>
      <w:proofErr w:type="gramEnd"/>
      <w:r w:rsidRPr="00D27CF9">
        <w:t xml:space="preserve"> outlined in the table below. </w:t>
      </w:r>
    </w:p>
    <w:p w14:paraId="29534AE8" w14:textId="153AA480" w:rsidR="006E3FB4" w:rsidRDefault="006E3FB4" w:rsidP="006E3FB4">
      <w:pPr>
        <w:autoSpaceDE w:val="0"/>
        <w:autoSpaceDN w:val="0"/>
        <w:adjustRightInd w:val="0"/>
        <w:spacing w:after="0"/>
        <w:rPr>
          <w:rFonts w:ascii="Calibri" w:hAnsi="Calibri" w:cs="Calibri"/>
          <w:color w:val="000000"/>
          <w:sz w:val="23"/>
          <w:szCs w:val="23"/>
        </w:rPr>
      </w:pPr>
      <w:r w:rsidRPr="00D27CF9">
        <w:rPr>
          <w:rFonts w:ascii="Calibri" w:hAnsi="Calibri" w:cs="Calibri"/>
          <w:color w:val="000000"/>
          <w:sz w:val="23"/>
          <w:szCs w:val="23"/>
        </w:rPr>
        <w:t xml:space="preserve">For Tier 1 estimates, at Year 6 the estimated number of patients was less than 10,000 and the net cost to the PBS/RPBS would be less than $10 million. </w:t>
      </w:r>
    </w:p>
    <w:p w14:paraId="05C5880A" w14:textId="77777777" w:rsidR="006E3FB4" w:rsidRPr="00D27CF9" w:rsidRDefault="006E3FB4" w:rsidP="006E3FB4">
      <w:pPr>
        <w:autoSpaceDE w:val="0"/>
        <w:autoSpaceDN w:val="0"/>
        <w:adjustRightInd w:val="0"/>
        <w:spacing w:after="0"/>
        <w:rPr>
          <w:rFonts w:ascii="Calibri" w:hAnsi="Calibri" w:cs="Calibri"/>
          <w:color w:val="000000"/>
          <w:sz w:val="23"/>
          <w:szCs w:val="23"/>
        </w:rPr>
      </w:pPr>
    </w:p>
    <w:p w14:paraId="28091299" w14:textId="4CA0F67E" w:rsidR="005C28C4" w:rsidRDefault="006E3FB4" w:rsidP="00D27CF9">
      <w:r w:rsidRPr="00D27CF9">
        <w:t>For Tier 2 estimates, at Year 6 the estimated number of patients was 10,000 – 50,000 and the net cost to th</w:t>
      </w:r>
      <w:r>
        <w:t>e</w:t>
      </w:r>
      <w:r w:rsidRPr="00D27CF9">
        <w:t xml:space="preserve"> PBS/RPBS would be $10 - $20 million. </w:t>
      </w:r>
    </w:p>
    <w:p w14:paraId="5928055D" w14:textId="16B06F59" w:rsidR="00837547" w:rsidRPr="005B1574" w:rsidRDefault="005B1574" w:rsidP="00D93277">
      <w:pPr>
        <w:pStyle w:val="Tabletitle"/>
        <w:spacing w:before="200"/>
      </w:pPr>
      <w:r w:rsidRPr="001420B3" w:rsidDel="00EE2BBB">
        <w:t xml:space="preserve">Table </w:t>
      </w:r>
      <w:r w:rsidR="0035132E">
        <w:t>8</w:t>
      </w:r>
      <w:r>
        <w:t xml:space="preserve">: Key elements of utilisation and financial estimates models  </w:t>
      </w:r>
    </w:p>
    <w:tbl>
      <w:tblPr>
        <w:tblStyle w:val="TableGrid1"/>
        <w:tblW w:w="5000" w:type="pct"/>
        <w:tblLook w:val="04A0" w:firstRow="1" w:lastRow="0" w:firstColumn="1" w:lastColumn="0" w:noHBand="0" w:noVBand="1"/>
        <w:tblCaption w:val="Table 10"/>
      </w:tblPr>
      <w:tblGrid>
        <w:gridCol w:w="2459"/>
        <w:gridCol w:w="1084"/>
        <w:gridCol w:w="1129"/>
        <w:gridCol w:w="4275"/>
      </w:tblGrid>
      <w:tr w:rsidR="006E73C4" w:rsidRPr="005B1574" w14:paraId="5376E904" w14:textId="77777777" w:rsidTr="00FF3B03">
        <w:trPr>
          <w:trHeight w:val="285"/>
          <w:tblHeader/>
        </w:trPr>
        <w:tc>
          <w:tcPr>
            <w:tcW w:w="1374" w:type="pct"/>
            <w:shd w:val="clear" w:color="auto" w:fill="BFBFBF" w:themeFill="background1" w:themeFillShade="BF"/>
          </w:tcPr>
          <w:p w14:paraId="6F62B79E" w14:textId="77777777" w:rsidR="00837547" w:rsidRPr="005B1574" w:rsidRDefault="00837547" w:rsidP="00D93277">
            <w:pPr>
              <w:keepNext/>
              <w:keepLines/>
              <w:spacing w:before="60" w:afterLines="60" w:after="144"/>
              <w:rPr>
                <w:rFonts w:asciiTheme="minorHAnsi" w:eastAsia="Calibri" w:hAnsiTheme="minorHAnsi" w:cstheme="minorHAnsi"/>
                <w:b/>
                <w:color w:val="000000"/>
                <w:sz w:val="20"/>
                <w:szCs w:val="20"/>
              </w:rPr>
            </w:pPr>
            <w:r w:rsidRPr="005B1574">
              <w:rPr>
                <w:rFonts w:asciiTheme="minorHAnsi" w:eastAsia="Calibri" w:hAnsiTheme="minorHAnsi" w:cstheme="minorHAnsi"/>
                <w:b/>
                <w:color w:val="000000"/>
                <w:sz w:val="20"/>
                <w:szCs w:val="20"/>
              </w:rPr>
              <w:t>Parameter</w:t>
            </w:r>
          </w:p>
        </w:tc>
        <w:tc>
          <w:tcPr>
            <w:tcW w:w="606" w:type="pct"/>
            <w:shd w:val="clear" w:color="auto" w:fill="BFBFBF" w:themeFill="background1" w:themeFillShade="BF"/>
          </w:tcPr>
          <w:p w14:paraId="392B2BC0" w14:textId="77777777" w:rsidR="00837547" w:rsidRPr="005B1574" w:rsidRDefault="00837547" w:rsidP="00D93277">
            <w:pPr>
              <w:keepNext/>
              <w:keepLines/>
              <w:spacing w:before="60" w:afterLines="60" w:after="144"/>
              <w:rPr>
                <w:rFonts w:asciiTheme="minorHAnsi" w:eastAsia="Calibri" w:hAnsiTheme="minorHAnsi" w:cstheme="minorHAnsi"/>
                <w:b/>
                <w:color w:val="000000"/>
                <w:sz w:val="20"/>
                <w:szCs w:val="20"/>
              </w:rPr>
            </w:pPr>
            <w:r w:rsidRPr="005B1574">
              <w:rPr>
                <w:rFonts w:asciiTheme="minorHAnsi" w:eastAsia="Calibri" w:hAnsiTheme="minorHAnsi" w:cstheme="minorHAnsi"/>
                <w:b/>
                <w:color w:val="000000"/>
                <w:sz w:val="20"/>
                <w:szCs w:val="20"/>
              </w:rPr>
              <w:t>Tier 1 model</w:t>
            </w:r>
          </w:p>
        </w:tc>
        <w:tc>
          <w:tcPr>
            <w:tcW w:w="631" w:type="pct"/>
            <w:shd w:val="clear" w:color="auto" w:fill="BFBFBF" w:themeFill="background1" w:themeFillShade="BF"/>
          </w:tcPr>
          <w:p w14:paraId="483A2843" w14:textId="77777777" w:rsidR="00837547" w:rsidRPr="005B1574" w:rsidRDefault="00837547" w:rsidP="00D93277">
            <w:pPr>
              <w:keepNext/>
              <w:keepLines/>
              <w:spacing w:before="60" w:afterLines="60" w:after="144"/>
              <w:rPr>
                <w:rFonts w:asciiTheme="minorHAnsi" w:eastAsia="Calibri" w:hAnsiTheme="minorHAnsi" w:cstheme="minorHAnsi"/>
                <w:b/>
                <w:color w:val="000000"/>
                <w:sz w:val="20"/>
                <w:szCs w:val="20"/>
              </w:rPr>
            </w:pPr>
            <w:r w:rsidRPr="005B1574">
              <w:rPr>
                <w:rFonts w:asciiTheme="minorHAnsi" w:eastAsia="Calibri" w:hAnsiTheme="minorHAnsi" w:cstheme="minorHAnsi"/>
                <w:b/>
                <w:color w:val="000000"/>
                <w:sz w:val="20"/>
                <w:szCs w:val="20"/>
              </w:rPr>
              <w:t>Tier 2 model</w:t>
            </w:r>
          </w:p>
        </w:tc>
        <w:tc>
          <w:tcPr>
            <w:tcW w:w="2389" w:type="pct"/>
            <w:shd w:val="clear" w:color="auto" w:fill="BFBFBF" w:themeFill="background1" w:themeFillShade="BF"/>
          </w:tcPr>
          <w:p w14:paraId="7A275F10" w14:textId="77777777" w:rsidR="00837547" w:rsidRPr="005B1574" w:rsidRDefault="00837547" w:rsidP="00D93277">
            <w:pPr>
              <w:keepNext/>
              <w:keepLines/>
              <w:spacing w:before="60" w:afterLines="60" w:after="144"/>
              <w:rPr>
                <w:rFonts w:asciiTheme="minorHAnsi" w:eastAsia="Calibri" w:hAnsiTheme="minorHAnsi" w:cstheme="minorHAnsi"/>
                <w:b/>
                <w:color w:val="000000"/>
                <w:sz w:val="20"/>
                <w:szCs w:val="20"/>
              </w:rPr>
            </w:pPr>
            <w:r w:rsidRPr="005B1574">
              <w:rPr>
                <w:rFonts w:asciiTheme="minorHAnsi" w:eastAsia="Calibri" w:hAnsiTheme="minorHAnsi" w:cstheme="minorHAnsi"/>
                <w:b/>
                <w:color w:val="000000"/>
                <w:sz w:val="20"/>
                <w:szCs w:val="20"/>
              </w:rPr>
              <w:t>Comment</w:t>
            </w:r>
          </w:p>
        </w:tc>
      </w:tr>
      <w:tr w:rsidR="006E73C4" w:rsidRPr="005B1574" w14:paraId="21F5772B" w14:textId="77777777" w:rsidTr="00FF3B03">
        <w:tc>
          <w:tcPr>
            <w:tcW w:w="1374" w:type="pct"/>
            <w:vAlign w:val="center"/>
          </w:tcPr>
          <w:p w14:paraId="13D61034" w14:textId="77777777" w:rsidR="00837547" w:rsidRPr="005B1574" w:rsidRDefault="00837547" w:rsidP="00D93277">
            <w:pPr>
              <w:keepNext/>
              <w:keepLines/>
              <w:spacing w:before="60" w:afterLines="60" w:after="144"/>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t>Projected Australian adult population (years in model)</w:t>
            </w:r>
          </w:p>
        </w:tc>
        <w:tc>
          <w:tcPr>
            <w:tcW w:w="1237" w:type="pct"/>
            <w:gridSpan w:val="2"/>
            <w:vAlign w:val="center"/>
          </w:tcPr>
          <w:p w14:paraId="163854E3" w14:textId="77777777" w:rsidR="00837547" w:rsidRPr="005B1574" w:rsidRDefault="00837547" w:rsidP="00D93277">
            <w:pPr>
              <w:keepNext/>
              <w:keepLines/>
              <w:spacing w:before="60" w:afterLines="60" w:after="144"/>
              <w:jc w:val="center"/>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t>2020-2025</w:t>
            </w:r>
          </w:p>
        </w:tc>
        <w:tc>
          <w:tcPr>
            <w:tcW w:w="2389" w:type="pct"/>
          </w:tcPr>
          <w:p w14:paraId="0A1D5293" w14:textId="2D2F18BF" w:rsidR="00837547" w:rsidRPr="005B1574" w:rsidRDefault="00837547" w:rsidP="00D93277">
            <w:pPr>
              <w:keepNext/>
              <w:keepLines/>
              <w:spacing w:before="60" w:afterLines="60" w:after="144"/>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t xml:space="preserve">Updated to projected Australian adult population estimates for period 2020-2025 (ABS Series B population projections included in Department Utilisation and Financial Estimates Workbook). Original submission used 2017-2022 from </w:t>
            </w:r>
            <w:r w:rsidR="00BE2956">
              <w:rPr>
                <w:rFonts w:asciiTheme="minorHAnsi" w:eastAsia="Calibri" w:hAnsiTheme="minorHAnsi" w:cstheme="minorHAnsi"/>
                <w:color w:val="000000"/>
                <w:sz w:val="20"/>
                <w:szCs w:val="20"/>
              </w:rPr>
              <w:t xml:space="preserve">the </w:t>
            </w:r>
            <w:r w:rsidRPr="005B1574">
              <w:rPr>
                <w:rFonts w:asciiTheme="minorHAnsi" w:eastAsia="Calibri" w:hAnsiTheme="minorHAnsi" w:cstheme="minorHAnsi"/>
                <w:color w:val="000000"/>
                <w:sz w:val="20"/>
                <w:szCs w:val="20"/>
              </w:rPr>
              <w:t>same resource.</w:t>
            </w:r>
          </w:p>
        </w:tc>
      </w:tr>
      <w:tr w:rsidR="006E73C4" w:rsidRPr="005B1574" w14:paraId="4C14414C" w14:textId="77777777" w:rsidTr="00FF3B03">
        <w:tc>
          <w:tcPr>
            <w:tcW w:w="1374" w:type="pct"/>
            <w:vAlign w:val="center"/>
          </w:tcPr>
          <w:p w14:paraId="60E97513" w14:textId="77777777" w:rsidR="00837547" w:rsidRPr="005B1574" w:rsidRDefault="00837547" w:rsidP="00D93277">
            <w:pPr>
              <w:spacing w:before="60" w:afterLines="60" w:after="144"/>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t>Prevalence of plaque psoriasis</w:t>
            </w:r>
          </w:p>
        </w:tc>
        <w:tc>
          <w:tcPr>
            <w:tcW w:w="606" w:type="pct"/>
            <w:vAlign w:val="center"/>
          </w:tcPr>
          <w:p w14:paraId="773D4C8A" w14:textId="77777777" w:rsidR="00837547" w:rsidRPr="005B1574" w:rsidRDefault="00837547" w:rsidP="00D93277">
            <w:pPr>
              <w:spacing w:before="60" w:afterLines="60" w:after="144"/>
              <w:jc w:val="center"/>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t>3.3%</w:t>
            </w:r>
          </w:p>
        </w:tc>
        <w:tc>
          <w:tcPr>
            <w:tcW w:w="631" w:type="pct"/>
            <w:vAlign w:val="center"/>
          </w:tcPr>
          <w:p w14:paraId="05AE46E4" w14:textId="77777777" w:rsidR="00837547" w:rsidRPr="005B1574" w:rsidRDefault="00837547" w:rsidP="00D93277">
            <w:pPr>
              <w:spacing w:before="60" w:afterLines="60" w:after="144"/>
              <w:jc w:val="center"/>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t>2.64%</w:t>
            </w:r>
          </w:p>
        </w:tc>
        <w:tc>
          <w:tcPr>
            <w:tcW w:w="2389" w:type="pct"/>
          </w:tcPr>
          <w:p w14:paraId="09E25CF1" w14:textId="77777777" w:rsidR="00837547" w:rsidRPr="005B1574" w:rsidRDefault="00837547" w:rsidP="00D93277">
            <w:pPr>
              <w:spacing w:before="60" w:afterLines="60" w:after="144"/>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t>Addressed - Tier 2 reduced by 20%. DUSC considered the population-level prevalence should be reduced 10-20% to account for the proportion of psoriasis that is plaque psoriasis (p6, apremilast DUSC advice, November 2017 PBAC Meeting).</w:t>
            </w:r>
          </w:p>
        </w:tc>
      </w:tr>
      <w:tr w:rsidR="006E73C4" w:rsidRPr="005B1574" w14:paraId="09707E28" w14:textId="77777777" w:rsidTr="00FF3B03">
        <w:tc>
          <w:tcPr>
            <w:tcW w:w="1374" w:type="pct"/>
          </w:tcPr>
          <w:p w14:paraId="4019DFD8" w14:textId="77777777" w:rsidR="00837547" w:rsidRPr="005B1574" w:rsidRDefault="00837547" w:rsidP="00D93277">
            <w:pPr>
              <w:spacing w:before="60" w:afterLines="60" w:after="144"/>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t>Proportion of patients treated by dermatologist or experienced general physician</w:t>
            </w:r>
          </w:p>
        </w:tc>
        <w:tc>
          <w:tcPr>
            <w:tcW w:w="606" w:type="pct"/>
            <w:vAlign w:val="center"/>
          </w:tcPr>
          <w:p w14:paraId="3BAD3623" w14:textId="77777777" w:rsidR="00837547" w:rsidRPr="005B1574" w:rsidRDefault="00837547" w:rsidP="00D93277">
            <w:pPr>
              <w:spacing w:before="60" w:afterLines="60" w:after="144"/>
              <w:jc w:val="center"/>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t>20%</w:t>
            </w:r>
          </w:p>
        </w:tc>
        <w:tc>
          <w:tcPr>
            <w:tcW w:w="631" w:type="pct"/>
            <w:vAlign w:val="center"/>
          </w:tcPr>
          <w:p w14:paraId="7F02C04B" w14:textId="77777777" w:rsidR="00837547" w:rsidRPr="005B1574" w:rsidRDefault="00837547" w:rsidP="00D93277">
            <w:pPr>
              <w:spacing w:before="60" w:afterLines="60" w:after="144"/>
              <w:jc w:val="center"/>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t>38%</w:t>
            </w:r>
          </w:p>
        </w:tc>
        <w:tc>
          <w:tcPr>
            <w:tcW w:w="2389" w:type="pct"/>
          </w:tcPr>
          <w:p w14:paraId="2797E672" w14:textId="77777777" w:rsidR="00837547" w:rsidRPr="005B1574" w:rsidRDefault="00837547" w:rsidP="00D93277">
            <w:pPr>
              <w:spacing w:before="60" w:afterLines="60" w:after="144"/>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t>Addressed - Tier 2 increased, based on DUSC position that the number of treating physicians and number of patients physicians could consult was underestimated (p6, apremilast DUSC advice, November 2017 PBAC Meeting).</w:t>
            </w:r>
          </w:p>
        </w:tc>
      </w:tr>
      <w:tr w:rsidR="006E73C4" w:rsidRPr="005B1574" w14:paraId="3E74C90F" w14:textId="77777777" w:rsidTr="00FF3B03">
        <w:tc>
          <w:tcPr>
            <w:tcW w:w="1374" w:type="pct"/>
          </w:tcPr>
          <w:p w14:paraId="3BA476BC" w14:textId="77777777" w:rsidR="00837547" w:rsidRPr="005B1574" w:rsidRDefault="00837547" w:rsidP="00D93277">
            <w:pPr>
              <w:spacing w:before="60" w:afterLines="60" w:after="144"/>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t>Proportion of patients meeting disease severity requirement</w:t>
            </w:r>
          </w:p>
        </w:tc>
        <w:tc>
          <w:tcPr>
            <w:tcW w:w="606" w:type="pct"/>
            <w:vAlign w:val="center"/>
          </w:tcPr>
          <w:p w14:paraId="2F6BD899" w14:textId="77777777" w:rsidR="00837547" w:rsidRPr="005B1574" w:rsidRDefault="00837547" w:rsidP="00D93277">
            <w:pPr>
              <w:spacing w:before="60" w:afterLines="60" w:after="144"/>
              <w:jc w:val="center"/>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t>20%</w:t>
            </w:r>
          </w:p>
        </w:tc>
        <w:tc>
          <w:tcPr>
            <w:tcW w:w="631" w:type="pct"/>
            <w:vAlign w:val="center"/>
          </w:tcPr>
          <w:p w14:paraId="5761384D" w14:textId="77777777" w:rsidR="00837547" w:rsidRPr="005B1574" w:rsidRDefault="00837547" w:rsidP="00D93277">
            <w:pPr>
              <w:spacing w:before="60" w:afterLines="60" w:after="144"/>
              <w:jc w:val="center"/>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t>20%</w:t>
            </w:r>
          </w:p>
        </w:tc>
        <w:tc>
          <w:tcPr>
            <w:tcW w:w="2389" w:type="pct"/>
          </w:tcPr>
          <w:p w14:paraId="47B9D031" w14:textId="77777777" w:rsidR="00837547" w:rsidRPr="005B1574" w:rsidRDefault="00837547" w:rsidP="00D93277">
            <w:pPr>
              <w:spacing w:before="60" w:afterLines="60" w:after="144"/>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t xml:space="preserve">Unchanged. </w:t>
            </w:r>
          </w:p>
        </w:tc>
      </w:tr>
      <w:tr w:rsidR="006E73C4" w:rsidRPr="005B1574" w14:paraId="2EAB8992" w14:textId="77777777" w:rsidTr="00FF3B03">
        <w:tc>
          <w:tcPr>
            <w:tcW w:w="1374" w:type="pct"/>
            <w:vAlign w:val="center"/>
          </w:tcPr>
          <w:p w14:paraId="21521573" w14:textId="77777777" w:rsidR="00837547" w:rsidRPr="005B1574" w:rsidRDefault="00837547" w:rsidP="00D93277">
            <w:pPr>
              <w:spacing w:before="60" w:afterLines="60" w:after="144"/>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t xml:space="preserve">Proportion of </w:t>
            </w:r>
            <w:proofErr w:type="gramStart"/>
            <w:r w:rsidRPr="005B1574">
              <w:rPr>
                <w:rFonts w:asciiTheme="minorHAnsi" w:eastAsia="Calibri" w:hAnsiTheme="minorHAnsi" w:cstheme="minorHAnsi"/>
                <w:color w:val="000000"/>
                <w:sz w:val="20"/>
                <w:szCs w:val="20"/>
              </w:rPr>
              <w:t>patients</w:t>
            </w:r>
            <w:proofErr w:type="gramEnd"/>
            <w:r w:rsidRPr="005B1574">
              <w:rPr>
                <w:rFonts w:asciiTheme="minorHAnsi" w:eastAsia="Calibri" w:hAnsiTheme="minorHAnsi" w:cstheme="minorHAnsi"/>
                <w:color w:val="000000"/>
                <w:sz w:val="20"/>
                <w:szCs w:val="20"/>
              </w:rPr>
              <w:t xml:space="preserve"> intolerant/contraindicated to methotrexate</w:t>
            </w:r>
          </w:p>
        </w:tc>
        <w:tc>
          <w:tcPr>
            <w:tcW w:w="606" w:type="pct"/>
            <w:vAlign w:val="center"/>
          </w:tcPr>
          <w:p w14:paraId="650D9DD0" w14:textId="77777777" w:rsidR="00837547" w:rsidRPr="005B1574" w:rsidRDefault="00837547" w:rsidP="00D93277">
            <w:pPr>
              <w:spacing w:before="60" w:afterLines="60" w:after="144"/>
              <w:jc w:val="center"/>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t>61%</w:t>
            </w:r>
          </w:p>
        </w:tc>
        <w:tc>
          <w:tcPr>
            <w:tcW w:w="631" w:type="pct"/>
            <w:vAlign w:val="center"/>
          </w:tcPr>
          <w:p w14:paraId="566C27E0" w14:textId="77777777" w:rsidR="00837547" w:rsidRPr="005B1574" w:rsidRDefault="00837547" w:rsidP="00D93277">
            <w:pPr>
              <w:spacing w:before="60" w:afterLines="60" w:after="144"/>
              <w:jc w:val="center"/>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t>61%</w:t>
            </w:r>
          </w:p>
        </w:tc>
        <w:tc>
          <w:tcPr>
            <w:tcW w:w="2389" w:type="pct"/>
          </w:tcPr>
          <w:p w14:paraId="0E42AB1F" w14:textId="77777777" w:rsidR="00837547" w:rsidRPr="005B1574" w:rsidRDefault="00837547" w:rsidP="00D93277">
            <w:pPr>
              <w:spacing w:before="60" w:afterLines="60" w:after="144"/>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t xml:space="preserve">Unchanged. Given the wide confidence intervals around this estimate DUSC suggested that the submission should have considered providing sensitivity analyses (for example 50% and 70%) (p7, apremilast DUSC advice, November 2017 </w:t>
            </w:r>
            <w:r w:rsidRPr="005B1574">
              <w:rPr>
                <w:rFonts w:asciiTheme="minorHAnsi" w:eastAsia="Calibri" w:hAnsiTheme="minorHAnsi" w:cstheme="minorHAnsi"/>
                <w:color w:val="000000"/>
                <w:sz w:val="20"/>
                <w:szCs w:val="20"/>
              </w:rPr>
              <w:lastRenderedPageBreak/>
              <w:t xml:space="preserve">PBAC Meeting). Reducing the proportion of </w:t>
            </w:r>
            <w:proofErr w:type="gramStart"/>
            <w:r w:rsidRPr="005B1574">
              <w:rPr>
                <w:rFonts w:asciiTheme="minorHAnsi" w:eastAsia="Calibri" w:hAnsiTheme="minorHAnsi" w:cstheme="minorHAnsi"/>
                <w:color w:val="000000"/>
                <w:sz w:val="20"/>
                <w:szCs w:val="20"/>
              </w:rPr>
              <w:t>patients</w:t>
            </w:r>
            <w:proofErr w:type="gramEnd"/>
            <w:r w:rsidRPr="005B1574">
              <w:rPr>
                <w:rFonts w:asciiTheme="minorHAnsi" w:eastAsia="Calibri" w:hAnsiTheme="minorHAnsi" w:cstheme="minorHAnsi"/>
                <w:color w:val="000000"/>
                <w:sz w:val="20"/>
                <w:szCs w:val="20"/>
              </w:rPr>
              <w:t xml:space="preserve"> intolerant/contraindicated to methotrexate from 61% to 50% for both Tier 1 and Tier 2 models would reduce the utilisation estimates on which the RSA is based. The pre-PBAC response argued that a value of 61% was in the middle of DUSC’s 50-70% range and was used in the utilisation estimates for the November 2017 and March 2018 submissions.  </w:t>
            </w:r>
          </w:p>
        </w:tc>
      </w:tr>
      <w:tr w:rsidR="006E73C4" w:rsidRPr="005B1574" w14:paraId="1EFB2E2C" w14:textId="77777777" w:rsidTr="00FF3B03">
        <w:tc>
          <w:tcPr>
            <w:tcW w:w="1374" w:type="pct"/>
            <w:vAlign w:val="center"/>
          </w:tcPr>
          <w:p w14:paraId="05C9808E" w14:textId="77777777" w:rsidR="00837547" w:rsidRPr="005B1574" w:rsidRDefault="00837547" w:rsidP="00D93277">
            <w:pPr>
              <w:spacing w:before="60" w:afterLines="60" w:after="144"/>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lastRenderedPageBreak/>
              <w:t>Replacement/displacement of other medicines</w:t>
            </w:r>
          </w:p>
        </w:tc>
        <w:tc>
          <w:tcPr>
            <w:tcW w:w="1237" w:type="pct"/>
            <w:gridSpan w:val="2"/>
            <w:vAlign w:val="center"/>
          </w:tcPr>
          <w:p w14:paraId="156B8521" w14:textId="77777777" w:rsidR="0042347F" w:rsidRPr="0042347F" w:rsidRDefault="0042347F" w:rsidP="0042347F">
            <w:pPr>
              <w:jc w:val="center"/>
              <w:rPr>
                <w:rFonts w:asciiTheme="minorHAnsi" w:eastAsia="Calibri" w:hAnsiTheme="minorHAnsi" w:cstheme="minorHAnsi"/>
                <w:color w:val="000000"/>
                <w:sz w:val="20"/>
                <w:szCs w:val="20"/>
              </w:rPr>
            </w:pPr>
            <w:r w:rsidRPr="0042347F">
              <w:rPr>
                <w:rFonts w:asciiTheme="minorHAnsi" w:eastAsia="Calibri" w:hAnsiTheme="minorHAnsi" w:cstheme="minorHAnsi"/>
                <w:noProof/>
                <w:color w:val="000000"/>
                <w:sz w:val="20"/>
                <w:szCs w:val="20"/>
                <w:highlight w:val="black"/>
              </w:rPr>
              <w:t>''''''''</w:t>
            </w:r>
            <w:r w:rsidRPr="0042347F">
              <w:rPr>
                <w:rFonts w:asciiTheme="minorHAnsi" w:eastAsia="Calibri" w:hAnsiTheme="minorHAnsi" w:cstheme="minorHAnsi"/>
                <w:color w:val="000000"/>
                <w:sz w:val="20"/>
                <w:szCs w:val="20"/>
              </w:rPr>
              <w:t>% of apremilast use will be new (market growth)</w:t>
            </w:r>
          </w:p>
          <w:p w14:paraId="58DF1209" w14:textId="77777777" w:rsidR="0042347F" w:rsidRPr="0042347F" w:rsidRDefault="0042347F" w:rsidP="0042347F">
            <w:pPr>
              <w:jc w:val="center"/>
              <w:rPr>
                <w:rFonts w:asciiTheme="minorHAnsi" w:eastAsia="Calibri" w:hAnsiTheme="minorHAnsi" w:cstheme="minorHAnsi"/>
                <w:color w:val="000000"/>
                <w:sz w:val="20"/>
                <w:szCs w:val="20"/>
              </w:rPr>
            </w:pPr>
            <w:r w:rsidRPr="0042347F">
              <w:rPr>
                <w:rFonts w:asciiTheme="minorHAnsi" w:eastAsia="Calibri" w:hAnsiTheme="minorHAnsi" w:cstheme="minorHAnsi"/>
                <w:color w:val="000000"/>
                <w:sz w:val="20"/>
                <w:szCs w:val="20"/>
              </w:rPr>
              <w:t xml:space="preserve">Of the </w:t>
            </w:r>
            <w:r w:rsidRPr="0042347F">
              <w:rPr>
                <w:rFonts w:asciiTheme="minorHAnsi" w:eastAsia="Calibri" w:hAnsiTheme="minorHAnsi" w:cstheme="minorHAnsi"/>
                <w:noProof/>
                <w:color w:val="000000"/>
                <w:sz w:val="20"/>
                <w:szCs w:val="20"/>
                <w:highlight w:val="black"/>
              </w:rPr>
              <w:t>'''''''''''</w:t>
            </w:r>
            <w:r w:rsidRPr="0042347F">
              <w:rPr>
                <w:rFonts w:asciiTheme="minorHAnsi" w:eastAsia="Calibri" w:hAnsiTheme="minorHAnsi" w:cstheme="minorHAnsi"/>
                <w:color w:val="000000"/>
                <w:sz w:val="20"/>
                <w:szCs w:val="20"/>
              </w:rPr>
              <w:t>% apremilast use that is market share:</w:t>
            </w:r>
          </w:p>
          <w:p w14:paraId="00C3D551" w14:textId="77777777" w:rsidR="0042347F" w:rsidRPr="0042347F" w:rsidRDefault="0042347F" w:rsidP="0042347F">
            <w:pPr>
              <w:pStyle w:val="ListParagraph"/>
              <w:numPr>
                <w:ilvl w:val="0"/>
                <w:numId w:val="9"/>
              </w:numPr>
              <w:spacing w:after="120"/>
              <w:ind w:left="138" w:hanging="142"/>
              <w:contextualSpacing w:val="0"/>
              <w:jc w:val="center"/>
              <w:rPr>
                <w:rFonts w:asciiTheme="minorHAnsi" w:eastAsia="Calibri" w:hAnsiTheme="minorHAnsi" w:cstheme="minorHAnsi"/>
                <w:color w:val="000000"/>
                <w:sz w:val="20"/>
                <w:szCs w:val="20"/>
              </w:rPr>
            </w:pPr>
            <w:r w:rsidRPr="0042347F">
              <w:rPr>
                <w:rFonts w:asciiTheme="minorHAnsi" w:eastAsia="Calibri" w:hAnsiTheme="minorHAnsi" w:cstheme="minorHAnsi"/>
                <w:noProof/>
                <w:color w:val="000000"/>
                <w:sz w:val="20"/>
                <w:szCs w:val="20"/>
                <w:highlight w:val="black"/>
              </w:rPr>
              <w:t>'''''''''''</w:t>
            </w:r>
            <w:r w:rsidRPr="0042347F">
              <w:rPr>
                <w:rFonts w:asciiTheme="minorHAnsi" w:eastAsia="Calibri" w:hAnsiTheme="minorHAnsi" w:cstheme="minorHAnsi"/>
                <w:color w:val="000000"/>
                <w:sz w:val="20"/>
                <w:szCs w:val="20"/>
              </w:rPr>
              <w:t>% from cyclosporin</w:t>
            </w:r>
          </w:p>
          <w:p w14:paraId="0E6ABA8B" w14:textId="77777777" w:rsidR="0042347F" w:rsidRDefault="0042347F" w:rsidP="0042347F">
            <w:pPr>
              <w:pStyle w:val="ListParagraph"/>
              <w:numPr>
                <w:ilvl w:val="0"/>
                <w:numId w:val="9"/>
              </w:numPr>
              <w:spacing w:after="120"/>
              <w:ind w:left="138" w:hanging="142"/>
              <w:contextualSpacing w:val="0"/>
              <w:jc w:val="center"/>
              <w:rPr>
                <w:rFonts w:asciiTheme="minorHAnsi" w:eastAsia="Calibri" w:hAnsiTheme="minorHAnsi" w:cstheme="minorHAnsi"/>
                <w:color w:val="000000"/>
                <w:sz w:val="20"/>
                <w:szCs w:val="20"/>
              </w:rPr>
            </w:pPr>
            <w:r w:rsidRPr="0042347F">
              <w:rPr>
                <w:rFonts w:asciiTheme="minorHAnsi" w:eastAsia="Calibri" w:hAnsiTheme="minorHAnsi" w:cstheme="minorHAnsi"/>
                <w:noProof/>
                <w:color w:val="000000"/>
                <w:sz w:val="20"/>
                <w:szCs w:val="20"/>
                <w:highlight w:val="black"/>
              </w:rPr>
              <w:t>'''''''''''</w:t>
            </w:r>
            <w:r w:rsidRPr="0042347F">
              <w:rPr>
                <w:rFonts w:asciiTheme="minorHAnsi" w:eastAsia="Calibri" w:hAnsiTheme="minorHAnsi" w:cstheme="minorHAnsi"/>
                <w:color w:val="000000"/>
                <w:sz w:val="20"/>
                <w:szCs w:val="20"/>
              </w:rPr>
              <w:t>% from acitretin</w:t>
            </w:r>
          </w:p>
          <w:p w14:paraId="4A56EE77" w14:textId="432F7365" w:rsidR="00837547" w:rsidRPr="0042347F" w:rsidRDefault="0042347F" w:rsidP="0042347F">
            <w:pPr>
              <w:pStyle w:val="ListParagraph"/>
              <w:numPr>
                <w:ilvl w:val="0"/>
                <w:numId w:val="9"/>
              </w:numPr>
              <w:spacing w:after="120"/>
              <w:ind w:left="138" w:hanging="142"/>
              <w:contextualSpacing w:val="0"/>
              <w:jc w:val="center"/>
              <w:rPr>
                <w:rFonts w:asciiTheme="minorHAnsi" w:eastAsia="Calibri" w:hAnsiTheme="minorHAnsi" w:cstheme="minorHAnsi"/>
                <w:color w:val="000000"/>
                <w:sz w:val="20"/>
                <w:szCs w:val="20"/>
              </w:rPr>
            </w:pPr>
            <w:r w:rsidRPr="0042347F">
              <w:rPr>
                <w:rFonts w:asciiTheme="minorHAnsi" w:eastAsia="Calibri" w:hAnsiTheme="minorHAnsi" w:cstheme="minorHAnsi"/>
                <w:noProof/>
                <w:color w:val="000000"/>
                <w:sz w:val="20"/>
                <w:szCs w:val="20"/>
                <w:highlight w:val="black"/>
              </w:rPr>
              <w:t>'''''''''''</w:t>
            </w:r>
            <w:r w:rsidRPr="0042347F">
              <w:rPr>
                <w:rFonts w:asciiTheme="minorHAnsi" w:eastAsia="Calibri" w:hAnsiTheme="minorHAnsi" w:cstheme="minorHAnsi"/>
                <w:color w:val="000000"/>
                <w:sz w:val="20"/>
                <w:szCs w:val="20"/>
              </w:rPr>
              <w:t>% from biologics</w:t>
            </w:r>
            <w:r w:rsidR="00466BA4" w:rsidRPr="0042347F">
              <w:rPr>
                <w:rFonts w:asciiTheme="minorHAnsi" w:eastAsia="Calibri" w:hAnsiTheme="minorHAnsi" w:cstheme="minorHAnsi"/>
                <w:color w:val="000000"/>
                <w:sz w:val="20"/>
                <w:szCs w:val="20"/>
              </w:rPr>
              <w:t xml:space="preserve"> </w:t>
            </w:r>
          </w:p>
        </w:tc>
        <w:tc>
          <w:tcPr>
            <w:tcW w:w="2389" w:type="pct"/>
          </w:tcPr>
          <w:p w14:paraId="0407169D" w14:textId="7C98C7AB" w:rsidR="00837547" w:rsidRPr="005B1574" w:rsidRDefault="00837547" w:rsidP="00D93277">
            <w:pPr>
              <w:spacing w:before="60" w:afterLines="60" w:after="144"/>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t>Resubmission state</w:t>
            </w:r>
            <w:r w:rsidR="00B57786">
              <w:rPr>
                <w:rFonts w:asciiTheme="minorHAnsi" w:eastAsia="Calibri" w:hAnsiTheme="minorHAnsi" w:cstheme="minorHAnsi"/>
                <w:color w:val="000000"/>
                <w:sz w:val="20"/>
                <w:szCs w:val="20"/>
              </w:rPr>
              <w:t>d</w:t>
            </w:r>
            <w:r w:rsidRPr="005B1574">
              <w:rPr>
                <w:rFonts w:asciiTheme="minorHAnsi" w:eastAsia="Calibri" w:hAnsiTheme="minorHAnsi" w:cstheme="minorHAnsi"/>
                <w:color w:val="000000"/>
                <w:sz w:val="20"/>
                <w:szCs w:val="20"/>
              </w:rPr>
              <w:t xml:space="preserve"> these were based on a dermatologist survey as in previous submissions but applied to match the full epidemiological approach in the updated analysis template. In November 2017 DUSC considered that the methods and calculations used to quantify the cost of medicines displaced by apremilast were unclear and cannot be relied on to determine the net financial impact to the PBS arising from the listing of apremilast (apremilast DUSC advice, November 2017 PBAC Meeting). No further verification of the survey was provided in the resubmission. The pre-PBAC response acknowledged that there </w:t>
            </w:r>
            <w:r w:rsidR="00B57786">
              <w:rPr>
                <w:rFonts w:asciiTheme="minorHAnsi" w:eastAsia="Calibri" w:hAnsiTheme="minorHAnsi" w:cstheme="minorHAnsi"/>
                <w:color w:val="000000"/>
                <w:sz w:val="20"/>
                <w:szCs w:val="20"/>
              </w:rPr>
              <w:t>was</w:t>
            </w:r>
            <w:r w:rsidRPr="005B1574">
              <w:rPr>
                <w:rFonts w:asciiTheme="minorHAnsi" w:eastAsia="Calibri" w:hAnsiTheme="minorHAnsi" w:cstheme="minorHAnsi"/>
                <w:color w:val="000000"/>
                <w:sz w:val="20"/>
                <w:szCs w:val="20"/>
              </w:rPr>
              <w:t xml:space="preserve"> inherent uncertainty in determining the cost offsets based on a clinician survey but argued that this represents the best information available to the sponsor and noted that </w:t>
            </w:r>
            <w:proofErr w:type="gramStart"/>
            <w:r w:rsidRPr="005B1574">
              <w:rPr>
                <w:rFonts w:asciiTheme="minorHAnsi" w:eastAsia="Calibri" w:hAnsiTheme="minorHAnsi" w:cstheme="minorHAnsi"/>
                <w:color w:val="000000"/>
                <w:sz w:val="20"/>
                <w:szCs w:val="20"/>
              </w:rPr>
              <w:t>the majority of</w:t>
            </w:r>
            <w:proofErr w:type="gramEnd"/>
            <w:r w:rsidRPr="005B1574">
              <w:rPr>
                <w:rFonts w:asciiTheme="minorHAnsi" w:eastAsia="Calibri" w:hAnsiTheme="minorHAnsi" w:cstheme="minorHAnsi"/>
                <w:color w:val="000000"/>
                <w:sz w:val="20"/>
                <w:szCs w:val="20"/>
              </w:rPr>
              <w:t xml:space="preserve"> substitution is for cyclosporin rather than for a biologic. </w:t>
            </w:r>
          </w:p>
        </w:tc>
      </w:tr>
      <w:tr w:rsidR="006E73C4" w:rsidRPr="005B1574" w14:paraId="59193180" w14:textId="77777777" w:rsidTr="00FF3B03">
        <w:tc>
          <w:tcPr>
            <w:tcW w:w="1374" w:type="pct"/>
            <w:vAlign w:val="center"/>
          </w:tcPr>
          <w:p w14:paraId="25271D1C" w14:textId="77777777" w:rsidR="00837547" w:rsidRPr="005B1574" w:rsidRDefault="00837547" w:rsidP="00D93277">
            <w:pPr>
              <w:spacing w:before="60" w:afterLines="60" w:after="144"/>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t>Unit prices for MBS and PBS listings</w:t>
            </w:r>
          </w:p>
        </w:tc>
        <w:tc>
          <w:tcPr>
            <w:tcW w:w="1237" w:type="pct"/>
            <w:gridSpan w:val="2"/>
            <w:vAlign w:val="center"/>
          </w:tcPr>
          <w:p w14:paraId="68948DD1" w14:textId="77777777" w:rsidR="00837547" w:rsidRPr="005B1574" w:rsidRDefault="00837547" w:rsidP="00D93277">
            <w:pPr>
              <w:spacing w:before="60" w:afterLines="60" w:after="144"/>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u w:val="single"/>
              </w:rPr>
              <w:t>Cyclosporin</w:t>
            </w:r>
            <w:r w:rsidRPr="005B1574">
              <w:rPr>
                <w:rFonts w:asciiTheme="minorHAnsi" w:eastAsia="Calibri" w:hAnsiTheme="minorHAnsi" w:cstheme="minorHAnsi"/>
                <w:color w:val="000000"/>
                <w:sz w:val="20"/>
                <w:szCs w:val="20"/>
              </w:rPr>
              <w:t>:</w:t>
            </w:r>
          </w:p>
          <w:p w14:paraId="2611722E" w14:textId="77777777" w:rsidR="00837547" w:rsidRPr="005B1574" w:rsidRDefault="00837547" w:rsidP="00D93277">
            <w:pPr>
              <w:spacing w:before="60" w:afterLines="60" w:after="144"/>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t>Public - $546.40</w:t>
            </w:r>
          </w:p>
          <w:p w14:paraId="06560DBB" w14:textId="77777777" w:rsidR="00837547" w:rsidRPr="005B1574" w:rsidRDefault="00837547" w:rsidP="00D93277">
            <w:pPr>
              <w:spacing w:before="60" w:afterLines="60" w:after="144"/>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t>Private - $546.40 ($</w:t>
            </w:r>
            <w:r w:rsidRPr="00E17E4B">
              <w:rPr>
                <w:rFonts w:asciiTheme="minorHAnsi" w:eastAsia="Calibri" w:hAnsiTheme="minorHAnsi" w:cstheme="minorHAnsi"/>
                <w:iCs/>
                <w:color w:val="000000"/>
                <w:sz w:val="20"/>
                <w:szCs w:val="20"/>
              </w:rPr>
              <w:t>575.63</w:t>
            </w:r>
            <w:r w:rsidRPr="005B1574">
              <w:rPr>
                <w:rFonts w:asciiTheme="minorHAnsi" w:eastAsia="Calibri" w:hAnsiTheme="minorHAnsi" w:cstheme="minorHAnsi"/>
                <w:color w:val="000000"/>
                <w:sz w:val="20"/>
                <w:szCs w:val="20"/>
              </w:rPr>
              <w:t>)</w:t>
            </w:r>
          </w:p>
          <w:p w14:paraId="2E596932" w14:textId="77777777" w:rsidR="00837547" w:rsidRPr="005B1574" w:rsidRDefault="00837547" w:rsidP="00D93277">
            <w:pPr>
              <w:spacing w:before="60" w:afterLines="60" w:after="144"/>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u w:val="single"/>
              </w:rPr>
              <w:t>Ustekinumab</w:t>
            </w:r>
            <w:r w:rsidRPr="005B1574">
              <w:rPr>
                <w:rFonts w:asciiTheme="minorHAnsi" w:eastAsia="Calibri" w:hAnsiTheme="minorHAnsi" w:cstheme="minorHAnsi"/>
                <w:color w:val="000000"/>
                <w:sz w:val="20"/>
                <w:szCs w:val="20"/>
              </w:rPr>
              <w:t>:</w:t>
            </w:r>
          </w:p>
          <w:p w14:paraId="372567B9" w14:textId="77777777" w:rsidR="00837547" w:rsidRPr="005B1574" w:rsidRDefault="00837547" w:rsidP="00D93277">
            <w:pPr>
              <w:spacing w:before="60" w:afterLines="60" w:after="144"/>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t>$4,349.46 ($</w:t>
            </w:r>
            <w:r w:rsidRPr="00E17E4B">
              <w:rPr>
                <w:rFonts w:asciiTheme="minorHAnsi" w:eastAsia="Calibri" w:hAnsiTheme="minorHAnsi" w:cstheme="minorHAnsi"/>
                <w:iCs/>
                <w:color w:val="000000"/>
                <w:sz w:val="20"/>
                <w:szCs w:val="20"/>
              </w:rPr>
              <w:t>3,926.23</w:t>
            </w:r>
            <w:r w:rsidRPr="005B1574">
              <w:rPr>
                <w:rFonts w:asciiTheme="minorHAnsi" w:eastAsia="Calibri" w:hAnsiTheme="minorHAnsi" w:cstheme="minorHAnsi"/>
                <w:color w:val="000000"/>
                <w:sz w:val="20"/>
                <w:szCs w:val="20"/>
              </w:rPr>
              <w:t>)</w:t>
            </w:r>
          </w:p>
          <w:p w14:paraId="310905C4" w14:textId="77777777" w:rsidR="00837547" w:rsidRPr="005B1574" w:rsidRDefault="00837547" w:rsidP="00D93277">
            <w:pPr>
              <w:spacing w:before="60" w:afterLines="60" w:after="144"/>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u w:val="single"/>
              </w:rPr>
              <w:t>Acitretin</w:t>
            </w:r>
            <w:r w:rsidRPr="005B1574">
              <w:rPr>
                <w:rFonts w:asciiTheme="minorHAnsi" w:eastAsia="Calibri" w:hAnsiTheme="minorHAnsi" w:cstheme="minorHAnsi"/>
                <w:color w:val="000000"/>
                <w:sz w:val="20"/>
                <w:szCs w:val="20"/>
              </w:rPr>
              <w:t>:</w:t>
            </w:r>
          </w:p>
          <w:p w14:paraId="422EF6B6" w14:textId="77777777" w:rsidR="00837547" w:rsidRPr="005B1574" w:rsidRDefault="00837547" w:rsidP="00D93277">
            <w:pPr>
              <w:spacing w:before="60" w:afterLines="60" w:after="144"/>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t>$207.77</w:t>
            </w:r>
          </w:p>
        </w:tc>
        <w:tc>
          <w:tcPr>
            <w:tcW w:w="2389" w:type="pct"/>
          </w:tcPr>
          <w:p w14:paraId="1EBB7B09" w14:textId="77777777" w:rsidR="00837547" w:rsidRPr="005B1574" w:rsidRDefault="00837547" w:rsidP="00D93277">
            <w:pPr>
              <w:spacing w:before="60" w:afterLines="60" w:after="144"/>
              <w:jc w:val="both"/>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t xml:space="preserve">Unchanged. Current listing prices as </w:t>
            </w:r>
            <w:proofErr w:type="gramStart"/>
            <w:r w:rsidRPr="005B1574">
              <w:rPr>
                <w:rFonts w:asciiTheme="minorHAnsi" w:eastAsia="Calibri" w:hAnsiTheme="minorHAnsi" w:cstheme="minorHAnsi"/>
                <w:color w:val="000000"/>
                <w:sz w:val="20"/>
                <w:szCs w:val="20"/>
              </w:rPr>
              <w:t>at</w:t>
            </w:r>
            <w:proofErr w:type="gramEnd"/>
            <w:r w:rsidRPr="005B1574">
              <w:rPr>
                <w:rFonts w:asciiTheme="minorHAnsi" w:eastAsia="Calibri" w:hAnsiTheme="minorHAnsi" w:cstheme="minorHAnsi"/>
                <w:color w:val="000000"/>
                <w:sz w:val="20"/>
                <w:szCs w:val="20"/>
              </w:rPr>
              <w:t xml:space="preserve"> June 2020 are shown in italics. </w:t>
            </w:r>
          </w:p>
          <w:p w14:paraId="196BD6B9" w14:textId="77777777" w:rsidR="00837547" w:rsidRPr="005B1574" w:rsidRDefault="00837547" w:rsidP="00D93277">
            <w:pPr>
              <w:spacing w:before="60" w:afterLines="60" w:after="144"/>
              <w:jc w:val="both"/>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t>MBS item 105 for specialist consultation has increased to $44.35, the original cost of $43.00 is retained.</w:t>
            </w:r>
          </w:p>
        </w:tc>
      </w:tr>
      <w:tr w:rsidR="00BD7233" w:rsidRPr="005B1574" w14:paraId="7A4206A2" w14:textId="77777777" w:rsidTr="00FF3B03">
        <w:tc>
          <w:tcPr>
            <w:tcW w:w="1374" w:type="pct"/>
            <w:vAlign w:val="center"/>
          </w:tcPr>
          <w:p w14:paraId="368CE17A" w14:textId="77777777" w:rsidR="00BD7233" w:rsidRPr="005B1574" w:rsidRDefault="00BD7233" w:rsidP="00BD7233">
            <w:pPr>
              <w:spacing w:before="60" w:afterLines="60" w:after="144"/>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t>Apremilast uptake</w:t>
            </w:r>
          </w:p>
        </w:tc>
        <w:tc>
          <w:tcPr>
            <w:tcW w:w="606" w:type="pct"/>
            <w:vAlign w:val="center"/>
          </w:tcPr>
          <w:p w14:paraId="407BC40B" w14:textId="77777777" w:rsidR="00503BE3" w:rsidRPr="00720EBD" w:rsidRDefault="00503BE3" w:rsidP="00503BE3">
            <w:pPr>
              <w:spacing w:after="120"/>
              <w:jc w:val="center"/>
              <w:rPr>
                <w:rFonts w:asciiTheme="minorHAnsi" w:eastAsia="Calibri" w:hAnsiTheme="minorHAnsi" w:cstheme="minorHAnsi"/>
                <w:color w:val="000000"/>
                <w:sz w:val="20"/>
                <w:szCs w:val="20"/>
              </w:rPr>
            </w:pPr>
            <w:proofErr w:type="spellStart"/>
            <w:r w:rsidRPr="00720EBD">
              <w:rPr>
                <w:rFonts w:asciiTheme="minorHAnsi" w:eastAsia="Calibri" w:hAnsiTheme="minorHAnsi" w:cstheme="minorHAnsi"/>
                <w:color w:val="000000"/>
                <w:sz w:val="20"/>
                <w:szCs w:val="20"/>
              </w:rPr>
              <w:t>Yr</w:t>
            </w:r>
            <w:proofErr w:type="spellEnd"/>
            <w:r w:rsidRPr="00720EBD">
              <w:rPr>
                <w:rFonts w:asciiTheme="minorHAnsi" w:eastAsia="Calibri" w:hAnsiTheme="minorHAnsi" w:cstheme="minorHAnsi"/>
                <w:color w:val="000000"/>
                <w:sz w:val="20"/>
                <w:szCs w:val="20"/>
              </w:rPr>
              <w:t xml:space="preserve"> 1: </w:t>
            </w:r>
            <w:r w:rsidRPr="00720EBD">
              <w:rPr>
                <w:rFonts w:asciiTheme="minorHAnsi" w:eastAsia="Calibri" w:hAnsiTheme="minorHAnsi" w:cstheme="minorHAnsi"/>
                <w:noProof/>
                <w:color w:val="000000"/>
                <w:sz w:val="20"/>
                <w:szCs w:val="20"/>
                <w:highlight w:val="black"/>
              </w:rPr>
              <w:t>''''''</w:t>
            </w:r>
            <w:r w:rsidRPr="00720EBD">
              <w:rPr>
                <w:rFonts w:asciiTheme="minorHAnsi" w:eastAsia="Calibri" w:hAnsiTheme="minorHAnsi" w:cstheme="minorHAnsi"/>
                <w:color w:val="000000"/>
                <w:sz w:val="20"/>
                <w:szCs w:val="20"/>
              </w:rPr>
              <w:t>%</w:t>
            </w:r>
          </w:p>
          <w:p w14:paraId="4B614B78" w14:textId="671CBFD2" w:rsidR="00BD7233" w:rsidRPr="00720EBD" w:rsidRDefault="00503BE3" w:rsidP="00503BE3">
            <w:pPr>
              <w:spacing w:before="60" w:afterLines="60" w:after="144"/>
              <w:jc w:val="center"/>
              <w:rPr>
                <w:rFonts w:asciiTheme="minorHAnsi" w:eastAsia="Calibri" w:hAnsiTheme="minorHAnsi" w:cstheme="minorHAnsi"/>
                <w:color w:val="000000"/>
                <w:sz w:val="20"/>
                <w:szCs w:val="20"/>
                <w:highlight w:val="darkGray"/>
              </w:rPr>
            </w:pPr>
            <w:proofErr w:type="spellStart"/>
            <w:r w:rsidRPr="00720EBD">
              <w:rPr>
                <w:rFonts w:asciiTheme="minorHAnsi" w:eastAsia="Calibri" w:hAnsiTheme="minorHAnsi" w:cstheme="minorHAnsi"/>
                <w:color w:val="000000"/>
                <w:sz w:val="20"/>
                <w:szCs w:val="20"/>
              </w:rPr>
              <w:t>Yr</w:t>
            </w:r>
            <w:proofErr w:type="spellEnd"/>
            <w:r w:rsidRPr="00720EBD">
              <w:rPr>
                <w:rFonts w:asciiTheme="minorHAnsi" w:eastAsia="Calibri" w:hAnsiTheme="minorHAnsi" w:cstheme="minorHAnsi"/>
                <w:color w:val="000000"/>
                <w:sz w:val="20"/>
                <w:szCs w:val="20"/>
              </w:rPr>
              <w:t xml:space="preserve"> 5: </w:t>
            </w:r>
            <w:r w:rsidRPr="00720EBD">
              <w:rPr>
                <w:rFonts w:asciiTheme="minorHAnsi" w:eastAsia="Calibri" w:hAnsiTheme="minorHAnsi" w:cstheme="minorHAnsi"/>
                <w:noProof/>
                <w:color w:val="000000"/>
                <w:sz w:val="20"/>
                <w:szCs w:val="20"/>
                <w:highlight w:val="black"/>
              </w:rPr>
              <w:t>''''''</w:t>
            </w:r>
            <w:r w:rsidRPr="00720EBD">
              <w:rPr>
                <w:rFonts w:asciiTheme="minorHAnsi" w:eastAsia="Calibri" w:hAnsiTheme="minorHAnsi" w:cstheme="minorHAnsi"/>
                <w:color w:val="000000"/>
                <w:sz w:val="20"/>
                <w:szCs w:val="20"/>
              </w:rPr>
              <w:t>%</w:t>
            </w:r>
          </w:p>
        </w:tc>
        <w:tc>
          <w:tcPr>
            <w:tcW w:w="631" w:type="pct"/>
            <w:vAlign w:val="center"/>
          </w:tcPr>
          <w:p w14:paraId="313FFB94" w14:textId="77777777" w:rsidR="00720EBD" w:rsidRPr="00720EBD" w:rsidRDefault="00720EBD" w:rsidP="00720EBD">
            <w:pPr>
              <w:spacing w:after="120"/>
              <w:jc w:val="center"/>
              <w:rPr>
                <w:rFonts w:asciiTheme="minorHAnsi" w:eastAsia="Calibri" w:hAnsiTheme="minorHAnsi" w:cstheme="minorHAnsi"/>
                <w:color w:val="000000"/>
                <w:sz w:val="20"/>
                <w:szCs w:val="20"/>
              </w:rPr>
            </w:pPr>
            <w:proofErr w:type="spellStart"/>
            <w:r w:rsidRPr="00720EBD">
              <w:rPr>
                <w:rFonts w:asciiTheme="minorHAnsi" w:eastAsia="Calibri" w:hAnsiTheme="minorHAnsi" w:cstheme="minorHAnsi"/>
                <w:color w:val="000000"/>
                <w:sz w:val="20"/>
                <w:szCs w:val="20"/>
              </w:rPr>
              <w:t>Yr</w:t>
            </w:r>
            <w:proofErr w:type="spellEnd"/>
            <w:r w:rsidRPr="00720EBD">
              <w:rPr>
                <w:rFonts w:asciiTheme="minorHAnsi" w:eastAsia="Calibri" w:hAnsiTheme="minorHAnsi" w:cstheme="minorHAnsi"/>
                <w:color w:val="000000"/>
                <w:sz w:val="20"/>
                <w:szCs w:val="20"/>
              </w:rPr>
              <w:t xml:space="preserve"> 1: </w:t>
            </w:r>
            <w:r w:rsidRPr="00720EBD">
              <w:rPr>
                <w:rFonts w:asciiTheme="minorHAnsi" w:eastAsia="Calibri" w:hAnsiTheme="minorHAnsi" w:cstheme="minorHAnsi"/>
                <w:noProof/>
                <w:color w:val="000000"/>
                <w:sz w:val="20"/>
                <w:szCs w:val="20"/>
                <w:highlight w:val="black"/>
              </w:rPr>
              <w:t>'''''''</w:t>
            </w:r>
            <w:r w:rsidRPr="00720EBD">
              <w:rPr>
                <w:rFonts w:asciiTheme="minorHAnsi" w:eastAsia="Calibri" w:hAnsiTheme="minorHAnsi" w:cstheme="minorHAnsi"/>
                <w:color w:val="000000"/>
                <w:sz w:val="20"/>
                <w:szCs w:val="20"/>
              </w:rPr>
              <w:t>%</w:t>
            </w:r>
          </w:p>
          <w:p w14:paraId="034CC582" w14:textId="7EA32106" w:rsidR="00BD7233" w:rsidRPr="00720EBD" w:rsidRDefault="00720EBD" w:rsidP="00720EBD">
            <w:pPr>
              <w:spacing w:before="60" w:afterLines="60" w:after="144"/>
              <w:jc w:val="center"/>
              <w:rPr>
                <w:rFonts w:asciiTheme="minorHAnsi" w:eastAsia="Calibri" w:hAnsiTheme="minorHAnsi" w:cstheme="minorHAnsi"/>
                <w:color w:val="000000"/>
                <w:sz w:val="20"/>
                <w:szCs w:val="20"/>
              </w:rPr>
            </w:pPr>
            <w:proofErr w:type="spellStart"/>
            <w:r w:rsidRPr="00720EBD">
              <w:rPr>
                <w:rFonts w:asciiTheme="minorHAnsi" w:eastAsia="Calibri" w:hAnsiTheme="minorHAnsi" w:cstheme="minorHAnsi"/>
                <w:color w:val="000000"/>
                <w:sz w:val="20"/>
                <w:szCs w:val="20"/>
              </w:rPr>
              <w:t>Yr</w:t>
            </w:r>
            <w:proofErr w:type="spellEnd"/>
            <w:r w:rsidRPr="00720EBD">
              <w:rPr>
                <w:rFonts w:asciiTheme="minorHAnsi" w:eastAsia="Calibri" w:hAnsiTheme="minorHAnsi" w:cstheme="minorHAnsi"/>
                <w:color w:val="000000"/>
                <w:sz w:val="20"/>
                <w:szCs w:val="20"/>
              </w:rPr>
              <w:t xml:space="preserve"> 5: </w:t>
            </w:r>
            <w:r w:rsidRPr="00720EBD">
              <w:rPr>
                <w:rFonts w:asciiTheme="minorHAnsi" w:eastAsia="Calibri" w:hAnsiTheme="minorHAnsi" w:cstheme="minorHAnsi"/>
                <w:noProof/>
                <w:color w:val="000000"/>
                <w:sz w:val="20"/>
                <w:szCs w:val="20"/>
                <w:highlight w:val="black"/>
              </w:rPr>
              <w:t>'''''''</w:t>
            </w:r>
            <w:r w:rsidRPr="00720EBD">
              <w:rPr>
                <w:rFonts w:asciiTheme="minorHAnsi" w:eastAsia="Calibri" w:hAnsiTheme="minorHAnsi" w:cstheme="minorHAnsi"/>
                <w:color w:val="000000"/>
                <w:sz w:val="20"/>
                <w:szCs w:val="20"/>
              </w:rPr>
              <w:t>%</w:t>
            </w:r>
          </w:p>
        </w:tc>
        <w:tc>
          <w:tcPr>
            <w:tcW w:w="2389" w:type="pct"/>
          </w:tcPr>
          <w:p w14:paraId="3341B178" w14:textId="77777777" w:rsidR="00BD7233" w:rsidRPr="005B1574" w:rsidRDefault="00BD7233" w:rsidP="00BD7233">
            <w:pPr>
              <w:spacing w:before="60" w:afterLines="60" w:after="144"/>
              <w:jc w:val="both"/>
              <w:rPr>
                <w:rFonts w:asciiTheme="minorHAnsi" w:hAnsiTheme="minorHAnsi" w:cstheme="minorHAnsi"/>
                <w:color w:val="000000"/>
                <w:sz w:val="20"/>
                <w:szCs w:val="20"/>
              </w:rPr>
            </w:pPr>
            <w:r w:rsidRPr="005B1574">
              <w:rPr>
                <w:rFonts w:asciiTheme="minorHAnsi" w:eastAsia="Calibri" w:hAnsiTheme="minorHAnsi" w:cstheme="minorHAnsi"/>
                <w:color w:val="000000"/>
                <w:sz w:val="20"/>
                <w:szCs w:val="20"/>
              </w:rPr>
              <w:t>Unchanged. DUSC considered to be an underestimate due to familiarity of many psoriasis-interested dermatologists with apremilast (due to the familiarisation program) (p7, apremilast DUSC advice, November 2017 PBAC Meeting). The pre-PBAC response stated that the product familiarisation program was no longer in operation (see paragraph 3.2).</w:t>
            </w:r>
          </w:p>
        </w:tc>
      </w:tr>
      <w:tr w:rsidR="00BD7233" w:rsidRPr="005B1574" w14:paraId="30C1E6AB" w14:textId="77777777" w:rsidTr="00FF3B03">
        <w:tc>
          <w:tcPr>
            <w:tcW w:w="1374" w:type="pct"/>
            <w:vAlign w:val="center"/>
          </w:tcPr>
          <w:p w14:paraId="520574FA" w14:textId="77777777" w:rsidR="00BD7233" w:rsidRPr="005B1574" w:rsidRDefault="00BD7233" w:rsidP="00BD7233">
            <w:pPr>
              <w:spacing w:before="60" w:afterLines="60" w:after="144"/>
              <w:jc w:val="both"/>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lastRenderedPageBreak/>
              <w:t xml:space="preserve">Adherence </w:t>
            </w:r>
          </w:p>
          <w:p w14:paraId="36658C0A" w14:textId="77777777" w:rsidR="00BD7233" w:rsidRPr="005B1574" w:rsidRDefault="00BD7233" w:rsidP="00BD7233">
            <w:pPr>
              <w:spacing w:before="60" w:afterLines="60" w:after="144"/>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t>(</w:t>
            </w:r>
            <w:proofErr w:type="gramStart"/>
            <w:r w:rsidRPr="005B1574">
              <w:rPr>
                <w:rFonts w:asciiTheme="minorHAnsi" w:eastAsia="Calibri" w:hAnsiTheme="minorHAnsi" w:cstheme="minorHAnsi"/>
                <w:color w:val="000000"/>
                <w:sz w:val="20"/>
                <w:szCs w:val="20"/>
              </w:rPr>
              <w:t>maintenance</w:t>
            </w:r>
            <w:proofErr w:type="gramEnd"/>
            <w:r w:rsidRPr="005B1574">
              <w:rPr>
                <w:rFonts w:asciiTheme="minorHAnsi" w:eastAsia="Calibri" w:hAnsiTheme="minorHAnsi" w:cstheme="minorHAnsi"/>
                <w:color w:val="000000"/>
                <w:sz w:val="20"/>
                <w:szCs w:val="20"/>
              </w:rPr>
              <w:t xml:space="preserve"> therapy)</w:t>
            </w:r>
          </w:p>
        </w:tc>
        <w:tc>
          <w:tcPr>
            <w:tcW w:w="606" w:type="pct"/>
            <w:vAlign w:val="center"/>
          </w:tcPr>
          <w:p w14:paraId="70BA20B7" w14:textId="77777777" w:rsidR="00BD7233" w:rsidRPr="005B1574" w:rsidRDefault="00BD7233" w:rsidP="00BD7233">
            <w:pPr>
              <w:spacing w:before="60" w:afterLines="60" w:after="144"/>
              <w:jc w:val="center"/>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t>85%</w:t>
            </w:r>
          </w:p>
        </w:tc>
        <w:tc>
          <w:tcPr>
            <w:tcW w:w="631" w:type="pct"/>
            <w:vAlign w:val="center"/>
          </w:tcPr>
          <w:p w14:paraId="2F85F874" w14:textId="77777777" w:rsidR="00BD7233" w:rsidRPr="005B1574" w:rsidRDefault="00BD7233" w:rsidP="00BD7233">
            <w:pPr>
              <w:spacing w:before="60" w:afterLines="60" w:after="144"/>
              <w:jc w:val="center"/>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t>85%</w:t>
            </w:r>
          </w:p>
        </w:tc>
        <w:tc>
          <w:tcPr>
            <w:tcW w:w="2389" w:type="pct"/>
          </w:tcPr>
          <w:p w14:paraId="41994A3D" w14:textId="75B32D13" w:rsidR="00BD7233" w:rsidRPr="005B1574" w:rsidRDefault="00BD7233" w:rsidP="00BD7233">
            <w:pPr>
              <w:spacing w:before="60" w:afterLines="60" w:after="144"/>
              <w:jc w:val="both"/>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t xml:space="preserve">Changed from 100% in the November 2017 submission for both Tier 1 and Tier 2. Adherence of 85% </w:t>
            </w:r>
            <w:r w:rsidR="00B57786">
              <w:rPr>
                <w:rFonts w:asciiTheme="minorHAnsi" w:eastAsia="Calibri" w:hAnsiTheme="minorHAnsi" w:cstheme="minorHAnsi"/>
                <w:color w:val="000000"/>
                <w:sz w:val="20"/>
                <w:szCs w:val="20"/>
              </w:rPr>
              <w:t>was</w:t>
            </w:r>
            <w:r w:rsidRPr="005B1574">
              <w:rPr>
                <w:rFonts w:asciiTheme="minorHAnsi" w:eastAsia="Calibri" w:hAnsiTheme="minorHAnsi" w:cstheme="minorHAnsi"/>
                <w:color w:val="000000"/>
                <w:sz w:val="20"/>
                <w:szCs w:val="20"/>
              </w:rPr>
              <w:t xml:space="preserve"> consistent with DUSC advice that adherence of 80-90% was reasonable (apremilast DUSC advice, November 2017 PBAC Meeting).</w:t>
            </w:r>
          </w:p>
        </w:tc>
      </w:tr>
      <w:tr w:rsidR="00BD7233" w:rsidRPr="005B1574" w14:paraId="0544886F" w14:textId="77777777" w:rsidTr="00FF3B03">
        <w:tc>
          <w:tcPr>
            <w:tcW w:w="1374" w:type="pct"/>
            <w:vAlign w:val="center"/>
          </w:tcPr>
          <w:p w14:paraId="19BB062A" w14:textId="77777777" w:rsidR="00BD7233" w:rsidRPr="005B1574" w:rsidRDefault="00BD7233" w:rsidP="00BD7233">
            <w:pPr>
              <w:spacing w:before="60" w:afterLines="60" w:after="144"/>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t>Biologics assumptions</w:t>
            </w:r>
          </w:p>
        </w:tc>
        <w:tc>
          <w:tcPr>
            <w:tcW w:w="1237" w:type="pct"/>
            <w:gridSpan w:val="2"/>
            <w:vAlign w:val="center"/>
          </w:tcPr>
          <w:p w14:paraId="36E83D25" w14:textId="77777777" w:rsidR="00BD7233" w:rsidRPr="005B1574" w:rsidRDefault="00BD7233" w:rsidP="00BD7233">
            <w:pPr>
              <w:spacing w:before="60" w:afterLines="60" w:after="144"/>
              <w:jc w:val="center"/>
              <w:rPr>
                <w:rFonts w:asciiTheme="minorHAnsi" w:eastAsia="Calibri" w:hAnsiTheme="minorHAnsi" w:cstheme="minorHAnsi"/>
                <w:color w:val="000000"/>
                <w:sz w:val="20"/>
                <w:szCs w:val="20"/>
              </w:rPr>
            </w:pPr>
            <w:r w:rsidRPr="005B1574">
              <w:rPr>
                <w:rFonts w:asciiTheme="minorHAnsi" w:eastAsia="Calibri" w:hAnsiTheme="minorHAnsi" w:cstheme="minorHAnsi"/>
                <w:color w:val="000000"/>
                <w:sz w:val="20"/>
                <w:szCs w:val="20"/>
              </w:rPr>
              <w:t>Ustekinumab as proxy for all biologics</w:t>
            </w:r>
          </w:p>
        </w:tc>
        <w:tc>
          <w:tcPr>
            <w:tcW w:w="2389" w:type="pct"/>
          </w:tcPr>
          <w:p w14:paraId="067E7DA6" w14:textId="0B7077D9" w:rsidR="00BD7233" w:rsidRPr="00FA2349" w:rsidRDefault="00BD7233" w:rsidP="00BD7233">
            <w:pPr>
              <w:spacing w:before="60" w:afterLines="60" w:after="144"/>
              <w:jc w:val="both"/>
              <w:rPr>
                <w:rFonts w:asciiTheme="minorHAnsi" w:eastAsia="Calibri" w:hAnsiTheme="minorHAnsi" w:cstheme="minorHAnsi"/>
                <w:color w:val="000000"/>
                <w:sz w:val="20"/>
                <w:szCs w:val="20"/>
              </w:rPr>
            </w:pPr>
            <w:r w:rsidRPr="00FA2349">
              <w:rPr>
                <w:rFonts w:asciiTheme="minorHAnsi" w:eastAsia="Calibri" w:hAnsiTheme="minorHAnsi" w:cstheme="minorHAnsi"/>
                <w:color w:val="000000"/>
                <w:sz w:val="20"/>
                <w:szCs w:val="20"/>
              </w:rPr>
              <w:t>Submission ma</w:t>
            </w:r>
            <w:r w:rsidR="00B57786">
              <w:rPr>
                <w:rFonts w:asciiTheme="minorHAnsi" w:eastAsia="Calibri" w:hAnsiTheme="minorHAnsi" w:cstheme="minorHAnsi"/>
                <w:color w:val="000000"/>
                <w:sz w:val="20"/>
                <w:szCs w:val="20"/>
              </w:rPr>
              <w:t>de</w:t>
            </w:r>
            <w:r w:rsidRPr="00FA2349">
              <w:rPr>
                <w:rFonts w:asciiTheme="minorHAnsi" w:eastAsia="Calibri" w:hAnsiTheme="minorHAnsi" w:cstheme="minorHAnsi"/>
                <w:color w:val="000000"/>
                <w:sz w:val="20"/>
                <w:szCs w:val="20"/>
              </w:rPr>
              <w:t xml:space="preserve"> an arbitrary assumption on the effective price of </w:t>
            </w:r>
            <w:proofErr w:type="spellStart"/>
            <w:r w:rsidRPr="00FA2349">
              <w:rPr>
                <w:rFonts w:asciiTheme="minorHAnsi" w:eastAsia="Calibri" w:hAnsiTheme="minorHAnsi" w:cstheme="minorHAnsi"/>
                <w:color w:val="000000"/>
                <w:sz w:val="20"/>
                <w:szCs w:val="20"/>
              </w:rPr>
              <w:t>ustekinumab</w:t>
            </w:r>
            <w:proofErr w:type="spellEnd"/>
            <w:r w:rsidRPr="00FA2349">
              <w:rPr>
                <w:rFonts w:asciiTheme="minorHAnsi" w:eastAsia="Calibri" w:hAnsiTheme="minorHAnsi" w:cstheme="minorHAnsi"/>
                <w:color w:val="000000"/>
                <w:sz w:val="20"/>
                <w:szCs w:val="20"/>
              </w:rPr>
              <w:t xml:space="preserve"> (-40% of published).</w:t>
            </w:r>
          </w:p>
          <w:p w14:paraId="3DA70E8A" w14:textId="77777777" w:rsidR="00BD7233" w:rsidRPr="00FA2349" w:rsidRDefault="00BD7233" w:rsidP="00BD7233">
            <w:pPr>
              <w:spacing w:before="60" w:afterLines="60" w:after="144"/>
              <w:jc w:val="both"/>
              <w:rPr>
                <w:rFonts w:asciiTheme="minorHAnsi" w:eastAsia="Calibri" w:hAnsiTheme="minorHAnsi" w:cstheme="minorHAnsi"/>
                <w:color w:val="000000"/>
                <w:sz w:val="20"/>
                <w:szCs w:val="20"/>
              </w:rPr>
            </w:pPr>
            <w:r w:rsidRPr="00FA2349">
              <w:rPr>
                <w:rFonts w:asciiTheme="minorHAnsi" w:eastAsia="Calibri" w:hAnsiTheme="minorHAnsi" w:cstheme="minorHAnsi"/>
                <w:color w:val="000000"/>
                <w:sz w:val="20"/>
                <w:szCs w:val="20"/>
              </w:rPr>
              <w:t>Biologics likely to be displaced (rather than replaced) in many circumstances.</w:t>
            </w:r>
          </w:p>
          <w:p w14:paraId="4CE597AD" w14:textId="77777777" w:rsidR="00BD7233" w:rsidRPr="00FA2349" w:rsidRDefault="00BD7233" w:rsidP="00BD7233">
            <w:pPr>
              <w:spacing w:before="60" w:afterLines="60" w:after="144"/>
              <w:rPr>
                <w:rFonts w:asciiTheme="minorHAnsi" w:eastAsia="Calibri" w:hAnsiTheme="minorHAnsi" w:cstheme="minorHAnsi"/>
                <w:color w:val="000000"/>
                <w:sz w:val="20"/>
                <w:szCs w:val="20"/>
              </w:rPr>
            </w:pPr>
            <w:r w:rsidRPr="00FA2349">
              <w:rPr>
                <w:rFonts w:asciiTheme="minorHAnsi" w:eastAsia="Calibri" w:hAnsiTheme="minorHAnsi" w:cstheme="minorHAnsi"/>
                <w:color w:val="000000"/>
                <w:sz w:val="20"/>
                <w:szCs w:val="20"/>
              </w:rPr>
              <w:t xml:space="preserve">Level of displacement/replacement uncertain as apremilast would be an additional treatment option for determining eligibility for biologics and not adding a new line of therapy. </w:t>
            </w:r>
          </w:p>
          <w:p w14:paraId="0B9946C5" w14:textId="7D386D9B" w:rsidR="00BD7233" w:rsidRPr="00FA2349" w:rsidRDefault="00BD7233" w:rsidP="00BD7233">
            <w:pPr>
              <w:spacing w:before="60" w:afterLines="60" w:after="144"/>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B</w:t>
            </w:r>
            <w:r w:rsidRPr="00FA2349">
              <w:rPr>
                <w:rFonts w:asciiTheme="minorHAnsi" w:hAnsiTheme="minorHAnsi" w:cstheme="minorHAnsi"/>
                <w:color w:val="000000" w:themeColor="text1"/>
                <w:sz w:val="20"/>
                <w:szCs w:val="20"/>
              </w:rPr>
              <w:t xml:space="preserve">iologics accounted for </w:t>
            </w:r>
            <w:r w:rsidRPr="00FA2349">
              <w:rPr>
                <w:rFonts w:asciiTheme="minorHAnsi" w:hAnsiTheme="minorHAnsi" w:cstheme="minorHAnsi"/>
                <w:noProof/>
                <w:color w:val="000000"/>
                <w:sz w:val="20"/>
                <w:szCs w:val="20"/>
                <w:highlight w:val="black"/>
              </w:rPr>
              <w:t>''''''</w:t>
            </w:r>
            <w:r w:rsidRPr="00FA2349">
              <w:rPr>
                <w:rFonts w:asciiTheme="minorHAnsi" w:hAnsiTheme="minorHAnsi" w:cstheme="minorHAnsi"/>
                <w:color w:val="000000" w:themeColor="text1"/>
                <w:sz w:val="20"/>
                <w:szCs w:val="20"/>
              </w:rPr>
              <w:t>% of cost offsets for substituted medicines in Year 6 of both the Tier 1 and Tier 2 estimates (Tier 1 biologics $</w:t>
            </w:r>
            <w:r w:rsidRPr="00FA2349">
              <w:rPr>
                <w:rFonts w:asciiTheme="minorHAnsi" w:hAnsiTheme="minorHAnsi" w:cstheme="minorHAnsi"/>
                <w:noProof/>
                <w:color w:val="000000"/>
                <w:sz w:val="20"/>
                <w:szCs w:val="20"/>
                <w:highlight w:val="black"/>
              </w:rPr>
              <w:t>'''''''''''''''''''''''''''''</w:t>
            </w:r>
            <w:r w:rsidRPr="00FA2349">
              <w:rPr>
                <w:rFonts w:asciiTheme="minorHAnsi" w:hAnsiTheme="minorHAnsi" w:cstheme="minorHAnsi"/>
                <w:color w:val="000000" w:themeColor="text1"/>
                <w:sz w:val="20"/>
                <w:szCs w:val="20"/>
              </w:rPr>
              <w:t xml:space="preserve"> of a total of $</w:t>
            </w:r>
            <w:r w:rsidRPr="00FA2349">
              <w:rPr>
                <w:rFonts w:asciiTheme="minorHAnsi" w:hAnsiTheme="minorHAnsi" w:cstheme="minorHAnsi"/>
                <w:noProof/>
                <w:color w:val="000000"/>
                <w:sz w:val="20"/>
                <w:szCs w:val="20"/>
                <w:highlight w:val="black"/>
              </w:rPr>
              <w:t>'''''''''''''''''''''''</w:t>
            </w:r>
            <w:r w:rsidRPr="00FA2349">
              <w:rPr>
                <w:rFonts w:asciiTheme="minorHAnsi" w:hAnsiTheme="minorHAnsi" w:cstheme="minorHAnsi"/>
                <w:color w:val="000000" w:themeColor="text1"/>
                <w:sz w:val="20"/>
                <w:szCs w:val="20"/>
              </w:rPr>
              <w:t>; Tier 2 biologics $</w:t>
            </w:r>
            <w:r w:rsidRPr="00FA2349">
              <w:rPr>
                <w:rFonts w:asciiTheme="minorHAnsi" w:hAnsiTheme="minorHAnsi" w:cstheme="minorHAnsi"/>
                <w:noProof/>
                <w:color w:val="000000"/>
                <w:sz w:val="20"/>
                <w:szCs w:val="20"/>
                <w:highlight w:val="black"/>
              </w:rPr>
              <w:t>'''''''''''''''''''''''''</w:t>
            </w:r>
            <w:r w:rsidRPr="00FA2349">
              <w:rPr>
                <w:rFonts w:asciiTheme="minorHAnsi" w:hAnsiTheme="minorHAnsi" w:cstheme="minorHAnsi"/>
                <w:color w:val="000000" w:themeColor="text1"/>
                <w:sz w:val="20"/>
                <w:szCs w:val="20"/>
              </w:rPr>
              <w:t xml:space="preserve"> of a total of $</w:t>
            </w:r>
            <w:r w:rsidRPr="00FA2349">
              <w:rPr>
                <w:rFonts w:asciiTheme="minorHAnsi" w:hAnsiTheme="minorHAnsi" w:cstheme="minorHAnsi"/>
                <w:noProof/>
                <w:color w:val="000000"/>
                <w:sz w:val="20"/>
                <w:szCs w:val="20"/>
                <w:highlight w:val="black"/>
              </w:rPr>
              <w:t>''''''''''''''''''''''''''</w:t>
            </w:r>
            <w:r w:rsidRPr="00FA2349">
              <w:rPr>
                <w:rFonts w:asciiTheme="minorHAnsi" w:hAnsiTheme="minorHAnsi" w:cstheme="minorHAnsi"/>
                <w:color w:val="000000" w:themeColor="text1"/>
                <w:sz w:val="20"/>
                <w:szCs w:val="20"/>
              </w:rPr>
              <w:t xml:space="preserve">). </w:t>
            </w:r>
          </w:p>
          <w:p w14:paraId="466AAB90" w14:textId="511AC8E1" w:rsidR="00BD7233" w:rsidRPr="00FA2349" w:rsidRDefault="00BD7233" w:rsidP="00BD7233">
            <w:pPr>
              <w:spacing w:before="60" w:afterLines="60" w:after="144"/>
              <w:rPr>
                <w:rFonts w:asciiTheme="minorHAnsi" w:eastAsia="Calibri" w:hAnsiTheme="minorHAnsi" w:cstheme="minorHAnsi"/>
                <w:color w:val="000000"/>
                <w:sz w:val="20"/>
                <w:szCs w:val="20"/>
              </w:rPr>
            </w:pPr>
            <w:r w:rsidRPr="00FA2349">
              <w:rPr>
                <w:rFonts w:asciiTheme="minorHAnsi" w:eastAsia="Calibri" w:hAnsiTheme="minorHAnsi" w:cstheme="minorHAnsi"/>
                <w:color w:val="000000"/>
                <w:sz w:val="20"/>
                <w:szCs w:val="20"/>
              </w:rPr>
              <w:t xml:space="preserve">The pre-PBAC response argued that if at some time in the future </w:t>
            </w:r>
            <w:proofErr w:type="spellStart"/>
            <w:r w:rsidRPr="00FA2349">
              <w:rPr>
                <w:rFonts w:asciiTheme="minorHAnsi" w:eastAsia="Calibri" w:hAnsiTheme="minorHAnsi" w:cstheme="minorHAnsi"/>
                <w:color w:val="000000"/>
                <w:sz w:val="20"/>
                <w:szCs w:val="20"/>
              </w:rPr>
              <w:t>an</w:t>
            </w:r>
            <w:proofErr w:type="spellEnd"/>
            <w:r w:rsidRPr="00FA2349">
              <w:rPr>
                <w:rFonts w:asciiTheme="minorHAnsi" w:eastAsia="Calibri" w:hAnsiTheme="minorHAnsi" w:cstheme="minorHAnsi"/>
                <w:color w:val="000000"/>
                <w:sz w:val="20"/>
                <w:szCs w:val="20"/>
              </w:rPr>
              <w:t xml:space="preserve"> apremilast patient were to transition to a biologic, within the timeframe construct of the financial analysis it is reasonable to account for the immediate cost offsets.</w:t>
            </w:r>
          </w:p>
        </w:tc>
      </w:tr>
    </w:tbl>
    <w:p w14:paraId="4DEA31D0" w14:textId="2C85C537" w:rsidR="00F8472E" w:rsidRPr="006E3FB4" w:rsidRDefault="00837547" w:rsidP="00837547">
      <w:pPr>
        <w:spacing w:after="120"/>
        <w:rPr>
          <w:rFonts w:eastAsia="Calibri" w:cstheme="minorHAnsi"/>
          <w:color w:val="000000"/>
          <w:sz w:val="20"/>
          <w:szCs w:val="20"/>
        </w:rPr>
      </w:pPr>
      <w:r w:rsidRPr="005B1574">
        <w:rPr>
          <w:rFonts w:eastAsia="Calibri" w:cstheme="minorHAnsi"/>
          <w:color w:val="000000"/>
          <w:sz w:val="20"/>
          <w:szCs w:val="20"/>
        </w:rPr>
        <w:t>Source:</w:t>
      </w:r>
      <w:r w:rsidR="005B1574">
        <w:rPr>
          <w:rFonts w:eastAsia="Calibri" w:cstheme="minorHAnsi"/>
          <w:color w:val="000000"/>
          <w:sz w:val="20"/>
          <w:szCs w:val="20"/>
        </w:rPr>
        <w:t xml:space="preserve"> Table 10,</w:t>
      </w:r>
      <w:r w:rsidRPr="005B1574">
        <w:rPr>
          <w:rFonts w:eastAsia="Calibri" w:cstheme="minorHAnsi"/>
          <w:color w:val="000000"/>
          <w:sz w:val="20"/>
          <w:szCs w:val="20"/>
        </w:rPr>
        <w:t xml:space="preserve"> </w:t>
      </w:r>
      <w:r w:rsidR="005B1574">
        <w:rPr>
          <w:rFonts w:eastAsia="Calibri" w:cstheme="minorHAnsi"/>
          <w:color w:val="000000"/>
          <w:sz w:val="20"/>
          <w:szCs w:val="20"/>
        </w:rPr>
        <w:t xml:space="preserve">apremilast Public Summary Document, July 2020 PBAC meeting. </w:t>
      </w:r>
    </w:p>
    <w:p w14:paraId="7F2665B3" w14:textId="46D691A5" w:rsidR="00E963B5" w:rsidRDefault="003E3DD8" w:rsidP="0085578F">
      <w:pPr>
        <w:pStyle w:val="Heading2"/>
      </w:pPr>
      <w:r>
        <w:t xml:space="preserve">Analysis </w:t>
      </w:r>
      <w:r w:rsidRPr="005E22C2">
        <w:t xml:space="preserve">of </w:t>
      </w:r>
      <w:r>
        <w:t>a</w:t>
      </w:r>
      <w:r w:rsidRPr="005E22C2">
        <w:t xml:space="preserve">ctual versus </w:t>
      </w:r>
      <w:r>
        <w:t>p</w:t>
      </w:r>
      <w:r w:rsidRPr="005E22C2">
        <w:t xml:space="preserve">redicted </w:t>
      </w:r>
      <w:r>
        <w:t>u</w:t>
      </w:r>
      <w:r w:rsidRPr="005E22C2">
        <w:t>tilisation</w:t>
      </w:r>
    </w:p>
    <w:p w14:paraId="114502F9" w14:textId="384576C6" w:rsidR="00C84A75" w:rsidRDefault="003C2E19" w:rsidP="00E963B5">
      <w:pPr>
        <w:pStyle w:val="Tabletitle"/>
        <w:spacing w:before="200"/>
      </w:pPr>
      <w:r>
        <w:t xml:space="preserve">Table </w:t>
      </w:r>
      <w:r w:rsidR="0035132E">
        <w:t>9</w:t>
      </w:r>
      <w:r>
        <w:t xml:space="preserve">: </w:t>
      </w:r>
      <w:r w:rsidR="000519D1">
        <w:t xml:space="preserve">Predicted versus actual utilisation of apremilast for severe plaque </w:t>
      </w:r>
      <w:proofErr w:type="gramStart"/>
      <w:r w:rsidR="000519D1">
        <w:t>psoriasis</w:t>
      </w:r>
      <w:proofErr w:type="gramEnd"/>
      <w:r w:rsidR="000519D1">
        <w:t xml:space="preserve"> </w:t>
      </w:r>
    </w:p>
    <w:tbl>
      <w:tblPr>
        <w:tblStyle w:val="TableGrid"/>
        <w:tblW w:w="0" w:type="auto"/>
        <w:tblLook w:val="04A0" w:firstRow="1" w:lastRow="0" w:firstColumn="1" w:lastColumn="0" w:noHBand="0" w:noVBand="1"/>
      </w:tblPr>
      <w:tblGrid>
        <w:gridCol w:w="2231"/>
        <w:gridCol w:w="2232"/>
        <w:gridCol w:w="2231"/>
        <w:gridCol w:w="2232"/>
      </w:tblGrid>
      <w:tr w:rsidR="00245D54" w:rsidRPr="00C84A75" w14:paraId="4CADB9D4" w14:textId="77777777" w:rsidTr="00977EEC">
        <w:tc>
          <w:tcPr>
            <w:tcW w:w="2231" w:type="dxa"/>
            <w:shd w:val="clear" w:color="auto" w:fill="BFBFBF" w:themeFill="background1" w:themeFillShade="BF"/>
          </w:tcPr>
          <w:p w14:paraId="3B8EAF9D" w14:textId="77777777" w:rsidR="00245D54" w:rsidRPr="00C84A75" w:rsidRDefault="00245D54" w:rsidP="00E963B5">
            <w:pPr>
              <w:spacing w:before="60" w:after="60"/>
              <w:jc w:val="center"/>
              <w:rPr>
                <w:b/>
                <w:bCs/>
                <w:sz w:val="20"/>
                <w:szCs w:val="20"/>
              </w:rPr>
            </w:pPr>
          </w:p>
        </w:tc>
        <w:tc>
          <w:tcPr>
            <w:tcW w:w="2232" w:type="dxa"/>
            <w:shd w:val="clear" w:color="auto" w:fill="BFBFBF" w:themeFill="background1" w:themeFillShade="BF"/>
          </w:tcPr>
          <w:p w14:paraId="6BF3F42C" w14:textId="77777777" w:rsidR="00245D54" w:rsidRPr="00C84A75" w:rsidRDefault="00245D54" w:rsidP="00E963B5">
            <w:pPr>
              <w:spacing w:before="60" w:after="60"/>
              <w:jc w:val="center"/>
              <w:rPr>
                <w:b/>
                <w:bCs/>
                <w:sz w:val="20"/>
                <w:szCs w:val="20"/>
              </w:rPr>
            </w:pPr>
          </w:p>
        </w:tc>
        <w:tc>
          <w:tcPr>
            <w:tcW w:w="2231" w:type="dxa"/>
            <w:tcBorders>
              <w:bottom w:val="single" w:sz="4" w:space="0" w:color="auto"/>
            </w:tcBorders>
            <w:shd w:val="clear" w:color="auto" w:fill="BFBFBF" w:themeFill="background1" w:themeFillShade="BF"/>
          </w:tcPr>
          <w:p w14:paraId="2122CB54" w14:textId="77777777" w:rsidR="00245D54" w:rsidRDefault="00245D54" w:rsidP="00E963B5">
            <w:pPr>
              <w:spacing w:before="60" w:after="60"/>
              <w:jc w:val="center"/>
              <w:rPr>
                <w:b/>
                <w:bCs/>
                <w:sz w:val="20"/>
                <w:szCs w:val="20"/>
              </w:rPr>
            </w:pPr>
            <w:r w:rsidRPr="00C84A75">
              <w:rPr>
                <w:b/>
                <w:bCs/>
                <w:sz w:val="20"/>
                <w:szCs w:val="20"/>
              </w:rPr>
              <w:t>Year 1</w:t>
            </w:r>
          </w:p>
          <w:p w14:paraId="08EB2989" w14:textId="7D69403A" w:rsidR="00245D54" w:rsidRPr="00C84A75" w:rsidRDefault="00245D54" w:rsidP="00E963B5">
            <w:pPr>
              <w:spacing w:before="60" w:after="60"/>
              <w:jc w:val="center"/>
              <w:rPr>
                <w:b/>
                <w:bCs/>
                <w:sz w:val="20"/>
                <w:szCs w:val="20"/>
              </w:rPr>
            </w:pPr>
            <w:r>
              <w:rPr>
                <w:b/>
                <w:bCs/>
                <w:sz w:val="20"/>
                <w:szCs w:val="20"/>
              </w:rPr>
              <w:t>January 2021 – December 2021</w:t>
            </w:r>
          </w:p>
        </w:tc>
        <w:tc>
          <w:tcPr>
            <w:tcW w:w="2232" w:type="dxa"/>
            <w:tcBorders>
              <w:bottom w:val="single" w:sz="4" w:space="0" w:color="auto"/>
            </w:tcBorders>
            <w:shd w:val="clear" w:color="auto" w:fill="BFBFBF" w:themeFill="background1" w:themeFillShade="BF"/>
          </w:tcPr>
          <w:p w14:paraId="6B01A612" w14:textId="49D1E4FC" w:rsidR="00245D54" w:rsidRDefault="00245D54" w:rsidP="00E963B5">
            <w:pPr>
              <w:spacing w:before="60" w:after="60"/>
              <w:jc w:val="center"/>
              <w:rPr>
                <w:b/>
                <w:bCs/>
                <w:sz w:val="20"/>
                <w:szCs w:val="20"/>
              </w:rPr>
            </w:pPr>
            <w:r w:rsidRPr="00C84A75">
              <w:rPr>
                <w:b/>
                <w:bCs/>
                <w:sz w:val="20"/>
                <w:szCs w:val="20"/>
              </w:rPr>
              <w:t>Year 2</w:t>
            </w:r>
          </w:p>
          <w:p w14:paraId="40A50F76" w14:textId="02707BA4" w:rsidR="00245D54" w:rsidRPr="00C84A75" w:rsidRDefault="00245D54" w:rsidP="00E963B5">
            <w:pPr>
              <w:spacing w:before="60" w:after="60"/>
              <w:jc w:val="center"/>
              <w:rPr>
                <w:b/>
                <w:bCs/>
                <w:sz w:val="20"/>
                <w:szCs w:val="20"/>
              </w:rPr>
            </w:pPr>
            <w:r>
              <w:rPr>
                <w:b/>
                <w:bCs/>
                <w:sz w:val="20"/>
                <w:szCs w:val="20"/>
              </w:rPr>
              <w:t>January 2022 – December 2022</w:t>
            </w:r>
          </w:p>
        </w:tc>
      </w:tr>
      <w:tr w:rsidR="00245D54" w:rsidRPr="008D57AF" w14:paraId="6EB72154" w14:textId="77777777" w:rsidTr="00977EEC">
        <w:tc>
          <w:tcPr>
            <w:tcW w:w="2231" w:type="dxa"/>
            <w:vMerge w:val="restart"/>
          </w:tcPr>
          <w:p w14:paraId="3FBEE769" w14:textId="144A7164" w:rsidR="00245D54" w:rsidRPr="00C84A75" w:rsidRDefault="00245D54" w:rsidP="00E963B5">
            <w:pPr>
              <w:spacing w:before="60" w:after="60"/>
              <w:jc w:val="center"/>
              <w:rPr>
                <w:sz w:val="20"/>
                <w:szCs w:val="20"/>
              </w:rPr>
            </w:pPr>
            <w:r w:rsidRPr="00C84A75">
              <w:rPr>
                <w:sz w:val="20"/>
                <w:szCs w:val="20"/>
              </w:rPr>
              <w:t>Patients</w:t>
            </w:r>
          </w:p>
        </w:tc>
        <w:tc>
          <w:tcPr>
            <w:tcW w:w="2232" w:type="dxa"/>
          </w:tcPr>
          <w:p w14:paraId="19C0887B" w14:textId="06ECB4A4" w:rsidR="00245D54" w:rsidRPr="00C84A75" w:rsidRDefault="00245D54" w:rsidP="00E963B5">
            <w:pPr>
              <w:spacing w:before="60" w:after="60"/>
              <w:jc w:val="center"/>
              <w:rPr>
                <w:sz w:val="20"/>
                <w:szCs w:val="20"/>
              </w:rPr>
            </w:pPr>
            <w:r w:rsidRPr="00C84A75">
              <w:rPr>
                <w:sz w:val="20"/>
                <w:szCs w:val="20"/>
              </w:rPr>
              <w:t>Predicted</w:t>
            </w:r>
          </w:p>
        </w:tc>
        <w:tc>
          <w:tcPr>
            <w:tcW w:w="2231" w:type="dxa"/>
            <w:shd w:val="solid" w:color="000000" w:fill="000000"/>
          </w:tcPr>
          <w:p w14:paraId="0A40884A" w14:textId="3FAF97B7" w:rsidR="00245D54" w:rsidRPr="008D57AF" w:rsidRDefault="004712EB" w:rsidP="00E963B5">
            <w:pPr>
              <w:spacing w:before="60" w:after="60"/>
              <w:jc w:val="center"/>
              <w:rPr>
                <w:sz w:val="20"/>
                <w:szCs w:val="20"/>
              </w:rPr>
            </w:pPr>
            <w:r w:rsidRPr="004712EB">
              <w:rPr>
                <w:color w:val="000000"/>
                <w:sz w:val="20"/>
                <w:szCs w:val="20"/>
                <w14:textFill>
                  <w14:solidFill>
                    <w14:srgbClr w14:val="000000">
                      <w14:alpha w14:val="100000"/>
                    </w14:srgbClr>
                  </w14:solidFill>
                </w14:textFill>
              </w:rPr>
              <w:t>|</w:t>
            </w:r>
          </w:p>
        </w:tc>
        <w:tc>
          <w:tcPr>
            <w:tcW w:w="2232" w:type="dxa"/>
            <w:shd w:val="solid" w:color="000000" w:fill="000000"/>
          </w:tcPr>
          <w:p w14:paraId="68B93BCC" w14:textId="10F635E2" w:rsidR="00245D54" w:rsidRPr="008D57AF" w:rsidRDefault="00977EEC" w:rsidP="00E963B5">
            <w:pPr>
              <w:spacing w:before="60" w:after="60"/>
              <w:jc w:val="center"/>
              <w:rPr>
                <w:sz w:val="20"/>
                <w:szCs w:val="20"/>
              </w:rPr>
            </w:pPr>
            <w:r w:rsidRPr="00977EEC">
              <w:rPr>
                <w:color w:val="000000"/>
                <w:sz w:val="20"/>
                <w:szCs w:val="20"/>
                <w14:textFill>
                  <w14:solidFill>
                    <w14:srgbClr w14:val="000000">
                      <w14:alpha w14:val="100000"/>
                    </w14:srgbClr>
                  </w14:solidFill>
                </w14:textFill>
              </w:rPr>
              <w:t>|</w:t>
            </w:r>
          </w:p>
        </w:tc>
      </w:tr>
      <w:tr w:rsidR="00245D54" w:rsidRPr="008D57AF" w14:paraId="6AAF3FDF" w14:textId="77777777" w:rsidTr="00977EEC">
        <w:tc>
          <w:tcPr>
            <w:tcW w:w="2231" w:type="dxa"/>
            <w:vMerge/>
          </w:tcPr>
          <w:p w14:paraId="028690F3" w14:textId="77777777" w:rsidR="00245D54" w:rsidRPr="00C84A75" w:rsidRDefault="00245D54" w:rsidP="00E963B5">
            <w:pPr>
              <w:spacing w:before="60" w:after="60"/>
              <w:jc w:val="center"/>
              <w:rPr>
                <w:sz w:val="20"/>
                <w:szCs w:val="20"/>
              </w:rPr>
            </w:pPr>
          </w:p>
        </w:tc>
        <w:tc>
          <w:tcPr>
            <w:tcW w:w="2232" w:type="dxa"/>
          </w:tcPr>
          <w:p w14:paraId="7F737072" w14:textId="41DAAA9B" w:rsidR="00245D54" w:rsidRPr="00C84A75" w:rsidRDefault="00245D54" w:rsidP="00E963B5">
            <w:pPr>
              <w:spacing w:before="60" w:after="60"/>
              <w:jc w:val="center"/>
              <w:rPr>
                <w:sz w:val="20"/>
                <w:szCs w:val="20"/>
              </w:rPr>
            </w:pPr>
            <w:r w:rsidRPr="00C84A75">
              <w:rPr>
                <w:sz w:val="20"/>
                <w:szCs w:val="20"/>
              </w:rPr>
              <w:t>Actual</w:t>
            </w:r>
          </w:p>
        </w:tc>
        <w:tc>
          <w:tcPr>
            <w:tcW w:w="2231" w:type="dxa"/>
            <w:tcBorders>
              <w:bottom w:val="single" w:sz="4" w:space="0" w:color="auto"/>
            </w:tcBorders>
          </w:tcPr>
          <w:p w14:paraId="0AADD223" w14:textId="44EF3155" w:rsidR="00245D54" w:rsidRPr="008D57AF" w:rsidRDefault="00245D54" w:rsidP="00E963B5">
            <w:pPr>
              <w:spacing w:before="60" w:after="60"/>
              <w:jc w:val="center"/>
              <w:rPr>
                <w:sz w:val="20"/>
                <w:szCs w:val="20"/>
              </w:rPr>
            </w:pPr>
            <w:r w:rsidRPr="008D57AF">
              <w:rPr>
                <w:sz w:val="20"/>
                <w:szCs w:val="20"/>
              </w:rPr>
              <w:t>3,312</w:t>
            </w:r>
          </w:p>
        </w:tc>
        <w:tc>
          <w:tcPr>
            <w:tcW w:w="2232" w:type="dxa"/>
            <w:tcBorders>
              <w:bottom w:val="single" w:sz="4" w:space="0" w:color="auto"/>
            </w:tcBorders>
          </w:tcPr>
          <w:p w14:paraId="4963318D" w14:textId="3743FA93" w:rsidR="00245D54" w:rsidRPr="008D57AF" w:rsidRDefault="00245D54" w:rsidP="00E963B5">
            <w:pPr>
              <w:spacing w:before="60" w:after="60"/>
              <w:jc w:val="center"/>
              <w:rPr>
                <w:sz w:val="20"/>
                <w:szCs w:val="20"/>
              </w:rPr>
            </w:pPr>
            <w:r w:rsidRPr="008D57AF">
              <w:rPr>
                <w:sz w:val="20"/>
                <w:szCs w:val="20"/>
              </w:rPr>
              <w:t>4,908</w:t>
            </w:r>
          </w:p>
        </w:tc>
      </w:tr>
      <w:tr w:rsidR="00245D54" w:rsidRPr="008D57AF" w14:paraId="72DC8F11" w14:textId="77777777" w:rsidTr="00977EEC">
        <w:tc>
          <w:tcPr>
            <w:tcW w:w="2231" w:type="dxa"/>
            <w:vMerge/>
          </w:tcPr>
          <w:p w14:paraId="603233D6" w14:textId="77777777" w:rsidR="00245D54" w:rsidRPr="00C84A75" w:rsidRDefault="00245D54" w:rsidP="00E963B5">
            <w:pPr>
              <w:spacing w:before="60" w:after="60"/>
              <w:jc w:val="center"/>
              <w:rPr>
                <w:sz w:val="20"/>
                <w:szCs w:val="20"/>
              </w:rPr>
            </w:pPr>
          </w:p>
        </w:tc>
        <w:tc>
          <w:tcPr>
            <w:tcW w:w="2232" w:type="dxa"/>
          </w:tcPr>
          <w:p w14:paraId="00FB932E" w14:textId="79F81BC8" w:rsidR="00245D54" w:rsidRPr="00C84A75" w:rsidRDefault="00245D54" w:rsidP="00E963B5">
            <w:pPr>
              <w:spacing w:before="60" w:after="60"/>
              <w:jc w:val="center"/>
              <w:rPr>
                <w:sz w:val="20"/>
                <w:szCs w:val="20"/>
              </w:rPr>
            </w:pPr>
            <w:r w:rsidRPr="00C84A75">
              <w:rPr>
                <w:sz w:val="20"/>
                <w:szCs w:val="20"/>
              </w:rPr>
              <w:t>Difference</w:t>
            </w:r>
          </w:p>
        </w:tc>
        <w:tc>
          <w:tcPr>
            <w:tcW w:w="2231" w:type="dxa"/>
            <w:tcBorders>
              <w:bottom w:val="single" w:sz="4" w:space="0" w:color="auto"/>
            </w:tcBorders>
            <w:shd w:val="solid" w:color="000000" w:fill="000000"/>
          </w:tcPr>
          <w:p w14:paraId="4E49F78B" w14:textId="37F69B56" w:rsidR="00245D54" w:rsidRPr="008D57AF" w:rsidRDefault="00977EEC" w:rsidP="00E963B5">
            <w:pPr>
              <w:spacing w:before="60" w:after="60"/>
              <w:jc w:val="center"/>
              <w:rPr>
                <w:sz w:val="20"/>
                <w:szCs w:val="20"/>
              </w:rPr>
            </w:pPr>
            <w:r w:rsidRPr="00977EEC">
              <w:rPr>
                <w:color w:val="000000"/>
                <w:sz w:val="20"/>
                <w:szCs w:val="20"/>
                <w14:textFill>
                  <w14:solidFill>
                    <w14:srgbClr w14:val="000000">
                      <w14:alpha w14:val="100000"/>
                    </w14:srgbClr>
                  </w14:solidFill>
                </w14:textFill>
              </w:rPr>
              <w:t>|</w:t>
            </w:r>
          </w:p>
        </w:tc>
        <w:tc>
          <w:tcPr>
            <w:tcW w:w="2232" w:type="dxa"/>
            <w:tcBorders>
              <w:bottom w:val="single" w:sz="4" w:space="0" w:color="auto"/>
            </w:tcBorders>
            <w:shd w:val="solid" w:color="000000" w:fill="000000"/>
          </w:tcPr>
          <w:p w14:paraId="06AA734E" w14:textId="4604681B" w:rsidR="00245D54" w:rsidRPr="008D57AF" w:rsidRDefault="00977EEC" w:rsidP="00E963B5">
            <w:pPr>
              <w:spacing w:before="60" w:after="60"/>
              <w:jc w:val="center"/>
              <w:rPr>
                <w:sz w:val="20"/>
                <w:szCs w:val="20"/>
              </w:rPr>
            </w:pPr>
            <w:r w:rsidRPr="00977EEC">
              <w:rPr>
                <w:color w:val="000000"/>
                <w:sz w:val="20"/>
                <w:szCs w:val="20"/>
                <w14:textFill>
                  <w14:solidFill>
                    <w14:srgbClr w14:val="000000">
                      <w14:alpha w14:val="100000"/>
                    </w14:srgbClr>
                  </w14:solidFill>
                </w14:textFill>
              </w:rPr>
              <w:t>|</w:t>
            </w:r>
          </w:p>
        </w:tc>
      </w:tr>
      <w:tr w:rsidR="00245D54" w:rsidRPr="008D57AF" w14:paraId="5F6DD260" w14:textId="77777777" w:rsidTr="00977EEC">
        <w:tc>
          <w:tcPr>
            <w:tcW w:w="2231" w:type="dxa"/>
            <w:vMerge w:val="restart"/>
          </w:tcPr>
          <w:p w14:paraId="12696E86" w14:textId="7CCFCA88" w:rsidR="00245D54" w:rsidRPr="00C84A75" w:rsidRDefault="00245D54" w:rsidP="00E963B5">
            <w:pPr>
              <w:spacing w:before="60" w:after="60"/>
              <w:jc w:val="center"/>
              <w:rPr>
                <w:sz w:val="20"/>
                <w:szCs w:val="20"/>
              </w:rPr>
            </w:pPr>
            <w:r w:rsidRPr="00C84A75">
              <w:rPr>
                <w:sz w:val="20"/>
                <w:szCs w:val="20"/>
              </w:rPr>
              <w:t>Prescriptions</w:t>
            </w:r>
          </w:p>
        </w:tc>
        <w:tc>
          <w:tcPr>
            <w:tcW w:w="2232" w:type="dxa"/>
          </w:tcPr>
          <w:p w14:paraId="71C1BB28" w14:textId="245C3BCB" w:rsidR="00245D54" w:rsidRPr="00C84A75" w:rsidRDefault="00245D54" w:rsidP="00E963B5">
            <w:pPr>
              <w:spacing w:before="60" w:after="60"/>
              <w:jc w:val="center"/>
              <w:rPr>
                <w:sz w:val="20"/>
                <w:szCs w:val="20"/>
              </w:rPr>
            </w:pPr>
            <w:r w:rsidRPr="00C84A75">
              <w:rPr>
                <w:sz w:val="20"/>
                <w:szCs w:val="20"/>
              </w:rPr>
              <w:t>Predicted</w:t>
            </w:r>
          </w:p>
        </w:tc>
        <w:tc>
          <w:tcPr>
            <w:tcW w:w="2231" w:type="dxa"/>
            <w:shd w:val="solid" w:color="000000" w:fill="000000"/>
          </w:tcPr>
          <w:p w14:paraId="3035DB61" w14:textId="6F97F123" w:rsidR="00245D54" w:rsidRPr="008D57AF" w:rsidRDefault="00977EEC" w:rsidP="00E963B5">
            <w:pPr>
              <w:spacing w:before="60" w:after="60"/>
              <w:jc w:val="center"/>
              <w:rPr>
                <w:sz w:val="20"/>
                <w:szCs w:val="20"/>
              </w:rPr>
            </w:pPr>
            <w:r w:rsidRPr="00977EEC">
              <w:rPr>
                <w:color w:val="000000"/>
                <w:sz w:val="20"/>
                <w:szCs w:val="20"/>
                <w14:textFill>
                  <w14:solidFill>
                    <w14:srgbClr w14:val="000000">
                      <w14:alpha w14:val="100000"/>
                    </w14:srgbClr>
                  </w14:solidFill>
                </w14:textFill>
              </w:rPr>
              <w:t>|</w:t>
            </w:r>
          </w:p>
        </w:tc>
        <w:tc>
          <w:tcPr>
            <w:tcW w:w="2232" w:type="dxa"/>
            <w:shd w:val="solid" w:color="000000" w:fill="000000"/>
          </w:tcPr>
          <w:p w14:paraId="1D2DD6CE" w14:textId="1F5D321F" w:rsidR="00245D54" w:rsidRPr="008D57AF" w:rsidRDefault="00977EEC" w:rsidP="00E963B5">
            <w:pPr>
              <w:spacing w:before="60" w:after="60"/>
              <w:jc w:val="center"/>
              <w:rPr>
                <w:sz w:val="20"/>
                <w:szCs w:val="20"/>
              </w:rPr>
            </w:pPr>
            <w:r w:rsidRPr="00977EEC">
              <w:rPr>
                <w:color w:val="000000"/>
                <w:sz w:val="20"/>
                <w:szCs w:val="20"/>
                <w14:textFill>
                  <w14:solidFill>
                    <w14:srgbClr w14:val="000000">
                      <w14:alpha w14:val="100000"/>
                    </w14:srgbClr>
                  </w14:solidFill>
                </w14:textFill>
              </w:rPr>
              <w:t>|</w:t>
            </w:r>
          </w:p>
        </w:tc>
      </w:tr>
      <w:tr w:rsidR="00245D54" w:rsidRPr="008D57AF" w14:paraId="6FF06ADF" w14:textId="77777777" w:rsidTr="00977EEC">
        <w:tc>
          <w:tcPr>
            <w:tcW w:w="2231" w:type="dxa"/>
            <w:vMerge/>
          </w:tcPr>
          <w:p w14:paraId="132C8C30" w14:textId="77777777" w:rsidR="00245D54" w:rsidRPr="00C84A75" w:rsidRDefault="00245D54" w:rsidP="00E963B5">
            <w:pPr>
              <w:spacing w:before="60" w:after="60"/>
              <w:jc w:val="center"/>
              <w:rPr>
                <w:sz w:val="20"/>
                <w:szCs w:val="20"/>
              </w:rPr>
            </w:pPr>
          </w:p>
        </w:tc>
        <w:tc>
          <w:tcPr>
            <w:tcW w:w="2232" w:type="dxa"/>
          </w:tcPr>
          <w:p w14:paraId="2F0AD9B7" w14:textId="0B47B2A2" w:rsidR="00245D54" w:rsidRPr="00C84A75" w:rsidRDefault="00245D54" w:rsidP="00E963B5">
            <w:pPr>
              <w:spacing w:before="60" w:after="60"/>
              <w:jc w:val="center"/>
              <w:rPr>
                <w:sz w:val="20"/>
                <w:szCs w:val="20"/>
              </w:rPr>
            </w:pPr>
            <w:r w:rsidRPr="00C84A75">
              <w:rPr>
                <w:sz w:val="20"/>
                <w:szCs w:val="20"/>
              </w:rPr>
              <w:t>Actual</w:t>
            </w:r>
          </w:p>
        </w:tc>
        <w:tc>
          <w:tcPr>
            <w:tcW w:w="2231" w:type="dxa"/>
            <w:tcBorders>
              <w:bottom w:val="single" w:sz="4" w:space="0" w:color="auto"/>
            </w:tcBorders>
          </w:tcPr>
          <w:p w14:paraId="4E4F17DF" w14:textId="04981EAB" w:rsidR="00245D54" w:rsidRPr="008D57AF" w:rsidRDefault="00245D54" w:rsidP="00E963B5">
            <w:pPr>
              <w:spacing w:before="60" w:after="60"/>
              <w:jc w:val="center"/>
              <w:rPr>
                <w:sz w:val="20"/>
                <w:szCs w:val="20"/>
              </w:rPr>
            </w:pPr>
            <w:r w:rsidRPr="008D57AF">
              <w:rPr>
                <w:sz w:val="20"/>
                <w:szCs w:val="20"/>
              </w:rPr>
              <w:t>14,311</w:t>
            </w:r>
          </w:p>
        </w:tc>
        <w:tc>
          <w:tcPr>
            <w:tcW w:w="2232" w:type="dxa"/>
            <w:tcBorders>
              <w:bottom w:val="single" w:sz="4" w:space="0" w:color="auto"/>
            </w:tcBorders>
          </w:tcPr>
          <w:p w14:paraId="4B53B069" w14:textId="67077C91" w:rsidR="00245D54" w:rsidRPr="008D57AF" w:rsidRDefault="00245D54" w:rsidP="00E963B5">
            <w:pPr>
              <w:spacing w:before="60" w:after="60"/>
              <w:jc w:val="center"/>
              <w:rPr>
                <w:sz w:val="20"/>
                <w:szCs w:val="20"/>
              </w:rPr>
            </w:pPr>
            <w:r w:rsidRPr="008D57AF">
              <w:rPr>
                <w:sz w:val="20"/>
                <w:szCs w:val="20"/>
              </w:rPr>
              <w:t>25,248</w:t>
            </w:r>
          </w:p>
        </w:tc>
      </w:tr>
      <w:tr w:rsidR="00245D54" w:rsidRPr="008D57AF" w14:paraId="676BC57E" w14:textId="77777777" w:rsidTr="00977EEC">
        <w:tc>
          <w:tcPr>
            <w:tcW w:w="2231" w:type="dxa"/>
            <w:vMerge/>
          </w:tcPr>
          <w:p w14:paraId="7540E7AB" w14:textId="77777777" w:rsidR="00245D54" w:rsidRPr="00C84A75" w:rsidRDefault="00245D54" w:rsidP="00E963B5">
            <w:pPr>
              <w:spacing w:before="60" w:after="60"/>
              <w:jc w:val="center"/>
              <w:rPr>
                <w:sz w:val="20"/>
                <w:szCs w:val="20"/>
              </w:rPr>
            </w:pPr>
          </w:p>
        </w:tc>
        <w:tc>
          <w:tcPr>
            <w:tcW w:w="2232" w:type="dxa"/>
          </w:tcPr>
          <w:p w14:paraId="5604724C" w14:textId="4A99B586" w:rsidR="00245D54" w:rsidRPr="00C84A75" w:rsidRDefault="00245D54" w:rsidP="00E963B5">
            <w:pPr>
              <w:spacing w:before="60" w:after="60"/>
              <w:jc w:val="center"/>
              <w:rPr>
                <w:sz w:val="20"/>
                <w:szCs w:val="20"/>
              </w:rPr>
            </w:pPr>
            <w:r w:rsidRPr="00C84A75">
              <w:rPr>
                <w:sz w:val="20"/>
                <w:szCs w:val="20"/>
              </w:rPr>
              <w:t>Difference</w:t>
            </w:r>
          </w:p>
        </w:tc>
        <w:tc>
          <w:tcPr>
            <w:tcW w:w="2231" w:type="dxa"/>
            <w:shd w:val="solid" w:color="000000" w:fill="000000"/>
          </w:tcPr>
          <w:p w14:paraId="03A1AC19" w14:textId="07A7FADE" w:rsidR="00245D54" w:rsidRPr="008D57AF" w:rsidRDefault="00977EEC" w:rsidP="00E963B5">
            <w:pPr>
              <w:spacing w:before="60" w:after="60"/>
              <w:jc w:val="center"/>
              <w:rPr>
                <w:sz w:val="20"/>
                <w:szCs w:val="20"/>
              </w:rPr>
            </w:pPr>
            <w:r w:rsidRPr="00977EEC">
              <w:rPr>
                <w:color w:val="000000"/>
                <w:sz w:val="20"/>
                <w:szCs w:val="20"/>
                <w14:textFill>
                  <w14:solidFill>
                    <w14:srgbClr w14:val="000000">
                      <w14:alpha w14:val="100000"/>
                    </w14:srgbClr>
                  </w14:solidFill>
                </w14:textFill>
              </w:rPr>
              <w:t>|</w:t>
            </w:r>
          </w:p>
        </w:tc>
        <w:tc>
          <w:tcPr>
            <w:tcW w:w="2232" w:type="dxa"/>
            <w:shd w:val="solid" w:color="000000" w:fill="000000"/>
          </w:tcPr>
          <w:p w14:paraId="6C53F06E" w14:textId="124CFAE2" w:rsidR="00245D54" w:rsidRPr="008D57AF" w:rsidRDefault="00977EEC" w:rsidP="00E963B5">
            <w:pPr>
              <w:spacing w:before="60" w:after="60"/>
              <w:jc w:val="center"/>
              <w:rPr>
                <w:sz w:val="20"/>
                <w:szCs w:val="20"/>
              </w:rPr>
            </w:pPr>
            <w:r w:rsidRPr="00977EEC">
              <w:rPr>
                <w:color w:val="000000"/>
                <w:sz w:val="20"/>
                <w:szCs w:val="20"/>
                <w14:textFill>
                  <w14:solidFill>
                    <w14:srgbClr w14:val="000000">
                      <w14:alpha w14:val="100000"/>
                    </w14:srgbClr>
                  </w14:solidFill>
                </w14:textFill>
              </w:rPr>
              <w:t>|</w:t>
            </w:r>
          </w:p>
        </w:tc>
      </w:tr>
    </w:tbl>
    <w:p w14:paraId="6F5ECD69" w14:textId="77777777" w:rsidR="00245D54" w:rsidRDefault="00245D54" w:rsidP="00E673CA">
      <w:pPr>
        <w:pStyle w:val="NoSpacing"/>
      </w:pPr>
    </w:p>
    <w:p w14:paraId="6CF3A634" w14:textId="330F5C90" w:rsidR="006C3B29" w:rsidRDefault="006C3B29" w:rsidP="00E673CA">
      <w:pPr>
        <w:pStyle w:val="NoSpacing"/>
      </w:pPr>
      <w:r>
        <w:t xml:space="preserve">From Table </w:t>
      </w:r>
      <w:r w:rsidR="0035132E">
        <w:t>9</w:t>
      </w:r>
      <w:r>
        <w:t>, a</w:t>
      </w:r>
      <w:r w:rsidR="0065057E">
        <w:t>ctual u</w:t>
      </w:r>
      <w:r w:rsidR="0065057E" w:rsidRPr="00475B8B">
        <w:t xml:space="preserve">tilisation of </w:t>
      </w:r>
      <w:r w:rsidR="0065057E">
        <w:t>apremilast</w:t>
      </w:r>
      <w:r w:rsidR="0065057E" w:rsidRPr="00475B8B">
        <w:t xml:space="preserve"> for </w:t>
      </w:r>
      <w:r w:rsidR="00AD0463">
        <w:t xml:space="preserve">CPP </w:t>
      </w:r>
      <w:r w:rsidR="0065057E" w:rsidRPr="00475B8B">
        <w:t>was different from</w:t>
      </w:r>
      <w:r w:rsidR="0065057E">
        <w:t xml:space="preserve"> estimated</w:t>
      </w:r>
      <w:r w:rsidR="0065057E" w:rsidRPr="00475B8B">
        <w:t xml:space="preserve">. </w:t>
      </w:r>
    </w:p>
    <w:p w14:paraId="4ECC5D31" w14:textId="77777777" w:rsidR="006C3B29" w:rsidRDefault="006C3B29" w:rsidP="00E673CA">
      <w:pPr>
        <w:pStyle w:val="NoSpacing"/>
      </w:pPr>
    </w:p>
    <w:p w14:paraId="731A7972" w14:textId="7F8F5E12" w:rsidR="009A17A9" w:rsidRPr="0085578F" w:rsidRDefault="0065057E" w:rsidP="00807119">
      <w:pPr>
        <w:pStyle w:val="NoSpacing"/>
      </w:pPr>
      <w:r w:rsidRPr="00475B8B">
        <w:lastRenderedPageBreak/>
        <w:t xml:space="preserve">The number of treated </w:t>
      </w:r>
      <w:r w:rsidRPr="009B66A3">
        <w:t>patients</w:t>
      </w:r>
      <w:r>
        <w:t xml:space="preserve"> and prescriptions </w:t>
      </w:r>
      <w:r w:rsidRPr="008D57AF">
        <w:t xml:space="preserve">supplied were lower than estimated. </w:t>
      </w:r>
      <w:r w:rsidR="00BD7FC5" w:rsidRPr="008D57AF">
        <w:t>There was a larger difference in the estima</w:t>
      </w:r>
      <w:r w:rsidR="009A2B87" w:rsidRPr="008D57AF">
        <w:t xml:space="preserve">ted </w:t>
      </w:r>
      <w:r w:rsidR="00BD7FC5" w:rsidRPr="008D57AF">
        <w:t>number of prescriptions supplied</w:t>
      </w:r>
      <w:r w:rsidR="00BD7FC5">
        <w:t xml:space="preserve"> compared t</w:t>
      </w:r>
      <w:r w:rsidR="009A2B87">
        <w:t xml:space="preserve">o the number of patients treated with apremilast. </w:t>
      </w:r>
    </w:p>
    <w:p w14:paraId="3555DFBA" w14:textId="083EEF5C" w:rsidR="00591512" w:rsidRDefault="00AB3733" w:rsidP="00F73113">
      <w:pPr>
        <w:pStyle w:val="Heading1"/>
      </w:pPr>
      <w:r>
        <w:t>D</w:t>
      </w:r>
      <w:r w:rsidR="007346C7" w:rsidRPr="005E22C2">
        <w:t>iscussion</w:t>
      </w:r>
    </w:p>
    <w:p w14:paraId="0AF6B650" w14:textId="44F0F6A7" w:rsidR="00607B57" w:rsidRDefault="004D2F7D" w:rsidP="00F1132C">
      <w:r>
        <w:t>T</w:t>
      </w:r>
      <w:r w:rsidR="000F5268">
        <w:t>he</w:t>
      </w:r>
      <w:r w:rsidR="00633F15">
        <w:t xml:space="preserve"> </w:t>
      </w:r>
      <w:r w:rsidR="000F5268">
        <w:t xml:space="preserve">biologics market </w:t>
      </w:r>
      <w:r>
        <w:t>has grown since the last DUSC review of</w:t>
      </w:r>
      <w:r w:rsidR="003D16BD">
        <w:t xml:space="preserve"> </w:t>
      </w:r>
      <w:r>
        <w:t xml:space="preserve">plaque psoriasis in June 2014. </w:t>
      </w:r>
      <w:r w:rsidR="000558F1">
        <w:t xml:space="preserve">Different inhibitors have since been </w:t>
      </w:r>
      <w:r w:rsidR="00390509">
        <w:t>PBS list</w:t>
      </w:r>
      <w:r w:rsidR="000558F1">
        <w:t>ed: interleukin (IL)-17 inhibitors (</w:t>
      </w:r>
      <w:proofErr w:type="spellStart"/>
      <w:r w:rsidR="000558F1">
        <w:t>izekizumab</w:t>
      </w:r>
      <w:proofErr w:type="spellEnd"/>
      <w:r w:rsidR="000558F1">
        <w:t xml:space="preserve">, </w:t>
      </w:r>
      <w:proofErr w:type="spellStart"/>
      <w:r w:rsidR="000558F1">
        <w:t>secukinumab</w:t>
      </w:r>
      <w:proofErr w:type="spellEnd"/>
      <w:r w:rsidR="000558F1">
        <w:t>) and IL-23 inhib</w:t>
      </w:r>
      <w:r w:rsidR="00365956">
        <w:t>itors (</w:t>
      </w:r>
      <w:proofErr w:type="spellStart"/>
      <w:r w:rsidR="00365956">
        <w:t>guselkuzumab</w:t>
      </w:r>
      <w:proofErr w:type="spellEnd"/>
      <w:r w:rsidR="00365956">
        <w:t xml:space="preserve">, </w:t>
      </w:r>
      <w:proofErr w:type="spellStart"/>
      <w:r w:rsidR="00365956">
        <w:t>risankisumab</w:t>
      </w:r>
      <w:proofErr w:type="spellEnd"/>
      <w:r w:rsidR="00365956">
        <w:t xml:space="preserve">, tildrakizumab). </w:t>
      </w:r>
      <w:r w:rsidR="008B0A83">
        <w:t>As such,</w:t>
      </w:r>
      <w:r w:rsidR="00607B57">
        <w:t xml:space="preserve"> biologics </w:t>
      </w:r>
      <w:r w:rsidR="008B0A83">
        <w:t>has become</w:t>
      </w:r>
      <w:r w:rsidR="00607B57">
        <w:t xml:space="preserve"> the most common therapy type for the treatment of CPP compared to </w:t>
      </w:r>
      <w:r w:rsidR="009D05B4">
        <w:t>non-biologic</w:t>
      </w:r>
      <w:r w:rsidR="00607B57">
        <w:t xml:space="preserve"> therapies. However, as the</w:t>
      </w:r>
      <w:r w:rsidR="00E46334">
        <w:t xml:space="preserve"> </w:t>
      </w:r>
      <w:r w:rsidR="00390509">
        <w:t>PBS list</w:t>
      </w:r>
      <w:r w:rsidR="00607B57">
        <w:t xml:space="preserve">ing for methotrexate </w:t>
      </w:r>
      <w:r w:rsidR="008F4CF6">
        <w:t>tablets were unrestricted</w:t>
      </w:r>
      <w:r w:rsidR="00E46334">
        <w:t>,</w:t>
      </w:r>
      <w:r w:rsidR="008F4CF6">
        <w:t xml:space="preserve"> it is difficult to capture complete utilisation of </w:t>
      </w:r>
      <w:r w:rsidR="009D05B4">
        <w:t>non-biologic</w:t>
      </w:r>
      <w:r w:rsidR="008F4CF6">
        <w:t xml:space="preserve"> therapies for CPP. </w:t>
      </w:r>
    </w:p>
    <w:p w14:paraId="0690592D" w14:textId="703BB22A" w:rsidR="00352D1B" w:rsidRDefault="00F8472E" w:rsidP="003A4D12">
      <w:r>
        <w:t>In 2022, apremilast was the second-most common treatment for CPP. However, its u</w:t>
      </w:r>
      <w:r w:rsidR="008F4CF6">
        <w:t xml:space="preserve">tilisation was </w:t>
      </w:r>
      <w:r w:rsidR="008F4CF6" w:rsidRPr="008D57AF">
        <w:t>lower</w:t>
      </w:r>
      <w:r w:rsidR="008F4CF6">
        <w:t xml:space="preserve"> than estimated, </w:t>
      </w:r>
      <w:r w:rsidR="00E46334">
        <w:t xml:space="preserve">particularly with regards to the number of </w:t>
      </w:r>
      <w:r w:rsidR="005D6581">
        <w:t>prescriptions</w:t>
      </w:r>
      <w:r w:rsidR="00E46334">
        <w:t xml:space="preserve"> supplied. There was</w:t>
      </w:r>
      <w:r w:rsidR="008F4CF6">
        <w:t xml:space="preserve"> a </w:t>
      </w:r>
      <w:r w:rsidR="007A4580">
        <w:t>larger diff</w:t>
      </w:r>
      <w:r w:rsidR="008F4CF6">
        <w:t>erence</w:t>
      </w:r>
      <w:r w:rsidR="007A4580">
        <w:t xml:space="preserve"> in </w:t>
      </w:r>
      <w:r w:rsidR="008F4CF6">
        <w:t xml:space="preserve">the actual number of </w:t>
      </w:r>
      <w:r w:rsidR="007A4580">
        <w:t xml:space="preserve">prescriptions supplied compared to </w:t>
      </w:r>
      <w:r>
        <w:t xml:space="preserve">the number of </w:t>
      </w:r>
      <w:r w:rsidR="007A4580">
        <w:t>patients treated</w:t>
      </w:r>
      <w:r w:rsidR="008F4CF6">
        <w:t xml:space="preserve"> with apremilast. </w:t>
      </w:r>
      <w:r w:rsidR="00A14286">
        <w:t xml:space="preserve">As shown in Table </w:t>
      </w:r>
      <w:r w:rsidR="0035132E">
        <w:t>6</w:t>
      </w:r>
      <w:r w:rsidR="008F3036">
        <w:t xml:space="preserve"> and </w:t>
      </w:r>
      <w:r w:rsidR="0035132E">
        <w:t>7</w:t>
      </w:r>
      <w:r w:rsidR="00A14286">
        <w:t xml:space="preserve">, the sequence analysis has shown </w:t>
      </w:r>
      <w:r w:rsidR="002553F8">
        <w:t>patients switching from apremilast to a biologic</w:t>
      </w:r>
      <w:r w:rsidR="00E7286B">
        <w:t>, particularly the recently listed IL-23 inhibitors (</w:t>
      </w:r>
      <w:proofErr w:type="spellStart"/>
      <w:r w:rsidR="00290702">
        <w:t>guselkuzumab</w:t>
      </w:r>
      <w:proofErr w:type="spellEnd"/>
      <w:r w:rsidR="00290702">
        <w:t xml:space="preserve">, </w:t>
      </w:r>
      <w:proofErr w:type="spellStart"/>
      <w:r w:rsidR="00290702">
        <w:t>risankisumab</w:t>
      </w:r>
      <w:proofErr w:type="spellEnd"/>
      <w:r w:rsidR="00290702">
        <w:t>, tildrakizumab).</w:t>
      </w:r>
    </w:p>
    <w:p w14:paraId="0319004A" w14:textId="018E400C" w:rsidR="00352D1B" w:rsidRDefault="00BE36F5" w:rsidP="003A4D12">
      <w:r>
        <w:t xml:space="preserve">As shown in Figure 11, </w:t>
      </w:r>
      <w:proofErr w:type="gramStart"/>
      <w:r>
        <w:t>t</w:t>
      </w:r>
      <w:r w:rsidR="00E50F01">
        <w:t>he majority of</w:t>
      </w:r>
      <w:proofErr w:type="gramEnd"/>
      <w:r w:rsidR="00E50F01">
        <w:t xml:space="preserve"> patients who initiate treatment with apremilast</w:t>
      </w:r>
      <w:r>
        <w:t xml:space="preserve"> since </w:t>
      </w:r>
      <w:r w:rsidR="00F8472E">
        <w:t xml:space="preserve">PBS </w:t>
      </w:r>
      <w:r>
        <w:t>listing</w:t>
      </w:r>
      <w:r w:rsidR="00E50F01">
        <w:t xml:space="preserve"> </w:t>
      </w:r>
      <w:r>
        <w:t xml:space="preserve">were with dermatologists. </w:t>
      </w:r>
      <w:r w:rsidR="00352D1B">
        <w:t xml:space="preserve">In September 2022, there was an </w:t>
      </w:r>
      <w:r w:rsidR="00E50F01">
        <w:t xml:space="preserve">extension of </w:t>
      </w:r>
      <w:r>
        <w:t xml:space="preserve">listing </w:t>
      </w:r>
      <w:r w:rsidR="00120493">
        <w:t xml:space="preserve">to </w:t>
      </w:r>
      <w:r w:rsidR="00352D1B">
        <w:t xml:space="preserve">allow accredited dermatology registrars to initiate treatment in consultation with a dermatologist and to allow general practitioners to prescribe maintenance treatment in consultation with a dermatologist or accredited dermatology registrar. </w:t>
      </w:r>
      <w:r w:rsidR="00820902">
        <w:t xml:space="preserve">Following the listing change, </w:t>
      </w:r>
      <w:r w:rsidR="006A7DA3">
        <w:t xml:space="preserve">of patients who initiate treatment with apremilast, </w:t>
      </w:r>
      <w:r w:rsidR="003872E3">
        <w:t>there was a slight decrease in patients who initiated treatment with dermatologists and increase in patients who initiated treatment with GPs</w:t>
      </w:r>
      <w:r w:rsidR="00120493">
        <w:t xml:space="preserve">, despite GPs restricted to prescribing maintenance treatment. </w:t>
      </w:r>
    </w:p>
    <w:p w14:paraId="077CB401" w14:textId="77777777" w:rsidR="00746AF8" w:rsidRDefault="00746AF8" w:rsidP="00746AF8">
      <w:pPr>
        <w:pStyle w:val="Heading1"/>
      </w:pPr>
      <w:r>
        <w:t>DUSC consideration</w:t>
      </w:r>
    </w:p>
    <w:p w14:paraId="70E0BA1D" w14:textId="53805722" w:rsidR="00746AF8" w:rsidRPr="001E36A4" w:rsidRDefault="00746AF8" w:rsidP="00746AF8">
      <w:pPr>
        <w:jc w:val="both"/>
        <w:rPr>
          <w:lang w:val="en-GB"/>
        </w:rPr>
      </w:pPr>
      <w:r w:rsidRPr="00746AF8">
        <w:rPr>
          <w:lang w:val="en-GB"/>
        </w:rPr>
        <w:t xml:space="preserve">DUSC noted that apremilast had a steady incident and slowly growing prevalent population. </w:t>
      </w:r>
      <w:r w:rsidRPr="00746AF8">
        <w:t xml:space="preserve">DUSC noted the </w:t>
      </w:r>
      <w:r w:rsidRPr="00746AF8">
        <w:rPr>
          <w:lang w:val="en-GB"/>
        </w:rPr>
        <w:t xml:space="preserve">predicted versus actual analysis showed that in the first two years of listing, the actual number of patients treated with apremilast was slightly lower than estimated </w:t>
      </w:r>
      <w:r w:rsidR="004712EB" w:rsidRPr="004712EB">
        <w:rPr>
          <w:color w:val="000000"/>
          <w:w w:val="72"/>
          <w:shd w:val="solid" w:color="000000" w:fill="000000"/>
          <w:fitText w:val="399" w:id="-1038909439"/>
          <w:lang w:val="en-GB"/>
          <w14:textFill>
            <w14:solidFill>
              <w14:srgbClr w14:val="000000">
                <w14:alpha w14:val="100000"/>
              </w14:srgbClr>
            </w14:solidFill>
          </w14:textFill>
        </w:rPr>
        <w:t>|</w:t>
      </w:r>
      <w:proofErr w:type="gramStart"/>
      <w:r w:rsidR="004712EB" w:rsidRPr="004712EB">
        <w:rPr>
          <w:color w:val="000000"/>
          <w:w w:val="72"/>
          <w:shd w:val="solid" w:color="000000" w:fill="000000"/>
          <w:fitText w:val="399" w:id="-1038909439"/>
          <w:lang w:val="en-GB"/>
          <w14:textFill>
            <w14:solidFill>
              <w14:srgbClr w14:val="000000">
                <w14:alpha w14:val="100000"/>
              </w14:srgbClr>
            </w14:solidFill>
          </w14:textFill>
        </w:rPr>
        <w:t>|  |</w:t>
      </w:r>
      <w:proofErr w:type="gramEnd"/>
      <w:r w:rsidR="004712EB" w:rsidRPr="004712EB">
        <w:rPr>
          <w:color w:val="000000"/>
          <w:w w:val="72"/>
          <w:shd w:val="solid" w:color="000000" w:fill="000000"/>
          <w:fitText w:val="399" w:id="-1038909439"/>
          <w:lang w:val="en-GB"/>
          <w14:textFill>
            <w14:solidFill>
              <w14:srgbClr w14:val="000000">
                <w14:alpha w14:val="100000"/>
              </w14:srgbClr>
            </w14:solidFill>
          </w14:textFill>
        </w:rPr>
        <w:t>|</w:t>
      </w:r>
      <w:r w:rsidR="004712EB">
        <w:rPr>
          <w:lang w:val="en-GB"/>
        </w:rPr>
        <w:t xml:space="preserve"> </w:t>
      </w:r>
      <w:r w:rsidR="004712EB" w:rsidRPr="004712EB">
        <w:rPr>
          <w:color w:val="000000"/>
          <w:w w:val="53"/>
          <w:shd w:val="solid" w:color="000000" w:fill="000000"/>
          <w:fitText w:val="415" w:id="-1038909438"/>
          <w:lang w:val="en-GB"/>
          <w14:textFill>
            <w14:solidFill>
              <w14:srgbClr w14:val="000000">
                <w14:alpha w14:val="100000"/>
              </w14:srgbClr>
            </w14:solidFill>
          </w14:textFill>
        </w:rPr>
        <w:t>|||  |||</w:t>
      </w:r>
      <w:r w:rsidR="004712EB">
        <w:rPr>
          <w:lang w:val="en-GB"/>
        </w:rPr>
        <w:t xml:space="preserve"> </w:t>
      </w:r>
      <w:r w:rsidRPr="00746AF8">
        <w:rPr>
          <w:lang w:val="en-GB"/>
        </w:rPr>
        <w:t xml:space="preserve">whereas there was a greater difference in the actual number of prescriptions supplied compared to estimated </w:t>
      </w:r>
      <w:r w:rsidR="004712EB" w:rsidRPr="004712EB">
        <w:rPr>
          <w:color w:val="000000"/>
          <w:w w:val="54"/>
          <w:shd w:val="solid" w:color="000000" w:fill="000000"/>
          <w:fitText w:val="1135" w:id="-1038909437"/>
          <w:lang w:val="en-GB"/>
          <w14:textFill>
            <w14:solidFill>
              <w14:srgbClr w14:val="000000">
                <w14:alpha w14:val="100000"/>
              </w14:srgbClr>
            </w14:solidFill>
          </w14:textFill>
        </w:rPr>
        <w:t>|||||||||  |||||||||</w:t>
      </w:r>
      <w:r w:rsidRPr="00746AF8">
        <w:rPr>
          <w:lang w:val="en-GB"/>
        </w:rPr>
        <w:t xml:space="preserve">. DUSC considered possible reasons as to why there was a greater percentage difference in the actual number of prescriptions supplied compared to patients treated included: adherence, spacing/deprescribing or switching to next-line therapies. DUSC noted the wide age distribution of initiating patients and considered the disparity between patients treated and prescriptions supplied may be due to a dosing issue where younger patients and elderly patients may have only received one dose a day. </w:t>
      </w:r>
    </w:p>
    <w:p w14:paraId="533EA6EC" w14:textId="5AEEEECC" w:rsidR="00746AF8" w:rsidRPr="00746AF8" w:rsidRDefault="00746AF8" w:rsidP="00746AF8">
      <w:pPr>
        <w:jc w:val="both"/>
      </w:pPr>
      <w:r w:rsidRPr="00746AF8">
        <w:t xml:space="preserve">DUSC noted the positioning of apremilast in the treatment algorithm for CPP and noted the pathway for patients to be treated with biologics may or may not include apremilast. DUSC noted the sequence analysis showed a small proportion of patients were treated with </w:t>
      </w:r>
      <w:r w:rsidRPr="00746AF8">
        <w:lastRenderedPageBreak/>
        <w:t xml:space="preserve">apremilast before biologics and that some patients stayed on apremilast without progressing to treatment with biologics. </w:t>
      </w:r>
    </w:p>
    <w:p w14:paraId="1E04823F" w14:textId="0A54312B" w:rsidR="00746AF8" w:rsidRPr="00746AF8" w:rsidRDefault="00746AF8" w:rsidP="00746AF8">
      <w:pPr>
        <w:jc w:val="both"/>
      </w:pPr>
      <w:r w:rsidRPr="00746AF8">
        <w:rPr>
          <w:rFonts w:eastAsia="Calibri"/>
          <w:bCs/>
        </w:rPr>
        <w:t xml:space="preserve">DUSC noted that PBAC first considered apremilast for CPP in 2015 and was PBS-listed in 2021. DUSC noted the substantial changes to the prescribing landscape with the introduction of new therapies during this period. DUSC commented that by the time apremilast was PBS listed, the patient familiarisation program would have ceased, and patients would have likely transitioned to biologic therapies. However, DUSC commented that patients may have preferred treatment with apremilast due to its oral administration and considered to be relatively safe. </w:t>
      </w:r>
    </w:p>
    <w:p w14:paraId="1E722DED" w14:textId="00ADF2A0" w:rsidR="00746AF8" w:rsidRPr="00746AF8" w:rsidRDefault="00746AF8" w:rsidP="00746AF8">
      <w:pPr>
        <w:rPr>
          <w:lang w:val="en-GB"/>
        </w:rPr>
      </w:pPr>
      <w:r w:rsidRPr="00746AF8">
        <w:rPr>
          <w:lang w:val="en-GB"/>
        </w:rPr>
        <w:t>DUSC noted the extension to PBS listing in September 2022 to allow continuing prescribing by general practitioners. The Pre-Sub-Committee Response (PSCR, p2) had noted based on Figure 12 of the report, GP prescribing was taking place prior to the September 2022 listing change. The PSCR requested a breakdown of data by geographical area to understand if this trend is associated with areas where: access to specialty dermatology care is particularly difficult (</w:t>
      </w:r>
      <w:proofErr w:type="gramStart"/>
      <w:r w:rsidRPr="00746AF8">
        <w:rPr>
          <w:lang w:val="en-GB"/>
        </w:rPr>
        <w:t>e.g.</w:t>
      </w:r>
      <w:proofErr w:type="gramEnd"/>
      <w:r w:rsidRPr="00746AF8">
        <w:rPr>
          <w:lang w:val="en-GB"/>
        </w:rPr>
        <w:t xml:space="preserve"> rural and remote Australia); or GP-dermatologist shared care arrangements are established.” DUSC noted the initial patients were defined based on first PBS supply, irrespective of item code. DUSC noted additional analyses based on prescriber type and remote area before and after the September 2022 listing change and noted minor changes in prescriber type across remote areas before and after the listing change.  </w:t>
      </w:r>
    </w:p>
    <w:p w14:paraId="167C0007" w14:textId="77777777" w:rsidR="00746AF8" w:rsidRDefault="00746AF8" w:rsidP="00746AF8">
      <w:pPr>
        <w:pStyle w:val="Heading1"/>
      </w:pPr>
      <w:r>
        <w:t>DUSC actions</w:t>
      </w:r>
    </w:p>
    <w:p w14:paraId="64613A03" w14:textId="21CE69A3" w:rsidR="00746AF8" w:rsidRPr="00746AF8" w:rsidRDefault="00746AF8" w:rsidP="00746AF8">
      <w:pPr>
        <w:rPr>
          <w:rFonts w:cstheme="minorHAnsi"/>
          <w:color w:val="222222"/>
          <w:shd w:val="clear" w:color="auto" w:fill="FFFFFF"/>
        </w:rPr>
      </w:pPr>
      <w:r>
        <w:rPr>
          <w:rFonts w:cstheme="minorHAnsi"/>
          <w:color w:val="222222"/>
          <w:shd w:val="clear" w:color="auto" w:fill="FFFFFF"/>
        </w:rPr>
        <w:t xml:space="preserve">DUSC requested the report be provided to the PBAC for consideration. </w:t>
      </w:r>
    </w:p>
    <w:p w14:paraId="2F46D634" w14:textId="77777777" w:rsidR="00746AF8" w:rsidRDefault="00746AF8" w:rsidP="00746AF8">
      <w:pPr>
        <w:pStyle w:val="Heading1"/>
      </w:pPr>
      <w:r w:rsidRPr="0092516A">
        <w:t>Context for analysis</w:t>
      </w:r>
    </w:p>
    <w:p w14:paraId="4B9448BB" w14:textId="77777777" w:rsidR="00746AF8" w:rsidRDefault="00746AF8" w:rsidP="00746AF8">
      <w:r>
        <w:t>The DUSC is a Sub Committee of the Pharmaceutical Benefits Advisory Committee (PBAC). The DUSC assesses estimates on projected usage and financial cost of medicines.</w:t>
      </w:r>
    </w:p>
    <w:p w14:paraId="12B6FE7C" w14:textId="77777777" w:rsidR="00746AF8" w:rsidRDefault="00746AF8" w:rsidP="00746AF8">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114D98A4" w14:textId="77777777" w:rsidR="00746AF8" w:rsidRDefault="00746AF8" w:rsidP="00746AF8">
      <w:r>
        <w:t xml:space="preserve">The DUSC operates in accordance with the quality use of medicines objective of the National Medicines Policy and considers that the DUSC utilisation analyses will assist consumers and health professionals to better understand the costs, </w:t>
      </w:r>
      <w:proofErr w:type="gramStart"/>
      <w:r>
        <w:t>benefits</w:t>
      </w:r>
      <w:proofErr w:type="gramEnd"/>
      <w:r>
        <w:t xml:space="preserve"> and risks of medicines.</w:t>
      </w:r>
    </w:p>
    <w:p w14:paraId="68E58AE4" w14:textId="77777777" w:rsidR="00746AF8" w:rsidRDefault="00746AF8" w:rsidP="00746AF8">
      <w:r>
        <w:t>The utilisation analysis report was provided to the pharmaceutical sponsors of each drug and comments on the report were provided to DUSC prior to its consideration of the analysis.</w:t>
      </w:r>
    </w:p>
    <w:p w14:paraId="490E3953" w14:textId="77777777" w:rsidR="00746AF8" w:rsidRDefault="00746AF8" w:rsidP="00746AF8">
      <w:pPr>
        <w:pStyle w:val="Heading1"/>
      </w:pPr>
      <w:r>
        <w:lastRenderedPageBreak/>
        <w:t>Sponsor</w:t>
      </w:r>
      <w:r w:rsidRPr="0092516A">
        <w:t>s</w:t>
      </w:r>
      <w:r>
        <w:t>’</w:t>
      </w:r>
      <w:r w:rsidRPr="0092516A">
        <w:t xml:space="preserve"> comments</w:t>
      </w:r>
    </w:p>
    <w:p w14:paraId="23B5C8CA" w14:textId="170BACD0" w:rsidR="00746AF8" w:rsidRDefault="00746AF8" w:rsidP="00746AF8">
      <w:pPr>
        <w:rPr>
          <w:rFonts w:ascii="Calibri" w:hAnsi="Calibri"/>
        </w:rPr>
      </w:pPr>
      <w:r>
        <w:rPr>
          <w:rFonts w:ascii="Calibri" w:hAnsi="Calibri"/>
        </w:rPr>
        <w:t xml:space="preserve">Amgen Australia Pty Limited: </w:t>
      </w:r>
      <w:r w:rsidR="00EA53E1">
        <w:rPr>
          <w:rFonts w:ascii="Calibri" w:hAnsi="Calibri"/>
        </w:rPr>
        <w:t xml:space="preserve">The sponsor has no comment. </w:t>
      </w:r>
    </w:p>
    <w:p w14:paraId="178F26EA" w14:textId="77777777" w:rsidR="00746AF8" w:rsidRDefault="00746AF8" w:rsidP="00746AF8">
      <w:pPr>
        <w:pStyle w:val="Heading1"/>
      </w:pPr>
      <w:r w:rsidRPr="00A4020E">
        <w:t>Disclaimer</w:t>
      </w:r>
    </w:p>
    <w:p w14:paraId="69D4976D" w14:textId="77777777" w:rsidR="00746AF8" w:rsidRDefault="00746AF8" w:rsidP="00746AF8">
      <w:r>
        <w:t xml:space="preserve">The information provided in this report does not constitute medical advice and is not intended to take the place of professional medical advice or care.  It is not intended to define what constitutes reasonable, </w:t>
      </w:r>
      <w:proofErr w:type="gramStart"/>
      <w:r>
        <w:t>appropriate</w:t>
      </w:r>
      <w:proofErr w:type="gramEnd"/>
      <w:r>
        <w:t xml:space="preserve"> or best care for any individual for any given health issue.  The information should not be used as a substitute for the judgement and skill of a medical practitioner.</w:t>
      </w:r>
    </w:p>
    <w:p w14:paraId="1BC22830" w14:textId="77777777" w:rsidR="00746AF8" w:rsidRDefault="00746AF8" w:rsidP="00746AF8">
      <w:r>
        <w:t xml:space="preserve">The Department of Health and Aged Care has made all reasonable efforts to ensure that information provided in this report is accurate. The information provided in this report was </w:t>
      </w:r>
      <w:proofErr w:type="gramStart"/>
      <w:r>
        <w:t>up-to-date</w:t>
      </w:r>
      <w:proofErr w:type="gramEnd"/>
      <w:r>
        <w:t xml:space="preserve"> when it was considered by the Drug Utilisation Sub-committee of the Pharmaceutical Benefits Advisory Committee.  The context for that information may have changed since publication.</w:t>
      </w:r>
    </w:p>
    <w:p w14:paraId="028C6905" w14:textId="77777777" w:rsidR="00746AF8" w:rsidRDefault="00746AF8" w:rsidP="00746AF8">
      <w:r>
        <w:t xml:space="preserve">To the extent provided by law, the Department of Health and Aged Care makes no warranties or representations as to accuracy or completeness of information contained in this report. </w:t>
      </w:r>
    </w:p>
    <w:p w14:paraId="16230E92" w14:textId="55D32070" w:rsidR="003A715A" w:rsidRDefault="00746AF8" w:rsidP="00FC0916">
      <w:r>
        <w:t>To the fullest extent permitted by law, neither the Department of Health and Aged Care nor any Department of Health and Aged Care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6998B52E" w14:textId="77777777" w:rsidR="003C3B80" w:rsidRDefault="003C3B80" w:rsidP="00FC0916"/>
    <w:p w14:paraId="1326ED7B" w14:textId="77777777" w:rsidR="003C3B80" w:rsidRDefault="003C3B80" w:rsidP="00FC0916"/>
    <w:p w14:paraId="31B1BAA2" w14:textId="77777777" w:rsidR="003C3B80" w:rsidRDefault="003C3B80" w:rsidP="00FC0916"/>
    <w:p w14:paraId="775E6EB7" w14:textId="77777777" w:rsidR="003C3B80" w:rsidRDefault="003C3B80" w:rsidP="00FC0916"/>
    <w:p w14:paraId="7C1E9AF9" w14:textId="77777777" w:rsidR="003C3B80" w:rsidRDefault="003C3B80" w:rsidP="00FC0916"/>
    <w:p w14:paraId="45B3E404" w14:textId="77777777" w:rsidR="007E1F8D" w:rsidRDefault="007E1F8D" w:rsidP="00FC0916"/>
    <w:p w14:paraId="1185521B" w14:textId="77777777" w:rsidR="007E1F8D" w:rsidRPr="00FC0916" w:rsidRDefault="007E1F8D" w:rsidP="00FC0916"/>
    <w:p w14:paraId="4D789746" w14:textId="77777777" w:rsidR="003E6D25" w:rsidRDefault="003E6D25">
      <w:pPr>
        <w:spacing w:line="276" w:lineRule="auto"/>
        <w:rPr>
          <w:rFonts w:eastAsiaTheme="majorEastAsia" w:cstheme="majorBidi"/>
          <w:b/>
          <w:bCs/>
          <w:sz w:val="32"/>
          <w:szCs w:val="32"/>
        </w:rPr>
      </w:pPr>
      <w:r>
        <w:br w:type="page"/>
      </w:r>
    </w:p>
    <w:p w14:paraId="5C6D982A" w14:textId="67B2B28C" w:rsidR="003A715A" w:rsidRDefault="003A715A" w:rsidP="003A715A">
      <w:pPr>
        <w:pStyle w:val="Heading1"/>
      </w:pPr>
      <w:r w:rsidRPr="00C050B6">
        <w:lastRenderedPageBreak/>
        <w:t>A</w:t>
      </w:r>
      <w:r>
        <w:t xml:space="preserve">ppendix </w:t>
      </w:r>
    </w:p>
    <w:p w14:paraId="0734C0B9" w14:textId="0263916C" w:rsidR="00451ECD" w:rsidRPr="003A715A" w:rsidRDefault="003A715A" w:rsidP="003A715A">
      <w:pPr>
        <w:pStyle w:val="Heading2"/>
      </w:pPr>
      <w:r w:rsidRPr="005E22C2">
        <w:t>A</w:t>
      </w:r>
      <w:r>
        <w:t xml:space="preserve">ppendix A: Listing history for </w:t>
      </w:r>
      <w:r w:rsidR="00390509">
        <w:t>PBS list</w:t>
      </w:r>
      <w:r>
        <w:t xml:space="preserve">ed medicines for </w:t>
      </w:r>
      <w:proofErr w:type="gramStart"/>
      <w:r>
        <w:t>CPP</w:t>
      </w:r>
      <w:proofErr w:type="gramEnd"/>
      <w:r>
        <w:t xml:space="preserve"> </w:t>
      </w:r>
    </w:p>
    <w:tbl>
      <w:tblPr>
        <w:tblStyle w:val="TableGrid"/>
        <w:tblW w:w="0" w:type="auto"/>
        <w:tblLook w:val="04A0" w:firstRow="1" w:lastRow="0" w:firstColumn="1" w:lastColumn="0" w:noHBand="0" w:noVBand="1"/>
      </w:tblPr>
      <w:tblGrid>
        <w:gridCol w:w="3105"/>
        <w:gridCol w:w="3863"/>
      </w:tblGrid>
      <w:tr w:rsidR="00451ECD" w:rsidRPr="000B0887" w14:paraId="42001FC6" w14:textId="77777777" w:rsidTr="003A715A">
        <w:trPr>
          <w:trHeight w:val="277"/>
        </w:trPr>
        <w:tc>
          <w:tcPr>
            <w:tcW w:w="3105" w:type="dxa"/>
            <w:shd w:val="clear" w:color="auto" w:fill="BFBFBF" w:themeFill="background1" w:themeFillShade="BF"/>
          </w:tcPr>
          <w:p w14:paraId="0DD2257E" w14:textId="77777777" w:rsidR="00451ECD" w:rsidRPr="000B0887" w:rsidRDefault="00451ECD" w:rsidP="00EB6BF0">
            <w:pPr>
              <w:spacing w:before="60" w:after="60"/>
              <w:rPr>
                <w:b/>
                <w:bCs/>
                <w:sz w:val="20"/>
                <w:szCs w:val="20"/>
              </w:rPr>
            </w:pPr>
            <w:r w:rsidRPr="000B0887">
              <w:rPr>
                <w:b/>
                <w:bCs/>
                <w:sz w:val="20"/>
                <w:szCs w:val="20"/>
              </w:rPr>
              <w:t>First PBS listing date for CPP</w:t>
            </w:r>
          </w:p>
        </w:tc>
        <w:tc>
          <w:tcPr>
            <w:tcW w:w="3863" w:type="dxa"/>
            <w:shd w:val="clear" w:color="auto" w:fill="BFBFBF" w:themeFill="background1" w:themeFillShade="BF"/>
          </w:tcPr>
          <w:p w14:paraId="51F513A9" w14:textId="306B1287" w:rsidR="00451ECD" w:rsidRPr="000B0887" w:rsidRDefault="003A715A" w:rsidP="00EB6BF0">
            <w:pPr>
              <w:spacing w:before="60" w:after="60"/>
              <w:rPr>
                <w:b/>
                <w:bCs/>
                <w:sz w:val="20"/>
                <w:szCs w:val="20"/>
              </w:rPr>
            </w:pPr>
            <w:r w:rsidRPr="000B0887">
              <w:rPr>
                <w:b/>
                <w:bCs/>
                <w:sz w:val="20"/>
                <w:szCs w:val="20"/>
              </w:rPr>
              <w:t>Medicine</w:t>
            </w:r>
            <w:r w:rsidR="00451ECD" w:rsidRPr="000B0887">
              <w:rPr>
                <w:b/>
                <w:bCs/>
                <w:sz w:val="20"/>
                <w:szCs w:val="20"/>
              </w:rPr>
              <w:t xml:space="preserve"> </w:t>
            </w:r>
          </w:p>
        </w:tc>
      </w:tr>
      <w:tr w:rsidR="002F4404" w:rsidRPr="000B0887" w14:paraId="1BFC7887" w14:textId="77777777" w:rsidTr="003A715A">
        <w:trPr>
          <w:trHeight w:val="277"/>
        </w:trPr>
        <w:tc>
          <w:tcPr>
            <w:tcW w:w="3105" w:type="dxa"/>
          </w:tcPr>
          <w:p w14:paraId="35BD2089" w14:textId="00100819" w:rsidR="002F4404" w:rsidRPr="000B0887" w:rsidRDefault="002F4404" w:rsidP="00EB6BF0">
            <w:pPr>
              <w:spacing w:before="60" w:after="60"/>
              <w:rPr>
                <w:sz w:val="20"/>
                <w:szCs w:val="20"/>
              </w:rPr>
            </w:pPr>
            <w:r w:rsidRPr="000B0887">
              <w:rPr>
                <w:sz w:val="20"/>
                <w:szCs w:val="20"/>
              </w:rPr>
              <w:t>May 2000</w:t>
            </w:r>
          </w:p>
        </w:tc>
        <w:tc>
          <w:tcPr>
            <w:tcW w:w="3863" w:type="dxa"/>
          </w:tcPr>
          <w:p w14:paraId="3395FC4A" w14:textId="41AAAB81" w:rsidR="002F4404" w:rsidRPr="000B0887" w:rsidRDefault="00EC4591" w:rsidP="00EB6BF0">
            <w:pPr>
              <w:spacing w:before="60" w:after="60"/>
              <w:rPr>
                <w:sz w:val="20"/>
                <w:szCs w:val="20"/>
              </w:rPr>
            </w:pPr>
            <w:r w:rsidRPr="000B0887">
              <w:rPr>
                <w:sz w:val="20"/>
                <w:szCs w:val="20"/>
              </w:rPr>
              <w:t>ACITRETIN</w:t>
            </w:r>
          </w:p>
        </w:tc>
      </w:tr>
      <w:tr w:rsidR="00033BE7" w:rsidRPr="000B0887" w14:paraId="19CFA3F0" w14:textId="77777777" w:rsidTr="003A715A">
        <w:trPr>
          <w:trHeight w:val="277"/>
        </w:trPr>
        <w:tc>
          <w:tcPr>
            <w:tcW w:w="3105" w:type="dxa"/>
          </w:tcPr>
          <w:p w14:paraId="53F51CB1" w14:textId="5B248381" w:rsidR="00033BE7" w:rsidRPr="000B0887" w:rsidRDefault="00033BE7" w:rsidP="00EB6BF0">
            <w:pPr>
              <w:spacing w:before="60" w:after="60"/>
              <w:rPr>
                <w:sz w:val="20"/>
                <w:szCs w:val="20"/>
              </w:rPr>
            </w:pPr>
            <w:r w:rsidRPr="000B0887">
              <w:rPr>
                <w:sz w:val="20"/>
                <w:szCs w:val="20"/>
              </w:rPr>
              <w:t>February 2003</w:t>
            </w:r>
          </w:p>
        </w:tc>
        <w:tc>
          <w:tcPr>
            <w:tcW w:w="3863" w:type="dxa"/>
          </w:tcPr>
          <w:p w14:paraId="7D5AA743" w14:textId="5EB29DAB" w:rsidR="00033BE7" w:rsidRPr="000B0887" w:rsidRDefault="00EC4591" w:rsidP="00EB6BF0">
            <w:pPr>
              <w:spacing w:before="60" w:after="60"/>
              <w:rPr>
                <w:sz w:val="20"/>
                <w:szCs w:val="20"/>
              </w:rPr>
            </w:pPr>
            <w:r w:rsidRPr="000B0887">
              <w:rPr>
                <w:sz w:val="20"/>
                <w:szCs w:val="20"/>
              </w:rPr>
              <w:t>CICLOSPORIN</w:t>
            </w:r>
          </w:p>
        </w:tc>
      </w:tr>
      <w:tr w:rsidR="00451ECD" w:rsidRPr="000B0887" w14:paraId="2958C000" w14:textId="77777777" w:rsidTr="003A715A">
        <w:trPr>
          <w:trHeight w:val="277"/>
        </w:trPr>
        <w:tc>
          <w:tcPr>
            <w:tcW w:w="3105" w:type="dxa"/>
          </w:tcPr>
          <w:p w14:paraId="19CFBF8E" w14:textId="77777777" w:rsidR="00451ECD" w:rsidRPr="000B0887" w:rsidRDefault="00451ECD" w:rsidP="00EB6BF0">
            <w:pPr>
              <w:spacing w:before="60" w:after="60"/>
              <w:rPr>
                <w:sz w:val="20"/>
                <w:szCs w:val="20"/>
              </w:rPr>
            </w:pPr>
            <w:r w:rsidRPr="000B0887">
              <w:rPr>
                <w:sz w:val="20"/>
                <w:szCs w:val="20"/>
              </w:rPr>
              <w:t>August 2006</w:t>
            </w:r>
          </w:p>
        </w:tc>
        <w:tc>
          <w:tcPr>
            <w:tcW w:w="3863" w:type="dxa"/>
          </w:tcPr>
          <w:p w14:paraId="51F46F25" w14:textId="0AC357F9" w:rsidR="00451ECD" w:rsidRPr="000B0887" w:rsidRDefault="00EC4591" w:rsidP="00EB6BF0">
            <w:pPr>
              <w:spacing w:before="60" w:after="60"/>
              <w:rPr>
                <w:sz w:val="20"/>
                <w:szCs w:val="20"/>
              </w:rPr>
            </w:pPr>
            <w:r w:rsidRPr="000B0887">
              <w:rPr>
                <w:sz w:val="20"/>
                <w:szCs w:val="20"/>
              </w:rPr>
              <w:t xml:space="preserve">ENTANERCEPT </w:t>
            </w:r>
          </w:p>
        </w:tc>
      </w:tr>
      <w:tr w:rsidR="00451ECD" w:rsidRPr="000B0887" w14:paraId="0BED59E5" w14:textId="77777777" w:rsidTr="003A715A">
        <w:trPr>
          <w:trHeight w:val="277"/>
        </w:trPr>
        <w:tc>
          <w:tcPr>
            <w:tcW w:w="3105" w:type="dxa"/>
          </w:tcPr>
          <w:p w14:paraId="4CCA8682" w14:textId="77777777" w:rsidR="00451ECD" w:rsidRPr="000B0887" w:rsidRDefault="00451ECD" w:rsidP="00EB6BF0">
            <w:pPr>
              <w:spacing w:before="60" w:after="60"/>
              <w:rPr>
                <w:sz w:val="20"/>
                <w:szCs w:val="20"/>
              </w:rPr>
            </w:pPr>
            <w:r w:rsidRPr="000B0887">
              <w:rPr>
                <w:sz w:val="20"/>
                <w:szCs w:val="20"/>
              </w:rPr>
              <w:t>December 2007</w:t>
            </w:r>
          </w:p>
        </w:tc>
        <w:tc>
          <w:tcPr>
            <w:tcW w:w="3863" w:type="dxa"/>
          </w:tcPr>
          <w:p w14:paraId="10970026" w14:textId="7B4E552B" w:rsidR="00451ECD" w:rsidRPr="000B0887" w:rsidRDefault="00EC4591" w:rsidP="00EB6BF0">
            <w:pPr>
              <w:spacing w:before="60" w:after="60"/>
              <w:rPr>
                <w:sz w:val="20"/>
                <w:szCs w:val="20"/>
              </w:rPr>
            </w:pPr>
            <w:r w:rsidRPr="000B0887">
              <w:rPr>
                <w:sz w:val="20"/>
                <w:szCs w:val="20"/>
              </w:rPr>
              <w:t>INFLIXIMAB</w:t>
            </w:r>
          </w:p>
        </w:tc>
      </w:tr>
      <w:tr w:rsidR="00451ECD" w:rsidRPr="000B0887" w14:paraId="6DF8D72F" w14:textId="77777777" w:rsidTr="003A715A">
        <w:trPr>
          <w:trHeight w:val="267"/>
        </w:trPr>
        <w:tc>
          <w:tcPr>
            <w:tcW w:w="3105" w:type="dxa"/>
          </w:tcPr>
          <w:p w14:paraId="2B9E607D" w14:textId="77777777" w:rsidR="00451ECD" w:rsidRPr="000B0887" w:rsidRDefault="00451ECD" w:rsidP="00EB6BF0">
            <w:pPr>
              <w:spacing w:before="60" w:after="60"/>
              <w:rPr>
                <w:sz w:val="20"/>
                <w:szCs w:val="20"/>
              </w:rPr>
            </w:pPr>
            <w:r w:rsidRPr="000B0887">
              <w:rPr>
                <w:sz w:val="20"/>
                <w:szCs w:val="20"/>
              </w:rPr>
              <w:t xml:space="preserve">June 2009 </w:t>
            </w:r>
          </w:p>
        </w:tc>
        <w:tc>
          <w:tcPr>
            <w:tcW w:w="3863" w:type="dxa"/>
          </w:tcPr>
          <w:p w14:paraId="75E85B05" w14:textId="617B7166" w:rsidR="00451ECD" w:rsidRPr="000B0887" w:rsidRDefault="00EC4591" w:rsidP="00EB6BF0">
            <w:pPr>
              <w:spacing w:before="60" w:after="60"/>
              <w:rPr>
                <w:sz w:val="20"/>
                <w:szCs w:val="20"/>
              </w:rPr>
            </w:pPr>
            <w:r w:rsidRPr="000B0887">
              <w:rPr>
                <w:sz w:val="20"/>
                <w:szCs w:val="20"/>
              </w:rPr>
              <w:t xml:space="preserve">ADALIMUMAB </w:t>
            </w:r>
          </w:p>
        </w:tc>
      </w:tr>
      <w:tr w:rsidR="00451ECD" w:rsidRPr="000B0887" w14:paraId="226534BF" w14:textId="77777777" w:rsidTr="003A715A">
        <w:trPr>
          <w:trHeight w:val="277"/>
        </w:trPr>
        <w:tc>
          <w:tcPr>
            <w:tcW w:w="3105" w:type="dxa"/>
          </w:tcPr>
          <w:p w14:paraId="7E641663" w14:textId="77777777" w:rsidR="00451ECD" w:rsidRPr="000B0887" w:rsidRDefault="00451ECD" w:rsidP="00EB6BF0">
            <w:pPr>
              <w:spacing w:before="60" w:after="60"/>
              <w:rPr>
                <w:sz w:val="20"/>
                <w:szCs w:val="20"/>
              </w:rPr>
            </w:pPr>
            <w:r w:rsidRPr="000B0887">
              <w:rPr>
                <w:sz w:val="20"/>
                <w:szCs w:val="20"/>
              </w:rPr>
              <w:t xml:space="preserve">March 2010 </w:t>
            </w:r>
          </w:p>
        </w:tc>
        <w:tc>
          <w:tcPr>
            <w:tcW w:w="3863" w:type="dxa"/>
          </w:tcPr>
          <w:p w14:paraId="60BBDEF5" w14:textId="1F0DFBDF" w:rsidR="00451ECD" w:rsidRPr="000B0887" w:rsidRDefault="00EC4591" w:rsidP="00EB6BF0">
            <w:pPr>
              <w:spacing w:before="60" w:after="60"/>
              <w:rPr>
                <w:sz w:val="20"/>
                <w:szCs w:val="20"/>
              </w:rPr>
            </w:pPr>
            <w:r w:rsidRPr="000B0887">
              <w:rPr>
                <w:sz w:val="20"/>
                <w:szCs w:val="20"/>
              </w:rPr>
              <w:t xml:space="preserve">USTEKINUMAB </w:t>
            </w:r>
          </w:p>
        </w:tc>
      </w:tr>
      <w:tr w:rsidR="00451ECD" w:rsidRPr="000B0887" w14:paraId="0CAF4825" w14:textId="77777777" w:rsidTr="003A715A">
        <w:trPr>
          <w:trHeight w:val="277"/>
        </w:trPr>
        <w:tc>
          <w:tcPr>
            <w:tcW w:w="3105" w:type="dxa"/>
          </w:tcPr>
          <w:p w14:paraId="1FA551C4" w14:textId="77777777" w:rsidR="00451ECD" w:rsidRPr="000B0887" w:rsidRDefault="00451ECD" w:rsidP="00EB6BF0">
            <w:pPr>
              <w:spacing w:before="60" w:after="60"/>
              <w:rPr>
                <w:sz w:val="20"/>
                <w:szCs w:val="20"/>
              </w:rPr>
            </w:pPr>
            <w:r w:rsidRPr="000B0887">
              <w:rPr>
                <w:sz w:val="20"/>
                <w:szCs w:val="20"/>
              </w:rPr>
              <w:t xml:space="preserve">September 2015 </w:t>
            </w:r>
          </w:p>
        </w:tc>
        <w:tc>
          <w:tcPr>
            <w:tcW w:w="3863" w:type="dxa"/>
          </w:tcPr>
          <w:p w14:paraId="243E7F88" w14:textId="4EE50BD4" w:rsidR="00451ECD" w:rsidRPr="000B0887" w:rsidRDefault="00EC4591" w:rsidP="00EB6BF0">
            <w:pPr>
              <w:spacing w:before="60" w:after="60"/>
              <w:rPr>
                <w:sz w:val="20"/>
                <w:szCs w:val="20"/>
              </w:rPr>
            </w:pPr>
            <w:r w:rsidRPr="000B0887">
              <w:rPr>
                <w:sz w:val="20"/>
                <w:szCs w:val="20"/>
              </w:rPr>
              <w:t xml:space="preserve">SECUKINUMAB </w:t>
            </w:r>
          </w:p>
        </w:tc>
      </w:tr>
      <w:tr w:rsidR="00451ECD" w:rsidRPr="000B0887" w14:paraId="6C37DF03" w14:textId="77777777" w:rsidTr="003A715A">
        <w:trPr>
          <w:trHeight w:val="277"/>
        </w:trPr>
        <w:tc>
          <w:tcPr>
            <w:tcW w:w="3105" w:type="dxa"/>
          </w:tcPr>
          <w:p w14:paraId="3B6F6EB6" w14:textId="77777777" w:rsidR="00451ECD" w:rsidRPr="000B0887" w:rsidRDefault="00451ECD" w:rsidP="00EB6BF0">
            <w:pPr>
              <w:spacing w:before="60" w:after="60"/>
              <w:rPr>
                <w:sz w:val="20"/>
                <w:szCs w:val="20"/>
              </w:rPr>
            </w:pPr>
            <w:r w:rsidRPr="000B0887">
              <w:rPr>
                <w:sz w:val="20"/>
                <w:szCs w:val="20"/>
              </w:rPr>
              <w:t xml:space="preserve">December 2017 </w:t>
            </w:r>
          </w:p>
        </w:tc>
        <w:tc>
          <w:tcPr>
            <w:tcW w:w="3863" w:type="dxa"/>
          </w:tcPr>
          <w:p w14:paraId="3CF70998" w14:textId="5AD9E013" w:rsidR="00451ECD" w:rsidRPr="000B0887" w:rsidRDefault="00EC4591" w:rsidP="00EB6BF0">
            <w:pPr>
              <w:spacing w:before="60" w:after="60"/>
              <w:rPr>
                <w:sz w:val="20"/>
                <w:szCs w:val="20"/>
              </w:rPr>
            </w:pPr>
            <w:r w:rsidRPr="000B0887">
              <w:rPr>
                <w:sz w:val="20"/>
                <w:szCs w:val="20"/>
              </w:rPr>
              <w:t xml:space="preserve">IXEKIZUMAB </w:t>
            </w:r>
          </w:p>
        </w:tc>
      </w:tr>
      <w:tr w:rsidR="005A6963" w:rsidRPr="000B0887" w14:paraId="65EF451A" w14:textId="77777777" w:rsidTr="003A715A">
        <w:trPr>
          <w:trHeight w:val="277"/>
        </w:trPr>
        <w:tc>
          <w:tcPr>
            <w:tcW w:w="3105" w:type="dxa"/>
          </w:tcPr>
          <w:p w14:paraId="0067ED20" w14:textId="1F86DD4F" w:rsidR="005A6963" w:rsidRPr="000B0887" w:rsidRDefault="005A6963" w:rsidP="00EB6BF0">
            <w:pPr>
              <w:spacing w:before="60" w:after="60"/>
              <w:rPr>
                <w:sz w:val="20"/>
                <w:szCs w:val="20"/>
              </w:rPr>
            </w:pPr>
            <w:r w:rsidRPr="000B0887">
              <w:rPr>
                <w:sz w:val="20"/>
                <w:szCs w:val="20"/>
              </w:rPr>
              <w:t xml:space="preserve">April 2018 </w:t>
            </w:r>
          </w:p>
        </w:tc>
        <w:tc>
          <w:tcPr>
            <w:tcW w:w="3863" w:type="dxa"/>
          </w:tcPr>
          <w:p w14:paraId="2E008B5D" w14:textId="22CCD4A0" w:rsidR="005A6963" w:rsidRPr="000B0887" w:rsidRDefault="00EC4591" w:rsidP="00EB6BF0">
            <w:pPr>
              <w:spacing w:before="60" w:after="60"/>
              <w:rPr>
                <w:sz w:val="20"/>
                <w:szCs w:val="20"/>
              </w:rPr>
            </w:pPr>
            <w:r w:rsidRPr="000B0887">
              <w:rPr>
                <w:sz w:val="20"/>
                <w:szCs w:val="20"/>
              </w:rPr>
              <w:t>METHOTREXATE</w:t>
            </w:r>
          </w:p>
        </w:tc>
      </w:tr>
      <w:tr w:rsidR="00451ECD" w:rsidRPr="000B0887" w14:paraId="3B57FED5" w14:textId="77777777" w:rsidTr="003A715A">
        <w:trPr>
          <w:trHeight w:val="277"/>
        </w:trPr>
        <w:tc>
          <w:tcPr>
            <w:tcW w:w="3105" w:type="dxa"/>
          </w:tcPr>
          <w:p w14:paraId="36736B47" w14:textId="77777777" w:rsidR="00451ECD" w:rsidRPr="000B0887" w:rsidRDefault="00451ECD" w:rsidP="00EB6BF0">
            <w:pPr>
              <w:spacing w:before="60" w:after="60"/>
              <w:rPr>
                <w:sz w:val="20"/>
                <w:szCs w:val="20"/>
              </w:rPr>
            </w:pPr>
            <w:r w:rsidRPr="000B0887">
              <w:rPr>
                <w:sz w:val="20"/>
                <w:szCs w:val="20"/>
              </w:rPr>
              <w:t xml:space="preserve">February 2019 </w:t>
            </w:r>
          </w:p>
        </w:tc>
        <w:tc>
          <w:tcPr>
            <w:tcW w:w="3863" w:type="dxa"/>
          </w:tcPr>
          <w:p w14:paraId="04E75FEF" w14:textId="230D7501" w:rsidR="00451ECD" w:rsidRPr="000B0887" w:rsidRDefault="00EC4591" w:rsidP="00EB6BF0">
            <w:pPr>
              <w:spacing w:before="60" w:after="60"/>
              <w:rPr>
                <w:sz w:val="20"/>
                <w:szCs w:val="20"/>
              </w:rPr>
            </w:pPr>
            <w:r w:rsidRPr="000B0887">
              <w:rPr>
                <w:sz w:val="20"/>
                <w:szCs w:val="20"/>
              </w:rPr>
              <w:t xml:space="preserve">GUSELKUMAB </w:t>
            </w:r>
          </w:p>
        </w:tc>
      </w:tr>
      <w:tr w:rsidR="00451ECD" w:rsidRPr="000B0887" w14:paraId="70612130" w14:textId="77777777" w:rsidTr="003A715A">
        <w:trPr>
          <w:trHeight w:val="277"/>
        </w:trPr>
        <w:tc>
          <w:tcPr>
            <w:tcW w:w="3105" w:type="dxa"/>
          </w:tcPr>
          <w:p w14:paraId="39D81542" w14:textId="77777777" w:rsidR="00451ECD" w:rsidRPr="000B0887" w:rsidRDefault="00451ECD" w:rsidP="00EB6BF0">
            <w:pPr>
              <w:spacing w:before="60" w:after="60"/>
              <w:rPr>
                <w:sz w:val="20"/>
                <w:szCs w:val="20"/>
              </w:rPr>
            </w:pPr>
            <w:r w:rsidRPr="000B0887">
              <w:rPr>
                <w:sz w:val="20"/>
                <w:szCs w:val="20"/>
              </w:rPr>
              <w:t xml:space="preserve">February 2019 </w:t>
            </w:r>
          </w:p>
        </w:tc>
        <w:tc>
          <w:tcPr>
            <w:tcW w:w="3863" w:type="dxa"/>
          </w:tcPr>
          <w:p w14:paraId="31B463B0" w14:textId="193BC20B" w:rsidR="00451ECD" w:rsidRPr="000B0887" w:rsidRDefault="00EC4591" w:rsidP="00EB6BF0">
            <w:pPr>
              <w:spacing w:before="60" w:after="60"/>
              <w:rPr>
                <w:sz w:val="20"/>
                <w:szCs w:val="20"/>
              </w:rPr>
            </w:pPr>
            <w:r w:rsidRPr="000B0887">
              <w:rPr>
                <w:sz w:val="20"/>
                <w:szCs w:val="20"/>
              </w:rPr>
              <w:t xml:space="preserve">TILDRAKIZUMAB </w:t>
            </w:r>
          </w:p>
        </w:tc>
      </w:tr>
      <w:tr w:rsidR="00451ECD" w:rsidRPr="000B0887" w14:paraId="50383D0D" w14:textId="77777777" w:rsidTr="003A715A">
        <w:trPr>
          <w:trHeight w:val="50"/>
        </w:trPr>
        <w:tc>
          <w:tcPr>
            <w:tcW w:w="3105" w:type="dxa"/>
          </w:tcPr>
          <w:p w14:paraId="59432EDD" w14:textId="77777777" w:rsidR="00451ECD" w:rsidRPr="000B0887" w:rsidRDefault="00451ECD" w:rsidP="00EB6BF0">
            <w:pPr>
              <w:spacing w:before="60" w:after="60"/>
              <w:rPr>
                <w:sz w:val="20"/>
                <w:szCs w:val="20"/>
              </w:rPr>
            </w:pPr>
            <w:r w:rsidRPr="000B0887">
              <w:rPr>
                <w:sz w:val="20"/>
                <w:szCs w:val="20"/>
              </w:rPr>
              <w:t xml:space="preserve">December 2019 </w:t>
            </w:r>
          </w:p>
        </w:tc>
        <w:tc>
          <w:tcPr>
            <w:tcW w:w="3863" w:type="dxa"/>
          </w:tcPr>
          <w:p w14:paraId="0169BB04" w14:textId="40345226" w:rsidR="00451ECD" w:rsidRPr="000B0887" w:rsidRDefault="00EC4591" w:rsidP="00EB6BF0">
            <w:pPr>
              <w:spacing w:before="60" w:after="60"/>
              <w:rPr>
                <w:sz w:val="20"/>
                <w:szCs w:val="20"/>
              </w:rPr>
            </w:pPr>
            <w:r w:rsidRPr="000B0887">
              <w:rPr>
                <w:sz w:val="20"/>
                <w:szCs w:val="20"/>
              </w:rPr>
              <w:t xml:space="preserve">RISANKIZUMAB </w:t>
            </w:r>
          </w:p>
        </w:tc>
      </w:tr>
      <w:tr w:rsidR="00451ECD" w:rsidRPr="000B0887" w14:paraId="37223C41" w14:textId="77777777" w:rsidTr="003A715A">
        <w:trPr>
          <w:trHeight w:val="50"/>
        </w:trPr>
        <w:tc>
          <w:tcPr>
            <w:tcW w:w="3105" w:type="dxa"/>
          </w:tcPr>
          <w:p w14:paraId="0914A877" w14:textId="71A78958" w:rsidR="00451ECD" w:rsidRPr="000B0887" w:rsidRDefault="009D1E6C" w:rsidP="00EB6BF0">
            <w:pPr>
              <w:spacing w:before="60" w:after="60"/>
              <w:rPr>
                <w:sz w:val="20"/>
                <w:szCs w:val="20"/>
              </w:rPr>
            </w:pPr>
            <w:r w:rsidRPr="000B0887">
              <w:rPr>
                <w:sz w:val="20"/>
                <w:szCs w:val="20"/>
              </w:rPr>
              <w:t xml:space="preserve">January 2021 </w:t>
            </w:r>
          </w:p>
        </w:tc>
        <w:tc>
          <w:tcPr>
            <w:tcW w:w="3863" w:type="dxa"/>
          </w:tcPr>
          <w:p w14:paraId="788F93B3" w14:textId="501565BD" w:rsidR="00451ECD" w:rsidRPr="000B0887" w:rsidRDefault="00EC4591" w:rsidP="00EB6BF0">
            <w:pPr>
              <w:spacing w:before="60" w:after="60"/>
              <w:rPr>
                <w:sz w:val="20"/>
                <w:szCs w:val="20"/>
              </w:rPr>
            </w:pPr>
            <w:r w:rsidRPr="000B0887">
              <w:rPr>
                <w:sz w:val="20"/>
                <w:szCs w:val="20"/>
              </w:rPr>
              <w:t>APREMILAST</w:t>
            </w:r>
          </w:p>
        </w:tc>
      </w:tr>
    </w:tbl>
    <w:p w14:paraId="16A9E1BC" w14:textId="77777777" w:rsidR="00573FF5" w:rsidRDefault="00573FF5">
      <w:pPr>
        <w:spacing w:line="276" w:lineRule="auto"/>
      </w:pPr>
    </w:p>
    <w:sectPr w:rsidR="00573FF5" w:rsidSect="00DD188C">
      <w:footerReference w:type="even" r:id="rId28"/>
      <w:footerReference w:type="default" r:id="rId29"/>
      <w:footerReference w:type="first" r:id="rId30"/>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C29FA" w14:textId="77777777" w:rsidR="005C29B6" w:rsidRDefault="005C29B6" w:rsidP="00A35800">
      <w:r>
        <w:separator/>
      </w:r>
    </w:p>
  </w:endnote>
  <w:endnote w:type="continuationSeparator" w:id="0">
    <w:p w14:paraId="1D8678C0" w14:textId="77777777" w:rsidR="005C29B6" w:rsidRDefault="005C29B6"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D5E5" w14:textId="4E8CEABC" w:rsidR="00214013" w:rsidRDefault="00214013"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712EB">
      <w:rPr>
        <w:rStyle w:val="PageNumber"/>
        <w:noProof/>
      </w:rPr>
      <w:t>21</w:t>
    </w:r>
    <w:r>
      <w:rPr>
        <w:rStyle w:val="PageNumber"/>
      </w:rPr>
      <w:fldChar w:fldCharType="end"/>
    </w:r>
  </w:p>
  <w:p w14:paraId="2D9F9A1E" w14:textId="77777777" w:rsidR="00214013" w:rsidRDefault="00214013"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733839"/>
      <w:docPartObj>
        <w:docPartGallery w:val="Page Numbers (Bottom of Page)"/>
        <w:docPartUnique/>
      </w:docPartObj>
    </w:sdtPr>
    <w:sdtContent>
      <w:sdt>
        <w:sdtPr>
          <w:id w:val="-1669238322"/>
          <w:docPartObj>
            <w:docPartGallery w:val="Page Numbers (Top of Page)"/>
            <w:docPartUnique/>
          </w:docPartObj>
        </w:sdtPr>
        <w:sdtContent>
          <w:p w14:paraId="30682B98" w14:textId="23CC1377" w:rsidR="000E72C6" w:rsidRPr="000E72C6" w:rsidRDefault="00B4061A" w:rsidP="000E72C6">
            <w:pPr>
              <w:pStyle w:val="Footer"/>
              <w:jc w:val="center"/>
              <w:rPr>
                <w:i/>
                <w:sz w:val="20"/>
              </w:rPr>
            </w:pPr>
            <w:r>
              <w:rPr>
                <w:i/>
                <w:sz w:val="20"/>
              </w:rPr>
              <w:t>Public Release Document, September 2023 DUSC Meeting</w:t>
            </w:r>
          </w:p>
          <w:p w14:paraId="10292A9A" w14:textId="275D445E" w:rsidR="00214013" w:rsidRDefault="00DD188C"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1F0A4E">
              <w:rPr>
                <w:bCs/>
                <w:i/>
                <w:noProof/>
                <w:sz w:val="20"/>
              </w:rPr>
              <w:t>3</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1F0A4E">
              <w:rPr>
                <w:bCs/>
                <w:i/>
                <w:noProof/>
                <w:sz w:val="20"/>
              </w:rPr>
              <w:t>13</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2E1F" w14:textId="77777777" w:rsidR="007A5733" w:rsidRDefault="007A5733" w:rsidP="007A5733">
    <w:pPr>
      <w:pStyle w:val="Footer"/>
      <w:jc w:val="center"/>
      <w:rPr>
        <w:rStyle w:val="PageNumber"/>
      </w:rPr>
    </w:pPr>
    <w:r>
      <w:rPr>
        <w:rStyle w:val="PageNumber"/>
      </w:rPr>
      <w:t>Committee-in-Confidence</w:t>
    </w:r>
  </w:p>
  <w:p w14:paraId="3CE6880B" w14:textId="77777777" w:rsidR="00DD188C" w:rsidRDefault="00DD188C"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DD013" w14:textId="77777777" w:rsidR="005C29B6" w:rsidRDefault="005C29B6" w:rsidP="00A35800">
      <w:r>
        <w:separator/>
      </w:r>
    </w:p>
  </w:footnote>
  <w:footnote w:type="continuationSeparator" w:id="0">
    <w:p w14:paraId="01F325A9" w14:textId="77777777" w:rsidR="005C29B6" w:rsidRDefault="005C29B6" w:rsidP="00A35800">
      <w:r>
        <w:continuationSeparator/>
      </w:r>
    </w:p>
  </w:footnote>
  <w:footnote w:id="1">
    <w:p w14:paraId="51113CB8" w14:textId="67CC165A" w:rsidR="001A18FC" w:rsidRDefault="001A18FC">
      <w:pPr>
        <w:pStyle w:val="FootnoteText"/>
      </w:pPr>
      <w:r>
        <w:rPr>
          <w:rStyle w:val="FootnoteReference"/>
        </w:rPr>
        <w:footnoteRef/>
      </w:r>
      <w:r>
        <w:t xml:space="preserve"> </w:t>
      </w:r>
      <w:r w:rsidR="001E0D90" w:rsidRPr="001E0D90">
        <w:rPr>
          <w:rFonts w:cstheme="minorHAnsi"/>
          <w:color w:val="212121"/>
          <w:sz w:val="20"/>
          <w:shd w:val="clear" w:color="auto" w:fill="FFFFFF"/>
        </w:rPr>
        <w:t xml:space="preserve">Kimmel GW, </w:t>
      </w:r>
      <w:proofErr w:type="spellStart"/>
      <w:r w:rsidR="001E0D90" w:rsidRPr="001E0D90">
        <w:rPr>
          <w:rFonts w:cstheme="minorHAnsi"/>
          <w:color w:val="212121"/>
          <w:sz w:val="20"/>
          <w:shd w:val="clear" w:color="auto" w:fill="FFFFFF"/>
        </w:rPr>
        <w:t>Lebwohl</w:t>
      </w:r>
      <w:proofErr w:type="spellEnd"/>
      <w:r w:rsidR="001E0D90" w:rsidRPr="001E0D90">
        <w:rPr>
          <w:rFonts w:cstheme="minorHAnsi"/>
          <w:color w:val="212121"/>
          <w:sz w:val="20"/>
          <w:shd w:val="clear" w:color="auto" w:fill="FFFFFF"/>
        </w:rPr>
        <w:t xml:space="preserve"> M. Psoriasis: Overview and Diagnosis. </w:t>
      </w:r>
      <w:r w:rsidR="001E0D90" w:rsidRPr="0035132E">
        <w:rPr>
          <w:rFonts w:cstheme="minorHAnsi"/>
          <w:color w:val="212121"/>
          <w:sz w:val="20"/>
          <w:shd w:val="clear" w:color="auto" w:fill="FFFFFF"/>
        </w:rPr>
        <w:t>Evidence-Based Psoriasis. 2018</w:t>
      </w:r>
      <w:r w:rsidR="001E0D90" w:rsidRPr="001E0D90">
        <w:rPr>
          <w:rFonts w:cstheme="minorHAnsi"/>
          <w:color w:val="212121"/>
          <w:sz w:val="20"/>
          <w:shd w:val="clear" w:color="auto" w:fill="FFFFFF"/>
        </w:rPr>
        <w:t>;1-16. doi:10.1007/978-3-319-90107-7_1</w:t>
      </w:r>
    </w:p>
  </w:footnote>
  <w:footnote w:id="2">
    <w:p w14:paraId="408BB077" w14:textId="53620006" w:rsidR="003A5EC1" w:rsidRDefault="003A5EC1">
      <w:pPr>
        <w:pStyle w:val="FootnoteText"/>
      </w:pPr>
      <w:r>
        <w:rPr>
          <w:rStyle w:val="FootnoteReference"/>
        </w:rPr>
        <w:footnoteRef/>
      </w:r>
      <w:r>
        <w:t xml:space="preserve"> Otezla (apremilast). </w:t>
      </w:r>
      <w:r>
        <w:rPr>
          <w:szCs w:val="18"/>
        </w:rPr>
        <w:t xml:space="preserve">Australian Approved Product Information. Sydney: Amgen Australia Pty Ltd. Approved 19 March 2015, updated 1 August </w:t>
      </w:r>
      <w:proofErr w:type="gramStart"/>
      <w:r>
        <w:rPr>
          <w:szCs w:val="18"/>
        </w:rPr>
        <w:t>2023 .</w:t>
      </w:r>
      <w:proofErr w:type="gramEnd"/>
      <w:r>
        <w:rPr>
          <w:szCs w:val="18"/>
        </w:rPr>
        <w:t xml:space="preserve"> Available from &lt;</w:t>
      </w:r>
      <w:r w:rsidRPr="00CD4486">
        <w:t xml:space="preserve"> </w:t>
      </w:r>
      <w:r w:rsidRPr="00CD4486">
        <w:rPr>
          <w:szCs w:val="18"/>
        </w:rPr>
        <w:t>https://www.tga.gov.au/product-information-pi</w:t>
      </w:r>
      <w:r>
        <w:rPr>
          <w:szCs w:val="18"/>
        </w:rPr>
        <w:t>.&gt;</w:t>
      </w:r>
    </w:p>
  </w:footnote>
  <w:footnote w:id="3">
    <w:p w14:paraId="0A4DD767" w14:textId="6B3A91EE" w:rsidR="00576B18" w:rsidRPr="00BC5AE2" w:rsidRDefault="00576B18" w:rsidP="00576B18">
      <w:pPr>
        <w:pStyle w:val="FootnoteText"/>
        <w:rPr>
          <w:sz w:val="20"/>
        </w:rPr>
      </w:pPr>
      <w:r w:rsidRPr="00BC5AE2">
        <w:rPr>
          <w:rStyle w:val="FootnoteReference"/>
          <w:sz w:val="20"/>
        </w:rPr>
        <w:footnoteRef/>
      </w:r>
      <w:r w:rsidRPr="00BC5AE2">
        <w:rPr>
          <w:sz w:val="20"/>
        </w:rPr>
        <w:t xml:space="preserve"> PBS statistics</w:t>
      </w:r>
      <w:r>
        <w:rPr>
          <w:sz w:val="20"/>
        </w:rPr>
        <w:t xml:space="preserve">. Australian Government </w:t>
      </w:r>
      <w:r w:rsidR="006804E0" w:rsidRPr="006804E0">
        <w:rPr>
          <w:sz w:val="20"/>
        </w:rPr>
        <w:t>Services Australia</w:t>
      </w:r>
      <w:r>
        <w:rPr>
          <w:sz w:val="20"/>
        </w:rPr>
        <w:t>. Canberra. Available from &lt;</w:t>
      </w:r>
      <w:hyperlink r:id="rId1" w:history="1">
        <w:r>
          <w:rPr>
            <w:rStyle w:val="Hyperlink"/>
            <w:sz w:val="20"/>
          </w:rPr>
          <w:t>http://www.medicareaustralia.gov.au/provider/pbs/stats.jsp</w:t>
        </w:r>
      </w:hyperlink>
      <w:r>
        <w:rPr>
          <w:sz w:val="20"/>
        </w:rPr>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3A0D"/>
    <w:multiLevelType w:val="hybridMultilevel"/>
    <w:tmpl w:val="659A21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0140806"/>
    <w:multiLevelType w:val="hybridMultilevel"/>
    <w:tmpl w:val="ED3EF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8B187F"/>
    <w:multiLevelType w:val="hybridMultilevel"/>
    <w:tmpl w:val="F3F21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60A8A"/>
    <w:multiLevelType w:val="multilevel"/>
    <w:tmpl w:val="0AEC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14DD4"/>
    <w:multiLevelType w:val="hybridMultilevel"/>
    <w:tmpl w:val="1F94D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AB0C6B"/>
    <w:multiLevelType w:val="multilevel"/>
    <w:tmpl w:val="1B70F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CA51FF"/>
    <w:multiLevelType w:val="hybridMultilevel"/>
    <w:tmpl w:val="99B8A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143C96"/>
    <w:multiLevelType w:val="multilevel"/>
    <w:tmpl w:val="1E68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F90B9F"/>
    <w:multiLevelType w:val="hybridMultilevel"/>
    <w:tmpl w:val="09DCA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1" w15:restartNumberingAfterBreak="0">
    <w:nsid w:val="52135EE6"/>
    <w:multiLevelType w:val="multilevel"/>
    <w:tmpl w:val="CD14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8525B9D"/>
    <w:multiLevelType w:val="hybridMultilevel"/>
    <w:tmpl w:val="1450BE5C"/>
    <w:lvl w:ilvl="0" w:tplc="9522A91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1D32DC"/>
    <w:multiLevelType w:val="multilevel"/>
    <w:tmpl w:val="B3D6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880EB7"/>
    <w:multiLevelType w:val="hybridMultilevel"/>
    <w:tmpl w:val="41408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30F50E8"/>
    <w:multiLevelType w:val="hybridMultilevel"/>
    <w:tmpl w:val="C6148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4D033C"/>
    <w:multiLevelType w:val="multilevel"/>
    <w:tmpl w:val="797277F6"/>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bCs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D713730"/>
    <w:multiLevelType w:val="hybridMultilevel"/>
    <w:tmpl w:val="E9EEF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7120025">
    <w:abstractNumId w:val="15"/>
  </w:num>
  <w:num w:numId="2" w16cid:durableId="427774604">
    <w:abstractNumId w:val="12"/>
  </w:num>
  <w:num w:numId="3" w16cid:durableId="1294142282">
    <w:abstractNumId w:val="6"/>
  </w:num>
  <w:num w:numId="4" w16cid:durableId="21245482">
    <w:abstractNumId w:val="14"/>
  </w:num>
  <w:num w:numId="5" w16cid:durableId="2025092158">
    <w:abstractNumId w:val="8"/>
  </w:num>
  <w:num w:numId="6" w16cid:durableId="229466109">
    <w:abstractNumId w:val="3"/>
  </w:num>
  <w:num w:numId="7" w16cid:durableId="996885424">
    <w:abstractNumId w:val="11"/>
  </w:num>
  <w:num w:numId="8" w16cid:durableId="588000069">
    <w:abstractNumId w:val="5"/>
  </w:num>
  <w:num w:numId="9" w16cid:durableId="1763405749">
    <w:abstractNumId w:val="7"/>
  </w:num>
  <w:num w:numId="10" w16cid:durableId="1012301100">
    <w:abstractNumId w:val="1"/>
  </w:num>
  <w:num w:numId="11" w16cid:durableId="578637201">
    <w:abstractNumId w:val="10"/>
  </w:num>
  <w:num w:numId="12" w16cid:durableId="1561087281">
    <w:abstractNumId w:val="4"/>
  </w:num>
  <w:num w:numId="13" w16cid:durableId="636644231">
    <w:abstractNumId w:val="0"/>
  </w:num>
  <w:num w:numId="14" w16cid:durableId="968053299">
    <w:abstractNumId w:val="17"/>
  </w:num>
  <w:num w:numId="15" w16cid:durableId="756945351">
    <w:abstractNumId w:val="9"/>
  </w:num>
  <w:num w:numId="16" w16cid:durableId="439186729">
    <w:abstractNumId w:val="18"/>
  </w:num>
  <w:num w:numId="17" w16cid:durableId="645822810">
    <w:abstractNumId w:val="13"/>
  </w:num>
  <w:num w:numId="18" w16cid:durableId="1445035505">
    <w:abstractNumId w:val="16"/>
  </w:num>
  <w:num w:numId="19" w16cid:durableId="1691030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41"/>
    <w:rsid w:val="00004BDC"/>
    <w:rsid w:val="00007E85"/>
    <w:rsid w:val="00013465"/>
    <w:rsid w:val="000226B3"/>
    <w:rsid w:val="00024549"/>
    <w:rsid w:val="00031157"/>
    <w:rsid w:val="00031AE2"/>
    <w:rsid w:val="00033BE7"/>
    <w:rsid w:val="000440CA"/>
    <w:rsid w:val="00044806"/>
    <w:rsid w:val="00046F78"/>
    <w:rsid w:val="000509DF"/>
    <w:rsid w:val="000519D1"/>
    <w:rsid w:val="000544B6"/>
    <w:rsid w:val="000558F1"/>
    <w:rsid w:val="000604AF"/>
    <w:rsid w:val="0006147D"/>
    <w:rsid w:val="00062225"/>
    <w:rsid w:val="00067CB2"/>
    <w:rsid w:val="00071D2E"/>
    <w:rsid w:val="00075D76"/>
    <w:rsid w:val="00086C11"/>
    <w:rsid w:val="00090477"/>
    <w:rsid w:val="0009413B"/>
    <w:rsid w:val="00094DCF"/>
    <w:rsid w:val="000A2F4C"/>
    <w:rsid w:val="000A6CFD"/>
    <w:rsid w:val="000B0887"/>
    <w:rsid w:val="000B0982"/>
    <w:rsid w:val="000B796C"/>
    <w:rsid w:val="000C0773"/>
    <w:rsid w:val="000C46BB"/>
    <w:rsid w:val="000C4D9D"/>
    <w:rsid w:val="000C7BE4"/>
    <w:rsid w:val="000C7C4B"/>
    <w:rsid w:val="000C7D8B"/>
    <w:rsid w:val="000D6638"/>
    <w:rsid w:val="000D79D8"/>
    <w:rsid w:val="000E1FE4"/>
    <w:rsid w:val="000E2123"/>
    <w:rsid w:val="000E3F21"/>
    <w:rsid w:val="000E425B"/>
    <w:rsid w:val="000E485D"/>
    <w:rsid w:val="000E72C6"/>
    <w:rsid w:val="000F1893"/>
    <w:rsid w:val="000F2F51"/>
    <w:rsid w:val="000F3BD7"/>
    <w:rsid w:val="000F440B"/>
    <w:rsid w:val="000F5268"/>
    <w:rsid w:val="0010142B"/>
    <w:rsid w:val="00103F59"/>
    <w:rsid w:val="0010654A"/>
    <w:rsid w:val="00106D09"/>
    <w:rsid w:val="00113CF8"/>
    <w:rsid w:val="00113D74"/>
    <w:rsid w:val="00117C5C"/>
    <w:rsid w:val="00120493"/>
    <w:rsid w:val="00123DBE"/>
    <w:rsid w:val="001305BC"/>
    <w:rsid w:val="001310AE"/>
    <w:rsid w:val="00131B61"/>
    <w:rsid w:val="00133252"/>
    <w:rsid w:val="001420B3"/>
    <w:rsid w:val="001460C4"/>
    <w:rsid w:val="0015042A"/>
    <w:rsid w:val="00153C38"/>
    <w:rsid w:val="0015691C"/>
    <w:rsid w:val="001576E3"/>
    <w:rsid w:val="001621F7"/>
    <w:rsid w:val="001624D7"/>
    <w:rsid w:val="001631D8"/>
    <w:rsid w:val="0017073D"/>
    <w:rsid w:val="00170F41"/>
    <w:rsid w:val="0017643E"/>
    <w:rsid w:val="00177ADF"/>
    <w:rsid w:val="00177B86"/>
    <w:rsid w:val="00182585"/>
    <w:rsid w:val="00186CE5"/>
    <w:rsid w:val="00191182"/>
    <w:rsid w:val="0019664D"/>
    <w:rsid w:val="00197F17"/>
    <w:rsid w:val="001A18FC"/>
    <w:rsid w:val="001A510A"/>
    <w:rsid w:val="001A6103"/>
    <w:rsid w:val="001B5D37"/>
    <w:rsid w:val="001B70E9"/>
    <w:rsid w:val="001C2940"/>
    <w:rsid w:val="001C4016"/>
    <w:rsid w:val="001C548D"/>
    <w:rsid w:val="001C6041"/>
    <w:rsid w:val="001C6A5D"/>
    <w:rsid w:val="001D0498"/>
    <w:rsid w:val="001D7864"/>
    <w:rsid w:val="001E0D90"/>
    <w:rsid w:val="001E2251"/>
    <w:rsid w:val="001E31A6"/>
    <w:rsid w:val="001E36A4"/>
    <w:rsid w:val="001E385D"/>
    <w:rsid w:val="001E42C7"/>
    <w:rsid w:val="001E4CAB"/>
    <w:rsid w:val="001F0A4E"/>
    <w:rsid w:val="001F11B6"/>
    <w:rsid w:val="001F169F"/>
    <w:rsid w:val="001F2F3E"/>
    <w:rsid w:val="001F4906"/>
    <w:rsid w:val="001F5037"/>
    <w:rsid w:val="001F7C4A"/>
    <w:rsid w:val="00202629"/>
    <w:rsid w:val="0020578A"/>
    <w:rsid w:val="00207631"/>
    <w:rsid w:val="00212A54"/>
    <w:rsid w:val="002139BE"/>
    <w:rsid w:val="00214013"/>
    <w:rsid w:val="00220FC1"/>
    <w:rsid w:val="00221439"/>
    <w:rsid w:val="00222E9A"/>
    <w:rsid w:val="0023179D"/>
    <w:rsid w:val="00232770"/>
    <w:rsid w:val="00235071"/>
    <w:rsid w:val="002360CC"/>
    <w:rsid w:val="00237709"/>
    <w:rsid w:val="00240C4C"/>
    <w:rsid w:val="002450B0"/>
    <w:rsid w:val="00245D54"/>
    <w:rsid w:val="0025389D"/>
    <w:rsid w:val="00254E02"/>
    <w:rsid w:val="002553F8"/>
    <w:rsid w:val="0026265F"/>
    <w:rsid w:val="002714A9"/>
    <w:rsid w:val="00286C3A"/>
    <w:rsid w:val="00287F01"/>
    <w:rsid w:val="0029063F"/>
    <w:rsid w:val="00290702"/>
    <w:rsid w:val="002930F5"/>
    <w:rsid w:val="00296231"/>
    <w:rsid w:val="002A06B7"/>
    <w:rsid w:val="002C1A24"/>
    <w:rsid w:val="002C65AB"/>
    <w:rsid w:val="002C6E0C"/>
    <w:rsid w:val="002D144A"/>
    <w:rsid w:val="002D5801"/>
    <w:rsid w:val="002D6BE7"/>
    <w:rsid w:val="002E19A3"/>
    <w:rsid w:val="002E1F30"/>
    <w:rsid w:val="002E212B"/>
    <w:rsid w:val="002E3337"/>
    <w:rsid w:val="002E6BBF"/>
    <w:rsid w:val="002E6D03"/>
    <w:rsid w:val="002F4382"/>
    <w:rsid w:val="002F43DB"/>
    <w:rsid w:val="002F4404"/>
    <w:rsid w:val="002F49A8"/>
    <w:rsid w:val="002F5E66"/>
    <w:rsid w:val="002F61CA"/>
    <w:rsid w:val="002F6856"/>
    <w:rsid w:val="0030010D"/>
    <w:rsid w:val="003062EC"/>
    <w:rsid w:val="003111AC"/>
    <w:rsid w:val="00314BA7"/>
    <w:rsid w:val="00315EDA"/>
    <w:rsid w:val="00321C6A"/>
    <w:rsid w:val="003228C3"/>
    <w:rsid w:val="00330DF1"/>
    <w:rsid w:val="0033504C"/>
    <w:rsid w:val="003352F0"/>
    <w:rsid w:val="00335432"/>
    <w:rsid w:val="00336816"/>
    <w:rsid w:val="003370D0"/>
    <w:rsid w:val="00337355"/>
    <w:rsid w:val="003402E4"/>
    <w:rsid w:val="00340F95"/>
    <w:rsid w:val="00342E88"/>
    <w:rsid w:val="0035132E"/>
    <w:rsid w:val="00352D1B"/>
    <w:rsid w:val="003531ED"/>
    <w:rsid w:val="00353E86"/>
    <w:rsid w:val="00360B9A"/>
    <w:rsid w:val="003610F7"/>
    <w:rsid w:val="003634BA"/>
    <w:rsid w:val="00365956"/>
    <w:rsid w:val="00367EE9"/>
    <w:rsid w:val="00382EB9"/>
    <w:rsid w:val="003872E3"/>
    <w:rsid w:val="0039000D"/>
    <w:rsid w:val="0039017F"/>
    <w:rsid w:val="00390509"/>
    <w:rsid w:val="00394AEE"/>
    <w:rsid w:val="00396130"/>
    <w:rsid w:val="003965BA"/>
    <w:rsid w:val="003A0317"/>
    <w:rsid w:val="003A4A6C"/>
    <w:rsid w:val="003A4D12"/>
    <w:rsid w:val="003A5EC1"/>
    <w:rsid w:val="003A715A"/>
    <w:rsid w:val="003C2D98"/>
    <w:rsid w:val="003C2E19"/>
    <w:rsid w:val="003C3B80"/>
    <w:rsid w:val="003C3DDF"/>
    <w:rsid w:val="003C4E7D"/>
    <w:rsid w:val="003C7DB5"/>
    <w:rsid w:val="003D16BD"/>
    <w:rsid w:val="003D1A30"/>
    <w:rsid w:val="003D3A96"/>
    <w:rsid w:val="003D3B9C"/>
    <w:rsid w:val="003D7124"/>
    <w:rsid w:val="003E3DD8"/>
    <w:rsid w:val="003E60D5"/>
    <w:rsid w:val="003E6A89"/>
    <w:rsid w:val="003E6D25"/>
    <w:rsid w:val="003E76B0"/>
    <w:rsid w:val="003F18F2"/>
    <w:rsid w:val="003F7F82"/>
    <w:rsid w:val="00400ABB"/>
    <w:rsid w:val="00404F03"/>
    <w:rsid w:val="00405034"/>
    <w:rsid w:val="00412051"/>
    <w:rsid w:val="00414AAD"/>
    <w:rsid w:val="0042347F"/>
    <w:rsid w:val="00423B94"/>
    <w:rsid w:val="00424E26"/>
    <w:rsid w:val="004309FF"/>
    <w:rsid w:val="00436B3C"/>
    <w:rsid w:val="00441D2C"/>
    <w:rsid w:val="00442801"/>
    <w:rsid w:val="0044315A"/>
    <w:rsid w:val="004457CB"/>
    <w:rsid w:val="00446045"/>
    <w:rsid w:val="00451ECD"/>
    <w:rsid w:val="00452910"/>
    <w:rsid w:val="004566BD"/>
    <w:rsid w:val="00460660"/>
    <w:rsid w:val="00463731"/>
    <w:rsid w:val="0046400A"/>
    <w:rsid w:val="004648DB"/>
    <w:rsid w:val="00466BA4"/>
    <w:rsid w:val="00467B25"/>
    <w:rsid w:val="004712EB"/>
    <w:rsid w:val="00481108"/>
    <w:rsid w:val="00481240"/>
    <w:rsid w:val="0049042B"/>
    <w:rsid w:val="00495473"/>
    <w:rsid w:val="004A458E"/>
    <w:rsid w:val="004A51F4"/>
    <w:rsid w:val="004B0085"/>
    <w:rsid w:val="004B23E7"/>
    <w:rsid w:val="004B306F"/>
    <w:rsid w:val="004C232E"/>
    <w:rsid w:val="004C3186"/>
    <w:rsid w:val="004C5042"/>
    <w:rsid w:val="004D2F7D"/>
    <w:rsid w:val="004D620C"/>
    <w:rsid w:val="004E1DCF"/>
    <w:rsid w:val="004E4422"/>
    <w:rsid w:val="004E51EF"/>
    <w:rsid w:val="004E619D"/>
    <w:rsid w:val="004E71CA"/>
    <w:rsid w:val="00501754"/>
    <w:rsid w:val="00503998"/>
    <w:rsid w:val="00503BE3"/>
    <w:rsid w:val="0050436E"/>
    <w:rsid w:val="0050623B"/>
    <w:rsid w:val="00506E96"/>
    <w:rsid w:val="00512A87"/>
    <w:rsid w:val="00523181"/>
    <w:rsid w:val="00524D13"/>
    <w:rsid w:val="005339F6"/>
    <w:rsid w:val="005354DE"/>
    <w:rsid w:val="0053712B"/>
    <w:rsid w:val="00540A37"/>
    <w:rsid w:val="005547DD"/>
    <w:rsid w:val="0056719F"/>
    <w:rsid w:val="00573A31"/>
    <w:rsid w:val="00573FF5"/>
    <w:rsid w:val="00574969"/>
    <w:rsid w:val="00576B18"/>
    <w:rsid w:val="00583EFD"/>
    <w:rsid w:val="00587724"/>
    <w:rsid w:val="00591512"/>
    <w:rsid w:val="00594056"/>
    <w:rsid w:val="005A4413"/>
    <w:rsid w:val="005A6963"/>
    <w:rsid w:val="005B1574"/>
    <w:rsid w:val="005B2615"/>
    <w:rsid w:val="005B2BAA"/>
    <w:rsid w:val="005B2D91"/>
    <w:rsid w:val="005B48B4"/>
    <w:rsid w:val="005C0948"/>
    <w:rsid w:val="005C28C4"/>
    <w:rsid w:val="005C29B6"/>
    <w:rsid w:val="005C3599"/>
    <w:rsid w:val="005C6661"/>
    <w:rsid w:val="005C6E3B"/>
    <w:rsid w:val="005C70A8"/>
    <w:rsid w:val="005D0C9B"/>
    <w:rsid w:val="005D0D3E"/>
    <w:rsid w:val="005D3C2A"/>
    <w:rsid w:val="005D474B"/>
    <w:rsid w:val="005D6581"/>
    <w:rsid w:val="005D6F2F"/>
    <w:rsid w:val="005E04A0"/>
    <w:rsid w:val="005E085C"/>
    <w:rsid w:val="005E147D"/>
    <w:rsid w:val="005E22C2"/>
    <w:rsid w:val="005E2BF5"/>
    <w:rsid w:val="005E4237"/>
    <w:rsid w:val="005E57BB"/>
    <w:rsid w:val="005F0017"/>
    <w:rsid w:val="005F1378"/>
    <w:rsid w:val="006009D3"/>
    <w:rsid w:val="006014F1"/>
    <w:rsid w:val="00603451"/>
    <w:rsid w:val="00605493"/>
    <w:rsid w:val="00607B57"/>
    <w:rsid w:val="0061357B"/>
    <w:rsid w:val="00614A7D"/>
    <w:rsid w:val="00615732"/>
    <w:rsid w:val="0061786A"/>
    <w:rsid w:val="00622908"/>
    <w:rsid w:val="00633F15"/>
    <w:rsid w:val="0063631C"/>
    <w:rsid w:val="0063757B"/>
    <w:rsid w:val="006377CE"/>
    <w:rsid w:val="00637CCB"/>
    <w:rsid w:val="00640587"/>
    <w:rsid w:val="0065057E"/>
    <w:rsid w:val="006537D9"/>
    <w:rsid w:val="00654B9A"/>
    <w:rsid w:val="00661CDC"/>
    <w:rsid w:val="00664A48"/>
    <w:rsid w:val="00665DEF"/>
    <w:rsid w:val="006714CF"/>
    <w:rsid w:val="006735BF"/>
    <w:rsid w:val="00675B6B"/>
    <w:rsid w:val="00675BB1"/>
    <w:rsid w:val="00675C71"/>
    <w:rsid w:val="006775F1"/>
    <w:rsid w:val="006804E0"/>
    <w:rsid w:val="00692576"/>
    <w:rsid w:val="00692AA7"/>
    <w:rsid w:val="00693D33"/>
    <w:rsid w:val="00697FEC"/>
    <w:rsid w:val="006A175F"/>
    <w:rsid w:val="006A2786"/>
    <w:rsid w:val="006A335C"/>
    <w:rsid w:val="006A44F5"/>
    <w:rsid w:val="006A6C7F"/>
    <w:rsid w:val="006A7847"/>
    <w:rsid w:val="006A7DA3"/>
    <w:rsid w:val="006B4537"/>
    <w:rsid w:val="006B4D58"/>
    <w:rsid w:val="006B54C3"/>
    <w:rsid w:val="006B554F"/>
    <w:rsid w:val="006B5F85"/>
    <w:rsid w:val="006B6929"/>
    <w:rsid w:val="006B709B"/>
    <w:rsid w:val="006C04F3"/>
    <w:rsid w:val="006C06CA"/>
    <w:rsid w:val="006C3530"/>
    <w:rsid w:val="006C3B29"/>
    <w:rsid w:val="006C54AF"/>
    <w:rsid w:val="006C6F1E"/>
    <w:rsid w:val="006D21DA"/>
    <w:rsid w:val="006D2F22"/>
    <w:rsid w:val="006D5A70"/>
    <w:rsid w:val="006D67D7"/>
    <w:rsid w:val="006E0181"/>
    <w:rsid w:val="006E2571"/>
    <w:rsid w:val="006E3FB4"/>
    <w:rsid w:val="006E5881"/>
    <w:rsid w:val="006E73C4"/>
    <w:rsid w:val="006E7D1C"/>
    <w:rsid w:val="006F2133"/>
    <w:rsid w:val="006F541C"/>
    <w:rsid w:val="00700C0E"/>
    <w:rsid w:val="0070303A"/>
    <w:rsid w:val="00705DAD"/>
    <w:rsid w:val="0071028A"/>
    <w:rsid w:val="00711212"/>
    <w:rsid w:val="00712300"/>
    <w:rsid w:val="00716098"/>
    <w:rsid w:val="00717625"/>
    <w:rsid w:val="00717E49"/>
    <w:rsid w:val="00720EBD"/>
    <w:rsid w:val="007247B9"/>
    <w:rsid w:val="00727865"/>
    <w:rsid w:val="00727D85"/>
    <w:rsid w:val="007346C7"/>
    <w:rsid w:val="007359D1"/>
    <w:rsid w:val="00736041"/>
    <w:rsid w:val="007408C7"/>
    <w:rsid w:val="007411C4"/>
    <w:rsid w:val="007465DA"/>
    <w:rsid w:val="00746AF8"/>
    <w:rsid w:val="00752C7F"/>
    <w:rsid w:val="00753F3F"/>
    <w:rsid w:val="00757F00"/>
    <w:rsid w:val="007603DB"/>
    <w:rsid w:val="00776598"/>
    <w:rsid w:val="0078012D"/>
    <w:rsid w:val="0078534F"/>
    <w:rsid w:val="00785D8C"/>
    <w:rsid w:val="0078736C"/>
    <w:rsid w:val="00787F5C"/>
    <w:rsid w:val="00792948"/>
    <w:rsid w:val="00796E84"/>
    <w:rsid w:val="00797E02"/>
    <w:rsid w:val="007A0966"/>
    <w:rsid w:val="007A3ADE"/>
    <w:rsid w:val="007A4580"/>
    <w:rsid w:val="007A5733"/>
    <w:rsid w:val="007A5774"/>
    <w:rsid w:val="007B2853"/>
    <w:rsid w:val="007C0D65"/>
    <w:rsid w:val="007C689A"/>
    <w:rsid w:val="007D2546"/>
    <w:rsid w:val="007E1F8D"/>
    <w:rsid w:val="007F0EA4"/>
    <w:rsid w:val="007F2410"/>
    <w:rsid w:val="007F7EDD"/>
    <w:rsid w:val="0080010F"/>
    <w:rsid w:val="00801E74"/>
    <w:rsid w:val="008044B2"/>
    <w:rsid w:val="0080485E"/>
    <w:rsid w:val="00804AB0"/>
    <w:rsid w:val="00807119"/>
    <w:rsid w:val="008079ED"/>
    <w:rsid w:val="00811CCC"/>
    <w:rsid w:val="008142B4"/>
    <w:rsid w:val="00820291"/>
    <w:rsid w:val="00820902"/>
    <w:rsid w:val="008228AB"/>
    <w:rsid w:val="00824A69"/>
    <w:rsid w:val="008265DA"/>
    <w:rsid w:val="00832324"/>
    <w:rsid w:val="00835337"/>
    <w:rsid w:val="00837547"/>
    <w:rsid w:val="0084022B"/>
    <w:rsid w:val="0084253A"/>
    <w:rsid w:val="00846DCD"/>
    <w:rsid w:val="00850590"/>
    <w:rsid w:val="00851D85"/>
    <w:rsid w:val="0085578F"/>
    <w:rsid w:val="00856F78"/>
    <w:rsid w:val="00857A5D"/>
    <w:rsid w:val="00860CCB"/>
    <w:rsid w:val="00870B2D"/>
    <w:rsid w:val="008740A3"/>
    <w:rsid w:val="00875FF0"/>
    <w:rsid w:val="0088166C"/>
    <w:rsid w:val="00882D1B"/>
    <w:rsid w:val="00885F55"/>
    <w:rsid w:val="0088621B"/>
    <w:rsid w:val="0089297B"/>
    <w:rsid w:val="00893DA7"/>
    <w:rsid w:val="008A6A2F"/>
    <w:rsid w:val="008A7FC6"/>
    <w:rsid w:val="008B0A83"/>
    <w:rsid w:val="008C36CA"/>
    <w:rsid w:val="008C53D9"/>
    <w:rsid w:val="008D05C1"/>
    <w:rsid w:val="008D2268"/>
    <w:rsid w:val="008D57AF"/>
    <w:rsid w:val="008D6B72"/>
    <w:rsid w:val="008E3F8C"/>
    <w:rsid w:val="008E7A8C"/>
    <w:rsid w:val="008F3036"/>
    <w:rsid w:val="008F4CF6"/>
    <w:rsid w:val="008F54E0"/>
    <w:rsid w:val="00902FD0"/>
    <w:rsid w:val="009033BA"/>
    <w:rsid w:val="009053D3"/>
    <w:rsid w:val="0090691F"/>
    <w:rsid w:val="00911107"/>
    <w:rsid w:val="00911AD3"/>
    <w:rsid w:val="00927693"/>
    <w:rsid w:val="0093111F"/>
    <w:rsid w:val="00935689"/>
    <w:rsid w:val="00941BD3"/>
    <w:rsid w:val="00942609"/>
    <w:rsid w:val="009447AA"/>
    <w:rsid w:val="00945082"/>
    <w:rsid w:val="009457D7"/>
    <w:rsid w:val="0094698A"/>
    <w:rsid w:val="00947441"/>
    <w:rsid w:val="0095303B"/>
    <w:rsid w:val="0095531C"/>
    <w:rsid w:val="009616C6"/>
    <w:rsid w:val="009663B6"/>
    <w:rsid w:val="00974A47"/>
    <w:rsid w:val="00977EEC"/>
    <w:rsid w:val="00980286"/>
    <w:rsid w:val="00982418"/>
    <w:rsid w:val="00984CCE"/>
    <w:rsid w:val="00990C86"/>
    <w:rsid w:val="00990DCF"/>
    <w:rsid w:val="00993C79"/>
    <w:rsid w:val="009A0331"/>
    <w:rsid w:val="009A084C"/>
    <w:rsid w:val="009A17A9"/>
    <w:rsid w:val="009A2B87"/>
    <w:rsid w:val="009A308A"/>
    <w:rsid w:val="009A4CD6"/>
    <w:rsid w:val="009A4F73"/>
    <w:rsid w:val="009A537C"/>
    <w:rsid w:val="009B29AC"/>
    <w:rsid w:val="009B41B7"/>
    <w:rsid w:val="009C0886"/>
    <w:rsid w:val="009C19EE"/>
    <w:rsid w:val="009C28D0"/>
    <w:rsid w:val="009C35F2"/>
    <w:rsid w:val="009C4982"/>
    <w:rsid w:val="009C5562"/>
    <w:rsid w:val="009C7782"/>
    <w:rsid w:val="009C7D71"/>
    <w:rsid w:val="009D05B4"/>
    <w:rsid w:val="009D1E6C"/>
    <w:rsid w:val="009D1ED5"/>
    <w:rsid w:val="009D4C13"/>
    <w:rsid w:val="009E1FCD"/>
    <w:rsid w:val="009E21A7"/>
    <w:rsid w:val="009E23DE"/>
    <w:rsid w:val="00A02127"/>
    <w:rsid w:val="00A03B76"/>
    <w:rsid w:val="00A103ED"/>
    <w:rsid w:val="00A13C60"/>
    <w:rsid w:val="00A14286"/>
    <w:rsid w:val="00A15134"/>
    <w:rsid w:val="00A24673"/>
    <w:rsid w:val="00A341A3"/>
    <w:rsid w:val="00A347F0"/>
    <w:rsid w:val="00A35800"/>
    <w:rsid w:val="00A41D1A"/>
    <w:rsid w:val="00A44605"/>
    <w:rsid w:val="00A52918"/>
    <w:rsid w:val="00A547B3"/>
    <w:rsid w:val="00A5705D"/>
    <w:rsid w:val="00A60ABB"/>
    <w:rsid w:val="00A61DF6"/>
    <w:rsid w:val="00A70B2B"/>
    <w:rsid w:val="00A70E82"/>
    <w:rsid w:val="00A7110A"/>
    <w:rsid w:val="00A732C1"/>
    <w:rsid w:val="00A74BF7"/>
    <w:rsid w:val="00A84CAD"/>
    <w:rsid w:val="00A90E50"/>
    <w:rsid w:val="00A92771"/>
    <w:rsid w:val="00A95FA5"/>
    <w:rsid w:val="00A96D92"/>
    <w:rsid w:val="00AA2E49"/>
    <w:rsid w:val="00AB0260"/>
    <w:rsid w:val="00AB199C"/>
    <w:rsid w:val="00AB1A84"/>
    <w:rsid w:val="00AB3733"/>
    <w:rsid w:val="00AB588C"/>
    <w:rsid w:val="00AB7826"/>
    <w:rsid w:val="00AB7897"/>
    <w:rsid w:val="00AC1D24"/>
    <w:rsid w:val="00AC3A24"/>
    <w:rsid w:val="00AC4F69"/>
    <w:rsid w:val="00AC5054"/>
    <w:rsid w:val="00AC7BF5"/>
    <w:rsid w:val="00AD0463"/>
    <w:rsid w:val="00AE0973"/>
    <w:rsid w:val="00AE1BA6"/>
    <w:rsid w:val="00AE4BAC"/>
    <w:rsid w:val="00AE66D5"/>
    <w:rsid w:val="00B0018E"/>
    <w:rsid w:val="00B02383"/>
    <w:rsid w:val="00B03098"/>
    <w:rsid w:val="00B034FC"/>
    <w:rsid w:val="00B0463B"/>
    <w:rsid w:val="00B05310"/>
    <w:rsid w:val="00B10A0B"/>
    <w:rsid w:val="00B20926"/>
    <w:rsid w:val="00B22956"/>
    <w:rsid w:val="00B23804"/>
    <w:rsid w:val="00B26555"/>
    <w:rsid w:val="00B266CE"/>
    <w:rsid w:val="00B30D85"/>
    <w:rsid w:val="00B35A4A"/>
    <w:rsid w:val="00B4061A"/>
    <w:rsid w:val="00B453CF"/>
    <w:rsid w:val="00B456FE"/>
    <w:rsid w:val="00B47654"/>
    <w:rsid w:val="00B539CB"/>
    <w:rsid w:val="00B57786"/>
    <w:rsid w:val="00B63480"/>
    <w:rsid w:val="00B63FD7"/>
    <w:rsid w:val="00B64E6C"/>
    <w:rsid w:val="00B7767C"/>
    <w:rsid w:val="00B816D9"/>
    <w:rsid w:val="00B823C3"/>
    <w:rsid w:val="00B85FA7"/>
    <w:rsid w:val="00B902C7"/>
    <w:rsid w:val="00B9120F"/>
    <w:rsid w:val="00B9216C"/>
    <w:rsid w:val="00B924A4"/>
    <w:rsid w:val="00B9340C"/>
    <w:rsid w:val="00BA0D5F"/>
    <w:rsid w:val="00BA26D1"/>
    <w:rsid w:val="00BA2A71"/>
    <w:rsid w:val="00BA376D"/>
    <w:rsid w:val="00BA5D24"/>
    <w:rsid w:val="00BA7E47"/>
    <w:rsid w:val="00BB0D1A"/>
    <w:rsid w:val="00BB1D3B"/>
    <w:rsid w:val="00BC35ED"/>
    <w:rsid w:val="00BD7233"/>
    <w:rsid w:val="00BD7FC5"/>
    <w:rsid w:val="00BE205A"/>
    <w:rsid w:val="00BE2956"/>
    <w:rsid w:val="00BE36F5"/>
    <w:rsid w:val="00BE3802"/>
    <w:rsid w:val="00BE62DA"/>
    <w:rsid w:val="00BF238E"/>
    <w:rsid w:val="00BF2F4A"/>
    <w:rsid w:val="00BF4E38"/>
    <w:rsid w:val="00BF52FB"/>
    <w:rsid w:val="00BF544D"/>
    <w:rsid w:val="00C0076F"/>
    <w:rsid w:val="00C0301C"/>
    <w:rsid w:val="00C050B6"/>
    <w:rsid w:val="00C10F12"/>
    <w:rsid w:val="00C12877"/>
    <w:rsid w:val="00C13F28"/>
    <w:rsid w:val="00C2237A"/>
    <w:rsid w:val="00C23D50"/>
    <w:rsid w:val="00C245EA"/>
    <w:rsid w:val="00C256F6"/>
    <w:rsid w:val="00C3097E"/>
    <w:rsid w:val="00C32300"/>
    <w:rsid w:val="00C35ECC"/>
    <w:rsid w:val="00C361A8"/>
    <w:rsid w:val="00C36852"/>
    <w:rsid w:val="00C41246"/>
    <w:rsid w:val="00C45E5F"/>
    <w:rsid w:val="00C46291"/>
    <w:rsid w:val="00C521AE"/>
    <w:rsid w:val="00C54465"/>
    <w:rsid w:val="00C56FB3"/>
    <w:rsid w:val="00C63412"/>
    <w:rsid w:val="00C6507D"/>
    <w:rsid w:val="00C70817"/>
    <w:rsid w:val="00C714D0"/>
    <w:rsid w:val="00C71B6B"/>
    <w:rsid w:val="00C81EE6"/>
    <w:rsid w:val="00C84A75"/>
    <w:rsid w:val="00C90EF4"/>
    <w:rsid w:val="00C941DD"/>
    <w:rsid w:val="00CA015A"/>
    <w:rsid w:val="00CC1AA3"/>
    <w:rsid w:val="00CC1FD6"/>
    <w:rsid w:val="00CC2A50"/>
    <w:rsid w:val="00CC75E4"/>
    <w:rsid w:val="00CD4486"/>
    <w:rsid w:val="00CD50A3"/>
    <w:rsid w:val="00CE55A6"/>
    <w:rsid w:val="00CE5CEC"/>
    <w:rsid w:val="00CF1BB5"/>
    <w:rsid w:val="00CF3FB1"/>
    <w:rsid w:val="00CF5E22"/>
    <w:rsid w:val="00D03359"/>
    <w:rsid w:val="00D06A44"/>
    <w:rsid w:val="00D151EB"/>
    <w:rsid w:val="00D22B5C"/>
    <w:rsid w:val="00D27CF9"/>
    <w:rsid w:val="00D300E0"/>
    <w:rsid w:val="00D36AF3"/>
    <w:rsid w:val="00D374CD"/>
    <w:rsid w:val="00D37EFF"/>
    <w:rsid w:val="00D42A55"/>
    <w:rsid w:val="00D442E2"/>
    <w:rsid w:val="00D4599C"/>
    <w:rsid w:val="00D47642"/>
    <w:rsid w:val="00D47B34"/>
    <w:rsid w:val="00D650CE"/>
    <w:rsid w:val="00D71719"/>
    <w:rsid w:val="00D776DA"/>
    <w:rsid w:val="00D833E4"/>
    <w:rsid w:val="00D873AF"/>
    <w:rsid w:val="00D8758B"/>
    <w:rsid w:val="00D93277"/>
    <w:rsid w:val="00D942B3"/>
    <w:rsid w:val="00D94863"/>
    <w:rsid w:val="00DA3742"/>
    <w:rsid w:val="00DA4546"/>
    <w:rsid w:val="00DA4D0A"/>
    <w:rsid w:val="00DA586C"/>
    <w:rsid w:val="00DA7D09"/>
    <w:rsid w:val="00DB0347"/>
    <w:rsid w:val="00DB2C32"/>
    <w:rsid w:val="00DC1D9A"/>
    <w:rsid w:val="00DC2630"/>
    <w:rsid w:val="00DC49E9"/>
    <w:rsid w:val="00DC55E4"/>
    <w:rsid w:val="00DC7D71"/>
    <w:rsid w:val="00DD0098"/>
    <w:rsid w:val="00DD188C"/>
    <w:rsid w:val="00DD2262"/>
    <w:rsid w:val="00DD29A3"/>
    <w:rsid w:val="00DD439F"/>
    <w:rsid w:val="00DD48EE"/>
    <w:rsid w:val="00DD6B57"/>
    <w:rsid w:val="00DE0B96"/>
    <w:rsid w:val="00DE10B9"/>
    <w:rsid w:val="00DE4754"/>
    <w:rsid w:val="00DF0B13"/>
    <w:rsid w:val="00DF2617"/>
    <w:rsid w:val="00DF2EB8"/>
    <w:rsid w:val="00DF4A94"/>
    <w:rsid w:val="00DF6003"/>
    <w:rsid w:val="00E00095"/>
    <w:rsid w:val="00E001FE"/>
    <w:rsid w:val="00E066C3"/>
    <w:rsid w:val="00E10D8C"/>
    <w:rsid w:val="00E10EBF"/>
    <w:rsid w:val="00E1353A"/>
    <w:rsid w:val="00E144E4"/>
    <w:rsid w:val="00E1564B"/>
    <w:rsid w:val="00E17419"/>
    <w:rsid w:val="00E17E4B"/>
    <w:rsid w:val="00E208A0"/>
    <w:rsid w:val="00E2231F"/>
    <w:rsid w:val="00E22D97"/>
    <w:rsid w:val="00E25B49"/>
    <w:rsid w:val="00E371EA"/>
    <w:rsid w:val="00E46334"/>
    <w:rsid w:val="00E50F01"/>
    <w:rsid w:val="00E616CF"/>
    <w:rsid w:val="00E64429"/>
    <w:rsid w:val="00E673CA"/>
    <w:rsid w:val="00E677DD"/>
    <w:rsid w:val="00E7286B"/>
    <w:rsid w:val="00E72EED"/>
    <w:rsid w:val="00E7594B"/>
    <w:rsid w:val="00E778EC"/>
    <w:rsid w:val="00E86D2B"/>
    <w:rsid w:val="00E9084F"/>
    <w:rsid w:val="00E90C53"/>
    <w:rsid w:val="00E93494"/>
    <w:rsid w:val="00E963B5"/>
    <w:rsid w:val="00EA27AF"/>
    <w:rsid w:val="00EA53E1"/>
    <w:rsid w:val="00EA6D11"/>
    <w:rsid w:val="00EB4688"/>
    <w:rsid w:val="00EB661E"/>
    <w:rsid w:val="00EB6BF0"/>
    <w:rsid w:val="00EB6C07"/>
    <w:rsid w:val="00EC028D"/>
    <w:rsid w:val="00EC4591"/>
    <w:rsid w:val="00ED633B"/>
    <w:rsid w:val="00ED63C0"/>
    <w:rsid w:val="00ED7576"/>
    <w:rsid w:val="00EE2BBB"/>
    <w:rsid w:val="00EE478C"/>
    <w:rsid w:val="00F009FB"/>
    <w:rsid w:val="00F03F5C"/>
    <w:rsid w:val="00F04F59"/>
    <w:rsid w:val="00F1132C"/>
    <w:rsid w:val="00F11377"/>
    <w:rsid w:val="00F15068"/>
    <w:rsid w:val="00F15DD5"/>
    <w:rsid w:val="00F17D4B"/>
    <w:rsid w:val="00F2085A"/>
    <w:rsid w:val="00F22C8C"/>
    <w:rsid w:val="00F22F38"/>
    <w:rsid w:val="00F23139"/>
    <w:rsid w:val="00F24552"/>
    <w:rsid w:val="00F3215F"/>
    <w:rsid w:val="00F37E88"/>
    <w:rsid w:val="00F41365"/>
    <w:rsid w:val="00F52C14"/>
    <w:rsid w:val="00F5323C"/>
    <w:rsid w:val="00F539B9"/>
    <w:rsid w:val="00F56E9C"/>
    <w:rsid w:val="00F66CD5"/>
    <w:rsid w:val="00F67A9A"/>
    <w:rsid w:val="00F70407"/>
    <w:rsid w:val="00F70F4E"/>
    <w:rsid w:val="00F73113"/>
    <w:rsid w:val="00F75FC4"/>
    <w:rsid w:val="00F775B8"/>
    <w:rsid w:val="00F813F5"/>
    <w:rsid w:val="00F8416E"/>
    <w:rsid w:val="00F8472E"/>
    <w:rsid w:val="00F85981"/>
    <w:rsid w:val="00F87263"/>
    <w:rsid w:val="00F90028"/>
    <w:rsid w:val="00F9260A"/>
    <w:rsid w:val="00F93725"/>
    <w:rsid w:val="00F97C38"/>
    <w:rsid w:val="00FA2349"/>
    <w:rsid w:val="00FA3741"/>
    <w:rsid w:val="00FA4890"/>
    <w:rsid w:val="00FB0948"/>
    <w:rsid w:val="00FB2F2E"/>
    <w:rsid w:val="00FB77FA"/>
    <w:rsid w:val="00FC0916"/>
    <w:rsid w:val="00FC3C70"/>
    <w:rsid w:val="00FC4A73"/>
    <w:rsid w:val="00FC5303"/>
    <w:rsid w:val="00FC559C"/>
    <w:rsid w:val="00FC7F0D"/>
    <w:rsid w:val="00FD39AC"/>
    <w:rsid w:val="00FE4A96"/>
    <w:rsid w:val="00FE645A"/>
    <w:rsid w:val="00FE7849"/>
    <w:rsid w:val="00FF3B03"/>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aliases w:val="Summary box,Table Gridbeth,CMA Table Template,ASD Table"/>
    <w:basedOn w:val="TableNormal"/>
    <w:uiPriority w:val="3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aliases w:val="Caption Char,Figure caption1 Char Char Char,IB Caption Char,Medical Caption Char1,Medical Caption Char Char,Caption Char1 Char Char Char,Caption Char Char Char Char Char1,Caption Char1 Char Char1,Caption Char Char Char Char Char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BulletPoints,Numbered para,Body Text Bullet Points,List Paragraph1,Bullet point,List Paragraph11,Recommendation,Section heading,Footnote,Styl moj,Akapit z listą1,Akapit z listą11,ES Paragraph,PBAC ES Paragraph,PBAC normal points,L,列"/>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styleId="UnresolvedMention">
    <w:name w:val="Unresolved Mention"/>
    <w:basedOn w:val="DefaultParagraphFont"/>
    <w:uiPriority w:val="99"/>
    <w:semiHidden/>
    <w:unhideWhenUsed/>
    <w:rsid w:val="007B2853"/>
    <w:rPr>
      <w:color w:val="605E5C"/>
      <w:shd w:val="clear" w:color="auto" w:fill="E1DFDD"/>
    </w:rPr>
  </w:style>
  <w:style w:type="paragraph" w:styleId="HTMLPreformatted">
    <w:name w:val="HTML Preformatted"/>
    <w:basedOn w:val="Normal"/>
    <w:link w:val="HTMLPreformattedChar"/>
    <w:uiPriority w:val="99"/>
    <w:unhideWhenUsed/>
    <w:rsid w:val="007B2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B2853"/>
    <w:rPr>
      <w:rFonts w:ascii="Courier New" w:eastAsia="Times New Roman" w:hAnsi="Courier New" w:cs="Courier New"/>
      <w:sz w:val="20"/>
      <w:szCs w:val="20"/>
    </w:rPr>
  </w:style>
  <w:style w:type="character" w:customStyle="1" w:styleId="difference">
    <w:name w:val="difference"/>
    <w:basedOn w:val="DefaultParagraphFont"/>
    <w:rsid w:val="007B2853"/>
  </w:style>
  <w:style w:type="paragraph" w:customStyle="1" w:styleId="TableText">
    <w:name w:val="Table Text"/>
    <w:link w:val="TableTextChar"/>
    <w:qFormat/>
    <w:rsid w:val="00605493"/>
    <w:pPr>
      <w:keepNext/>
      <w:spacing w:after="0" w:line="240" w:lineRule="auto"/>
    </w:pPr>
    <w:rPr>
      <w:rFonts w:ascii="Arial Narrow" w:eastAsiaTheme="majorEastAsia" w:hAnsi="Arial Narrow" w:cstheme="majorBidi"/>
      <w:bCs/>
      <w:sz w:val="20"/>
      <w:szCs w:val="24"/>
    </w:rPr>
  </w:style>
  <w:style w:type="character" w:customStyle="1" w:styleId="TableTextChar">
    <w:name w:val="Table Text Char"/>
    <w:basedOn w:val="DefaultParagraphFont"/>
    <w:link w:val="TableText"/>
    <w:rsid w:val="00605493"/>
    <w:rPr>
      <w:rFonts w:ascii="Arial Narrow" w:eastAsiaTheme="majorEastAsia" w:hAnsi="Arial Narrow" w:cstheme="majorBidi"/>
      <w:bCs/>
      <w:sz w:val="20"/>
      <w:szCs w:val="24"/>
    </w:rPr>
  </w:style>
  <w:style w:type="paragraph" w:styleId="Caption">
    <w:name w:val="caption"/>
    <w:aliases w:val="Figure caption1 Char Char,IB Caption,Medical Caption,Medical Caption Char,Caption Char1 Char Char,Caption Char Char Char Char,Caption Char1 Char,Caption Char Char Char Char Char,Caption Char Char,Caption Char Char Char Char1,...,c"/>
    <w:basedOn w:val="Normal"/>
    <w:next w:val="Normal"/>
    <w:uiPriority w:val="35"/>
    <w:unhideWhenUsed/>
    <w:qFormat/>
    <w:rsid w:val="00605493"/>
    <w:pPr>
      <w:keepNext/>
      <w:spacing w:after="60"/>
      <w:jc w:val="both"/>
    </w:pPr>
    <w:rPr>
      <w:rFonts w:ascii="Arial Narrow" w:eastAsia="Times New Roman" w:hAnsi="Arial Narrow" w:cs="Times New Roman"/>
      <w:b/>
      <w:sz w:val="20"/>
      <w:szCs w:val="22"/>
    </w:rPr>
  </w:style>
  <w:style w:type="table" w:customStyle="1" w:styleId="TableGrid1">
    <w:name w:val="Table Grid1"/>
    <w:basedOn w:val="TableNormal"/>
    <w:next w:val="TableGrid"/>
    <w:uiPriority w:val="59"/>
    <w:rsid w:val="008375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Styl moj Char,Akapit z listą1 Char,L Char,列 Char"/>
    <w:basedOn w:val="DefaultParagraphFont"/>
    <w:link w:val="ListParagraph"/>
    <w:uiPriority w:val="34"/>
    <w:qFormat/>
    <w:rsid w:val="00466BA4"/>
    <w:rPr>
      <w:sz w:val="24"/>
      <w:szCs w:val="24"/>
    </w:rPr>
  </w:style>
  <w:style w:type="paragraph" w:customStyle="1" w:styleId="ProcedureStep">
    <w:name w:val="ProcedureStep"/>
    <w:basedOn w:val="Normal"/>
    <w:rsid w:val="00466BA4"/>
    <w:pPr>
      <w:numPr>
        <w:numId w:val="11"/>
      </w:numPr>
      <w:spacing w:before="60" w:after="60" w:line="300" w:lineRule="atLeast"/>
      <w:ind w:right="567"/>
      <w:jc w:val="both"/>
    </w:pPr>
    <w:rPr>
      <w:rFonts w:ascii="Tahoma" w:eastAsia="Times New Roman" w:hAnsi="Tahoma" w:cs="Times New Roman"/>
      <w:sz w:val="22"/>
      <w:szCs w:val="20"/>
    </w:rPr>
  </w:style>
  <w:style w:type="character" w:styleId="FollowedHyperlink">
    <w:name w:val="FollowedHyperlink"/>
    <w:basedOn w:val="DefaultParagraphFont"/>
    <w:uiPriority w:val="99"/>
    <w:semiHidden/>
    <w:unhideWhenUsed/>
    <w:rsid w:val="00B03098"/>
    <w:rPr>
      <w:color w:val="800080" w:themeColor="followedHyperlink"/>
      <w:u w:val="single"/>
    </w:rPr>
  </w:style>
  <w:style w:type="paragraph" w:customStyle="1" w:styleId="2-SectionHeading">
    <w:name w:val="2-Section Heading"/>
    <w:uiPriority w:val="99"/>
    <w:qFormat/>
    <w:rsid w:val="00287F01"/>
    <w:pPr>
      <w:keepNext/>
      <w:numPr>
        <w:numId w:val="14"/>
      </w:numPr>
      <w:spacing w:before="240" w:after="120" w:line="240" w:lineRule="auto"/>
      <w:outlineLvl w:val="0"/>
    </w:pPr>
    <w:rPr>
      <w:rFonts w:eastAsia="Times New Roman" w:cs="Arial"/>
      <w:b/>
      <w:snapToGrid w:val="0"/>
      <w:sz w:val="32"/>
      <w:szCs w:val="32"/>
      <w:lang w:eastAsia="en-US"/>
    </w:rPr>
  </w:style>
  <w:style w:type="paragraph" w:customStyle="1" w:styleId="3-BodyText">
    <w:name w:val="3-Body Text"/>
    <w:link w:val="3-BodyTextChar"/>
    <w:qFormat/>
    <w:rsid w:val="00287F01"/>
    <w:pPr>
      <w:numPr>
        <w:ilvl w:val="1"/>
        <w:numId w:val="14"/>
      </w:numPr>
      <w:spacing w:after="120" w:line="240" w:lineRule="auto"/>
      <w:jc w:val="both"/>
    </w:pPr>
    <w:rPr>
      <w:rFonts w:eastAsiaTheme="minorHAnsi"/>
      <w:sz w:val="24"/>
      <w:szCs w:val="24"/>
      <w:lang w:eastAsia="en-US"/>
    </w:rPr>
  </w:style>
  <w:style w:type="character" w:customStyle="1" w:styleId="3-BodyTextChar">
    <w:name w:val="3-Body Text Char"/>
    <w:basedOn w:val="ListParagraphChar"/>
    <w:link w:val="3-BodyText"/>
    <w:rsid w:val="00287F01"/>
    <w:rPr>
      <w:rFonts w:eastAsiaTheme="minorHAnsi"/>
      <w:sz w:val="24"/>
      <w:szCs w:val="24"/>
      <w:lang w:eastAsia="en-US"/>
    </w:rPr>
  </w:style>
  <w:style w:type="character" w:customStyle="1" w:styleId="eop">
    <w:name w:val="eop"/>
    <w:basedOn w:val="DefaultParagraphFont"/>
    <w:rsid w:val="00287F01"/>
  </w:style>
  <w:style w:type="paragraph" w:styleId="Revision">
    <w:name w:val="Revision"/>
    <w:hidden/>
    <w:uiPriority w:val="99"/>
    <w:semiHidden/>
    <w:rsid w:val="00804AB0"/>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3397">
      <w:bodyDiv w:val="1"/>
      <w:marLeft w:val="0"/>
      <w:marRight w:val="0"/>
      <w:marTop w:val="0"/>
      <w:marBottom w:val="0"/>
      <w:divBdr>
        <w:top w:val="none" w:sz="0" w:space="0" w:color="auto"/>
        <w:left w:val="none" w:sz="0" w:space="0" w:color="auto"/>
        <w:bottom w:val="none" w:sz="0" w:space="0" w:color="auto"/>
        <w:right w:val="none" w:sz="0" w:space="0" w:color="auto"/>
      </w:divBdr>
      <w:divsChild>
        <w:div w:id="676738333">
          <w:marLeft w:val="0"/>
          <w:marRight w:val="0"/>
          <w:marTop w:val="0"/>
          <w:marBottom w:val="0"/>
          <w:divBdr>
            <w:top w:val="none" w:sz="0" w:space="0" w:color="C4DEEE"/>
            <w:left w:val="none" w:sz="0" w:space="8" w:color="C4DEEE"/>
            <w:bottom w:val="none" w:sz="0" w:space="0" w:color="C4DEEE"/>
            <w:right w:val="none" w:sz="0" w:space="0" w:color="C4DEEE"/>
          </w:divBdr>
        </w:div>
        <w:div w:id="1048533018">
          <w:marLeft w:val="0"/>
          <w:marRight w:val="0"/>
          <w:marTop w:val="0"/>
          <w:marBottom w:val="0"/>
          <w:divBdr>
            <w:top w:val="none" w:sz="0" w:space="0" w:color="C4DEEE"/>
            <w:left w:val="none" w:sz="0" w:space="0" w:color="C4DEEE"/>
            <w:bottom w:val="none" w:sz="0" w:space="0" w:color="C4DEEE"/>
            <w:right w:val="none" w:sz="0" w:space="0" w:color="C4DEEE"/>
          </w:divBdr>
          <w:divsChild>
            <w:div w:id="451169073">
              <w:marLeft w:val="0"/>
              <w:marRight w:val="0"/>
              <w:marTop w:val="0"/>
              <w:marBottom w:val="0"/>
              <w:divBdr>
                <w:top w:val="none" w:sz="0" w:space="0" w:color="C4DEEE"/>
                <w:left w:val="none" w:sz="0" w:space="8" w:color="C4DEEE"/>
                <w:bottom w:val="none" w:sz="0" w:space="0" w:color="C4DEEE"/>
                <w:right w:val="none" w:sz="0" w:space="0" w:color="C4DEEE"/>
              </w:divBdr>
              <w:divsChild>
                <w:div w:id="666636640">
                  <w:marLeft w:val="0"/>
                  <w:marRight w:val="0"/>
                  <w:marTop w:val="0"/>
                  <w:marBottom w:val="0"/>
                  <w:divBdr>
                    <w:top w:val="none" w:sz="0" w:space="0" w:color="C4DEEE"/>
                    <w:left w:val="none" w:sz="0" w:space="0" w:color="C4DEEE"/>
                    <w:bottom w:val="none" w:sz="0" w:space="0" w:color="C4DEEE"/>
                    <w:right w:val="none" w:sz="0" w:space="0" w:color="C4DEEE"/>
                  </w:divBdr>
                  <w:divsChild>
                    <w:div w:id="1008948596">
                      <w:marLeft w:val="0"/>
                      <w:marRight w:val="0"/>
                      <w:marTop w:val="0"/>
                      <w:marBottom w:val="0"/>
                      <w:divBdr>
                        <w:top w:val="none" w:sz="0" w:space="0" w:color="C4DEEE"/>
                        <w:left w:val="none" w:sz="0" w:space="0" w:color="C4DEEE"/>
                        <w:bottom w:val="none" w:sz="0" w:space="0" w:color="C4DEEE"/>
                        <w:right w:val="none" w:sz="0" w:space="0" w:color="C4DEEE"/>
                      </w:divBdr>
                    </w:div>
                    <w:div w:id="1386493807">
                      <w:marLeft w:val="0"/>
                      <w:marRight w:val="0"/>
                      <w:marTop w:val="0"/>
                      <w:marBottom w:val="0"/>
                      <w:divBdr>
                        <w:top w:val="none" w:sz="0" w:space="0" w:color="C4DEEE"/>
                        <w:left w:val="none" w:sz="0" w:space="0" w:color="C4DEEE"/>
                        <w:bottom w:val="none" w:sz="0" w:space="0" w:color="C4DEEE"/>
                        <w:right w:val="none" w:sz="0" w:space="0" w:color="C4DEEE"/>
                      </w:divBdr>
                    </w:div>
                  </w:divsChild>
                </w:div>
              </w:divsChild>
            </w:div>
          </w:divsChild>
        </w:div>
      </w:divsChild>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589192501">
      <w:bodyDiv w:val="1"/>
      <w:marLeft w:val="0"/>
      <w:marRight w:val="0"/>
      <w:marTop w:val="0"/>
      <w:marBottom w:val="0"/>
      <w:divBdr>
        <w:top w:val="none" w:sz="0" w:space="0" w:color="auto"/>
        <w:left w:val="none" w:sz="0" w:space="0" w:color="auto"/>
        <w:bottom w:val="none" w:sz="0" w:space="0" w:color="auto"/>
        <w:right w:val="none" w:sz="0" w:space="0" w:color="auto"/>
      </w:divBdr>
      <w:divsChild>
        <w:div w:id="1417091801">
          <w:marLeft w:val="0"/>
          <w:marRight w:val="0"/>
          <w:marTop w:val="0"/>
          <w:marBottom w:val="0"/>
          <w:divBdr>
            <w:top w:val="none" w:sz="0" w:space="0" w:color="C4DEEE"/>
            <w:left w:val="none" w:sz="0" w:space="8" w:color="C4DEEE"/>
            <w:bottom w:val="none" w:sz="0" w:space="0" w:color="C4DEEE"/>
            <w:right w:val="none" w:sz="0" w:space="0" w:color="C4DEEE"/>
          </w:divBdr>
        </w:div>
        <w:div w:id="1555849080">
          <w:marLeft w:val="0"/>
          <w:marRight w:val="0"/>
          <w:marTop w:val="0"/>
          <w:marBottom w:val="0"/>
          <w:divBdr>
            <w:top w:val="none" w:sz="0" w:space="0" w:color="C4DEEE"/>
            <w:left w:val="none" w:sz="0" w:space="0" w:color="C4DEEE"/>
            <w:bottom w:val="none" w:sz="0" w:space="0" w:color="C4DEEE"/>
            <w:right w:val="none" w:sz="0" w:space="0" w:color="C4DEEE"/>
          </w:divBdr>
          <w:divsChild>
            <w:div w:id="908226870">
              <w:marLeft w:val="0"/>
              <w:marRight w:val="0"/>
              <w:marTop w:val="0"/>
              <w:marBottom w:val="0"/>
              <w:divBdr>
                <w:top w:val="none" w:sz="0" w:space="0" w:color="C4DEEE"/>
                <w:left w:val="none" w:sz="0" w:space="8" w:color="C4DEEE"/>
                <w:bottom w:val="none" w:sz="0" w:space="0" w:color="C4DEEE"/>
                <w:right w:val="none" w:sz="0" w:space="0" w:color="C4DEEE"/>
              </w:divBdr>
              <w:divsChild>
                <w:div w:id="446318658">
                  <w:marLeft w:val="0"/>
                  <w:marRight w:val="0"/>
                  <w:marTop w:val="0"/>
                  <w:marBottom w:val="0"/>
                  <w:divBdr>
                    <w:top w:val="none" w:sz="0" w:space="0" w:color="C4DEEE"/>
                    <w:left w:val="none" w:sz="0" w:space="0" w:color="C4DEEE"/>
                    <w:bottom w:val="none" w:sz="0" w:space="0" w:color="C4DEEE"/>
                    <w:right w:val="none" w:sz="0" w:space="0" w:color="C4DEEE"/>
                  </w:divBdr>
                  <w:divsChild>
                    <w:div w:id="13894083">
                      <w:marLeft w:val="0"/>
                      <w:marRight w:val="0"/>
                      <w:marTop w:val="0"/>
                      <w:marBottom w:val="0"/>
                      <w:divBdr>
                        <w:top w:val="none" w:sz="0" w:space="0" w:color="C4DEEE"/>
                        <w:left w:val="none" w:sz="0" w:space="0" w:color="C4DEEE"/>
                        <w:bottom w:val="none" w:sz="0" w:space="0" w:color="C4DEEE"/>
                        <w:right w:val="none" w:sz="0" w:space="0" w:color="C4DEEE"/>
                      </w:divBdr>
                    </w:div>
                    <w:div w:id="630675813">
                      <w:marLeft w:val="0"/>
                      <w:marRight w:val="0"/>
                      <w:marTop w:val="0"/>
                      <w:marBottom w:val="0"/>
                      <w:divBdr>
                        <w:top w:val="none" w:sz="0" w:space="0" w:color="C4DEEE"/>
                        <w:left w:val="none" w:sz="0" w:space="0" w:color="C4DEEE"/>
                        <w:bottom w:val="none" w:sz="0" w:space="0" w:color="C4DEEE"/>
                        <w:right w:val="none" w:sz="0" w:space="0" w:color="C4DEEE"/>
                      </w:divBdr>
                    </w:div>
                  </w:divsChild>
                </w:div>
              </w:divsChild>
            </w:div>
          </w:divsChild>
        </w:div>
      </w:divsChild>
    </w:div>
    <w:div w:id="977497328">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552421489">
      <w:bodyDiv w:val="1"/>
      <w:marLeft w:val="0"/>
      <w:marRight w:val="0"/>
      <w:marTop w:val="0"/>
      <w:marBottom w:val="0"/>
      <w:divBdr>
        <w:top w:val="none" w:sz="0" w:space="0" w:color="auto"/>
        <w:left w:val="none" w:sz="0" w:space="0" w:color="auto"/>
        <w:bottom w:val="none" w:sz="0" w:space="0" w:color="auto"/>
        <w:right w:val="none" w:sz="0" w:space="0" w:color="auto"/>
      </w:divBdr>
    </w:div>
    <w:div w:id="201401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ga.gov.au/hp/information-medicines-pi.htm" TargetMode="External"/><Relationship Id="rId13" Type="http://schemas.openxmlformats.org/officeDocument/2006/relationships/hyperlink" Target="https://www.pbs.gov.au/info/industry/listing/elements/pbac-meetings/psd/2020-07/apremilast-tablet-30-mg-pack-containing-4-tablets-of-10-mg" TargetMode="Externa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yperlink" Target="file:///\\central.health\DFSGroupData\Sites\CO1\CO\PBD\PEB\EVAL\DUSC\DUSC%20Documents\Predicted%20vs%20actual%20usage\pbs.gov.au" TargetMode="External"/><Relationship Id="rId17" Type="http://schemas.openxmlformats.org/officeDocument/2006/relationships/chart" Target="charts/chart2.xml"/><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entral.health\DFSGroupData\Sites\CO1\CO\PBD\PEB\EVAL\DUSC\DUSC%20Documents\Predicted%20vs%20actual%20usage\pbs.gov.au" TargetMode="External"/><Relationship Id="rId24" Type="http://schemas.openxmlformats.org/officeDocument/2006/relationships/chart" Target="charts/chart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bs.gov.au/info/industry/listing/participants/public-release-docs/bDMARDs/bDMARDs-chronic-plaque-psoriasis" TargetMode="External"/><Relationship Id="rId23" Type="http://schemas.openxmlformats.org/officeDocument/2006/relationships/chart" Target="charts/chart8.xml"/><Relationship Id="rId28" Type="http://schemas.openxmlformats.org/officeDocument/2006/relationships/footer" Target="footer1.xml"/><Relationship Id="rId10" Type="http://schemas.openxmlformats.org/officeDocument/2006/relationships/hyperlink" Target="http://www.pbs.gov.au/pbs/home" TargetMode="External"/><Relationship Id="rId19" Type="http://schemas.openxmlformats.org/officeDocument/2006/relationships/chart" Target="charts/chart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ga.gov.au/consumers/information-medicines-cmi.htm" TargetMode="External"/><Relationship Id="rId14" Type="http://schemas.openxmlformats.org/officeDocument/2006/relationships/hyperlink" Target="https://www.pbs.gov.au/info/industry/listing/elements/pbac-meetings/psd/2022-05/apremilast-tablet-30-mg-pack-4-tablets-10-mg-4-tablets-20mg-and-19-tablets-30mg" TargetMode="Externa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medicareaustralia.gov.au/provider/pbs/stats.js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APREMILAST/apremilast%20v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entral.health\dfsuserenv\Users\User_04\HOMONI\Desktop\APREMILAST\apremilast%2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entral.health\dfsuserenv\Users\User_04\HOMONI\Desktop\APREMILAST\apremilast%20.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APREMILAST/apremilast%20v2.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Previous%20DUSC%20meetings/2023-09/APREMILAST/apremilast%20v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APREMILAST/apremilast%20v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entral.health\dfsuserenv\Users\User_04\HOMONI\Desktop\APREMILAST\apremilast%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Previous%20DUSC%20meetings/2023-09/APREMILAST/apremilast%20v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APREMILAST/apremilast%20v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entral.health\dfsuserenv\Users\User_04\HOMONI\Desktop\APREMILAST\apremilast%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entral.health\dfsuserenv\Users\User_04\HOMONI\Desktop\APREMILAST\apremilast%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APREMILAST/apremilast%20v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[apremilast v2.xlsx]year_overall!PivotTable2</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year_overall!$Q$1</c:f>
              <c:strCache>
                <c:ptCount val="1"/>
                <c:pt idx="0">
                  <c:v>Initiating patients</c:v>
                </c:pt>
              </c:strCache>
            </c:strRef>
          </c:tx>
          <c:spPr>
            <a:ln w="28575" cap="rnd">
              <a:solidFill>
                <a:schemeClr val="accent1"/>
              </a:solidFill>
              <a:round/>
            </a:ln>
            <a:effectLst/>
          </c:spPr>
          <c:marker>
            <c:symbol val="none"/>
          </c:marker>
          <c:cat>
            <c:strRef>
              <c:f>year_overall!$P$2:$P$11</c:f>
              <c:strCache>
                <c:ptCount val="9"/>
                <c:pt idx="0">
                  <c:v>2014</c:v>
                </c:pt>
                <c:pt idx="1">
                  <c:v>2015</c:v>
                </c:pt>
                <c:pt idx="2">
                  <c:v>2016</c:v>
                </c:pt>
                <c:pt idx="3">
                  <c:v>2017</c:v>
                </c:pt>
                <c:pt idx="4">
                  <c:v>2018</c:v>
                </c:pt>
                <c:pt idx="5">
                  <c:v>2019</c:v>
                </c:pt>
                <c:pt idx="6">
                  <c:v>2020</c:v>
                </c:pt>
                <c:pt idx="7">
                  <c:v>2021</c:v>
                </c:pt>
                <c:pt idx="8">
                  <c:v>2022</c:v>
                </c:pt>
              </c:strCache>
            </c:strRef>
          </c:cat>
          <c:val>
            <c:numRef>
              <c:f>year_overall!$Q$2:$Q$11</c:f>
              <c:numCache>
                <c:formatCode>General</c:formatCode>
                <c:ptCount val="9"/>
                <c:pt idx="0">
                  <c:v>197</c:v>
                </c:pt>
                <c:pt idx="1">
                  <c:v>438</c:v>
                </c:pt>
                <c:pt idx="2">
                  <c:v>2863</c:v>
                </c:pt>
                <c:pt idx="3">
                  <c:v>3253</c:v>
                </c:pt>
                <c:pt idx="4">
                  <c:v>4159</c:v>
                </c:pt>
                <c:pt idx="5">
                  <c:v>4767</c:v>
                </c:pt>
                <c:pt idx="6">
                  <c:v>4989</c:v>
                </c:pt>
                <c:pt idx="7">
                  <c:v>6923</c:v>
                </c:pt>
                <c:pt idx="8">
                  <c:v>6641</c:v>
                </c:pt>
              </c:numCache>
            </c:numRef>
          </c:val>
          <c:smooth val="0"/>
          <c:extLst>
            <c:ext xmlns:c16="http://schemas.microsoft.com/office/drawing/2014/chart" uri="{C3380CC4-5D6E-409C-BE32-E72D297353CC}">
              <c16:uniqueId val="{00000000-3152-4A37-99D2-6734B59AA80D}"/>
            </c:ext>
          </c:extLst>
        </c:ser>
        <c:ser>
          <c:idx val="1"/>
          <c:order val="1"/>
          <c:tx>
            <c:strRef>
              <c:f>year_overall!$R$1</c:f>
              <c:strCache>
                <c:ptCount val="1"/>
                <c:pt idx="0">
                  <c:v>Prevalent patients</c:v>
                </c:pt>
              </c:strCache>
            </c:strRef>
          </c:tx>
          <c:spPr>
            <a:ln w="28575" cap="rnd">
              <a:solidFill>
                <a:schemeClr val="accent2"/>
              </a:solidFill>
              <a:round/>
            </a:ln>
            <a:effectLst/>
          </c:spPr>
          <c:marker>
            <c:symbol val="none"/>
          </c:marker>
          <c:cat>
            <c:strRef>
              <c:f>year_overall!$P$2:$P$11</c:f>
              <c:strCache>
                <c:ptCount val="9"/>
                <c:pt idx="0">
                  <c:v>2014</c:v>
                </c:pt>
                <c:pt idx="1">
                  <c:v>2015</c:v>
                </c:pt>
                <c:pt idx="2">
                  <c:v>2016</c:v>
                </c:pt>
                <c:pt idx="3">
                  <c:v>2017</c:v>
                </c:pt>
                <c:pt idx="4">
                  <c:v>2018</c:v>
                </c:pt>
                <c:pt idx="5">
                  <c:v>2019</c:v>
                </c:pt>
                <c:pt idx="6">
                  <c:v>2020</c:v>
                </c:pt>
                <c:pt idx="7">
                  <c:v>2021</c:v>
                </c:pt>
                <c:pt idx="8">
                  <c:v>2022</c:v>
                </c:pt>
              </c:strCache>
            </c:strRef>
          </c:cat>
          <c:val>
            <c:numRef>
              <c:f>year_overall!$R$2:$R$11</c:f>
              <c:numCache>
                <c:formatCode>General</c:formatCode>
                <c:ptCount val="9"/>
                <c:pt idx="0">
                  <c:v>3966</c:v>
                </c:pt>
                <c:pt idx="1">
                  <c:v>5191</c:v>
                </c:pt>
                <c:pt idx="2">
                  <c:v>11649</c:v>
                </c:pt>
                <c:pt idx="3">
                  <c:v>13844</c:v>
                </c:pt>
                <c:pt idx="4">
                  <c:v>16076</c:v>
                </c:pt>
                <c:pt idx="5">
                  <c:v>18770</c:v>
                </c:pt>
                <c:pt idx="6">
                  <c:v>21247</c:v>
                </c:pt>
                <c:pt idx="7">
                  <c:v>26047</c:v>
                </c:pt>
                <c:pt idx="8">
                  <c:v>29131</c:v>
                </c:pt>
              </c:numCache>
            </c:numRef>
          </c:val>
          <c:smooth val="0"/>
          <c:extLst>
            <c:ext xmlns:c16="http://schemas.microsoft.com/office/drawing/2014/chart" uri="{C3380CC4-5D6E-409C-BE32-E72D297353CC}">
              <c16:uniqueId val="{00000001-3152-4A37-99D2-6734B59AA80D}"/>
            </c:ext>
          </c:extLst>
        </c:ser>
        <c:dLbls>
          <c:showLegendKey val="0"/>
          <c:showVal val="0"/>
          <c:showCatName val="0"/>
          <c:showSerName val="0"/>
          <c:showPercent val="0"/>
          <c:showBubbleSize val="0"/>
        </c:dLbls>
        <c:smooth val="0"/>
        <c:axId val="886672808"/>
        <c:axId val="886218360"/>
      </c:lineChart>
      <c:catAx>
        <c:axId val="886672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6218360"/>
        <c:crosses val="autoZero"/>
        <c:auto val="1"/>
        <c:lblAlgn val="ctr"/>
        <c:lblOffset val="100"/>
        <c:noMultiLvlLbl val="0"/>
      </c:catAx>
      <c:valAx>
        <c:axId val="886218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6672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[apremilast .xlsx]Sheet3!PivotTable2</c:name>
    <c:fmtId val="-1"/>
  </c:pivotSource>
  <c:chart>
    <c:autoTitleDeleted val="0"/>
    <c:pivotFmts>
      <c:pivotFmt>
        <c:idx val="0"/>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Sheet3!$S$1:$S$2</c:f>
              <c:strCache>
                <c:ptCount val="1"/>
                <c:pt idx="0">
                  <c:v>Female</c:v>
                </c:pt>
              </c:strCache>
            </c:strRef>
          </c:tx>
          <c:spPr>
            <a:solidFill>
              <a:schemeClr val="accent2"/>
            </a:solidFill>
            <a:ln>
              <a:noFill/>
            </a:ln>
            <a:effectLst/>
          </c:spPr>
          <c:invertIfNegative val="0"/>
          <c:cat>
            <c:strRef>
              <c:f>Sheet3!$R$3:$R$18</c:f>
              <c:strCache>
                <c:ptCount val="15"/>
                <c:pt idx="0">
                  <c:v>10-19 yrs</c:v>
                </c:pt>
                <c:pt idx="1">
                  <c:v>20-24 yrs</c:v>
                </c:pt>
                <c:pt idx="2">
                  <c:v>25-29 yrs</c:v>
                </c:pt>
                <c:pt idx="3">
                  <c:v>30-34 yrs</c:v>
                </c:pt>
                <c:pt idx="4">
                  <c:v>35-39 yrs</c:v>
                </c:pt>
                <c:pt idx="5">
                  <c:v>40-44 yrs</c:v>
                </c:pt>
                <c:pt idx="6">
                  <c:v>45-49 yrs</c:v>
                </c:pt>
                <c:pt idx="7">
                  <c:v>50-54 yrs</c:v>
                </c:pt>
                <c:pt idx="8">
                  <c:v>55-59 yrs</c:v>
                </c:pt>
                <c:pt idx="9">
                  <c:v>60-64 yrs</c:v>
                </c:pt>
                <c:pt idx="10">
                  <c:v>65-69 yrs</c:v>
                </c:pt>
                <c:pt idx="11">
                  <c:v>70-74 yrs</c:v>
                </c:pt>
                <c:pt idx="12">
                  <c:v>75-79 yrs</c:v>
                </c:pt>
                <c:pt idx="13">
                  <c:v>80-84 yrs</c:v>
                </c:pt>
                <c:pt idx="14">
                  <c:v>85+ yrs</c:v>
                </c:pt>
              </c:strCache>
            </c:strRef>
          </c:cat>
          <c:val>
            <c:numRef>
              <c:f>Sheet3!$S$3:$S$18</c:f>
              <c:numCache>
                <c:formatCode>General</c:formatCode>
                <c:ptCount val="15"/>
                <c:pt idx="0">
                  <c:v>79</c:v>
                </c:pt>
                <c:pt idx="1">
                  <c:v>146</c:v>
                </c:pt>
                <c:pt idx="2">
                  <c:v>162</c:v>
                </c:pt>
                <c:pt idx="3">
                  <c:v>248</c:v>
                </c:pt>
                <c:pt idx="4">
                  <c:v>299</c:v>
                </c:pt>
                <c:pt idx="5">
                  <c:v>355</c:v>
                </c:pt>
                <c:pt idx="6">
                  <c:v>402</c:v>
                </c:pt>
                <c:pt idx="7">
                  <c:v>423</c:v>
                </c:pt>
                <c:pt idx="8">
                  <c:v>438</c:v>
                </c:pt>
                <c:pt idx="9">
                  <c:v>402</c:v>
                </c:pt>
                <c:pt idx="10">
                  <c:v>314</c:v>
                </c:pt>
                <c:pt idx="11">
                  <c:v>250</c:v>
                </c:pt>
                <c:pt idx="12">
                  <c:v>145</c:v>
                </c:pt>
                <c:pt idx="13">
                  <c:v>69</c:v>
                </c:pt>
                <c:pt idx="14">
                  <c:v>24</c:v>
                </c:pt>
              </c:numCache>
            </c:numRef>
          </c:val>
          <c:extLst>
            <c:ext xmlns:c16="http://schemas.microsoft.com/office/drawing/2014/chart" uri="{C3380CC4-5D6E-409C-BE32-E72D297353CC}">
              <c16:uniqueId val="{00000000-DDB3-4813-9790-383B97D6FDB6}"/>
            </c:ext>
          </c:extLst>
        </c:ser>
        <c:ser>
          <c:idx val="1"/>
          <c:order val="1"/>
          <c:tx>
            <c:strRef>
              <c:f>Sheet3!$T$1:$T$2</c:f>
              <c:strCache>
                <c:ptCount val="1"/>
                <c:pt idx="0">
                  <c:v>Male</c:v>
                </c:pt>
              </c:strCache>
            </c:strRef>
          </c:tx>
          <c:spPr>
            <a:solidFill>
              <a:schemeClr val="accent1"/>
            </a:solidFill>
            <a:ln>
              <a:noFill/>
            </a:ln>
            <a:effectLst/>
          </c:spPr>
          <c:invertIfNegative val="0"/>
          <c:cat>
            <c:strRef>
              <c:f>Sheet3!$R$3:$R$18</c:f>
              <c:strCache>
                <c:ptCount val="15"/>
                <c:pt idx="0">
                  <c:v>10-19 yrs</c:v>
                </c:pt>
                <c:pt idx="1">
                  <c:v>20-24 yrs</c:v>
                </c:pt>
                <c:pt idx="2">
                  <c:v>25-29 yrs</c:v>
                </c:pt>
                <c:pt idx="3">
                  <c:v>30-34 yrs</c:v>
                </c:pt>
                <c:pt idx="4">
                  <c:v>35-39 yrs</c:v>
                </c:pt>
                <c:pt idx="5">
                  <c:v>40-44 yrs</c:v>
                </c:pt>
                <c:pt idx="6">
                  <c:v>45-49 yrs</c:v>
                </c:pt>
                <c:pt idx="7">
                  <c:v>50-54 yrs</c:v>
                </c:pt>
                <c:pt idx="8">
                  <c:v>55-59 yrs</c:v>
                </c:pt>
                <c:pt idx="9">
                  <c:v>60-64 yrs</c:v>
                </c:pt>
                <c:pt idx="10">
                  <c:v>65-69 yrs</c:v>
                </c:pt>
                <c:pt idx="11">
                  <c:v>70-74 yrs</c:v>
                </c:pt>
                <c:pt idx="12">
                  <c:v>75-79 yrs</c:v>
                </c:pt>
                <c:pt idx="13">
                  <c:v>80-84 yrs</c:v>
                </c:pt>
                <c:pt idx="14">
                  <c:v>85+ yrs</c:v>
                </c:pt>
              </c:strCache>
            </c:strRef>
          </c:cat>
          <c:val>
            <c:numRef>
              <c:f>Sheet3!$T$3:$T$18</c:f>
              <c:numCache>
                <c:formatCode>General</c:formatCode>
                <c:ptCount val="15"/>
                <c:pt idx="0">
                  <c:v>50</c:v>
                </c:pt>
                <c:pt idx="1">
                  <c:v>133</c:v>
                </c:pt>
                <c:pt idx="2">
                  <c:v>219</c:v>
                </c:pt>
                <c:pt idx="3">
                  <c:v>294</c:v>
                </c:pt>
                <c:pt idx="4">
                  <c:v>367</c:v>
                </c:pt>
                <c:pt idx="5">
                  <c:v>405</c:v>
                </c:pt>
                <c:pt idx="6">
                  <c:v>441</c:v>
                </c:pt>
                <c:pt idx="7">
                  <c:v>461</c:v>
                </c:pt>
                <c:pt idx="8">
                  <c:v>424</c:v>
                </c:pt>
                <c:pt idx="9">
                  <c:v>428</c:v>
                </c:pt>
                <c:pt idx="10">
                  <c:v>331</c:v>
                </c:pt>
                <c:pt idx="11">
                  <c:v>284</c:v>
                </c:pt>
                <c:pt idx="12">
                  <c:v>159</c:v>
                </c:pt>
                <c:pt idx="13">
                  <c:v>68</c:v>
                </c:pt>
                <c:pt idx="14">
                  <c:v>36</c:v>
                </c:pt>
              </c:numCache>
            </c:numRef>
          </c:val>
          <c:extLst>
            <c:ext xmlns:c16="http://schemas.microsoft.com/office/drawing/2014/chart" uri="{C3380CC4-5D6E-409C-BE32-E72D297353CC}">
              <c16:uniqueId val="{00000001-DDB3-4813-9790-383B97D6FDB6}"/>
            </c:ext>
          </c:extLst>
        </c:ser>
        <c:dLbls>
          <c:showLegendKey val="0"/>
          <c:showVal val="0"/>
          <c:showCatName val="0"/>
          <c:showSerName val="0"/>
          <c:showPercent val="0"/>
          <c:showBubbleSize val="0"/>
        </c:dLbls>
        <c:gapWidth val="219"/>
        <c:overlap val="-27"/>
        <c:axId val="885457264"/>
        <c:axId val="866203536"/>
      </c:barChart>
      <c:catAx>
        <c:axId val="885457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 group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203536"/>
        <c:crosses val="autoZero"/>
        <c:auto val="1"/>
        <c:lblAlgn val="ctr"/>
        <c:lblOffset val="100"/>
        <c:noMultiLvlLbl val="0"/>
      </c:catAx>
      <c:valAx>
        <c:axId val="866203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Initiating apremilast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5457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[apremilast .xlsx]prescriber type!PivotTable1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percentStacked"/>
        <c:varyColors val="0"/>
        <c:ser>
          <c:idx val="0"/>
          <c:order val="0"/>
          <c:tx>
            <c:strRef>
              <c:f>'prescriber type'!$S$1:$S$2</c:f>
              <c:strCache>
                <c:ptCount val="1"/>
                <c:pt idx="0">
                  <c:v>Dermatology</c:v>
                </c:pt>
              </c:strCache>
            </c:strRef>
          </c:tx>
          <c:spPr>
            <a:solidFill>
              <a:schemeClr val="accent1"/>
            </a:solidFill>
            <a:ln>
              <a:noFill/>
            </a:ln>
            <a:effectLst/>
          </c:spPr>
          <c:invertIfNegative val="0"/>
          <c:cat>
            <c:strRef>
              <c:f>'prescriber type'!$R$3</c:f>
              <c:strCache>
                <c:ptCount val="1"/>
                <c:pt idx="0">
                  <c:v>Total</c:v>
                </c:pt>
              </c:strCache>
            </c:strRef>
          </c:cat>
          <c:val>
            <c:numRef>
              <c:f>'prescriber type'!$S$3</c:f>
              <c:numCache>
                <c:formatCode>0.00%</c:formatCode>
                <c:ptCount val="1"/>
                <c:pt idx="0">
                  <c:v>0.87270375161707636</c:v>
                </c:pt>
              </c:numCache>
            </c:numRef>
          </c:val>
          <c:extLst>
            <c:ext xmlns:c16="http://schemas.microsoft.com/office/drawing/2014/chart" uri="{C3380CC4-5D6E-409C-BE32-E72D297353CC}">
              <c16:uniqueId val="{00000000-3F83-4C76-9650-F669C670AF31}"/>
            </c:ext>
          </c:extLst>
        </c:ser>
        <c:ser>
          <c:idx val="1"/>
          <c:order val="1"/>
          <c:tx>
            <c:strRef>
              <c:f>'prescriber type'!$T$1:$T$2</c:f>
              <c:strCache>
                <c:ptCount val="1"/>
                <c:pt idx="0">
                  <c:v>GP</c:v>
                </c:pt>
              </c:strCache>
            </c:strRef>
          </c:tx>
          <c:spPr>
            <a:solidFill>
              <a:schemeClr val="accent2"/>
            </a:solidFill>
            <a:ln>
              <a:noFill/>
            </a:ln>
            <a:effectLst/>
          </c:spPr>
          <c:invertIfNegative val="0"/>
          <c:cat>
            <c:strRef>
              <c:f>'prescriber type'!$R$3</c:f>
              <c:strCache>
                <c:ptCount val="1"/>
                <c:pt idx="0">
                  <c:v>Total</c:v>
                </c:pt>
              </c:strCache>
            </c:strRef>
          </c:cat>
          <c:val>
            <c:numRef>
              <c:f>'prescriber type'!$T$3</c:f>
              <c:numCache>
                <c:formatCode>0.00%</c:formatCode>
                <c:ptCount val="1"/>
                <c:pt idx="0">
                  <c:v>0.11513583441138421</c:v>
                </c:pt>
              </c:numCache>
            </c:numRef>
          </c:val>
          <c:extLst>
            <c:ext xmlns:c16="http://schemas.microsoft.com/office/drawing/2014/chart" uri="{C3380CC4-5D6E-409C-BE32-E72D297353CC}">
              <c16:uniqueId val="{00000001-3F83-4C76-9650-F669C670AF31}"/>
            </c:ext>
          </c:extLst>
        </c:ser>
        <c:ser>
          <c:idx val="2"/>
          <c:order val="2"/>
          <c:tx>
            <c:strRef>
              <c:f>'prescriber type'!$U$1:$U$2</c:f>
              <c:strCache>
                <c:ptCount val="1"/>
                <c:pt idx="0">
                  <c:v>Other specialty</c:v>
                </c:pt>
              </c:strCache>
            </c:strRef>
          </c:tx>
          <c:spPr>
            <a:solidFill>
              <a:schemeClr val="accent3"/>
            </a:solidFill>
            <a:ln>
              <a:noFill/>
            </a:ln>
            <a:effectLst/>
          </c:spPr>
          <c:invertIfNegative val="0"/>
          <c:cat>
            <c:strRef>
              <c:f>'prescriber type'!$R$3</c:f>
              <c:strCache>
                <c:ptCount val="1"/>
                <c:pt idx="0">
                  <c:v>Total</c:v>
                </c:pt>
              </c:strCache>
            </c:strRef>
          </c:cat>
          <c:val>
            <c:numRef>
              <c:f>'prescriber type'!$U$3</c:f>
              <c:numCache>
                <c:formatCode>0.00%</c:formatCode>
                <c:ptCount val="1"/>
                <c:pt idx="0">
                  <c:v>1.2160413971539457E-2</c:v>
                </c:pt>
              </c:numCache>
            </c:numRef>
          </c:val>
          <c:extLst>
            <c:ext xmlns:c16="http://schemas.microsoft.com/office/drawing/2014/chart" uri="{C3380CC4-5D6E-409C-BE32-E72D297353CC}">
              <c16:uniqueId val="{00000002-3F83-4C76-9650-F669C670AF31}"/>
            </c:ext>
          </c:extLst>
        </c:ser>
        <c:dLbls>
          <c:showLegendKey val="0"/>
          <c:showVal val="0"/>
          <c:showCatName val="0"/>
          <c:showSerName val="0"/>
          <c:showPercent val="0"/>
          <c:showBubbleSize val="0"/>
        </c:dLbls>
        <c:gapWidth val="150"/>
        <c:overlap val="100"/>
        <c:axId val="820948832"/>
        <c:axId val="820947848"/>
      </c:barChart>
      <c:catAx>
        <c:axId val="820948832"/>
        <c:scaling>
          <c:orientation val="minMax"/>
        </c:scaling>
        <c:delete val="1"/>
        <c:axPos val="l"/>
        <c:numFmt formatCode="General" sourceLinked="1"/>
        <c:majorTickMark val="none"/>
        <c:minorTickMark val="none"/>
        <c:tickLblPos val="nextTo"/>
        <c:crossAx val="820947848"/>
        <c:crosses val="autoZero"/>
        <c:auto val="1"/>
        <c:lblAlgn val="ctr"/>
        <c:lblOffset val="100"/>
        <c:noMultiLvlLbl val="0"/>
      </c:catAx>
      <c:valAx>
        <c:axId val="820947848"/>
        <c:scaling>
          <c:orientation val="minMax"/>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Proportion of initiating apremilast patients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0948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[apremilast v2.xlsx]Sheet11!PivotTable8</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percentStacked"/>
        <c:varyColors val="0"/>
        <c:ser>
          <c:idx val="0"/>
          <c:order val="0"/>
          <c:tx>
            <c:strRef>
              <c:f>Sheet11!$R$1:$R$2</c:f>
              <c:strCache>
                <c:ptCount val="1"/>
                <c:pt idx="0">
                  <c:v>Dermatology</c:v>
                </c:pt>
              </c:strCache>
            </c:strRef>
          </c:tx>
          <c:spPr>
            <a:solidFill>
              <a:schemeClr val="accent1"/>
            </a:solidFill>
            <a:ln>
              <a:noFill/>
            </a:ln>
            <a:effectLst/>
          </c:spPr>
          <c:invertIfNegative val="0"/>
          <c:cat>
            <c:strRef>
              <c:f>Sheet11!$Q$3:$Q$5</c:f>
              <c:strCache>
                <c:ptCount val="2"/>
                <c:pt idx="0">
                  <c:v>After listing extension</c:v>
                </c:pt>
                <c:pt idx="1">
                  <c:v>Before listing extension</c:v>
                </c:pt>
              </c:strCache>
            </c:strRef>
          </c:cat>
          <c:val>
            <c:numRef>
              <c:f>Sheet11!$R$3:$R$5</c:f>
              <c:numCache>
                <c:formatCode>0.00%</c:formatCode>
                <c:ptCount val="2"/>
                <c:pt idx="0">
                  <c:v>0.84592145015105735</c:v>
                </c:pt>
                <c:pt idx="1">
                  <c:v>0.88648435963013972</c:v>
                </c:pt>
              </c:numCache>
            </c:numRef>
          </c:val>
          <c:extLst>
            <c:ext xmlns:c16="http://schemas.microsoft.com/office/drawing/2014/chart" uri="{C3380CC4-5D6E-409C-BE32-E72D297353CC}">
              <c16:uniqueId val="{00000000-C968-4913-AE8D-DE184880A656}"/>
            </c:ext>
          </c:extLst>
        </c:ser>
        <c:ser>
          <c:idx val="1"/>
          <c:order val="1"/>
          <c:tx>
            <c:strRef>
              <c:f>Sheet11!$S$1:$S$2</c:f>
              <c:strCache>
                <c:ptCount val="1"/>
                <c:pt idx="0">
                  <c:v>GP</c:v>
                </c:pt>
              </c:strCache>
            </c:strRef>
          </c:tx>
          <c:spPr>
            <a:solidFill>
              <a:schemeClr val="accent2"/>
            </a:solidFill>
            <a:ln>
              <a:noFill/>
            </a:ln>
            <a:effectLst/>
          </c:spPr>
          <c:invertIfNegative val="0"/>
          <c:cat>
            <c:strRef>
              <c:f>Sheet11!$Q$3:$Q$5</c:f>
              <c:strCache>
                <c:ptCount val="2"/>
                <c:pt idx="0">
                  <c:v>After listing extension</c:v>
                </c:pt>
                <c:pt idx="1">
                  <c:v>Before listing extension</c:v>
                </c:pt>
              </c:strCache>
            </c:strRef>
          </c:cat>
          <c:val>
            <c:numRef>
              <c:f>Sheet11!$S$3:$S$5</c:f>
              <c:numCache>
                <c:formatCode>0.00%</c:formatCode>
                <c:ptCount val="2"/>
                <c:pt idx="0">
                  <c:v>0.1404833836858006</c:v>
                </c:pt>
                <c:pt idx="1">
                  <c:v>0.10210505606925044</c:v>
                </c:pt>
              </c:numCache>
            </c:numRef>
          </c:val>
          <c:extLst>
            <c:ext xmlns:c16="http://schemas.microsoft.com/office/drawing/2014/chart" uri="{C3380CC4-5D6E-409C-BE32-E72D297353CC}">
              <c16:uniqueId val="{00000001-C968-4913-AE8D-DE184880A656}"/>
            </c:ext>
          </c:extLst>
        </c:ser>
        <c:ser>
          <c:idx val="2"/>
          <c:order val="2"/>
          <c:tx>
            <c:strRef>
              <c:f>Sheet11!$T$1:$T$2</c:f>
              <c:strCache>
                <c:ptCount val="1"/>
                <c:pt idx="0">
                  <c:v>Other specialty</c:v>
                </c:pt>
              </c:strCache>
            </c:strRef>
          </c:tx>
          <c:spPr>
            <a:solidFill>
              <a:schemeClr val="accent3"/>
            </a:solidFill>
            <a:ln>
              <a:noFill/>
            </a:ln>
            <a:effectLst/>
          </c:spPr>
          <c:invertIfNegative val="0"/>
          <c:cat>
            <c:strRef>
              <c:f>Sheet11!$Q$3:$Q$5</c:f>
              <c:strCache>
                <c:ptCount val="2"/>
                <c:pt idx="0">
                  <c:v>After listing extension</c:v>
                </c:pt>
                <c:pt idx="1">
                  <c:v>Before listing extension</c:v>
                </c:pt>
              </c:strCache>
            </c:strRef>
          </c:cat>
          <c:val>
            <c:numRef>
              <c:f>Sheet11!$T$3:$T$5</c:f>
              <c:numCache>
                <c:formatCode>0.00%</c:formatCode>
                <c:ptCount val="2"/>
                <c:pt idx="0">
                  <c:v>1.3595166163141994E-2</c:v>
                </c:pt>
                <c:pt idx="1">
                  <c:v>1.1410584300609875E-2</c:v>
                </c:pt>
              </c:numCache>
            </c:numRef>
          </c:val>
          <c:extLst>
            <c:ext xmlns:c16="http://schemas.microsoft.com/office/drawing/2014/chart" uri="{C3380CC4-5D6E-409C-BE32-E72D297353CC}">
              <c16:uniqueId val="{00000002-C968-4913-AE8D-DE184880A656}"/>
            </c:ext>
          </c:extLst>
        </c:ser>
        <c:dLbls>
          <c:showLegendKey val="0"/>
          <c:showVal val="0"/>
          <c:showCatName val="0"/>
          <c:showSerName val="0"/>
          <c:showPercent val="0"/>
          <c:showBubbleSize val="0"/>
        </c:dLbls>
        <c:gapWidth val="150"/>
        <c:overlap val="100"/>
        <c:axId val="1092177992"/>
        <c:axId val="1092185208"/>
      </c:barChart>
      <c:catAx>
        <c:axId val="1092177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2185208"/>
        <c:crosses val="autoZero"/>
        <c:auto val="1"/>
        <c:lblAlgn val="ctr"/>
        <c:lblOffset val="100"/>
        <c:noMultiLvlLbl val="0"/>
      </c:catAx>
      <c:valAx>
        <c:axId val="1092185208"/>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2177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[apremilast v3.xlsx]Sheet5!PivotTable4</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Sheet5!$Q$1:$Q$2</c:f>
              <c:strCache>
                <c:ptCount val="1"/>
                <c:pt idx="0">
                  <c:v>Biologic therapies</c:v>
                </c:pt>
              </c:strCache>
            </c:strRef>
          </c:tx>
          <c:spPr>
            <a:ln w="28575" cap="rnd">
              <a:solidFill>
                <a:schemeClr val="accent1"/>
              </a:solidFill>
              <a:round/>
            </a:ln>
            <a:effectLst/>
          </c:spPr>
          <c:marker>
            <c:symbol val="none"/>
          </c:marker>
          <c:cat>
            <c:strRef>
              <c:f>Sheet5!$P$3:$P$12</c:f>
              <c:strCache>
                <c:ptCount val="9"/>
                <c:pt idx="0">
                  <c:v>2014</c:v>
                </c:pt>
                <c:pt idx="1">
                  <c:v>2015</c:v>
                </c:pt>
                <c:pt idx="2">
                  <c:v>2016</c:v>
                </c:pt>
                <c:pt idx="3">
                  <c:v>2017</c:v>
                </c:pt>
                <c:pt idx="4">
                  <c:v>2018</c:v>
                </c:pt>
                <c:pt idx="5">
                  <c:v>2019</c:v>
                </c:pt>
                <c:pt idx="6">
                  <c:v>2020</c:v>
                </c:pt>
                <c:pt idx="7">
                  <c:v>2021</c:v>
                </c:pt>
                <c:pt idx="8">
                  <c:v>2022</c:v>
                </c:pt>
              </c:strCache>
            </c:strRef>
          </c:cat>
          <c:val>
            <c:numRef>
              <c:f>Sheet5!$Q$3:$Q$12</c:f>
              <c:numCache>
                <c:formatCode>General</c:formatCode>
                <c:ptCount val="9"/>
                <c:pt idx="0">
                  <c:v>3966</c:v>
                </c:pt>
                <c:pt idx="1">
                  <c:v>4762</c:v>
                </c:pt>
                <c:pt idx="2">
                  <c:v>5771</c:v>
                </c:pt>
                <c:pt idx="3">
                  <c:v>7034</c:v>
                </c:pt>
                <c:pt idx="4">
                  <c:v>9310</c:v>
                </c:pt>
                <c:pt idx="5">
                  <c:v>11741</c:v>
                </c:pt>
                <c:pt idx="6">
                  <c:v>13900</c:v>
                </c:pt>
                <c:pt idx="7">
                  <c:v>16633</c:v>
                </c:pt>
                <c:pt idx="8">
                  <c:v>18845</c:v>
                </c:pt>
              </c:numCache>
            </c:numRef>
          </c:val>
          <c:smooth val="0"/>
          <c:extLst>
            <c:ext xmlns:c16="http://schemas.microsoft.com/office/drawing/2014/chart" uri="{C3380CC4-5D6E-409C-BE32-E72D297353CC}">
              <c16:uniqueId val="{00000000-EDB3-4C3A-972F-763F19C05924}"/>
            </c:ext>
          </c:extLst>
        </c:ser>
        <c:ser>
          <c:idx val="1"/>
          <c:order val="1"/>
          <c:tx>
            <c:strRef>
              <c:f>Sheet5!$R$1:$R$2</c:f>
              <c:strCache>
                <c:ptCount val="1"/>
                <c:pt idx="0">
                  <c:v>Non-biologic therapies</c:v>
                </c:pt>
              </c:strCache>
            </c:strRef>
          </c:tx>
          <c:spPr>
            <a:ln w="28575" cap="rnd">
              <a:solidFill>
                <a:schemeClr val="accent2"/>
              </a:solidFill>
              <a:round/>
            </a:ln>
            <a:effectLst/>
          </c:spPr>
          <c:marker>
            <c:symbol val="none"/>
          </c:marker>
          <c:cat>
            <c:strRef>
              <c:f>Sheet5!$P$3:$P$12</c:f>
              <c:strCache>
                <c:ptCount val="9"/>
                <c:pt idx="0">
                  <c:v>2014</c:v>
                </c:pt>
                <c:pt idx="1">
                  <c:v>2015</c:v>
                </c:pt>
                <c:pt idx="2">
                  <c:v>2016</c:v>
                </c:pt>
                <c:pt idx="3">
                  <c:v>2017</c:v>
                </c:pt>
                <c:pt idx="4">
                  <c:v>2018</c:v>
                </c:pt>
                <c:pt idx="5">
                  <c:v>2019</c:v>
                </c:pt>
                <c:pt idx="6">
                  <c:v>2020</c:v>
                </c:pt>
                <c:pt idx="7">
                  <c:v>2021</c:v>
                </c:pt>
                <c:pt idx="8">
                  <c:v>2022</c:v>
                </c:pt>
              </c:strCache>
            </c:strRef>
          </c:cat>
          <c:val>
            <c:numRef>
              <c:f>Sheet5!$R$3:$R$12</c:f>
              <c:numCache>
                <c:formatCode>General</c:formatCode>
                <c:ptCount val="9"/>
                <c:pt idx="0">
                  <c:v>5953</c:v>
                </c:pt>
                <c:pt idx="1">
                  <c:v>6269</c:v>
                </c:pt>
                <c:pt idx="2">
                  <c:v>6904</c:v>
                </c:pt>
                <c:pt idx="3">
                  <c:v>7242</c:v>
                </c:pt>
                <c:pt idx="4">
                  <c:v>7728</c:v>
                </c:pt>
                <c:pt idx="5">
                  <c:v>8982</c:v>
                </c:pt>
                <c:pt idx="6">
                  <c:v>9693</c:v>
                </c:pt>
                <c:pt idx="7">
                  <c:v>9690</c:v>
                </c:pt>
                <c:pt idx="8">
                  <c:v>9361</c:v>
                </c:pt>
              </c:numCache>
            </c:numRef>
          </c:val>
          <c:smooth val="0"/>
          <c:extLst>
            <c:ext xmlns:c16="http://schemas.microsoft.com/office/drawing/2014/chart" uri="{C3380CC4-5D6E-409C-BE32-E72D297353CC}">
              <c16:uniqueId val="{00000001-EDB3-4C3A-972F-763F19C05924}"/>
            </c:ext>
          </c:extLst>
        </c:ser>
        <c:dLbls>
          <c:showLegendKey val="0"/>
          <c:showVal val="0"/>
          <c:showCatName val="0"/>
          <c:showSerName val="0"/>
          <c:showPercent val="0"/>
          <c:showBubbleSize val="0"/>
        </c:dLbls>
        <c:smooth val="0"/>
        <c:axId val="956522944"/>
        <c:axId val="956523600"/>
      </c:lineChart>
      <c:catAx>
        <c:axId val="95652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6523600"/>
        <c:crosses val="autoZero"/>
        <c:auto val="1"/>
        <c:lblAlgn val="ctr"/>
        <c:lblOffset val="100"/>
        <c:noMultiLvlLbl val="0"/>
      </c:catAx>
      <c:valAx>
        <c:axId val="956523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6522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[apremilast v2.xlsx]year_drug!PivotTable1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areaChart>
        <c:grouping val="stacked"/>
        <c:varyColors val="0"/>
        <c:ser>
          <c:idx val="0"/>
          <c:order val="0"/>
          <c:tx>
            <c:strRef>
              <c:f>year_drug!$S$3:$S$4</c:f>
              <c:strCache>
                <c:ptCount val="1"/>
                <c:pt idx="0">
                  <c:v>ACITRETIN</c:v>
                </c:pt>
              </c:strCache>
            </c:strRef>
          </c:tx>
          <c:spPr>
            <a:solidFill>
              <a:schemeClr val="accent1"/>
            </a:solidFill>
            <a:ln>
              <a:noFill/>
            </a:ln>
            <a:effectLst/>
          </c:spPr>
          <c:cat>
            <c:strRef>
              <c:f>year_drug!$R$5:$R$14</c:f>
              <c:strCache>
                <c:ptCount val="9"/>
                <c:pt idx="0">
                  <c:v>2014</c:v>
                </c:pt>
                <c:pt idx="1">
                  <c:v>2015</c:v>
                </c:pt>
                <c:pt idx="2">
                  <c:v>2016</c:v>
                </c:pt>
                <c:pt idx="3">
                  <c:v>2017</c:v>
                </c:pt>
                <c:pt idx="4">
                  <c:v>2018</c:v>
                </c:pt>
                <c:pt idx="5">
                  <c:v>2019</c:v>
                </c:pt>
                <c:pt idx="6">
                  <c:v>2020</c:v>
                </c:pt>
                <c:pt idx="7">
                  <c:v>2021</c:v>
                </c:pt>
                <c:pt idx="8">
                  <c:v>2022</c:v>
                </c:pt>
              </c:strCache>
            </c:strRef>
          </c:cat>
          <c:val>
            <c:numRef>
              <c:f>year_drug!$S$5:$S$14</c:f>
              <c:numCache>
                <c:formatCode>General</c:formatCode>
                <c:ptCount val="9"/>
                <c:pt idx="0">
                  <c:v>5861</c:v>
                </c:pt>
                <c:pt idx="1">
                  <c:v>6171</c:v>
                </c:pt>
                <c:pt idx="2">
                  <c:v>6844</c:v>
                </c:pt>
                <c:pt idx="3">
                  <c:v>7160</c:v>
                </c:pt>
                <c:pt idx="4">
                  <c:v>7143</c:v>
                </c:pt>
                <c:pt idx="5">
                  <c:v>7697</c:v>
                </c:pt>
                <c:pt idx="6">
                  <c:v>7989</c:v>
                </c:pt>
                <c:pt idx="7">
                  <c:v>7579</c:v>
                </c:pt>
                <c:pt idx="8">
                  <c:v>7054</c:v>
                </c:pt>
              </c:numCache>
            </c:numRef>
          </c:val>
          <c:extLst>
            <c:ext xmlns:c16="http://schemas.microsoft.com/office/drawing/2014/chart" uri="{C3380CC4-5D6E-409C-BE32-E72D297353CC}">
              <c16:uniqueId val="{00000000-E563-4197-99ED-4CADA17780E1}"/>
            </c:ext>
          </c:extLst>
        </c:ser>
        <c:ser>
          <c:idx val="1"/>
          <c:order val="1"/>
          <c:tx>
            <c:strRef>
              <c:f>year_drug!$T$3:$T$4</c:f>
              <c:strCache>
                <c:ptCount val="1"/>
                <c:pt idx="0">
                  <c:v>ADALIMUMAB</c:v>
                </c:pt>
              </c:strCache>
            </c:strRef>
          </c:tx>
          <c:spPr>
            <a:solidFill>
              <a:schemeClr val="accent2"/>
            </a:solidFill>
            <a:ln>
              <a:noFill/>
            </a:ln>
            <a:effectLst/>
          </c:spPr>
          <c:cat>
            <c:strRef>
              <c:f>year_drug!$R$5:$R$14</c:f>
              <c:strCache>
                <c:ptCount val="9"/>
                <c:pt idx="0">
                  <c:v>2014</c:v>
                </c:pt>
                <c:pt idx="1">
                  <c:v>2015</c:v>
                </c:pt>
                <c:pt idx="2">
                  <c:v>2016</c:v>
                </c:pt>
                <c:pt idx="3">
                  <c:v>2017</c:v>
                </c:pt>
                <c:pt idx="4">
                  <c:v>2018</c:v>
                </c:pt>
                <c:pt idx="5">
                  <c:v>2019</c:v>
                </c:pt>
                <c:pt idx="6">
                  <c:v>2020</c:v>
                </c:pt>
                <c:pt idx="7">
                  <c:v>2021</c:v>
                </c:pt>
                <c:pt idx="8">
                  <c:v>2022</c:v>
                </c:pt>
              </c:strCache>
            </c:strRef>
          </c:cat>
          <c:val>
            <c:numRef>
              <c:f>year_drug!$T$5:$T$14</c:f>
              <c:numCache>
                <c:formatCode>General</c:formatCode>
                <c:ptCount val="9"/>
                <c:pt idx="0">
                  <c:v>1437</c:v>
                </c:pt>
                <c:pt idx="1">
                  <c:v>1480</c:v>
                </c:pt>
                <c:pt idx="2">
                  <c:v>1417</c:v>
                </c:pt>
                <c:pt idx="3">
                  <c:v>1388</c:v>
                </c:pt>
                <c:pt idx="4">
                  <c:v>1347</c:v>
                </c:pt>
                <c:pt idx="5">
                  <c:v>1234</c:v>
                </c:pt>
                <c:pt idx="6">
                  <c:v>1150</c:v>
                </c:pt>
                <c:pt idx="7">
                  <c:v>1402</c:v>
                </c:pt>
                <c:pt idx="8">
                  <c:v>1304</c:v>
                </c:pt>
              </c:numCache>
            </c:numRef>
          </c:val>
          <c:extLst>
            <c:ext xmlns:c16="http://schemas.microsoft.com/office/drawing/2014/chart" uri="{C3380CC4-5D6E-409C-BE32-E72D297353CC}">
              <c16:uniqueId val="{00000001-E563-4197-99ED-4CADA17780E1}"/>
            </c:ext>
          </c:extLst>
        </c:ser>
        <c:ser>
          <c:idx val="2"/>
          <c:order val="2"/>
          <c:tx>
            <c:strRef>
              <c:f>year_drug!$U$3:$U$4</c:f>
              <c:strCache>
                <c:ptCount val="1"/>
                <c:pt idx="0">
                  <c:v>APREMILAST</c:v>
                </c:pt>
              </c:strCache>
            </c:strRef>
          </c:tx>
          <c:spPr>
            <a:pattFill prst="pct75">
              <a:fgClr>
                <a:schemeClr val="accent3"/>
              </a:fgClr>
              <a:bgClr>
                <a:schemeClr val="bg1"/>
              </a:bgClr>
            </a:pattFill>
            <a:ln>
              <a:noFill/>
            </a:ln>
            <a:effectLst/>
          </c:spPr>
          <c:cat>
            <c:strRef>
              <c:f>year_drug!$R$5:$R$14</c:f>
              <c:strCache>
                <c:ptCount val="9"/>
                <c:pt idx="0">
                  <c:v>2014</c:v>
                </c:pt>
                <c:pt idx="1">
                  <c:v>2015</c:v>
                </c:pt>
                <c:pt idx="2">
                  <c:v>2016</c:v>
                </c:pt>
                <c:pt idx="3">
                  <c:v>2017</c:v>
                </c:pt>
                <c:pt idx="4">
                  <c:v>2018</c:v>
                </c:pt>
                <c:pt idx="5">
                  <c:v>2019</c:v>
                </c:pt>
                <c:pt idx="6">
                  <c:v>2020</c:v>
                </c:pt>
                <c:pt idx="7">
                  <c:v>2021</c:v>
                </c:pt>
                <c:pt idx="8">
                  <c:v>2022</c:v>
                </c:pt>
              </c:strCache>
            </c:strRef>
          </c:cat>
          <c:val>
            <c:numRef>
              <c:f>year_drug!$U$5:$U$14</c:f>
              <c:numCache>
                <c:formatCode>General</c:formatCode>
                <c:ptCount val="9"/>
                <c:pt idx="7">
                  <c:v>3312</c:v>
                </c:pt>
                <c:pt idx="8">
                  <c:v>4908</c:v>
                </c:pt>
              </c:numCache>
            </c:numRef>
          </c:val>
          <c:extLst>
            <c:ext xmlns:c16="http://schemas.microsoft.com/office/drawing/2014/chart" uri="{C3380CC4-5D6E-409C-BE32-E72D297353CC}">
              <c16:uniqueId val="{00000002-E563-4197-99ED-4CADA17780E1}"/>
            </c:ext>
          </c:extLst>
        </c:ser>
        <c:ser>
          <c:idx val="3"/>
          <c:order val="3"/>
          <c:tx>
            <c:strRef>
              <c:f>year_drug!$V$3:$V$4</c:f>
              <c:strCache>
                <c:ptCount val="1"/>
                <c:pt idx="0">
                  <c:v>CICLOSPORIN</c:v>
                </c:pt>
              </c:strCache>
            </c:strRef>
          </c:tx>
          <c:spPr>
            <a:solidFill>
              <a:schemeClr val="accent4"/>
            </a:solidFill>
            <a:ln>
              <a:noFill/>
            </a:ln>
            <a:effectLst/>
          </c:spPr>
          <c:cat>
            <c:strRef>
              <c:f>year_drug!$R$5:$R$14</c:f>
              <c:strCache>
                <c:ptCount val="9"/>
                <c:pt idx="0">
                  <c:v>2014</c:v>
                </c:pt>
                <c:pt idx="1">
                  <c:v>2015</c:v>
                </c:pt>
                <c:pt idx="2">
                  <c:v>2016</c:v>
                </c:pt>
                <c:pt idx="3">
                  <c:v>2017</c:v>
                </c:pt>
                <c:pt idx="4">
                  <c:v>2018</c:v>
                </c:pt>
                <c:pt idx="5">
                  <c:v>2019</c:v>
                </c:pt>
                <c:pt idx="6">
                  <c:v>2020</c:v>
                </c:pt>
                <c:pt idx="7">
                  <c:v>2021</c:v>
                </c:pt>
                <c:pt idx="8">
                  <c:v>2022</c:v>
                </c:pt>
              </c:strCache>
            </c:strRef>
          </c:cat>
          <c:val>
            <c:numRef>
              <c:f>year_drug!$V$5:$V$14</c:f>
              <c:numCache>
                <c:formatCode>General</c:formatCode>
                <c:ptCount val="9"/>
                <c:pt idx="0">
                  <c:v>108</c:v>
                </c:pt>
                <c:pt idx="1">
                  <c:v>114</c:v>
                </c:pt>
                <c:pt idx="2">
                  <c:v>69</c:v>
                </c:pt>
                <c:pt idx="3">
                  <c:v>93</c:v>
                </c:pt>
                <c:pt idx="4">
                  <c:v>81</c:v>
                </c:pt>
                <c:pt idx="5">
                  <c:v>81</c:v>
                </c:pt>
                <c:pt idx="6">
                  <c:v>164</c:v>
                </c:pt>
                <c:pt idx="7">
                  <c:v>219</c:v>
                </c:pt>
                <c:pt idx="8">
                  <c:v>224</c:v>
                </c:pt>
              </c:numCache>
            </c:numRef>
          </c:val>
          <c:extLst>
            <c:ext xmlns:c16="http://schemas.microsoft.com/office/drawing/2014/chart" uri="{C3380CC4-5D6E-409C-BE32-E72D297353CC}">
              <c16:uniqueId val="{00000003-E563-4197-99ED-4CADA17780E1}"/>
            </c:ext>
          </c:extLst>
        </c:ser>
        <c:ser>
          <c:idx val="4"/>
          <c:order val="4"/>
          <c:tx>
            <c:strRef>
              <c:f>year_drug!$W$3:$W$4</c:f>
              <c:strCache>
                <c:ptCount val="1"/>
                <c:pt idx="0">
                  <c:v>ETANERCEPT</c:v>
                </c:pt>
              </c:strCache>
            </c:strRef>
          </c:tx>
          <c:spPr>
            <a:solidFill>
              <a:schemeClr val="accent5"/>
            </a:solidFill>
            <a:ln>
              <a:noFill/>
            </a:ln>
            <a:effectLst/>
          </c:spPr>
          <c:cat>
            <c:strRef>
              <c:f>year_drug!$R$5:$R$14</c:f>
              <c:strCache>
                <c:ptCount val="9"/>
                <c:pt idx="0">
                  <c:v>2014</c:v>
                </c:pt>
                <c:pt idx="1">
                  <c:v>2015</c:v>
                </c:pt>
                <c:pt idx="2">
                  <c:v>2016</c:v>
                </c:pt>
                <c:pt idx="3">
                  <c:v>2017</c:v>
                </c:pt>
                <c:pt idx="4">
                  <c:v>2018</c:v>
                </c:pt>
                <c:pt idx="5">
                  <c:v>2019</c:v>
                </c:pt>
                <c:pt idx="6">
                  <c:v>2020</c:v>
                </c:pt>
                <c:pt idx="7">
                  <c:v>2021</c:v>
                </c:pt>
                <c:pt idx="8">
                  <c:v>2022</c:v>
                </c:pt>
              </c:strCache>
            </c:strRef>
          </c:cat>
          <c:val>
            <c:numRef>
              <c:f>year_drug!$W$5:$W$14</c:f>
              <c:numCache>
                <c:formatCode>General</c:formatCode>
                <c:ptCount val="9"/>
                <c:pt idx="0">
                  <c:v>419</c:v>
                </c:pt>
                <c:pt idx="1">
                  <c:v>408</c:v>
                </c:pt>
                <c:pt idx="2">
                  <c:v>358</c:v>
                </c:pt>
                <c:pt idx="3">
                  <c:v>372</c:v>
                </c:pt>
                <c:pt idx="4">
                  <c:v>1428</c:v>
                </c:pt>
                <c:pt idx="5">
                  <c:v>1709</c:v>
                </c:pt>
                <c:pt idx="6">
                  <c:v>1555</c:v>
                </c:pt>
                <c:pt idx="7">
                  <c:v>1262</c:v>
                </c:pt>
                <c:pt idx="8">
                  <c:v>629</c:v>
                </c:pt>
              </c:numCache>
            </c:numRef>
          </c:val>
          <c:extLst>
            <c:ext xmlns:c16="http://schemas.microsoft.com/office/drawing/2014/chart" uri="{C3380CC4-5D6E-409C-BE32-E72D297353CC}">
              <c16:uniqueId val="{00000004-E563-4197-99ED-4CADA17780E1}"/>
            </c:ext>
          </c:extLst>
        </c:ser>
        <c:ser>
          <c:idx val="5"/>
          <c:order val="5"/>
          <c:tx>
            <c:strRef>
              <c:f>year_drug!$X$3:$X$4</c:f>
              <c:strCache>
                <c:ptCount val="1"/>
                <c:pt idx="0">
                  <c:v>GUSELKUMAB</c:v>
                </c:pt>
              </c:strCache>
            </c:strRef>
          </c:tx>
          <c:spPr>
            <a:solidFill>
              <a:schemeClr val="accent6"/>
            </a:solidFill>
            <a:ln>
              <a:noFill/>
            </a:ln>
            <a:effectLst/>
          </c:spPr>
          <c:cat>
            <c:strRef>
              <c:f>year_drug!$R$5:$R$14</c:f>
              <c:strCache>
                <c:ptCount val="9"/>
                <c:pt idx="0">
                  <c:v>2014</c:v>
                </c:pt>
                <c:pt idx="1">
                  <c:v>2015</c:v>
                </c:pt>
                <c:pt idx="2">
                  <c:v>2016</c:v>
                </c:pt>
                <c:pt idx="3">
                  <c:v>2017</c:v>
                </c:pt>
                <c:pt idx="4">
                  <c:v>2018</c:v>
                </c:pt>
                <c:pt idx="5">
                  <c:v>2019</c:v>
                </c:pt>
                <c:pt idx="6">
                  <c:v>2020</c:v>
                </c:pt>
                <c:pt idx="7">
                  <c:v>2021</c:v>
                </c:pt>
                <c:pt idx="8">
                  <c:v>2022</c:v>
                </c:pt>
              </c:strCache>
            </c:strRef>
          </c:cat>
          <c:val>
            <c:numRef>
              <c:f>year_drug!$X$5:$X$14</c:f>
              <c:numCache>
                <c:formatCode>General</c:formatCode>
                <c:ptCount val="9"/>
                <c:pt idx="5">
                  <c:v>1878</c:v>
                </c:pt>
                <c:pt idx="6">
                  <c:v>2924</c:v>
                </c:pt>
                <c:pt idx="7">
                  <c:v>3821</c:v>
                </c:pt>
                <c:pt idx="8">
                  <c:v>4754</c:v>
                </c:pt>
              </c:numCache>
            </c:numRef>
          </c:val>
          <c:extLst>
            <c:ext xmlns:c16="http://schemas.microsoft.com/office/drawing/2014/chart" uri="{C3380CC4-5D6E-409C-BE32-E72D297353CC}">
              <c16:uniqueId val="{00000005-E563-4197-99ED-4CADA17780E1}"/>
            </c:ext>
          </c:extLst>
        </c:ser>
        <c:ser>
          <c:idx val="6"/>
          <c:order val="6"/>
          <c:tx>
            <c:strRef>
              <c:f>year_drug!$Y$3:$Y$4</c:f>
              <c:strCache>
                <c:ptCount val="1"/>
                <c:pt idx="0">
                  <c:v>INFLIXIMAB</c:v>
                </c:pt>
              </c:strCache>
            </c:strRef>
          </c:tx>
          <c:spPr>
            <a:solidFill>
              <a:schemeClr val="accent1">
                <a:lumMod val="60000"/>
              </a:schemeClr>
            </a:solidFill>
            <a:ln>
              <a:noFill/>
            </a:ln>
            <a:effectLst/>
          </c:spPr>
          <c:cat>
            <c:strRef>
              <c:f>year_drug!$R$5:$R$14</c:f>
              <c:strCache>
                <c:ptCount val="9"/>
                <c:pt idx="0">
                  <c:v>2014</c:v>
                </c:pt>
                <c:pt idx="1">
                  <c:v>2015</c:v>
                </c:pt>
                <c:pt idx="2">
                  <c:v>2016</c:v>
                </c:pt>
                <c:pt idx="3">
                  <c:v>2017</c:v>
                </c:pt>
                <c:pt idx="4">
                  <c:v>2018</c:v>
                </c:pt>
                <c:pt idx="5">
                  <c:v>2019</c:v>
                </c:pt>
                <c:pt idx="6">
                  <c:v>2020</c:v>
                </c:pt>
                <c:pt idx="7">
                  <c:v>2021</c:v>
                </c:pt>
                <c:pt idx="8">
                  <c:v>2022</c:v>
                </c:pt>
              </c:strCache>
            </c:strRef>
          </c:cat>
          <c:val>
            <c:numRef>
              <c:f>year_drug!$Y$5:$Y$14</c:f>
              <c:numCache>
                <c:formatCode>General</c:formatCode>
                <c:ptCount val="9"/>
                <c:pt idx="0">
                  <c:v>333</c:v>
                </c:pt>
                <c:pt idx="1">
                  <c:v>345</c:v>
                </c:pt>
                <c:pt idx="2">
                  <c:v>322</c:v>
                </c:pt>
                <c:pt idx="3">
                  <c:v>338</c:v>
                </c:pt>
                <c:pt idx="4">
                  <c:v>289</c:v>
                </c:pt>
                <c:pt idx="5">
                  <c:v>286</c:v>
                </c:pt>
                <c:pt idx="6">
                  <c:v>221</c:v>
                </c:pt>
                <c:pt idx="7">
                  <c:v>192</c:v>
                </c:pt>
                <c:pt idx="8">
                  <c:v>226</c:v>
                </c:pt>
              </c:numCache>
            </c:numRef>
          </c:val>
          <c:extLst>
            <c:ext xmlns:c16="http://schemas.microsoft.com/office/drawing/2014/chart" uri="{C3380CC4-5D6E-409C-BE32-E72D297353CC}">
              <c16:uniqueId val="{00000006-E563-4197-99ED-4CADA17780E1}"/>
            </c:ext>
          </c:extLst>
        </c:ser>
        <c:ser>
          <c:idx val="7"/>
          <c:order val="7"/>
          <c:tx>
            <c:strRef>
              <c:f>year_drug!$Z$3:$Z$4</c:f>
              <c:strCache>
                <c:ptCount val="1"/>
                <c:pt idx="0">
                  <c:v>IXEKIZUMAB</c:v>
                </c:pt>
              </c:strCache>
            </c:strRef>
          </c:tx>
          <c:spPr>
            <a:solidFill>
              <a:schemeClr val="accent2">
                <a:lumMod val="60000"/>
              </a:schemeClr>
            </a:solidFill>
            <a:ln>
              <a:noFill/>
            </a:ln>
            <a:effectLst/>
          </c:spPr>
          <c:cat>
            <c:strRef>
              <c:f>year_drug!$R$5:$R$14</c:f>
              <c:strCache>
                <c:ptCount val="9"/>
                <c:pt idx="0">
                  <c:v>2014</c:v>
                </c:pt>
                <c:pt idx="1">
                  <c:v>2015</c:v>
                </c:pt>
                <c:pt idx="2">
                  <c:v>2016</c:v>
                </c:pt>
                <c:pt idx="3">
                  <c:v>2017</c:v>
                </c:pt>
                <c:pt idx="4">
                  <c:v>2018</c:v>
                </c:pt>
                <c:pt idx="5">
                  <c:v>2019</c:v>
                </c:pt>
                <c:pt idx="6">
                  <c:v>2020</c:v>
                </c:pt>
                <c:pt idx="7">
                  <c:v>2021</c:v>
                </c:pt>
                <c:pt idx="8">
                  <c:v>2022</c:v>
                </c:pt>
              </c:strCache>
            </c:strRef>
          </c:cat>
          <c:val>
            <c:numRef>
              <c:f>year_drug!$Z$5:$Z$14</c:f>
              <c:numCache>
                <c:formatCode>General</c:formatCode>
                <c:ptCount val="9"/>
                <c:pt idx="3">
                  <c:v>538</c:v>
                </c:pt>
                <c:pt idx="4">
                  <c:v>1099</c:v>
                </c:pt>
                <c:pt idx="5">
                  <c:v>1336</c:v>
                </c:pt>
                <c:pt idx="6">
                  <c:v>1522</c:v>
                </c:pt>
                <c:pt idx="7">
                  <c:v>1763</c:v>
                </c:pt>
                <c:pt idx="8">
                  <c:v>2031</c:v>
                </c:pt>
              </c:numCache>
            </c:numRef>
          </c:val>
          <c:extLst>
            <c:ext xmlns:c16="http://schemas.microsoft.com/office/drawing/2014/chart" uri="{C3380CC4-5D6E-409C-BE32-E72D297353CC}">
              <c16:uniqueId val="{00000007-E563-4197-99ED-4CADA17780E1}"/>
            </c:ext>
          </c:extLst>
        </c:ser>
        <c:ser>
          <c:idx val="8"/>
          <c:order val="8"/>
          <c:tx>
            <c:strRef>
              <c:f>year_drug!$AA$3:$AA$4</c:f>
              <c:strCache>
                <c:ptCount val="1"/>
                <c:pt idx="0">
                  <c:v>RISANKIZUMAB</c:v>
                </c:pt>
              </c:strCache>
            </c:strRef>
          </c:tx>
          <c:spPr>
            <a:solidFill>
              <a:schemeClr val="accent3">
                <a:lumMod val="60000"/>
              </a:schemeClr>
            </a:solidFill>
            <a:ln>
              <a:noFill/>
            </a:ln>
            <a:effectLst/>
          </c:spPr>
          <c:cat>
            <c:strRef>
              <c:f>year_drug!$R$5:$R$14</c:f>
              <c:strCache>
                <c:ptCount val="9"/>
                <c:pt idx="0">
                  <c:v>2014</c:v>
                </c:pt>
                <c:pt idx="1">
                  <c:v>2015</c:v>
                </c:pt>
                <c:pt idx="2">
                  <c:v>2016</c:v>
                </c:pt>
                <c:pt idx="3">
                  <c:v>2017</c:v>
                </c:pt>
                <c:pt idx="4">
                  <c:v>2018</c:v>
                </c:pt>
                <c:pt idx="5">
                  <c:v>2019</c:v>
                </c:pt>
                <c:pt idx="6">
                  <c:v>2020</c:v>
                </c:pt>
                <c:pt idx="7">
                  <c:v>2021</c:v>
                </c:pt>
                <c:pt idx="8">
                  <c:v>2022</c:v>
                </c:pt>
              </c:strCache>
            </c:strRef>
          </c:cat>
          <c:val>
            <c:numRef>
              <c:f>year_drug!$AA$5:$AA$14</c:f>
              <c:numCache>
                <c:formatCode>General</c:formatCode>
                <c:ptCount val="9"/>
                <c:pt idx="5">
                  <c:v>17</c:v>
                </c:pt>
                <c:pt idx="6">
                  <c:v>1149</c:v>
                </c:pt>
                <c:pt idx="7">
                  <c:v>2236</c:v>
                </c:pt>
                <c:pt idx="8">
                  <c:v>3436</c:v>
                </c:pt>
              </c:numCache>
            </c:numRef>
          </c:val>
          <c:extLst>
            <c:ext xmlns:c16="http://schemas.microsoft.com/office/drawing/2014/chart" uri="{C3380CC4-5D6E-409C-BE32-E72D297353CC}">
              <c16:uniqueId val="{00000008-E563-4197-99ED-4CADA17780E1}"/>
            </c:ext>
          </c:extLst>
        </c:ser>
        <c:ser>
          <c:idx val="9"/>
          <c:order val="9"/>
          <c:tx>
            <c:strRef>
              <c:f>year_drug!$AB$3:$AB$4</c:f>
              <c:strCache>
                <c:ptCount val="1"/>
                <c:pt idx="0">
                  <c:v>SECUKINUMAB</c:v>
                </c:pt>
              </c:strCache>
            </c:strRef>
          </c:tx>
          <c:spPr>
            <a:solidFill>
              <a:schemeClr val="accent4">
                <a:lumMod val="60000"/>
              </a:schemeClr>
            </a:solidFill>
            <a:ln>
              <a:noFill/>
            </a:ln>
            <a:effectLst/>
          </c:spPr>
          <c:cat>
            <c:strRef>
              <c:f>year_drug!$R$5:$R$14</c:f>
              <c:strCache>
                <c:ptCount val="9"/>
                <c:pt idx="0">
                  <c:v>2014</c:v>
                </c:pt>
                <c:pt idx="1">
                  <c:v>2015</c:v>
                </c:pt>
                <c:pt idx="2">
                  <c:v>2016</c:v>
                </c:pt>
                <c:pt idx="3">
                  <c:v>2017</c:v>
                </c:pt>
                <c:pt idx="4">
                  <c:v>2018</c:v>
                </c:pt>
                <c:pt idx="5">
                  <c:v>2019</c:v>
                </c:pt>
                <c:pt idx="6">
                  <c:v>2020</c:v>
                </c:pt>
                <c:pt idx="7">
                  <c:v>2021</c:v>
                </c:pt>
                <c:pt idx="8">
                  <c:v>2022</c:v>
                </c:pt>
              </c:strCache>
            </c:strRef>
          </c:cat>
          <c:val>
            <c:numRef>
              <c:f>year_drug!$AB$5:$AB$14</c:f>
              <c:numCache>
                <c:formatCode>General</c:formatCode>
                <c:ptCount val="9"/>
                <c:pt idx="1">
                  <c:v>469</c:v>
                </c:pt>
                <c:pt idx="2">
                  <c:v>1290</c:v>
                </c:pt>
                <c:pt idx="3">
                  <c:v>1712</c:v>
                </c:pt>
                <c:pt idx="4">
                  <c:v>1896</c:v>
                </c:pt>
                <c:pt idx="5">
                  <c:v>2077</c:v>
                </c:pt>
                <c:pt idx="6">
                  <c:v>2205</c:v>
                </c:pt>
                <c:pt idx="7">
                  <c:v>2383</c:v>
                </c:pt>
                <c:pt idx="8">
                  <c:v>2462</c:v>
                </c:pt>
              </c:numCache>
            </c:numRef>
          </c:val>
          <c:extLst>
            <c:ext xmlns:c16="http://schemas.microsoft.com/office/drawing/2014/chart" uri="{C3380CC4-5D6E-409C-BE32-E72D297353CC}">
              <c16:uniqueId val="{00000009-E563-4197-99ED-4CADA17780E1}"/>
            </c:ext>
          </c:extLst>
        </c:ser>
        <c:ser>
          <c:idx val="10"/>
          <c:order val="10"/>
          <c:tx>
            <c:strRef>
              <c:f>year_drug!$AC$3:$AC$4</c:f>
              <c:strCache>
                <c:ptCount val="1"/>
                <c:pt idx="0">
                  <c:v>TILDRAKIZUMAB</c:v>
                </c:pt>
              </c:strCache>
            </c:strRef>
          </c:tx>
          <c:spPr>
            <a:solidFill>
              <a:schemeClr val="accent5">
                <a:lumMod val="60000"/>
              </a:schemeClr>
            </a:solidFill>
            <a:ln>
              <a:noFill/>
            </a:ln>
            <a:effectLst/>
          </c:spPr>
          <c:cat>
            <c:strRef>
              <c:f>year_drug!$R$5:$R$14</c:f>
              <c:strCache>
                <c:ptCount val="9"/>
                <c:pt idx="0">
                  <c:v>2014</c:v>
                </c:pt>
                <c:pt idx="1">
                  <c:v>2015</c:v>
                </c:pt>
                <c:pt idx="2">
                  <c:v>2016</c:v>
                </c:pt>
                <c:pt idx="3">
                  <c:v>2017</c:v>
                </c:pt>
                <c:pt idx="4">
                  <c:v>2018</c:v>
                </c:pt>
                <c:pt idx="5">
                  <c:v>2019</c:v>
                </c:pt>
                <c:pt idx="6">
                  <c:v>2020</c:v>
                </c:pt>
                <c:pt idx="7">
                  <c:v>2021</c:v>
                </c:pt>
                <c:pt idx="8">
                  <c:v>2022</c:v>
                </c:pt>
              </c:strCache>
            </c:strRef>
          </c:cat>
          <c:val>
            <c:numRef>
              <c:f>year_drug!$AC$5:$AC$14</c:f>
              <c:numCache>
                <c:formatCode>General</c:formatCode>
                <c:ptCount val="9"/>
                <c:pt idx="5">
                  <c:v>595</c:v>
                </c:pt>
                <c:pt idx="6">
                  <c:v>900</c:v>
                </c:pt>
                <c:pt idx="7">
                  <c:v>1291</c:v>
                </c:pt>
                <c:pt idx="8">
                  <c:v>1540</c:v>
                </c:pt>
              </c:numCache>
            </c:numRef>
          </c:val>
          <c:extLst>
            <c:ext xmlns:c16="http://schemas.microsoft.com/office/drawing/2014/chart" uri="{C3380CC4-5D6E-409C-BE32-E72D297353CC}">
              <c16:uniqueId val="{0000000A-E563-4197-99ED-4CADA17780E1}"/>
            </c:ext>
          </c:extLst>
        </c:ser>
        <c:ser>
          <c:idx val="11"/>
          <c:order val="11"/>
          <c:tx>
            <c:strRef>
              <c:f>year_drug!$AD$3:$AD$4</c:f>
              <c:strCache>
                <c:ptCount val="1"/>
                <c:pt idx="0">
                  <c:v>USTEKINUMAB</c:v>
                </c:pt>
              </c:strCache>
            </c:strRef>
          </c:tx>
          <c:spPr>
            <a:solidFill>
              <a:schemeClr val="accent6">
                <a:lumMod val="60000"/>
              </a:schemeClr>
            </a:solidFill>
            <a:ln>
              <a:noFill/>
            </a:ln>
            <a:effectLst/>
          </c:spPr>
          <c:cat>
            <c:strRef>
              <c:f>year_drug!$R$5:$R$14</c:f>
              <c:strCache>
                <c:ptCount val="9"/>
                <c:pt idx="0">
                  <c:v>2014</c:v>
                </c:pt>
                <c:pt idx="1">
                  <c:v>2015</c:v>
                </c:pt>
                <c:pt idx="2">
                  <c:v>2016</c:v>
                </c:pt>
                <c:pt idx="3">
                  <c:v>2017</c:v>
                </c:pt>
                <c:pt idx="4">
                  <c:v>2018</c:v>
                </c:pt>
                <c:pt idx="5">
                  <c:v>2019</c:v>
                </c:pt>
                <c:pt idx="6">
                  <c:v>2020</c:v>
                </c:pt>
                <c:pt idx="7">
                  <c:v>2021</c:v>
                </c:pt>
                <c:pt idx="8">
                  <c:v>2022</c:v>
                </c:pt>
              </c:strCache>
            </c:strRef>
          </c:cat>
          <c:val>
            <c:numRef>
              <c:f>year_drug!$AD$5:$AD$14</c:f>
              <c:numCache>
                <c:formatCode>General</c:formatCode>
                <c:ptCount val="9"/>
                <c:pt idx="0">
                  <c:v>2047</c:v>
                </c:pt>
                <c:pt idx="1">
                  <c:v>2583</c:v>
                </c:pt>
                <c:pt idx="2">
                  <c:v>2924</c:v>
                </c:pt>
                <c:pt idx="3">
                  <c:v>3408</c:v>
                </c:pt>
                <c:pt idx="4">
                  <c:v>3902</c:v>
                </c:pt>
                <c:pt idx="5">
                  <c:v>3889</c:v>
                </c:pt>
                <c:pt idx="6">
                  <c:v>3562</c:v>
                </c:pt>
                <c:pt idx="7">
                  <c:v>3454</c:v>
                </c:pt>
                <c:pt idx="8">
                  <c:v>3593</c:v>
                </c:pt>
              </c:numCache>
            </c:numRef>
          </c:val>
          <c:extLst>
            <c:ext xmlns:c16="http://schemas.microsoft.com/office/drawing/2014/chart" uri="{C3380CC4-5D6E-409C-BE32-E72D297353CC}">
              <c16:uniqueId val="{0000000B-E563-4197-99ED-4CADA17780E1}"/>
            </c:ext>
          </c:extLst>
        </c:ser>
        <c:ser>
          <c:idx val="12"/>
          <c:order val="12"/>
          <c:tx>
            <c:strRef>
              <c:f>year_drug!$AE$3:$AE$4</c:f>
              <c:strCache>
                <c:ptCount val="1"/>
                <c:pt idx="0">
                  <c:v>METHOTREXATE</c:v>
                </c:pt>
              </c:strCache>
            </c:strRef>
          </c:tx>
          <c:spPr>
            <a:solidFill>
              <a:schemeClr val="accent1">
                <a:lumMod val="80000"/>
                <a:lumOff val="20000"/>
              </a:schemeClr>
            </a:solidFill>
            <a:ln w="25400">
              <a:noFill/>
            </a:ln>
            <a:effectLst/>
          </c:spPr>
          <c:cat>
            <c:strRef>
              <c:f>year_drug!$R$5:$R$14</c:f>
              <c:strCache>
                <c:ptCount val="9"/>
                <c:pt idx="0">
                  <c:v>2014</c:v>
                </c:pt>
                <c:pt idx="1">
                  <c:v>2015</c:v>
                </c:pt>
                <c:pt idx="2">
                  <c:v>2016</c:v>
                </c:pt>
                <c:pt idx="3">
                  <c:v>2017</c:v>
                </c:pt>
                <c:pt idx="4">
                  <c:v>2018</c:v>
                </c:pt>
                <c:pt idx="5">
                  <c:v>2019</c:v>
                </c:pt>
                <c:pt idx="6">
                  <c:v>2020</c:v>
                </c:pt>
                <c:pt idx="7">
                  <c:v>2021</c:v>
                </c:pt>
                <c:pt idx="8">
                  <c:v>2022</c:v>
                </c:pt>
              </c:strCache>
            </c:strRef>
          </c:cat>
          <c:val>
            <c:numRef>
              <c:f>year_drug!$AE$5:$AE$14</c:f>
              <c:numCache>
                <c:formatCode>General</c:formatCode>
                <c:ptCount val="9"/>
                <c:pt idx="4">
                  <c:v>533</c:v>
                </c:pt>
                <c:pt idx="5">
                  <c:v>1240</c:v>
                </c:pt>
                <c:pt idx="6">
                  <c:v>1572</c:v>
                </c:pt>
                <c:pt idx="7">
                  <c:v>1925</c:v>
                </c:pt>
                <c:pt idx="8">
                  <c:v>2111</c:v>
                </c:pt>
              </c:numCache>
            </c:numRef>
          </c:val>
          <c:extLst>
            <c:ext xmlns:c16="http://schemas.microsoft.com/office/drawing/2014/chart" uri="{C3380CC4-5D6E-409C-BE32-E72D297353CC}">
              <c16:uniqueId val="{0000000C-E563-4197-99ED-4CADA17780E1}"/>
            </c:ext>
          </c:extLst>
        </c:ser>
        <c:dLbls>
          <c:showLegendKey val="0"/>
          <c:showVal val="0"/>
          <c:showCatName val="0"/>
          <c:showSerName val="0"/>
          <c:showPercent val="0"/>
          <c:showBubbleSize val="0"/>
        </c:dLbls>
        <c:axId val="886217704"/>
        <c:axId val="886222296"/>
      </c:areaChart>
      <c:catAx>
        <c:axId val="8862177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6222296"/>
        <c:crosses val="autoZero"/>
        <c:auto val="1"/>
        <c:lblAlgn val="ctr"/>
        <c:lblOffset val="100"/>
        <c:noMultiLvlLbl val="0"/>
      </c:catAx>
      <c:valAx>
        <c:axId val="886222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621770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[apremilast .xlsx]Year_patients!PivotTable3</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Year_patients!$T$56:$T$57</c:f>
              <c:strCache>
                <c:ptCount val="1"/>
                <c:pt idx="0">
                  <c:v>TNFi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Year_patients!$S$58:$S$69</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Year_patients!$T$58:$T$69</c:f>
              <c:numCache>
                <c:formatCode>General</c:formatCode>
                <c:ptCount val="11"/>
                <c:pt idx="0">
                  <c:v>2121</c:v>
                </c:pt>
                <c:pt idx="1">
                  <c:v>2189</c:v>
                </c:pt>
                <c:pt idx="2">
                  <c:v>2233</c:v>
                </c:pt>
                <c:pt idx="3">
                  <c:v>2097</c:v>
                </c:pt>
                <c:pt idx="4">
                  <c:v>2098</c:v>
                </c:pt>
                <c:pt idx="5">
                  <c:v>3064</c:v>
                </c:pt>
                <c:pt idx="6">
                  <c:v>3229</c:v>
                </c:pt>
                <c:pt idx="7">
                  <c:v>2926</c:v>
                </c:pt>
                <c:pt idx="8">
                  <c:v>2856</c:v>
                </c:pt>
                <c:pt idx="9">
                  <c:v>2157</c:v>
                </c:pt>
                <c:pt idx="10">
                  <c:v>1855</c:v>
                </c:pt>
              </c:numCache>
            </c:numRef>
          </c:val>
          <c:smooth val="0"/>
          <c:extLst>
            <c:ext xmlns:c16="http://schemas.microsoft.com/office/drawing/2014/chart" uri="{C3380CC4-5D6E-409C-BE32-E72D297353CC}">
              <c16:uniqueId val="{00000000-CD5F-48E9-A434-20B88EFDD2AD}"/>
            </c:ext>
          </c:extLst>
        </c:ser>
        <c:ser>
          <c:idx val="1"/>
          <c:order val="1"/>
          <c:tx>
            <c:strRef>
              <c:f>Year_patients!$U$56:$U$57</c:f>
              <c:strCache>
                <c:ptCount val="1"/>
                <c:pt idx="0">
                  <c:v>IL-23</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Year_patients!$S$58:$S$69</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Year_patients!$U$58:$U$69</c:f>
              <c:numCache>
                <c:formatCode>General</c:formatCode>
                <c:ptCount val="11"/>
                <c:pt idx="6">
                  <c:v>2490</c:v>
                </c:pt>
                <c:pt idx="7">
                  <c:v>4973</c:v>
                </c:pt>
                <c:pt idx="8">
                  <c:v>7348</c:v>
                </c:pt>
                <c:pt idx="9">
                  <c:v>9729</c:v>
                </c:pt>
                <c:pt idx="10">
                  <c:v>10020</c:v>
                </c:pt>
              </c:numCache>
            </c:numRef>
          </c:val>
          <c:smooth val="0"/>
          <c:extLst>
            <c:ext xmlns:c16="http://schemas.microsoft.com/office/drawing/2014/chart" uri="{C3380CC4-5D6E-409C-BE32-E72D297353CC}">
              <c16:uniqueId val="{00000001-CD5F-48E9-A434-20B88EFDD2AD}"/>
            </c:ext>
          </c:extLst>
        </c:ser>
        <c:ser>
          <c:idx val="2"/>
          <c:order val="2"/>
          <c:tx>
            <c:strRef>
              <c:f>Year_patients!$V$56:$V$57</c:f>
              <c:strCache>
                <c:ptCount val="1"/>
                <c:pt idx="0">
                  <c:v>IL-17</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Year_patients!$S$58:$S$69</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Year_patients!$V$58:$V$69</c:f>
              <c:numCache>
                <c:formatCode>General</c:formatCode>
                <c:ptCount val="11"/>
                <c:pt idx="2">
                  <c:v>469</c:v>
                </c:pt>
                <c:pt idx="3">
                  <c:v>1290</c:v>
                </c:pt>
                <c:pt idx="4">
                  <c:v>2250</c:v>
                </c:pt>
                <c:pt idx="5">
                  <c:v>2995</c:v>
                </c:pt>
                <c:pt idx="6">
                  <c:v>3413</c:v>
                </c:pt>
                <c:pt idx="7">
                  <c:v>3727</c:v>
                </c:pt>
                <c:pt idx="8">
                  <c:v>4146</c:v>
                </c:pt>
                <c:pt idx="9">
                  <c:v>4493</c:v>
                </c:pt>
                <c:pt idx="10">
                  <c:v>4052</c:v>
                </c:pt>
              </c:numCache>
            </c:numRef>
          </c:val>
          <c:smooth val="0"/>
          <c:extLst>
            <c:ext xmlns:c16="http://schemas.microsoft.com/office/drawing/2014/chart" uri="{C3380CC4-5D6E-409C-BE32-E72D297353CC}">
              <c16:uniqueId val="{00000002-CD5F-48E9-A434-20B88EFDD2AD}"/>
            </c:ext>
          </c:extLst>
        </c:ser>
        <c:ser>
          <c:idx val="3"/>
          <c:order val="3"/>
          <c:tx>
            <c:strRef>
              <c:f>Year_patients!$W$56:$W$57</c:f>
              <c:strCache>
                <c:ptCount val="1"/>
                <c:pt idx="0">
                  <c:v>IL-12/23</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Year_patients!$S$58:$S$69</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Year_patients!$W$58:$W$69</c:f>
              <c:numCache>
                <c:formatCode>General</c:formatCode>
                <c:ptCount val="11"/>
                <c:pt idx="0">
                  <c:v>1555</c:v>
                </c:pt>
                <c:pt idx="1">
                  <c:v>2047</c:v>
                </c:pt>
                <c:pt idx="2">
                  <c:v>2583</c:v>
                </c:pt>
                <c:pt idx="3">
                  <c:v>2924</c:v>
                </c:pt>
                <c:pt idx="4">
                  <c:v>3408</c:v>
                </c:pt>
                <c:pt idx="5">
                  <c:v>3902</c:v>
                </c:pt>
                <c:pt idx="6">
                  <c:v>3889</c:v>
                </c:pt>
                <c:pt idx="7">
                  <c:v>3562</c:v>
                </c:pt>
                <c:pt idx="8">
                  <c:v>3454</c:v>
                </c:pt>
                <c:pt idx="9">
                  <c:v>3593</c:v>
                </c:pt>
                <c:pt idx="10">
                  <c:v>3026</c:v>
                </c:pt>
              </c:numCache>
            </c:numRef>
          </c:val>
          <c:smooth val="0"/>
          <c:extLst>
            <c:ext xmlns:c16="http://schemas.microsoft.com/office/drawing/2014/chart" uri="{C3380CC4-5D6E-409C-BE32-E72D297353CC}">
              <c16:uniqueId val="{00000003-CD5F-48E9-A434-20B88EFDD2AD}"/>
            </c:ext>
          </c:extLst>
        </c:ser>
        <c:dLbls>
          <c:showLegendKey val="0"/>
          <c:showVal val="0"/>
          <c:showCatName val="0"/>
          <c:showSerName val="0"/>
          <c:showPercent val="0"/>
          <c:showBubbleSize val="0"/>
        </c:dLbls>
        <c:marker val="1"/>
        <c:smooth val="0"/>
        <c:axId val="992765392"/>
        <c:axId val="992762112"/>
      </c:lineChart>
      <c:catAx>
        <c:axId val="992765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2762112"/>
        <c:crosses val="autoZero"/>
        <c:auto val="1"/>
        <c:lblAlgn val="ctr"/>
        <c:lblOffset val="100"/>
        <c:noMultiLvlLbl val="0"/>
      </c:catAx>
      <c:valAx>
        <c:axId val="992762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2765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[apremilast v3.xlsx]Sheet5!PivotTable5</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Sheet5!$Q$25:$Q$26</c:f>
              <c:strCache>
                <c:ptCount val="1"/>
                <c:pt idx="0">
                  <c:v>Biologic therapies </c:v>
                </c:pt>
              </c:strCache>
            </c:strRef>
          </c:tx>
          <c:spPr>
            <a:ln w="28575" cap="rnd">
              <a:solidFill>
                <a:schemeClr val="accent1"/>
              </a:solidFill>
              <a:round/>
            </a:ln>
            <a:effectLst/>
          </c:spPr>
          <c:marker>
            <c:symbol val="none"/>
          </c:marker>
          <c:cat>
            <c:strRef>
              <c:f>Sheet5!$P$27:$P$36</c:f>
              <c:strCache>
                <c:ptCount val="9"/>
                <c:pt idx="0">
                  <c:v>2014</c:v>
                </c:pt>
                <c:pt idx="1">
                  <c:v>2015</c:v>
                </c:pt>
                <c:pt idx="2">
                  <c:v>2016</c:v>
                </c:pt>
                <c:pt idx="3">
                  <c:v>2017</c:v>
                </c:pt>
                <c:pt idx="4">
                  <c:v>2018</c:v>
                </c:pt>
                <c:pt idx="5">
                  <c:v>2019</c:v>
                </c:pt>
                <c:pt idx="6">
                  <c:v>2020</c:v>
                </c:pt>
                <c:pt idx="7">
                  <c:v>2021</c:v>
                </c:pt>
                <c:pt idx="8">
                  <c:v>2022</c:v>
                </c:pt>
              </c:strCache>
            </c:strRef>
          </c:cat>
          <c:val>
            <c:numRef>
              <c:f>Sheet5!$Q$27:$Q$36</c:f>
              <c:numCache>
                <c:formatCode>General</c:formatCode>
                <c:ptCount val="9"/>
                <c:pt idx="0">
                  <c:v>27011</c:v>
                </c:pt>
                <c:pt idx="1">
                  <c:v>30659</c:v>
                </c:pt>
                <c:pt idx="2">
                  <c:v>40562</c:v>
                </c:pt>
                <c:pt idx="3">
                  <c:v>46195</c:v>
                </c:pt>
                <c:pt idx="4">
                  <c:v>56293</c:v>
                </c:pt>
                <c:pt idx="5">
                  <c:v>66202</c:v>
                </c:pt>
                <c:pt idx="6">
                  <c:v>77086</c:v>
                </c:pt>
                <c:pt idx="7">
                  <c:v>86907</c:v>
                </c:pt>
                <c:pt idx="8">
                  <c:v>93823</c:v>
                </c:pt>
              </c:numCache>
            </c:numRef>
          </c:val>
          <c:smooth val="0"/>
          <c:extLst>
            <c:ext xmlns:c16="http://schemas.microsoft.com/office/drawing/2014/chart" uri="{C3380CC4-5D6E-409C-BE32-E72D297353CC}">
              <c16:uniqueId val="{00000000-DB2F-45C2-AE61-E6B4C8E0DFBC}"/>
            </c:ext>
          </c:extLst>
        </c:ser>
        <c:ser>
          <c:idx val="1"/>
          <c:order val="1"/>
          <c:tx>
            <c:strRef>
              <c:f>Sheet5!$R$25:$R$26</c:f>
              <c:strCache>
                <c:ptCount val="1"/>
                <c:pt idx="0">
                  <c:v>Non-biologic therapies</c:v>
                </c:pt>
              </c:strCache>
            </c:strRef>
          </c:tx>
          <c:spPr>
            <a:ln w="28575" cap="rnd">
              <a:solidFill>
                <a:schemeClr val="accent2"/>
              </a:solidFill>
              <a:round/>
            </a:ln>
            <a:effectLst/>
          </c:spPr>
          <c:marker>
            <c:symbol val="none"/>
          </c:marker>
          <c:cat>
            <c:strRef>
              <c:f>Sheet5!$P$27:$P$36</c:f>
              <c:strCache>
                <c:ptCount val="9"/>
                <c:pt idx="0">
                  <c:v>2014</c:v>
                </c:pt>
                <c:pt idx="1">
                  <c:v>2015</c:v>
                </c:pt>
                <c:pt idx="2">
                  <c:v>2016</c:v>
                </c:pt>
                <c:pt idx="3">
                  <c:v>2017</c:v>
                </c:pt>
                <c:pt idx="4">
                  <c:v>2018</c:v>
                </c:pt>
                <c:pt idx="5">
                  <c:v>2019</c:v>
                </c:pt>
                <c:pt idx="6">
                  <c:v>2020</c:v>
                </c:pt>
                <c:pt idx="7">
                  <c:v>2021</c:v>
                </c:pt>
                <c:pt idx="8">
                  <c:v>2022</c:v>
                </c:pt>
              </c:strCache>
            </c:strRef>
          </c:cat>
          <c:val>
            <c:numRef>
              <c:f>Sheet5!$R$27:$R$36</c:f>
              <c:numCache>
                <c:formatCode>General</c:formatCode>
                <c:ptCount val="9"/>
                <c:pt idx="0">
                  <c:v>13531</c:v>
                </c:pt>
                <c:pt idx="1">
                  <c:v>13972</c:v>
                </c:pt>
                <c:pt idx="2">
                  <c:v>15423</c:v>
                </c:pt>
                <c:pt idx="3">
                  <c:v>16366</c:v>
                </c:pt>
                <c:pt idx="4">
                  <c:v>18430</c:v>
                </c:pt>
                <c:pt idx="5">
                  <c:v>23160</c:v>
                </c:pt>
                <c:pt idx="6">
                  <c:v>26416</c:v>
                </c:pt>
                <c:pt idx="7">
                  <c:v>27100</c:v>
                </c:pt>
                <c:pt idx="8">
                  <c:v>27134</c:v>
                </c:pt>
              </c:numCache>
            </c:numRef>
          </c:val>
          <c:smooth val="0"/>
          <c:extLst>
            <c:ext xmlns:c16="http://schemas.microsoft.com/office/drawing/2014/chart" uri="{C3380CC4-5D6E-409C-BE32-E72D297353CC}">
              <c16:uniqueId val="{00000001-DB2F-45C2-AE61-E6B4C8E0DFBC}"/>
            </c:ext>
          </c:extLst>
        </c:ser>
        <c:dLbls>
          <c:showLegendKey val="0"/>
          <c:showVal val="0"/>
          <c:showCatName val="0"/>
          <c:showSerName val="0"/>
          <c:showPercent val="0"/>
          <c:showBubbleSize val="0"/>
        </c:dLbls>
        <c:smooth val="0"/>
        <c:axId val="1094297512"/>
        <c:axId val="1094294560"/>
      </c:lineChart>
      <c:catAx>
        <c:axId val="1094297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4294560"/>
        <c:crosses val="autoZero"/>
        <c:auto val="1"/>
        <c:lblAlgn val="ctr"/>
        <c:lblOffset val="100"/>
        <c:noMultiLvlLbl val="0"/>
      </c:catAx>
      <c:valAx>
        <c:axId val="1094294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4297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[apremilast v2.xlsx]year_drug!PivotTable2</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areaChart>
        <c:grouping val="stacked"/>
        <c:varyColors val="0"/>
        <c:ser>
          <c:idx val="0"/>
          <c:order val="0"/>
          <c:tx>
            <c:strRef>
              <c:f>year_drug!$S$28:$S$29</c:f>
              <c:strCache>
                <c:ptCount val="1"/>
                <c:pt idx="0">
                  <c:v>ACITRETIN</c:v>
                </c:pt>
              </c:strCache>
            </c:strRef>
          </c:tx>
          <c:spPr>
            <a:solidFill>
              <a:schemeClr val="accent1"/>
            </a:solidFill>
            <a:ln>
              <a:noFill/>
            </a:ln>
            <a:effectLst/>
          </c:spPr>
          <c:cat>
            <c:strRef>
              <c:f>year_drug!$R$30:$R$39</c:f>
              <c:strCache>
                <c:ptCount val="9"/>
                <c:pt idx="0">
                  <c:v>2014</c:v>
                </c:pt>
                <c:pt idx="1">
                  <c:v>2015</c:v>
                </c:pt>
                <c:pt idx="2">
                  <c:v>2016</c:v>
                </c:pt>
                <c:pt idx="3">
                  <c:v>2017</c:v>
                </c:pt>
                <c:pt idx="4">
                  <c:v>2018</c:v>
                </c:pt>
                <c:pt idx="5">
                  <c:v>2019</c:v>
                </c:pt>
                <c:pt idx="6">
                  <c:v>2020</c:v>
                </c:pt>
                <c:pt idx="7">
                  <c:v>2021</c:v>
                </c:pt>
                <c:pt idx="8">
                  <c:v>2022</c:v>
                </c:pt>
              </c:strCache>
            </c:strRef>
          </c:cat>
          <c:val>
            <c:numRef>
              <c:f>year_drug!$S$30:$S$39</c:f>
              <c:numCache>
                <c:formatCode>General</c:formatCode>
                <c:ptCount val="9"/>
                <c:pt idx="0">
                  <c:v>13231</c:v>
                </c:pt>
                <c:pt idx="1">
                  <c:v>13630</c:v>
                </c:pt>
                <c:pt idx="2">
                  <c:v>15177</c:v>
                </c:pt>
                <c:pt idx="3">
                  <c:v>16140</c:v>
                </c:pt>
                <c:pt idx="4">
                  <c:v>16431</c:v>
                </c:pt>
                <c:pt idx="5">
                  <c:v>17337</c:v>
                </c:pt>
                <c:pt idx="6">
                  <c:v>17910</c:v>
                </c:pt>
                <c:pt idx="7">
                  <c:v>16666</c:v>
                </c:pt>
                <c:pt idx="8">
                  <c:v>15233</c:v>
                </c:pt>
              </c:numCache>
            </c:numRef>
          </c:val>
          <c:extLst>
            <c:ext xmlns:c16="http://schemas.microsoft.com/office/drawing/2014/chart" uri="{C3380CC4-5D6E-409C-BE32-E72D297353CC}">
              <c16:uniqueId val="{00000000-954E-43F3-8768-83516DD696C1}"/>
            </c:ext>
          </c:extLst>
        </c:ser>
        <c:ser>
          <c:idx val="1"/>
          <c:order val="1"/>
          <c:tx>
            <c:strRef>
              <c:f>year_drug!$T$28:$T$29</c:f>
              <c:strCache>
                <c:ptCount val="1"/>
                <c:pt idx="0">
                  <c:v>ADALIMUMAB</c:v>
                </c:pt>
              </c:strCache>
            </c:strRef>
          </c:tx>
          <c:spPr>
            <a:solidFill>
              <a:schemeClr val="accent2"/>
            </a:solidFill>
            <a:ln w="25400">
              <a:noFill/>
            </a:ln>
            <a:effectLst/>
          </c:spPr>
          <c:cat>
            <c:strRef>
              <c:f>year_drug!$R$30:$R$39</c:f>
              <c:strCache>
                <c:ptCount val="9"/>
                <c:pt idx="0">
                  <c:v>2014</c:v>
                </c:pt>
                <c:pt idx="1">
                  <c:v>2015</c:v>
                </c:pt>
                <c:pt idx="2">
                  <c:v>2016</c:v>
                </c:pt>
                <c:pt idx="3">
                  <c:v>2017</c:v>
                </c:pt>
                <c:pt idx="4">
                  <c:v>2018</c:v>
                </c:pt>
                <c:pt idx="5">
                  <c:v>2019</c:v>
                </c:pt>
                <c:pt idx="6">
                  <c:v>2020</c:v>
                </c:pt>
                <c:pt idx="7">
                  <c:v>2021</c:v>
                </c:pt>
                <c:pt idx="8">
                  <c:v>2022</c:v>
                </c:pt>
              </c:strCache>
            </c:strRef>
          </c:cat>
          <c:val>
            <c:numRef>
              <c:f>year_drug!$T$30:$T$39</c:f>
              <c:numCache>
                <c:formatCode>General</c:formatCode>
                <c:ptCount val="9"/>
                <c:pt idx="0">
                  <c:v>13838</c:v>
                </c:pt>
                <c:pt idx="1">
                  <c:v>14181</c:v>
                </c:pt>
                <c:pt idx="2">
                  <c:v>13447</c:v>
                </c:pt>
                <c:pt idx="3">
                  <c:v>13108</c:v>
                </c:pt>
                <c:pt idx="4">
                  <c:v>12603</c:v>
                </c:pt>
                <c:pt idx="5">
                  <c:v>11437</c:v>
                </c:pt>
                <c:pt idx="6">
                  <c:v>10450</c:v>
                </c:pt>
                <c:pt idx="7">
                  <c:v>9675</c:v>
                </c:pt>
                <c:pt idx="8">
                  <c:v>8566</c:v>
                </c:pt>
              </c:numCache>
            </c:numRef>
          </c:val>
          <c:extLst>
            <c:ext xmlns:c16="http://schemas.microsoft.com/office/drawing/2014/chart" uri="{C3380CC4-5D6E-409C-BE32-E72D297353CC}">
              <c16:uniqueId val="{00000001-954E-43F3-8768-83516DD696C1}"/>
            </c:ext>
          </c:extLst>
        </c:ser>
        <c:ser>
          <c:idx val="2"/>
          <c:order val="2"/>
          <c:tx>
            <c:strRef>
              <c:f>year_drug!$U$28:$U$29</c:f>
              <c:strCache>
                <c:ptCount val="1"/>
                <c:pt idx="0">
                  <c:v>APREMILAST</c:v>
                </c:pt>
              </c:strCache>
            </c:strRef>
          </c:tx>
          <c:spPr>
            <a:solidFill>
              <a:schemeClr val="accent3"/>
            </a:solidFill>
            <a:ln w="25400">
              <a:noFill/>
            </a:ln>
            <a:effectLst/>
          </c:spPr>
          <c:cat>
            <c:strRef>
              <c:f>year_drug!$R$30:$R$39</c:f>
              <c:strCache>
                <c:ptCount val="9"/>
                <c:pt idx="0">
                  <c:v>2014</c:v>
                </c:pt>
                <c:pt idx="1">
                  <c:v>2015</c:v>
                </c:pt>
                <c:pt idx="2">
                  <c:v>2016</c:v>
                </c:pt>
                <c:pt idx="3">
                  <c:v>2017</c:v>
                </c:pt>
                <c:pt idx="4">
                  <c:v>2018</c:v>
                </c:pt>
                <c:pt idx="5">
                  <c:v>2019</c:v>
                </c:pt>
                <c:pt idx="6">
                  <c:v>2020</c:v>
                </c:pt>
                <c:pt idx="7">
                  <c:v>2021</c:v>
                </c:pt>
                <c:pt idx="8">
                  <c:v>2022</c:v>
                </c:pt>
              </c:strCache>
            </c:strRef>
          </c:cat>
          <c:val>
            <c:numRef>
              <c:f>year_drug!$U$30:$U$39</c:f>
              <c:numCache>
                <c:formatCode>General</c:formatCode>
                <c:ptCount val="9"/>
                <c:pt idx="7">
                  <c:v>14311</c:v>
                </c:pt>
                <c:pt idx="8">
                  <c:v>25248</c:v>
                </c:pt>
              </c:numCache>
            </c:numRef>
          </c:val>
          <c:extLst>
            <c:ext xmlns:c16="http://schemas.microsoft.com/office/drawing/2014/chart" uri="{C3380CC4-5D6E-409C-BE32-E72D297353CC}">
              <c16:uniqueId val="{00000002-954E-43F3-8768-83516DD696C1}"/>
            </c:ext>
          </c:extLst>
        </c:ser>
        <c:ser>
          <c:idx val="3"/>
          <c:order val="3"/>
          <c:tx>
            <c:strRef>
              <c:f>year_drug!$V$28:$V$29</c:f>
              <c:strCache>
                <c:ptCount val="1"/>
                <c:pt idx="0">
                  <c:v>CICLOSPORIN</c:v>
                </c:pt>
              </c:strCache>
            </c:strRef>
          </c:tx>
          <c:spPr>
            <a:solidFill>
              <a:schemeClr val="accent4"/>
            </a:solidFill>
            <a:ln w="25400">
              <a:noFill/>
            </a:ln>
            <a:effectLst/>
          </c:spPr>
          <c:cat>
            <c:strRef>
              <c:f>year_drug!$R$30:$R$39</c:f>
              <c:strCache>
                <c:ptCount val="9"/>
                <c:pt idx="0">
                  <c:v>2014</c:v>
                </c:pt>
                <c:pt idx="1">
                  <c:v>2015</c:v>
                </c:pt>
                <c:pt idx="2">
                  <c:v>2016</c:v>
                </c:pt>
                <c:pt idx="3">
                  <c:v>2017</c:v>
                </c:pt>
                <c:pt idx="4">
                  <c:v>2018</c:v>
                </c:pt>
                <c:pt idx="5">
                  <c:v>2019</c:v>
                </c:pt>
                <c:pt idx="6">
                  <c:v>2020</c:v>
                </c:pt>
                <c:pt idx="7">
                  <c:v>2021</c:v>
                </c:pt>
                <c:pt idx="8">
                  <c:v>2022</c:v>
                </c:pt>
              </c:strCache>
            </c:strRef>
          </c:cat>
          <c:val>
            <c:numRef>
              <c:f>year_drug!$V$30:$V$39</c:f>
              <c:numCache>
                <c:formatCode>General</c:formatCode>
                <c:ptCount val="9"/>
                <c:pt idx="0">
                  <c:v>300</c:v>
                </c:pt>
                <c:pt idx="1">
                  <c:v>342</c:v>
                </c:pt>
                <c:pt idx="2">
                  <c:v>246</c:v>
                </c:pt>
                <c:pt idx="3">
                  <c:v>226</c:v>
                </c:pt>
                <c:pt idx="4">
                  <c:v>171</c:v>
                </c:pt>
                <c:pt idx="5">
                  <c:v>199</c:v>
                </c:pt>
                <c:pt idx="6">
                  <c:v>406</c:v>
                </c:pt>
                <c:pt idx="7">
                  <c:v>555</c:v>
                </c:pt>
                <c:pt idx="8">
                  <c:v>505</c:v>
                </c:pt>
              </c:numCache>
            </c:numRef>
          </c:val>
          <c:extLst>
            <c:ext xmlns:c16="http://schemas.microsoft.com/office/drawing/2014/chart" uri="{C3380CC4-5D6E-409C-BE32-E72D297353CC}">
              <c16:uniqueId val="{00000003-954E-43F3-8768-83516DD696C1}"/>
            </c:ext>
          </c:extLst>
        </c:ser>
        <c:ser>
          <c:idx val="4"/>
          <c:order val="4"/>
          <c:tx>
            <c:strRef>
              <c:f>year_drug!$W$28:$W$29</c:f>
              <c:strCache>
                <c:ptCount val="1"/>
                <c:pt idx="0">
                  <c:v>ETANERCEPT</c:v>
                </c:pt>
              </c:strCache>
            </c:strRef>
          </c:tx>
          <c:spPr>
            <a:solidFill>
              <a:schemeClr val="accent5"/>
            </a:solidFill>
            <a:ln w="25400">
              <a:noFill/>
            </a:ln>
            <a:effectLst/>
          </c:spPr>
          <c:cat>
            <c:strRef>
              <c:f>year_drug!$R$30:$R$39</c:f>
              <c:strCache>
                <c:ptCount val="9"/>
                <c:pt idx="0">
                  <c:v>2014</c:v>
                </c:pt>
                <c:pt idx="1">
                  <c:v>2015</c:v>
                </c:pt>
                <c:pt idx="2">
                  <c:v>2016</c:v>
                </c:pt>
                <c:pt idx="3">
                  <c:v>2017</c:v>
                </c:pt>
                <c:pt idx="4">
                  <c:v>2018</c:v>
                </c:pt>
                <c:pt idx="5">
                  <c:v>2019</c:v>
                </c:pt>
                <c:pt idx="6">
                  <c:v>2020</c:v>
                </c:pt>
                <c:pt idx="7">
                  <c:v>2021</c:v>
                </c:pt>
                <c:pt idx="8">
                  <c:v>2022</c:v>
                </c:pt>
              </c:strCache>
            </c:strRef>
          </c:cat>
          <c:val>
            <c:numRef>
              <c:f>year_drug!$W$30:$W$39</c:f>
              <c:numCache>
                <c:formatCode>General</c:formatCode>
                <c:ptCount val="9"/>
                <c:pt idx="0">
                  <c:v>3739</c:v>
                </c:pt>
                <c:pt idx="1">
                  <c:v>3406</c:v>
                </c:pt>
                <c:pt idx="2">
                  <c:v>2849</c:v>
                </c:pt>
                <c:pt idx="3">
                  <c:v>2573</c:v>
                </c:pt>
                <c:pt idx="4">
                  <c:v>6168</c:v>
                </c:pt>
                <c:pt idx="5">
                  <c:v>7320</c:v>
                </c:pt>
                <c:pt idx="6">
                  <c:v>6707</c:v>
                </c:pt>
                <c:pt idx="7">
                  <c:v>5276</c:v>
                </c:pt>
                <c:pt idx="8">
                  <c:v>2561</c:v>
                </c:pt>
              </c:numCache>
            </c:numRef>
          </c:val>
          <c:extLst>
            <c:ext xmlns:c16="http://schemas.microsoft.com/office/drawing/2014/chart" uri="{C3380CC4-5D6E-409C-BE32-E72D297353CC}">
              <c16:uniqueId val="{00000004-954E-43F3-8768-83516DD696C1}"/>
            </c:ext>
          </c:extLst>
        </c:ser>
        <c:ser>
          <c:idx val="5"/>
          <c:order val="5"/>
          <c:tx>
            <c:strRef>
              <c:f>year_drug!$X$28:$X$29</c:f>
              <c:strCache>
                <c:ptCount val="1"/>
                <c:pt idx="0">
                  <c:v>GUSELKUMAB</c:v>
                </c:pt>
              </c:strCache>
            </c:strRef>
          </c:tx>
          <c:spPr>
            <a:solidFill>
              <a:schemeClr val="accent6"/>
            </a:solidFill>
            <a:ln w="25400">
              <a:noFill/>
            </a:ln>
            <a:effectLst/>
          </c:spPr>
          <c:cat>
            <c:strRef>
              <c:f>year_drug!$R$30:$R$39</c:f>
              <c:strCache>
                <c:ptCount val="9"/>
                <c:pt idx="0">
                  <c:v>2014</c:v>
                </c:pt>
                <c:pt idx="1">
                  <c:v>2015</c:v>
                </c:pt>
                <c:pt idx="2">
                  <c:v>2016</c:v>
                </c:pt>
                <c:pt idx="3">
                  <c:v>2017</c:v>
                </c:pt>
                <c:pt idx="4">
                  <c:v>2018</c:v>
                </c:pt>
                <c:pt idx="5">
                  <c:v>2019</c:v>
                </c:pt>
                <c:pt idx="6">
                  <c:v>2020</c:v>
                </c:pt>
                <c:pt idx="7">
                  <c:v>2021</c:v>
                </c:pt>
                <c:pt idx="8">
                  <c:v>2022</c:v>
                </c:pt>
              </c:strCache>
            </c:strRef>
          </c:cat>
          <c:val>
            <c:numRef>
              <c:f>year_drug!$X$30:$X$39</c:f>
              <c:numCache>
                <c:formatCode>General</c:formatCode>
                <c:ptCount val="9"/>
                <c:pt idx="5">
                  <c:v>6874</c:v>
                </c:pt>
                <c:pt idx="6">
                  <c:v>14141</c:v>
                </c:pt>
                <c:pt idx="7">
                  <c:v>18578</c:v>
                </c:pt>
                <c:pt idx="8">
                  <c:v>22837</c:v>
                </c:pt>
              </c:numCache>
            </c:numRef>
          </c:val>
          <c:extLst>
            <c:ext xmlns:c16="http://schemas.microsoft.com/office/drawing/2014/chart" uri="{C3380CC4-5D6E-409C-BE32-E72D297353CC}">
              <c16:uniqueId val="{00000005-954E-43F3-8768-83516DD696C1}"/>
            </c:ext>
          </c:extLst>
        </c:ser>
        <c:ser>
          <c:idx val="6"/>
          <c:order val="6"/>
          <c:tx>
            <c:strRef>
              <c:f>year_drug!$Y$28:$Y$29</c:f>
              <c:strCache>
                <c:ptCount val="1"/>
                <c:pt idx="0">
                  <c:v>INFLIXIMAB</c:v>
                </c:pt>
              </c:strCache>
            </c:strRef>
          </c:tx>
          <c:spPr>
            <a:solidFill>
              <a:schemeClr val="accent1">
                <a:lumMod val="60000"/>
              </a:schemeClr>
            </a:solidFill>
            <a:ln w="25400">
              <a:noFill/>
            </a:ln>
            <a:effectLst/>
          </c:spPr>
          <c:cat>
            <c:strRef>
              <c:f>year_drug!$R$30:$R$39</c:f>
              <c:strCache>
                <c:ptCount val="9"/>
                <c:pt idx="0">
                  <c:v>2014</c:v>
                </c:pt>
                <c:pt idx="1">
                  <c:v>2015</c:v>
                </c:pt>
                <c:pt idx="2">
                  <c:v>2016</c:v>
                </c:pt>
                <c:pt idx="3">
                  <c:v>2017</c:v>
                </c:pt>
                <c:pt idx="4">
                  <c:v>2018</c:v>
                </c:pt>
                <c:pt idx="5">
                  <c:v>2019</c:v>
                </c:pt>
                <c:pt idx="6">
                  <c:v>2020</c:v>
                </c:pt>
                <c:pt idx="7">
                  <c:v>2021</c:v>
                </c:pt>
                <c:pt idx="8">
                  <c:v>2022</c:v>
                </c:pt>
              </c:strCache>
            </c:strRef>
          </c:cat>
          <c:val>
            <c:numRef>
              <c:f>year_drug!$Y$30:$Y$39</c:f>
              <c:numCache>
                <c:formatCode>General</c:formatCode>
                <c:ptCount val="9"/>
                <c:pt idx="0">
                  <c:v>1829</c:v>
                </c:pt>
                <c:pt idx="1">
                  <c:v>1899</c:v>
                </c:pt>
                <c:pt idx="2">
                  <c:v>1768</c:v>
                </c:pt>
                <c:pt idx="3">
                  <c:v>1745</c:v>
                </c:pt>
                <c:pt idx="4">
                  <c:v>1574</c:v>
                </c:pt>
                <c:pt idx="5">
                  <c:v>1457</c:v>
                </c:pt>
                <c:pt idx="6">
                  <c:v>1186</c:v>
                </c:pt>
                <c:pt idx="7">
                  <c:v>1060</c:v>
                </c:pt>
                <c:pt idx="8">
                  <c:v>1000</c:v>
                </c:pt>
              </c:numCache>
            </c:numRef>
          </c:val>
          <c:extLst>
            <c:ext xmlns:c16="http://schemas.microsoft.com/office/drawing/2014/chart" uri="{C3380CC4-5D6E-409C-BE32-E72D297353CC}">
              <c16:uniqueId val="{00000006-954E-43F3-8768-83516DD696C1}"/>
            </c:ext>
          </c:extLst>
        </c:ser>
        <c:ser>
          <c:idx val="7"/>
          <c:order val="7"/>
          <c:tx>
            <c:strRef>
              <c:f>year_drug!$Z$28:$Z$29</c:f>
              <c:strCache>
                <c:ptCount val="1"/>
                <c:pt idx="0">
                  <c:v>IXEKIZUMAB</c:v>
                </c:pt>
              </c:strCache>
            </c:strRef>
          </c:tx>
          <c:spPr>
            <a:solidFill>
              <a:schemeClr val="accent2">
                <a:lumMod val="60000"/>
              </a:schemeClr>
            </a:solidFill>
            <a:ln w="25400">
              <a:noFill/>
            </a:ln>
            <a:effectLst/>
          </c:spPr>
          <c:cat>
            <c:strRef>
              <c:f>year_drug!$R$30:$R$39</c:f>
              <c:strCache>
                <c:ptCount val="9"/>
                <c:pt idx="0">
                  <c:v>2014</c:v>
                </c:pt>
                <c:pt idx="1">
                  <c:v>2015</c:v>
                </c:pt>
                <c:pt idx="2">
                  <c:v>2016</c:v>
                </c:pt>
                <c:pt idx="3">
                  <c:v>2017</c:v>
                </c:pt>
                <c:pt idx="4">
                  <c:v>2018</c:v>
                </c:pt>
                <c:pt idx="5">
                  <c:v>2019</c:v>
                </c:pt>
                <c:pt idx="6">
                  <c:v>2020</c:v>
                </c:pt>
                <c:pt idx="7">
                  <c:v>2021</c:v>
                </c:pt>
                <c:pt idx="8">
                  <c:v>2022</c:v>
                </c:pt>
              </c:strCache>
            </c:strRef>
          </c:cat>
          <c:val>
            <c:numRef>
              <c:f>year_drug!$Z$30:$Z$39</c:f>
              <c:numCache>
                <c:formatCode>General</c:formatCode>
                <c:ptCount val="9"/>
                <c:pt idx="3">
                  <c:v>2466</c:v>
                </c:pt>
                <c:pt idx="4">
                  <c:v>5736</c:v>
                </c:pt>
                <c:pt idx="5">
                  <c:v>6957</c:v>
                </c:pt>
                <c:pt idx="6">
                  <c:v>7781</c:v>
                </c:pt>
                <c:pt idx="7">
                  <c:v>8982</c:v>
                </c:pt>
                <c:pt idx="8">
                  <c:v>10006</c:v>
                </c:pt>
              </c:numCache>
            </c:numRef>
          </c:val>
          <c:extLst>
            <c:ext xmlns:c16="http://schemas.microsoft.com/office/drawing/2014/chart" uri="{C3380CC4-5D6E-409C-BE32-E72D297353CC}">
              <c16:uniqueId val="{00000007-954E-43F3-8768-83516DD696C1}"/>
            </c:ext>
          </c:extLst>
        </c:ser>
        <c:ser>
          <c:idx val="8"/>
          <c:order val="8"/>
          <c:tx>
            <c:strRef>
              <c:f>year_drug!$AA$28:$AA$29</c:f>
              <c:strCache>
                <c:ptCount val="1"/>
                <c:pt idx="0">
                  <c:v>METHOTREXATE</c:v>
                </c:pt>
              </c:strCache>
            </c:strRef>
          </c:tx>
          <c:spPr>
            <a:solidFill>
              <a:schemeClr val="accent3">
                <a:lumMod val="60000"/>
              </a:schemeClr>
            </a:solidFill>
            <a:ln w="25400">
              <a:noFill/>
            </a:ln>
            <a:effectLst/>
          </c:spPr>
          <c:cat>
            <c:strRef>
              <c:f>year_drug!$R$30:$R$39</c:f>
              <c:strCache>
                <c:ptCount val="9"/>
                <c:pt idx="0">
                  <c:v>2014</c:v>
                </c:pt>
                <c:pt idx="1">
                  <c:v>2015</c:v>
                </c:pt>
                <c:pt idx="2">
                  <c:v>2016</c:v>
                </c:pt>
                <c:pt idx="3">
                  <c:v>2017</c:v>
                </c:pt>
                <c:pt idx="4">
                  <c:v>2018</c:v>
                </c:pt>
                <c:pt idx="5">
                  <c:v>2019</c:v>
                </c:pt>
                <c:pt idx="6">
                  <c:v>2020</c:v>
                </c:pt>
                <c:pt idx="7">
                  <c:v>2021</c:v>
                </c:pt>
                <c:pt idx="8">
                  <c:v>2022</c:v>
                </c:pt>
              </c:strCache>
            </c:strRef>
          </c:cat>
          <c:val>
            <c:numRef>
              <c:f>year_drug!$AA$30:$AA$39</c:f>
              <c:numCache>
                <c:formatCode>General</c:formatCode>
                <c:ptCount val="9"/>
                <c:pt idx="4">
                  <c:v>1828</c:v>
                </c:pt>
                <c:pt idx="5">
                  <c:v>5624</c:v>
                </c:pt>
                <c:pt idx="6">
                  <c:v>8100</c:v>
                </c:pt>
                <c:pt idx="7">
                  <c:v>9879</c:v>
                </c:pt>
                <c:pt idx="8">
                  <c:v>11396</c:v>
                </c:pt>
              </c:numCache>
            </c:numRef>
          </c:val>
          <c:extLst>
            <c:ext xmlns:c16="http://schemas.microsoft.com/office/drawing/2014/chart" uri="{C3380CC4-5D6E-409C-BE32-E72D297353CC}">
              <c16:uniqueId val="{00000008-954E-43F3-8768-83516DD696C1}"/>
            </c:ext>
          </c:extLst>
        </c:ser>
        <c:ser>
          <c:idx val="9"/>
          <c:order val="9"/>
          <c:tx>
            <c:strRef>
              <c:f>year_drug!$AB$28:$AB$29</c:f>
              <c:strCache>
                <c:ptCount val="1"/>
                <c:pt idx="0">
                  <c:v>RISANKIZUMAB</c:v>
                </c:pt>
              </c:strCache>
            </c:strRef>
          </c:tx>
          <c:spPr>
            <a:solidFill>
              <a:schemeClr val="accent4">
                <a:lumMod val="60000"/>
              </a:schemeClr>
            </a:solidFill>
            <a:ln w="25400">
              <a:noFill/>
            </a:ln>
            <a:effectLst/>
          </c:spPr>
          <c:cat>
            <c:strRef>
              <c:f>year_drug!$R$30:$R$39</c:f>
              <c:strCache>
                <c:ptCount val="9"/>
                <c:pt idx="0">
                  <c:v>2014</c:v>
                </c:pt>
                <c:pt idx="1">
                  <c:v>2015</c:v>
                </c:pt>
                <c:pt idx="2">
                  <c:v>2016</c:v>
                </c:pt>
                <c:pt idx="3">
                  <c:v>2017</c:v>
                </c:pt>
                <c:pt idx="4">
                  <c:v>2018</c:v>
                </c:pt>
                <c:pt idx="5">
                  <c:v>2019</c:v>
                </c:pt>
                <c:pt idx="6">
                  <c:v>2020</c:v>
                </c:pt>
                <c:pt idx="7">
                  <c:v>2021</c:v>
                </c:pt>
                <c:pt idx="8">
                  <c:v>2022</c:v>
                </c:pt>
              </c:strCache>
            </c:strRef>
          </c:cat>
          <c:val>
            <c:numRef>
              <c:f>year_drug!$AB$30:$AB$39</c:f>
              <c:numCache>
                <c:formatCode>General</c:formatCode>
                <c:ptCount val="9"/>
                <c:pt idx="5">
                  <c:v>20</c:v>
                </c:pt>
                <c:pt idx="6">
                  <c:v>3417</c:v>
                </c:pt>
                <c:pt idx="7">
                  <c:v>7445</c:v>
                </c:pt>
                <c:pt idx="8">
                  <c:v>11590</c:v>
                </c:pt>
              </c:numCache>
            </c:numRef>
          </c:val>
          <c:extLst>
            <c:ext xmlns:c16="http://schemas.microsoft.com/office/drawing/2014/chart" uri="{C3380CC4-5D6E-409C-BE32-E72D297353CC}">
              <c16:uniqueId val="{00000009-954E-43F3-8768-83516DD696C1}"/>
            </c:ext>
          </c:extLst>
        </c:ser>
        <c:ser>
          <c:idx val="10"/>
          <c:order val="10"/>
          <c:tx>
            <c:strRef>
              <c:f>year_drug!$AC$28:$AC$29</c:f>
              <c:strCache>
                <c:ptCount val="1"/>
                <c:pt idx="0">
                  <c:v>SECUKINUMAB</c:v>
                </c:pt>
              </c:strCache>
            </c:strRef>
          </c:tx>
          <c:spPr>
            <a:solidFill>
              <a:schemeClr val="accent5">
                <a:lumMod val="60000"/>
              </a:schemeClr>
            </a:solidFill>
            <a:ln w="25400">
              <a:noFill/>
            </a:ln>
            <a:effectLst/>
          </c:spPr>
          <c:cat>
            <c:strRef>
              <c:f>year_drug!$R$30:$R$39</c:f>
              <c:strCache>
                <c:ptCount val="9"/>
                <c:pt idx="0">
                  <c:v>2014</c:v>
                </c:pt>
                <c:pt idx="1">
                  <c:v>2015</c:v>
                </c:pt>
                <c:pt idx="2">
                  <c:v>2016</c:v>
                </c:pt>
                <c:pt idx="3">
                  <c:v>2017</c:v>
                </c:pt>
                <c:pt idx="4">
                  <c:v>2018</c:v>
                </c:pt>
                <c:pt idx="5">
                  <c:v>2019</c:v>
                </c:pt>
                <c:pt idx="6">
                  <c:v>2020</c:v>
                </c:pt>
                <c:pt idx="7">
                  <c:v>2021</c:v>
                </c:pt>
                <c:pt idx="8">
                  <c:v>2022</c:v>
                </c:pt>
              </c:strCache>
            </c:strRef>
          </c:cat>
          <c:val>
            <c:numRef>
              <c:f>year_drug!$AC$30:$AC$39</c:f>
              <c:numCache>
                <c:formatCode>General</c:formatCode>
                <c:ptCount val="9"/>
                <c:pt idx="1">
                  <c:v>1869</c:v>
                </c:pt>
                <c:pt idx="2">
                  <c:v>11875</c:v>
                </c:pt>
                <c:pt idx="3">
                  <c:v>14112</c:v>
                </c:pt>
                <c:pt idx="4">
                  <c:v>16511</c:v>
                </c:pt>
                <c:pt idx="5">
                  <c:v>17175</c:v>
                </c:pt>
                <c:pt idx="6">
                  <c:v>18177</c:v>
                </c:pt>
                <c:pt idx="7">
                  <c:v>19788</c:v>
                </c:pt>
                <c:pt idx="8">
                  <c:v>20295</c:v>
                </c:pt>
              </c:numCache>
            </c:numRef>
          </c:val>
          <c:extLst>
            <c:ext xmlns:c16="http://schemas.microsoft.com/office/drawing/2014/chart" uri="{C3380CC4-5D6E-409C-BE32-E72D297353CC}">
              <c16:uniqueId val="{0000000A-954E-43F3-8768-83516DD696C1}"/>
            </c:ext>
          </c:extLst>
        </c:ser>
        <c:ser>
          <c:idx val="11"/>
          <c:order val="11"/>
          <c:tx>
            <c:strRef>
              <c:f>year_drug!$AD$28:$AD$29</c:f>
              <c:strCache>
                <c:ptCount val="1"/>
                <c:pt idx="0">
                  <c:v>TILDRAKIZUMAB</c:v>
                </c:pt>
              </c:strCache>
            </c:strRef>
          </c:tx>
          <c:spPr>
            <a:solidFill>
              <a:schemeClr val="accent6">
                <a:lumMod val="60000"/>
              </a:schemeClr>
            </a:solidFill>
            <a:ln w="25400">
              <a:noFill/>
            </a:ln>
            <a:effectLst/>
          </c:spPr>
          <c:cat>
            <c:strRef>
              <c:f>year_drug!$R$30:$R$39</c:f>
              <c:strCache>
                <c:ptCount val="9"/>
                <c:pt idx="0">
                  <c:v>2014</c:v>
                </c:pt>
                <c:pt idx="1">
                  <c:v>2015</c:v>
                </c:pt>
                <c:pt idx="2">
                  <c:v>2016</c:v>
                </c:pt>
                <c:pt idx="3">
                  <c:v>2017</c:v>
                </c:pt>
                <c:pt idx="4">
                  <c:v>2018</c:v>
                </c:pt>
                <c:pt idx="5">
                  <c:v>2019</c:v>
                </c:pt>
                <c:pt idx="6">
                  <c:v>2020</c:v>
                </c:pt>
                <c:pt idx="7">
                  <c:v>2021</c:v>
                </c:pt>
                <c:pt idx="8">
                  <c:v>2022</c:v>
                </c:pt>
              </c:strCache>
            </c:strRef>
          </c:cat>
          <c:val>
            <c:numRef>
              <c:f>year_drug!$AD$30:$AD$39</c:f>
              <c:numCache>
                <c:formatCode>General</c:formatCode>
                <c:ptCount val="9"/>
                <c:pt idx="5">
                  <c:v>1672</c:v>
                </c:pt>
                <c:pt idx="6">
                  <c:v>2969</c:v>
                </c:pt>
                <c:pt idx="7">
                  <c:v>4362</c:v>
                </c:pt>
                <c:pt idx="8">
                  <c:v>5138</c:v>
                </c:pt>
              </c:numCache>
            </c:numRef>
          </c:val>
          <c:extLst>
            <c:ext xmlns:c16="http://schemas.microsoft.com/office/drawing/2014/chart" uri="{C3380CC4-5D6E-409C-BE32-E72D297353CC}">
              <c16:uniqueId val="{0000000B-954E-43F3-8768-83516DD696C1}"/>
            </c:ext>
          </c:extLst>
        </c:ser>
        <c:ser>
          <c:idx val="12"/>
          <c:order val="12"/>
          <c:tx>
            <c:strRef>
              <c:f>year_drug!$AE$28:$AE$29</c:f>
              <c:strCache>
                <c:ptCount val="1"/>
                <c:pt idx="0">
                  <c:v>USTEKINUMAB</c:v>
                </c:pt>
              </c:strCache>
            </c:strRef>
          </c:tx>
          <c:spPr>
            <a:solidFill>
              <a:schemeClr val="accent1">
                <a:lumMod val="80000"/>
                <a:lumOff val="20000"/>
              </a:schemeClr>
            </a:solidFill>
            <a:ln w="25400">
              <a:noFill/>
            </a:ln>
            <a:effectLst/>
          </c:spPr>
          <c:cat>
            <c:strRef>
              <c:f>year_drug!$R$30:$R$39</c:f>
              <c:strCache>
                <c:ptCount val="9"/>
                <c:pt idx="0">
                  <c:v>2014</c:v>
                </c:pt>
                <c:pt idx="1">
                  <c:v>2015</c:v>
                </c:pt>
                <c:pt idx="2">
                  <c:v>2016</c:v>
                </c:pt>
                <c:pt idx="3">
                  <c:v>2017</c:v>
                </c:pt>
                <c:pt idx="4">
                  <c:v>2018</c:v>
                </c:pt>
                <c:pt idx="5">
                  <c:v>2019</c:v>
                </c:pt>
                <c:pt idx="6">
                  <c:v>2020</c:v>
                </c:pt>
                <c:pt idx="7">
                  <c:v>2021</c:v>
                </c:pt>
                <c:pt idx="8">
                  <c:v>2022</c:v>
                </c:pt>
              </c:strCache>
            </c:strRef>
          </c:cat>
          <c:val>
            <c:numRef>
              <c:f>year_drug!$AE$30:$AE$39</c:f>
              <c:numCache>
                <c:formatCode>General</c:formatCode>
                <c:ptCount val="9"/>
                <c:pt idx="0">
                  <c:v>7605</c:v>
                </c:pt>
                <c:pt idx="1">
                  <c:v>9304</c:v>
                </c:pt>
                <c:pt idx="2">
                  <c:v>10623</c:v>
                </c:pt>
                <c:pt idx="3">
                  <c:v>12191</c:v>
                </c:pt>
                <c:pt idx="4">
                  <c:v>13701</c:v>
                </c:pt>
                <c:pt idx="5">
                  <c:v>13290</c:v>
                </c:pt>
                <c:pt idx="6">
                  <c:v>12258</c:v>
                </c:pt>
                <c:pt idx="7">
                  <c:v>11741</c:v>
                </c:pt>
                <c:pt idx="8">
                  <c:v>11830</c:v>
                </c:pt>
              </c:numCache>
            </c:numRef>
          </c:val>
          <c:extLst>
            <c:ext xmlns:c16="http://schemas.microsoft.com/office/drawing/2014/chart" uri="{C3380CC4-5D6E-409C-BE32-E72D297353CC}">
              <c16:uniqueId val="{0000000C-954E-43F3-8768-83516DD696C1}"/>
            </c:ext>
          </c:extLst>
        </c:ser>
        <c:dLbls>
          <c:showLegendKey val="0"/>
          <c:showVal val="0"/>
          <c:showCatName val="0"/>
          <c:showSerName val="0"/>
          <c:showPercent val="0"/>
          <c:showBubbleSize val="0"/>
        </c:dLbls>
        <c:axId val="1009685224"/>
        <c:axId val="1009692064"/>
      </c:areaChart>
      <c:catAx>
        <c:axId val="10096852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9692064"/>
        <c:crosses val="autoZero"/>
        <c:auto val="1"/>
        <c:lblAlgn val="ctr"/>
        <c:lblOffset val="100"/>
        <c:noMultiLvlLbl val="0"/>
      </c:catAx>
      <c:valAx>
        <c:axId val="1009692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968522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[apremilast .xlsx]Year_prescriptions!PivotTable2</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Year_prescriptions!$U$43:$U$44</c:f>
              <c:strCache>
                <c:ptCount val="1"/>
                <c:pt idx="0">
                  <c:v>TNFi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Year_prescriptions!$T$45:$T$55</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Year_prescriptions!$U$45:$U$55</c:f>
              <c:numCache>
                <c:formatCode>General</c:formatCode>
                <c:ptCount val="10"/>
                <c:pt idx="0">
                  <c:v>18522</c:v>
                </c:pt>
                <c:pt idx="1">
                  <c:v>19406</c:v>
                </c:pt>
                <c:pt idx="2">
                  <c:v>19486</c:v>
                </c:pt>
                <c:pt idx="3">
                  <c:v>18064</c:v>
                </c:pt>
                <c:pt idx="4">
                  <c:v>17426</c:v>
                </c:pt>
                <c:pt idx="5">
                  <c:v>20345</c:v>
                </c:pt>
                <c:pt idx="6">
                  <c:v>20214</c:v>
                </c:pt>
                <c:pt idx="7">
                  <c:v>18343</c:v>
                </c:pt>
                <c:pt idx="8">
                  <c:v>16011</c:v>
                </c:pt>
                <c:pt idx="9">
                  <c:v>12125</c:v>
                </c:pt>
              </c:numCache>
            </c:numRef>
          </c:val>
          <c:smooth val="0"/>
          <c:extLst>
            <c:ext xmlns:c16="http://schemas.microsoft.com/office/drawing/2014/chart" uri="{C3380CC4-5D6E-409C-BE32-E72D297353CC}">
              <c16:uniqueId val="{00000000-5325-4C5C-906A-DF8BB632B1CD}"/>
            </c:ext>
          </c:extLst>
        </c:ser>
        <c:ser>
          <c:idx val="1"/>
          <c:order val="1"/>
          <c:tx>
            <c:strRef>
              <c:f>Year_prescriptions!$V$43:$V$44</c:f>
              <c:strCache>
                <c:ptCount val="1"/>
                <c:pt idx="0">
                  <c:v>IL-23</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Year_prescriptions!$T$45:$T$55</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Year_prescriptions!$V$45:$V$55</c:f>
              <c:numCache>
                <c:formatCode>General</c:formatCode>
                <c:ptCount val="10"/>
                <c:pt idx="6">
                  <c:v>8566</c:v>
                </c:pt>
                <c:pt idx="7">
                  <c:v>20526</c:v>
                </c:pt>
                <c:pt idx="8">
                  <c:v>30385</c:v>
                </c:pt>
                <c:pt idx="9">
                  <c:v>39564</c:v>
                </c:pt>
              </c:numCache>
            </c:numRef>
          </c:val>
          <c:smooth val="0"/>
          <c:extLst>
            <c:ext xmlns:c16="http://schemas.microsoft.com/office/drawing/2014/chart" uri="{C3380CC4-5D6E-409C-BE32-E72D297353CC}">
              <c16:uniqueId val="{00000001-5325-4C5C-906A-DF8BB632B1CD}"/>
            </c:ext>
          </c:extLst>
        </c:ser>
        <c:ser>
          <c:idx val="2"/>
          <c:order val="2"/>
          <c:tx>
            <c:strRef>
              <c:f>Year_prescriptions!$W$43:$W$44</c:f>
              <c:strCache>
                <c:ptCount val="1"/>
                <c:pt idx="0">
                  <c:v>IL-17</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Year_prescriptions!$T$45:$T$55</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Year_prescriptions!$W$45:$W$55</c:f>
              <c:numCache>
                <c:formatCode>General</c:formatCode>
                <c:ptCount val="10"/>
                <c:pt idx="2">
                  <c:v>1869</c:v>
                </c:pt>
                <c:pt idx="3">
                  <c:v>11875</c:v>
                </c:pt>
                <c:pt idx="4">
                  <c:v>16578</c:v>
                </c:pt>
                <c:pt idx="5">
                  <c:v>22247</c:v>
                </c:pt>
                <c:pt idx="6">
                  <c:v>24132</c:v>
                </c:pt>
                <c:pt idx="7">
                  <c:v>25958</c:v>
                </c:pt>
                <c:pt idx="8">
                  <c:v>28770</c:v>
                </c:pt>
                <c:pt idx="9">
                  <c:v>30301</c:v>
                </c:pt>
              </c:numCache>
            </c:numRef>
          </c:val>
          <c:smooth val="0"/>
          <c:extLst>
            <c:ext xmlns:c16="http://schemas.microsoft.com/office/drawing/2014/chart" uri="{C3380CC4-5D6E-409C-BE32-E72D297353CC}">
              <c16:uniqueId val="{00000002-5325-4C5C-906A-DF8BB632B1CD}"/>
            </c:ext>
          </c:extLst>
        </c:ser>
        <c:ser>
          <c:idx val="3"/>
          <c:order val="3"/>
          <c:tx>
            <c:strRef>
              <c:f>Year_prescriptions!$X$43:$X$44</c:f>
              <c:strCache>
                <c:ptCount val="1"/>
                <c:pt idx="0">
                  <c:v>IL-12/23</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Year_prescriptions!$T$45:$T$55</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Year_prescriptions!$X$45:$X$55</c:f>
              <c:numCache>
                <c:formatCode>General</c:formatCode>
                <c:ptCount val="10"/>
                <c:pt idx="0">
                  <c:v>5590</c:v>
                </c:pt>
                <c:pt idx="1">
                  <c:v>7605</c:v>
                </c:pt>
                <c:pt idx="2">
                  <c:v>9304</c:v>
                </c:pt>
                <c:pt idx="3">
                  <c:v>10623</c:v>
                </c:pt>
                <c:pt idx="4">
                  <c:v>12191</c:v>
                </c:pt>
                <c:pt idx="5">
                  <c:v>13701</c:v>
                </c:pt>
                <c:pt idx="6">
                  <c:v>13290</c:v>
                </c:pt>
                <c:pt idx="7">
                  <c:v>12258</c:v>
                </c:pt>
                <c:pt idx="8">
                  <c:v>11741</c:v>
                </c:pt>
                <c:pt idx="9">
                  <c:v>11830</c:v>
                </c:pt>
              </c:numCache>
            </c:numRef>
          </c:val>
          <c:smooth val="0"/>
          <c:extLst>
            <c:ext xmlns:c16="http://schemas.microsoft.com/office/drawing/2014/chart" uri="{C3380CC4-5D6E-409C-BE32-E72D297353CC}">
              <c16:uniqueId val="{00000003-5325-4C5C-906A-DF8BB632B1CD}"/>
            </c:ext>
          </c:extLst>
        </c:ser>
        <c:dLbls>
          <c:showLegendKey val="0"/>
          <c:showVal val="0"/>
          <c:showCatName val="0"/>
          <c:showSerName val="0"/>
          <c:showPercent val="0"/>
          <c:showBubbleSize val="0"/>
        </c:dLbls>
        <c:marker val="1"/>
        <c:smooth val="0"/>
        <c:axId val="958348152"/>
        <c:axId val="958347824"/>
      </c:lineChart>
      <c:catAx>
        <c:axId val="958348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8347824"/>
        <c:crosses val="autoZero"/>
        <c:auto val="1"/>
        <c:lblAlgn val="ctr"/>
        <c:lblOffset val="100"/>
        <c:noMultiLvlLbl val="0"/>
      </c:catAx>
      <c:valAx>
        <c:axId val="958347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8348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[apremilast .xlsx]apremilast!PivotTable2</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apremilast!$T$1</c:f>
              <c:strCache>
                <c:ptCount val="1"/>
                <c:pt idx="0">
                  <c:v>Initiating patients </c:v>
                </c:pt>
              </c:strCache>
            </c:strRef>
          </c:tx>
          <c:spPr>
            <a:ln w="28575" cap="rnd">
              <a:solidFill>
                <a:schemeClr val="accent1"/>
              </a:solidFill>
              <a:round/>
            </a:ln>
            <a:effectLst/>
          </c:spPr>
          <c:marker>
            <c:symbol val="none"/>
          </c:marker>
          <c:cat>
            <c:strRef>
              <c:f>apremilast!$S$2:$S$12</c:f>
              <c:strCache>
                <c:ptCount val="10"/>
                <c:pt idx="0">
                  <c:v>2021Q1</c:v>
                </c:pt>
                <c:pt idx="1">
                  <c:v>2021Q2</c:v>
                </c:pt>
                <c:pt idx="2">
                  <c:v>2021Q3</c:v>
                </c:pt>
                <c:pt idx="3">
                  <c:v>2021Q4</c:v>
                </c:pt>
                <c:pt idx="4">
                  <c:v>2022Q1</c:v>
                </c:pt>
                <c:pt idx="5">
                  <c:v>2022Q2</c:v>
                </c:pt>
                <c:pt idx="6">
                  <c:v>2022Q3</c:v>
                </c:pt>
                <c:pt idx="7">
                  <c:v>2022Q4</c:v>
                </c:pt>
                <c:pt idx="8">
                  <c:v>2023Q1</c:v>
                </c:pt>
                <c:pt idx="9">
                  <c:v>2023Q2</c:v>
                </c:pt>
              </c:strCache>
            </c:strRef>
          </c:cat>
          <c:val>
            <c:numRef>
              <c:f>apremilast!$T$2:$T$12</c:f>
              <c:numCache>
                <c:formatCode>General</c:formatCode>
                <c:ptCount val="10"/>
                <c:pt idx="0">
                  <c:v>670</c:v>
                </c:pt>
                <c:pt idx="1">
                  <c:v>959</c:v>
                </c:pt>
                <c:pt idx="2">
                  <c:v>890</c:v>
                </c:pt>
                <c:pt idx="3">
                  <c:v>793</c:v>
                </c:pt>
                <c:pt idx="4">
                  <c:v>605</c:v>
                </c:pt>
                <c:pt idx="5">
                  <c:v>737</c:v>
                </c:pt>
                <c:pt idx="6">
                  <c:v>838</c:v>
                </c:pt>
                <c:pt idx="7">
                  <c:v>854</c:v>
                </c:pt>
                <c:pt idx="8">
                  <c:v>727</c:v>
                </c:pt>
                <c:pt idx="9">
                  <c:v>789</c:v>
                </c:pt>
              </c:numCache>
            </c:numRef>
          </c:val>
          <c:smooth val="0"/>
          <c:extLst>
            <c:ext xmlns:c16="http://schemas.microsoft.com/office/drawing/2014/chart" uri="{C3380CC4-5D6E-409C-BE32-E72D297353CC}">
              <c16:uniqueId val="{00000000-D7C1-4BB7-888D-6D36C6E5563B}"/>
            </c:ext>
          </c:extLst>
        </c:ser>
        <c:ser>
          <c:idx val="1"/>
          <c:order val="1"/>
          <c:tx>
            <c:strRef>
              <c:f>apremilast!$U$1</c:f>
              <c:strCache>
                <c:ptCount val="1"/>
                <c:pt idx="0">
                  <c:v>Prevalent patients</c:v>
                </c:pt>
              </c:strCache>
            </c:strRef>
          </c:tx>
          <c:spPr>
            <a:ln w="28575" cap="rnd">
              <a:solidFill>
                <a:schemeClr val="accent2"/>
              </a:solidFill>
              <a:round/>
            </a:ln>
            <a:effectLst/>
          </c:spPr>
          <c:marker>
            <c:symbol val="none"/>
          </c:marker>
          <c:cat>
            <c:strRef>
              <c:f>apremilast!$S$2:$S$12</c:f>
              <c:strCache>
                <c:ptCount val="10"/>
                <c:pt idx="0">
                  <c:v>2021Q1</c:v>
                </c:pt>
                <c:pt idx="1">
                  <c:v>2021Q2</c:v>
                </c:pt>
                <c:pt idx="2">
                  <c:v>2021Q3</c:v>
                </c:pt>
                <c:pt idx="3">
                  <c:v>2021Q4</c:v>
                </c:pt>
                <c:pt idx="4">
                  <c:v>2022Q1</c:v>
                </c:pt>
                <c:pt idx="5">
                  <c:v>2022Q2</c:v>
                </c:pt>
                <c:pt idx="6">
                  <c:v>2022Q3</c:v>
                </c:pt>
                <c:pt idx="7">
                  <c:v>2022Q4</c:v>
                </c:pt>
                <c:pt idx="8">
                  <c:v>2023Q1</c:v>
                </c:pt>
                <c:pt idx="9">
                  <c:v>2023Q2</c:v>
                </c:pt>
              </c:strCache>
            </c:strRef>
          </c:cat>
          <c:val>
            <c:numRef>
              <c:f>apremilast!$U$2:$U$12</c:f>
              <c:numCache>
                <c:formatCode>General</c:formatCode>
                <c:ptCount val="10"/>
                <c:pt idx="0">
                  <c:v>670</c:v>
                </c:pt>
                <c:pt idx="1">
                  <c:v>1476</c:v>
                </c:pt>
                <c:pt idx="2">
                  <c:v>2005</c:v>
                </c:pt>
                <c:pt idx="3">
                  <c:v>2312</c:v>
                </c:pt>
                <c:pt idx="4">
                  <c:v>2310</c:v>
                </c:pt>
                <c:pt idx="5">
                  <c:v>2588</c:v>
                </c:pt>
                <c:pt idx="6">
                  <c:v>2921</c:v>
                </c:pt>
                <c:pt idx="7">
                  <c:v>3243</c:v>
                </c:pt>
                <c:pt idx="8">
                  <c:v>3247</c:v>
                </c:pt>
                <c:pt idx="9">
                  <c:v>3515</c:v>
                </c:pt>
              </c:numCache>
            </c:numRef>
          </c:val>
          <c:smooth val="0"/>
          <c:extLst>
            <c:ext xmlns:c16="http://schemas.microsoft.com/office/drawing/2014/chart" uri="{C3380CC4-5D6E-409C-BE32-E72D297353CC}">
              <c16:uniqueId val="{00000001-D7C1-4BB7-888D-6D36C6E5563B}"/>
            </c:ext>
          </c:extLst>
        </c:ser>
        <c:dLbls>
          <c:showLegendKey val="0"/>
          <c:showVal val="0"/>
          <c:showCatName val="0"/>
          <c:showSerName val="0"/>
          <c:showPercent val="0"/>
          <c:showBubbleSize val="0"/>
        </c:dLbls>
        <c:smooth val="0"/>
        <c:axId val="800392864"/>
        <c:axId val="800393192"/>
      </c:lineChart>
      <c:catAx>
        <c:axId val="800392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0393192"/>
        <c:crosses val="autoZero"/>
        <c:auto val="1"/>
        <c:lblAlgn val="ctr"/>
        <c:lblOffset val="100"/>
        <c:noMultiLvlLbl val="0"/>
      </c:catAx>
      <c:valAx>
        <c:axId val="800393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0392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[apremilast v2.xlsx]age_overall!PivotTable3</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age_overall!$Q$1:$Q$2</c:f>
              <c:strCache>
                <c:ptCount val="1"/>
                <c:pt idx="0">
                  <c:v>Female</c:v>
                </c:pt>
              </c:strCache>
            </c:strRef>
          </c:tx>
          <c:spPr>
            <a:solidFill>
              <a:schemeClr val="accent2"/>
            </a:solidFill>
            <a:ln>
              <a:noFill/>
            </a:ln>
            <a:effectLst/>
          </c:spPr>
          <c:invertIfNegative val="0"/>
          <c:cat>
            <c:strRef>
              <c:f>age_overall!$P$3:$P$20</c:f>
              <c:strCache>
                <c:ptCount val="17"/>
                <c:pt idx="0">
                  <c:v>≤14 yrs</c:v>
                </c:pt>
                <c:pt idx="1">
                  <c:v>15-19 yrs</c:v>
                </c:pt>
                <c:pt idx="2">
                  <c:v>20-24 yrs</c:v>
                </c:pt>
                <c:pt idx="3">
                  <c:v>25-29 yrs</c:v>
                </c:pt>
                <c:pt idx="4">
                  <c:v>30-34 yrs</c:v>
                </c:pt>
                <c:pt idx="5">
                  <c:v>35-39 yrs</c:v>
                </c:pt>
                <c:pt idx="6">
                  <c:v>40-44 yrs</c:v>
                </c:pt>
                <c:pt idx="7">
                  <c:v>45-49 yrs</c:v>
                </c:pt>
                <c:pt idx="8">
                  <c:v>50-54 yrs</c:v>
                </c:pt>
                <c:pt idx="9">
                  <c:v>55-59 yrs</c:v>
                </c:pt>
                <c:pt idx="10">
                  <c:v>60-64 yrs</c:v>
                </c:pt>
                <c:pt idx="11">
                  <c:v>65-69 yrs</c:v>
                </c:pt>
                <c:pt idx="12">
                  <c:v>70-74 yrs</c:v>
                </c:pt>
                <c:pt idx="13">
                  <c:v>75-79 yrs</c:v>
                </c:pt>
                <c:pt idx="14">
                  <c:v>80-84 yrs</c:v>
                </c:pt>
                <c:pt idx="15">
                  <c:v>85-89 yrs</c:v>
                </c:pt>
                <c:pt idx="16">
                  <c:v>90+ yrs</c:v>
                </c:pt>
              </c:strCache>
            </c:strRef>
          </c:cat>
          <c:val>
            <c:numRef>
              <c:f>age_overall!$Q$3:$Q$20</c:f>
              <c:numCache>
                <c:formatCode>General</c:formatCode>
                <c:ptCount val="17"/>
                <c:pt idx="0">
                  <c:v>154</c:v>
                </c:pt>
                <c:pt idx="1">
                  <c:v>315</c:v>
                </c:pt>
                <c:pt idx="2">
                  <c:v>501</c:v>
                </c:pt>
                <c:pt idx="3">
                  <c:v>714</c:v>
                </c:pt>
                <c:pt idx="4">
                  <c:v>895</c:v>
                </c:pt>
                <c:pt idx="5">
                  <c:v>1120</c:v>
                </c:pt>
                <c:pt idx="6">
                  <c:v>1487</c:v>
                </c:pt>
                <c:pt idx="7">
                  <c:v>1847</c:v>
                </c:pt>
                <c:pt idx="8">
                  <c:v>2262</c:v>
                </c:pt>
                <c:pt idx="9">
                  <c:v>2300</c:v>
                </c:pt>
                <c:pt idx="10">
                  <c:v>2046</c:v>
                </c:pt>
                <c:pt idx="11">
                  <c:v>1803</c:v>
                </c:pt>
                <c:pt idx="12">
                  <c:v>1303</c:v>
                </c:pt>
                <c:pt idx="13">
                  <c:v>853</c:v>
                </c:pt>
                <c:pt idx="14">
                  <c:v>456</c:v>
                </c:pt>
                <c:pt idx="15">
                  <c:v>189</c:v>
                </c:pt>
                <c:pt idx="16">
                  <c:v>88</c:v>
                </c:pt>
              </c:numCache>
            </c:numRef>
          </c:val>
          <c:extLst>
            <c:ext xmlns:c16="http://schemas.microsoft.com/office/drawing/2014/chart" uri="{C3380CC4-5D6E-409C-BE32-E72D297353CC}">
              <c16:uniqueId val="{00000000-A642-442B-9C08-56213CA1B119}"/>
            </c:ext>
          </c:extLst>
        </c:ser>
        <c:ser>
          <c:idx val="1"/>
          <c:order val="1"/>
          <c:tx>
            <c:strRef>
              <c:f>age_overall!$R$1:$R$2</c:f>
              <c:strCache>
                <c:ptCount val="1"/>
                <c:pt idx="0">
                  <c:v>Male</c:v>
                </c:pt>
              </c:strCache>
            </c:strRef>
          </c:tx>
          <c:spPr>
            <a:solidFill>
              <a:schemeClr val="accent1"/>
            </a:solidFill>
            <a:ln>
              <a:noFill/>
            </a:ln>
            <a:effectLst/>
          </c:spPr>
          <c:invertIfNegative val="0"/>
          <c:cat>
            <c:strRef>
              <c:f>age_overall!$P$3:$P$20</c:f>
              <c:strCache>
                <c:ptCount val="17"/>
                <c:pt idx="0">
                  <c:v>≤14 yrs</c:v>
                </c:pt>
                <c:pt idx="1">
                  <c:v>15-19 yrs</c:v>
                </c:pt>
                <c:pt idx="2">
                  <c:v>20-24 yrs</c:v>
                </c:pt>
                <c:pt idx="3">
                  <c:v>25-29 yrs</c:v>
                </c:pt>
                <c:pt idx="4">
                  <c:v>30-34 yrs</c:v>
                </c:pt>
                <c:pt idx="5">
                  <c:v>35-39 yrs</c:v>
                </c:pt>
                <c:pt idx="6">
                  <c:v>40-44 yrs</c:v>
                </c:pt>
                <c:pt idx="7">
                  <c:v>45-49 yrs</c:v>
                </c:pt>
                <c:pt idx="8">
                  <c:v>50-54 yrs</c:v>
                </c:pt>
                <c:pt idx="9">
                  <c:v>55-59 yrs</c:v>
                </c:pt>
                <c:pt idx="10">
                  <c:v>60-64 yrs</c:v>
                </c:pt>
                <c:pt idx="11">
                  <c:v>65-69 yrs</c:v>
                </c:pt>
                <c:pt idx="12">
                  <c:v>70-74 yrs</c:v>
                </c:pt>
                <c:pt idx="13">
                  <c:v>75-79 yrs</c:v>
                </c:pt>
                <c:pt idx="14">
                  <c:v>80-84 yrs</c:v>
                </c:pt>
                <c:pt idx="15">
                  <c:v>85-89 yrs</c:v>
                </c:pt>
                <c:pt idx="16">
                  <c:v>90+ yrs</c:v>
                </c:pt>
              </c:strCache>
            </c:strRef>
          </c:cat>
          <c:val>
            <c:numRef>
              <c:f>age_overall!$R$3:$R$20</c:f>
              <c:numCache>
                <c:formatCode>General</c:formatCode>
                <c:ptCount val="17"/>
                <c:pt idx="0">
                  <c:v>194</c:v>
                </c:pt>
                <c:pt idx="1">
                  <c:v>387</c:v>
                </c:pt>
                <c:pt idx="2">
                  <c:v>731</c:v>
                </c:pt>
                <c:pt idx="3">
                  <c:v>1164</c:v>
                </c:pt>
                <c:pt idx="4">
                  <c:v>1600</c:v>
                </c:pt>
                <c:pt idx="5">
                  <c:v>2026</c:v>
                </c:pt>
                <c:pt idx="6">
                  <c:v>2186</c:v>
                </c:pt>
                <c:pt idx="7">
                  <c:v>2354</c:v>
                </c:pt>
                <c:pt idx="8">
                  <c:v>2436</c:v>
                </c:pt>
                <c:pt idx="9">
                  <c:v>2382</c:v>
                </c:pt>
                <c:pt idx="10">
                  <c:v>2137</c:v>
                </c:pt>
                <c:pt idx="11">
                  <c:v>1878</c:v>
                </c:pt>
                <c:pt idx="12">
                  <c:v>1461</c:v>
                </c:pt>
                <c:pt idx="13">
                  <c:v>809</c:v>
                </c:pt>
                <c:pt idx="14">
                  <c:v>446</c:v>
                </c:pt>
                <c:pt idx="15">
                  <c:v>186</c:v>
                </c:pt>
                <c:pt idx="16">
                  <c:v>77</c:v>
                </c:pt>
              </c:numCache>
            </c:numRef>
          </c:val>
          <c:extLst>
            <c:ext xmlns:c16="http://schemas.microsoft.com/office/drawing/2014/chart" uri="{C3380CC4-5D6E-409C-BE32-E72D297353CC}">
              <c16:uniqueId val="{00000001-A642-442B-9C08-56213CA1B119}"/>
            </c:ext>
          </c:extLst>
        </c:ser>
        <c:dLbls>
          <c:showLegendKey val="0"/>
          <c:showVal val="0"/>
          <c:showCatName val="0"/>
          <c:showSerName val="0"/>
          <c:showPercent val="0"/>
          <c:showBubbleSize val="0"/>
        </c:dLbls>
        <c:gapWidth val="219"/>
        <c:overlap val="-27"/>
        <c:axId val="988927168"/>
        <c:axId val="988928808"/>
      </c:barChart>
      <c:catAx>
        <c:axId val="988927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8928808"/>
        <c:crosses val="autoZero"/>
        <c:auto val="1"/>
        <c:lblAlgn val="ctr"/>
        <c:lblOffset val="100"/>
        <c:noMultiLvlLbl val="0"/>
      </c:catAx>
      <c:valAx>
        <c:axId val="988928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Initiating</a:t>
                </a:r>
                <a:r>
                  <a:rPr lang="en-AU" baseline="0"/>
                  <a:t> p</a:t>
                </a:r>
                <a:r>
                  <a:rPr lang="en-AU"/>
                  <a:t>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8927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4F82B-27DE-4369-A0C3-FBA3FE91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5171</Words>
  <Characters>29478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2024-02-01T23:41:00Z</dcterms:created>
  <dcterms:modified xsi:type="dcterms:W3CDTF">2024-03-11T21:50:00Z</dcterms:modified>
</cp:coreProperties>
</file>