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3C130" w14:textId="519CDC74" w:rsidR="00832324" w:rsidRDefault="002E4469" w:rsidP="00F73113">
      <w:pPr>
        <w:pStyle w:val="Title"/>
      </w:pPr>
      <w:r>
        <w:t>Analysis of f</w:t>
      </w:r>
      <w:r w:rsidR="00361C9D">
        <w:t>luticasone propionate</w:t>
      </w:r>
      <w:r w:rsidR="008C3A06">
        <w:t xml:space="preserve"> </w:t>
      </w:r>
      <w:r w:rsidR="00E57EBB">
        <w:t>in</w:t>
      </w:r>
      <w:r>
        <w:t xml:space="preserve"> children with asthma</w:t>
      </w:r>
      <w:r w:rsidR="006F43BB">
        <w:t xml:space="preserve"> </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35BFD747" w:rsidR="009053D3" w:rsidRPr="00F73113" w:rsidRDefault="0083210F" w:rsidP="00F73113">
      <w:pPr>
        <w:pStyle w:val="Meetingdate"/>
      </w:pPr>
      <w:r>
        <w:t>February 2026</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70A05845" w14:textId="47CB9E89" w:rsidR="005C6661" w:rsidRDefault="003C2018" w:rsidP="00C80176">
      <w:r w:rsidRPr="00C80176">
        <w:t xml:space="preserve">To review the recent utilisation </w:t>
      </w:r>
      <w:r w:rsidR="00333465" w:rsidRPr="00C80176">
        <w:t>of PBS-listed fluticasone propionate 50 microg</w:t>
      </w:r>
      <w:r w:rsidR="002344DC" w:rsidRPr="00C80176">
        <w:t>ram (m</w:t>
      </w:r>
      <w:r w:rsidR="008B58FB" w:rsidRPr="00C80176">
        <w:t xml:space="preserve">cg) in children </w:t>
      </w:r>
      <w:r w:rsidR="00314E97" w:rsidRPr="00C80176">
        <w:t xml:space="preserve">following restriction changes </w:t>
      </w:r>
      <w:r w:rsidR="00515FBE" w:rsidRPr="00C80176">
        <w:t xml:space="preserve">in </w:t>
      </w:r>
      <w:r w:rsidR="00314E97" w:rsidRPr="00C80176">
        <w:t>2023</w:t>
      </w:r>
      <w:r w:rsidR="00E626F1" w:rsidRPr="00C80176">
        <w:t xml:space="preserve"> </w:t>
      </w:r>
      <w:r w:rsidR="006B2C74" w:rsidRPr="00C80176">
        <w:t xml:space="preserve">and </w:t>
      </w:r>
      <w:r w:rsidR="00515FBE" w:rsidRPr="00C80176">
        <w:t>2024</w:t>
      </w:r>
      <w:r w:rsidR="00C80176" w:rsidRPr="00C80176">
        <w:t xml:space="preserve"> as requested by the Pharmaceutical Benefits Advisory Committee (PBAC).</w:t>
      </w:r>
      <w:r w:rsidR="00C80176">
        <w:t xml:space="preserve"> </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67F4F0FA" w14:textId="7A041719" w:rsidR="00905949" w:rsidRDefault="00905949" w:rsidP="00CF5E22">
      <w:pPr>
        <w:pStyle w:val="Heading3"/>
        <w:rPr>
          <w:b w:val="0"/>
          <w:i w:val="0"/>
          <w:szCs w:val="24"/>
        </w:rPr>
      </w:pPr>
      <w:r w:rsidRPr="00905949">
        <w:rPr>
          <w:b w:val="0"/>
          <w:i w:val="0"/>
          <w:szCs w:val="24"/>
        </w:rPr>
        <w:t>Fluticasone propionate 50 mcg was first listed on the PBS on 1 May 2001</w:t>
      </w:r>
      <w:r>
        <w:rPr>
          <w:b w:val="0"/>
          <w:i w:val="0"/>
          <w:szCs w:val="24"/>
        </w:rPr>
        <w:t xml:space="preserve">. </w:t>
      </w:r>
      <w:r w:rsidRPr="00905949">
        <w:rPr>
          <w:b w:val="0"/>
          <w:i w:val="0"/>
          <w:szCs w:val="24"/>
        </w:rPr>
        <w:t xml:space="preserve"> </w:t>
      </w:r>
    </w:p>
    <w:p w14:paraId="526743BB" w14:textId="73679611" w:rsidR="005C6661" w:rsidRDefault="005C6661" w:rsidP="00CF5E22">
      <w:pPr>
        <w:pStyle w:val="Heading3"/>
      </w:pPr>
      <w:r>
        <w:t>Data Source / methodology</w:t>
      </w:r>
    </w:p>
    <w:p w14:paraId="3C74AB36" w14:textId="73E6500E" w:rsidR="006804E0" w:rsidRDefault="006804E0" w:rsidP="005C6661">
      <w:pPr>
        <w:pStyle w:val="NoSpacing"/>
      </w:pPr>
      <w:r w:rsidRPr="006804E0">
        <w:t xml:space="preserve">Data extracted from the PBS database maintained by </w:t>
      </w:r>
      <w:r w:rsidR="00CB79F0" w:rsidRPr="006804E0">
        <w:t>Department of Health</w:t>
      </w:r>
      <w:r w:rsidR="00CB79F0">
        <w:t>, Disability and Ageing</w:t>
      </w:r>
      <w:r w:rsidRPr="006804E0">
        <w:t>, processed by Services Australia were used for the analyses.</w:t>
      </w:r>
    </w:p>
    <w:p w14:paraId="7599E7C1" w14:textId="77777777" w:rsidR="005C6661" w:rsidRDefault="005C6661" w:rsidP="00CF5E22">
      <w:pPr>
        <w:pStyle w:val="Heading3"/>
      </w:pPr>
      <w:r>
        <w:t>Key Findings</w:t>
      </w:r>
    </w:p>
    <w:p w14:paraId="06DC7325" w14:textId="314673E5" w:rsidR="001161C5" w:rsidRDefault="001161C5" w:rsidP="0080046A">
      <w:pPr>
        <w:pStyle w:val="NoSpacing"/>
        <w:numPr>
          <w:ilvl w:val="0"/>
          <w:numId w:val="1"/>
        </w:numPr>
        <w:rPr>
          <w:rFonts w:eastAsia="Times New Roman"/>
          <w:b/>
          <w:bCs/>
          <w:sz w:val="32"/>
          <w:szCs w:val="32"/>
        </w:rPr>
      </w:pPr>
      <w:r>
        <w:rPr>
          <w:rFonts w:eastAsia="Times New Roman"/>
        </w:rPr>
        <w:t>In the year prior to the PBS restriction change from Unrestricted to Authority Required (1 April 2022 to 1 April 2023), there were an average of 12,122 prescriptions per month of fluticasone propionate 50 mcg supplied to children 5 years of age and under, and 13,698 to those 6 years of age and over. In the 3 month period where the items were Authority Required  (1 April 2023 to 1 July 2023) there were 5,600 and 5,090 prescriptions per month, respectively. In the year after the restriction change from Authority Required to Streamlined (1 July 2023 to 1 July 2024) there were 7,916 and 8,788 prescriptions per month, respectively.</w:t>
      </w:r>
    </w:p>
    <w:p w14:paraId="523A1188" w14:textId="77777777" w:rsidR="001161C5" w:rsidRDefault="001161C5" w:rsidP="0080046A">
      <w:pPr>
        <w:pStyle w:val="NoSpacing"/>
        <w:numPr>
          <w:ilvl w:val="0"/>
          <w:numId w:val="1"/>
        </w:numPr>
        <w:rPr>
          <w:rFonts w:eastAsia="Times New Roman"/>
          <w:b/>
          <w:bCs/>
          <w:sz w:val="32"/>
          <w:szCs w:val="32"/>
        </w:rPr>
      </w:pPr>
      <w:r>
        <w:rPr>
          <w:rFonts w:eastAsia="Times New Roman"/>
        </w:rPr>
        <w:t xml:space="preserve">From 1 April 2022 to 1 April 2023, there were an average of 2,607 patients per month initiating to fluticasone propionate 50 mcg who were 6 years of age and over. This compares to 178 patients per month from 1 April 2023 to 1 July 2023 and 1,535 from 1 July 2023 to 1 July 2024. The initiations in these later two periods were outside the PBS restriction. </w:t>
      </w:r>
    </w:p>
    <w:p w14:paraId="3F77C2B2" w14:textId="75376511" w:rsidR="00670F03" w:rsidRPr="00670F03" w:rsidRDefault="00670F03" w:rsidP="0080046A">
      <w:pPr>
        <w:pStyle w:val="NoSpacing"/>
        <w:numPr>
          <w:ilvl w:val="0"/>
          <w:numId w:val="1"/>
        </w:numPr>
      </w:pPr>
      <w:r w:rsidRPr="00670F03">
        <w:t xml:space="preserve">General Practitioners (including VRGPs, GP trainees and non-VRGPs) </w:t>
      </w:r>
      <w:r w:rsidR="00A84F95">
        <w:t>were</w:t>
      </w:r>
      <w:r w:rsidRPr="00670F03">
        <w:t xml:space="preserve"> the leading prescribers of initial prescriptions for fluticasone propionate 50 mcg in patients aged 6 years and over.</w:t>
      </w: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1253CF39" w14:textId="5D4D65BD" w:rsidR="00F6633B" w:rsidRDefault="00F6633B" w:rsidP="00F6633B">
      <w:r w:rsidRPr="00C80176">
        <w:t>To review the recent utilisation of PBS-listed fluticasone propionate 50 microgram (mcg) in children following restriction changes in 2023 and 2024 as requested by the PBAC.</w:t>
      </w:r>
      <w:r>
        <w:t xml:space="preserve"> </w:t>
      </w:r>
    </w:p>
    <w:p w14:paraId="0A7F0B57" w14:textId="034D22D5"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3C382BF9" w14:textId="1E3BD212" w:rsidR="0011786A" w:rsidRDefault="0011786A" w:rsidP="0011786A">
      <w:r>
        <w:t>Fluticasone propionate 50 mcg is considered a low dose inhaled corticosteroid (ICS). It is the only metred aerosol for use in patients under 6 years of age and the only low dose metred aerosol registered for use in Australia by the Therapeutic Goods Administration</w:t>
      </w:r>
      <w:r w:rsidR="00C85ED8">
        <w:t xml:space="preserve"> (TGA)</w:t>
      </w:r>
      <w:r>
        <w:t>.</w:t>
      </w:r>
      <w:r w:rsidR="00C85ED8">
        <w:t xml:space="preserve"> R</w:t>
      </w:r>
      <w:r w:rsidR="00C85ED8" w:rsidRPr="00C85ED8">
        <w:t xml:space="preserve">elevant alternate </w:t>
      </w:r>
      <w:r w:rsidR="00C85ED8">
        <w:t xml:space="preserve">ICS therapies are </w:t>
      </w:r>
      <w:r w:rsidR="00C85ED8" w:rsidRPr="00C85ED8">
        <w:t>beclomethasone and budesonide</w:t>
      </w:r>
      <w:r w:rsidR="00C85ED8">
        <w:t>.</w:t>
      </w:r>
    </w:p>
    <w:p w14:paraId="3410D43C" w14:textId="0F7A27C3" w:rsidR="0006721E" w:rsidRDefault="006268BF" w:rsidP="00EE2BBB">
      <w:r w:rsidRPr="00583321">
        <w:t>Asthma in young preschool aged children (between ages 1 and 5 years)</w:t>
      </w:r>
      <w:r w:rsidR="000801EA" w:rsidRPr="00583321">
        <w:t xml:space="preserve"> can be defined as those who present with recurrent episodes of wheeze, cough or difficulty breathing/activity limitation, all of which respond to a short acting </w:t>
      </w:r>
      <w:r w:rsidR="005E66B8" w:rsidRPr="00583321">
        <w:t>beta agonist (</w:t>
      </w:r>
      <w:r w:rsidR="000801EA" w:rsidRPr="00583321">
        <w:t>SABA</w:t>
      </w:r>
      <w:r w:rsidR="005E66B8" w:rsidRPr="00583321">
        <w:t xml:space="preserve">) such as </w:t>
      </w:r>
      <w:r w:rsidR="00583321" w:rsidRPr="00583321">
        <w:t xml:space="preserve">salbutamol </w:t>
      </w:r>
      <w:r w:rsidR="00D26A89">
        <w:t>or</w:t>
      </w:r>
      <w:r w:rsidR="00583321" w:rsidRPr="00583321">
        <w:t xml:space="preserve"> terbutaline.</w:t>
      </w:r>
      <w:r w:rsidR="00583321">
        <w:t xml:space="preserve"> </w:t>
      </w:r>
      <w:r w:rsidR="00406944" w:rsidRPr="00406944">
        <w:t>The diagnosis of asthma in preschool aged children can be difficult as there is overlap with other common conditions and a lack of objective tests</w:t>
      </w:r>
      <w:r w:rsidR="00406944">
        <w:t xml:space="preserve">. </w:t>
      </w:r>
      <w:r w:rsidR="00CC4AAA">
        <w:t>The aim of therapy is a</w:t>
      </w:r>
      <w:r w:rsidR="004A4962" w:rsidRPr="004A4962">
        <w:t xml:space="preserve">dequate symptom control </w:t>
      </w:r>
      <w:r w:rsidR="00CC4AAA">
        <w:t>through</w:t>
      </w:r>
      <w:r w:rsidR="004A4962" w:rsidRPr="004A4962">
        <w:t xml:space="preserve"> regular titration of asthma treatment</w:t>
      </w:r>
      <w:r w:rsidR="00CC4AAA">
        <w:t xml:space="preserve">. </w:t>
      </w:r>
      <w:r w:rsidR="007D4832">
        <w:t xml:space="preserve">A step approach to </w:t>
      </w:r>
      <w:r w:rsidR="008C1B3E">
        <w:t xml:space="preserve">maintenance </w:t>
      </w:r>
      <w:r w:rsidR="007D4832">
        <w:t>treatment is to be followed</w:t>
      </w:r>
      <w:r w:rsidR="008C1B3E">
        <w:t xml:space="preserve">, such as </w:t>
      </w:r>
      <w:r w:rsidR="00970C2E">
        <w:t>F</w:t>
      </w:r>
      <w:r w:rsidR="00690EE2">
        <w:t>igure</w:t>
      </w:r>
      <w:r w:rsidR="00970C2E">
        <w:t xml:space="preserve"> 1 below</w:t>
      </w:r>
      <w:r w:rsidR="00690EE2">
        <w:t xml:space="preserve">. </w:t>
      </w:r>
      <w:r w:rsidR="00970C2E">
        <w:t>Of note is that a</w:t>
      </w:r>
      <w:r w:rsidR="00914615">
        <w:t xml:space="preserve">pproximately </w:t>
      </w:r>
      <w:r w:rsidR="00914615" w:rsidRPr="00914615">
        <w:t>half of children who wheeze during preschool years will have asthma at school age</w:t>
      </w:r>
      <w:r w:rsidR="00914615">
        <w:t>.</w:t>
      </w:r>
      <w:bookmarkStart w:id="0" w:name="_Ref213925710"/>
      <w:r w:rsidR="00914615">
        <w:rPr>
          <w:rStyle w:val="FootnoteReference"/>
        </w:rPr>
        <w:footnoteReference w:id="1"/>
      </w:r>
      <w:bookmarkEnd w:id="0"/>
      <w:r w:rsidR="00914615">
        <w:t xml:space="preserve"> </w:t>
      </w:r>
    </w:p>
    <w:p w14:paraId="264C1555" w14:textId="0AA71A9B" w:rsidR="0006721E" w:rsidRDefault="0006721E" w:rsidP="00EE2BBB">
      <w:pPr>
        <w:rPr>
          <w:vertAlign w:val="superscript"/>
        </w:rPr>
      </w:pPr>
      <w:r w:rsidRPr="0006721E">
        <w:rPr>
          <w:noProof/>
          <w:vertAlign w:val="superscript"/>
        </w:rPr>
        <w:drawing>
          <wp:inline distT="0" distB="0" distL="0" distR="0" wp14:anchorId="47B45405" wp14:editId="4F1A5BE0">
            <wp:extent cx="5010150" cy="2734131"/>
            <wp:effectExtent l="0" t="0" r="0" b="9525"/>
            <wp:docPr id="138388304" name="Picture 1" descr="A diagram of four step approach in maintenance treatment for young childr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88304" name="Picture 1" descr="A diagram of four step approach in maintenance treatment for young children. "/>
                    <pic:cNvPicPr/>
                  </pic:nvPicPr>
                  <pic:blipFill>
                    <a:blip r:embed="rId8"/>
                    <a:stretch>
                      <a:fillRect/>
                    </a:stretch>
                  </pic:blipFill>
                  <pic:spPr>
                    <a:xfrm>
                      <a:off x="0" y="0"/>
                      <a:ext cx="5065276" cy="2764214"/>
                    </a:xfrm>
                    <a:prstGeom prst="rect">
                      <a:avLst/>
                    </a:prstGeom>
                  </pic:spPr>
                </pic:pic>
              </a:graphicData>
            </a:graphic>
          </wp:inline>
        </w:drawing>
      </w:r>
    </w:p>
    <w:p w14:paraId="60F27354" w14:textId="3ED98E02" w:rsidR="00F96A94" w:rsidRPr="00690EE2" w:rsidRDefault="00F96A94" w:rsidP="00F96A94">
      <w:pPr>
        <w:rPr>
          <w:b/>
          <w:bCs/>
        </w:rPr>
      </w:pPr>
      <w:r>
        <w:rPr>
          <w:b/>
          <w:bCs/>
        </w:rPr>
        <w:t>Figure 1: S</w:t>
      </w:r>
      <w:r w:rsidRPr="00690EE2">
        <w:rPr>
          <w:b/>
          <w:bCs/>
        </w:rPr>
        <w:t>tep approach in maintenance treatment</w:t>
      </w:r>
      <w:r>
        <w:rPr>
          <w:b/>
          <w:bCs/>
        </w:rPr>
        <w:t xml:space="preserve"> for preschool aged children with asthma</w:t>
      </w:r>
      <w:r w:rsidRPr="00F96A94">
        <w:rPr>
          <w:b/>
          <w:bCs/>
          <w:vertAlign w:val="superscript"/>
        </w:rPr>
        <w:fldChar w:fldCharType="begin"/>
      </w:r>
      <w:r w:rsidRPr="00F96A94">
        <w:rPr>
          <w:b/>
          <w:bCs/>
          <w:vertAlign w:val="superscript"/>
        </w:rPr>
        <w:instrText xml:space="preserve"> NOTEREF _Ref213925710 \h </w:instrText>
      </w:r>
      <w:r>
        <w:rPr>
          <w:b/>
          <w:bCs/>
          <w:vertAlign w:val="superscript"/>
        </w:rPr>
        <w:instrText xml:space="preserve"> \* MERGEFORMAT </w:instrText>
      </w:r>
      <w:r w:rsidRPr="00F96A94">
        <w:rPr>
          <w:b/>
          <w:bCs/>
          <w:vertAlign w:val="superscript"/>
        </w:rPr>
      </w:r>
      <w:r w:rsidRPr="00F96A94">
        <w:rPr>
          <w:b/>
          <w:bCs/>
          <w:vertAlign w:val="superscript"/>
        </w:rPr>
        <w:fldChar w:fldCharType="separate"/>
      </w:r>
      <w:r w:rsidRPr="00F96A94">
        <w:rPr>
          <w:b/>
          <w:bCs/>
          <w:vertAlign w:val="superscript"/>
        </w:rPr>
        <w:t>1</w:t>
      </w:r>
      <w:r w:rsidRPr="00F96A94">
        <w:rPr>
          <w:b/>
          <w:bCs/>
          <w:vertAlign w:val="superscript"/>
        </w:rPr>
        <w:fldChar w:fldCharType="end"/>
      </w:r>
    </w:p>
    <w:p w14:paraId="3EE13671" w14:textId="1397141E" w:rsidR="00F96A94" w:rsidRDefault="00381113" w:rsidP="00EE2BBB">
      <w:r>
        <w:lastRenderedPageBreak/>
        <w:t>For school aged children (</w:t>
      </w:r>
      <w:r w:rsidR="003000B4">
        <w:t xml:space="preserve">ages 6 and 11 years) who </w:t>
      </w:r>
      <w:r w:rsidR="00F511C8">
        <w:t>continue to present with asthma, d</w:t>
      </w:r>
      <w:r w:rsidR="00F511C8" w:rsidRPr="00F511C8">
        <w:t xml:space="preserve">iagnosis is based on symptoms (wheeze, breathlessness, cough) and treatment response (i.e. recurrent clusters of symptoms that respond to SABA or chronic symptoms that respond to </w:t>
      </w:r>
      <w:r w:rsidR="00F511C8">
        <w:t xml:space="preserve">an </w:t>
      </w:r>
      <w:r w:rsidR="00100EE4">
        <w:t>I</w:t>
      </w:r>
      <w:r w:rsidR="00F511C8" w:rsidRPr="00F511C8">
        <w:t>CS</w:t>
      </w:r>
      <w:r w:rsidR="00F511C8">
        <w:t>)</w:t>
      </w:r>
      <w:r w:rsidR="00F511C8" w:rsidRPr="00F511C8">
        <w:t xml:space="preserve"> in the absence of red flags</w:t>
      </w:r>
      <w:r w:rsidR="00F511C8">
        <w:t xml:space="preserve"> or </w:t>
      </w:r>
      <w:r w:rsidR="00D30F64">
        <w:t>alternate diagnoses.</w:t>
      </w:r>
      <w:r w:rsidR="00B819D5" w:rsidRPr="00B819D5">
        <w:rPr>
          <w:vertAlign w:val="superscript"/>
        </w:rPr>
        <w:fldChar w:fldCharType="begin"/>
      </w:r>
      <w:r w:rsidR="00B819D5" w:rsidRPr="00B819D5">
        <w:rPr>
          <w:vertAlign w:val="superscript"/>
        </w:rPr>
        <w:instrText xml:space="preserve"> NOTEREF _Ref213925710 \h </w:instrText>
      </w:r>
      <w:r w:rsidR="00B819D5">
        <w:rPr>
          <w:vertAlign w:val="superscript"/>
        </w:rPr>
        <w:instrText xml:space="preserve"> \* MERGEFORMAT </w:instrText>
      </w:r>
      <w:r w:rsidR="00B819D5" w:rsidRPr="00B819D5">
        <w:rPr>
          <w:vertAlign w:val="superscript"/>
        </w:rPr>
      </w:r>
      <w:r w:rsidR="00B819D5" w:rsidRPr="00B819D5">
        <w:rPr>
          <w:vertAlign w:val="superscript"/>
        </w:rPr>
        <w:fldChar w:fldCharType="separate"/>
      </w:r>
      <w:r w:rsidR="00B819D5" w:rsidRPr="00B819D5">
        <w:rPr>
          <w:vertAlign w:val="superscript"/>
        </w:rPr>
        <w:t>1</w:t>
      </w:r>
      <w:r w:rsidR="00B819D5" w:rsidRPr="00B819D5">
        <w:rPr>
          <w:vertAlign w:val="superscript"/>
        </w:rPr>
        <w:fldChar w:fldCharType="end"/>
      </w:r>
      <w:r w:rsidR="00D30F64">
        <w:t xml:space="preserve"> </w:t>
      </w:r>
      <w:r w:rsidR="00B819D5">
        <w:t xml:space="preserve">See the step approach to maintenance treatment for this age group in Figure 2 below. </w:t>
      </w:r>
    </w:p>
    <w:p w14:paraId="6E24574E" w14:textId="3206BA06" w:rsidR="00DE4EDB" w:rsidRDefault="00DE4EDB" w:rsidP="00EE2BBB">
      <w:r w:rsidRPr="00DE4EDB">
        <w:rPr>
          <w:noProof/>
        </w:rPr>
        <w:drawing>
          <wp:inline distT="0" distB="0" distL="0" distR="0" wp14:anchorId="471B4103" wp14:editId="2871A775">
            <wp:extent cx="4984745" cy="2863850"/>
            <wp:effectExtent l="0" t="0" r="6985" b="0"/>
            <wp:docPr id="487853489" name="Picture 1" descr="A four step approach to maintenance treatment of school aged children with asth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853489" name="Picture 1" descr="A four step approach to maintenance treatment of school aged children with asthma."/>
                    <pic:cNvPicPr/>
                  </pic:nvPicPr>
                  <pic:blipFill>
                    <a:blip r:embed="rId9"/>
                    <a:stretch>
                      <a:fillRect/>
                    </a:stretch>
                  </pic:blipFill>
                  <pic:spPr>
                    <a:xfrm>
                      <a:off x="0" y="0"/>
                      <a:ext cx="4993688" cy="2868988"/>
                    </a:xfrm>
                    <a:prstGeom prst="rect">
                      <a:avLst/>
                    </a:prstGeom>
                  </pic:spPr>
                </pic:pic>
              </a:graphicData>
            </a:graphic>
          </wp:inline>
        </w:drawing>
      </w:r>
    </w:p>
    <w:p w14:paraId="2C3CFD44" w14:textId="62CD61E0" w:rsidR="00B819D5" w:rsidRDefault="00B819D5" w:rsidP="00EE2BBB">
      <w:pPr>
        <w:rPr>
          <w:b/>
          <w:bCs/>
          <w:vertAlign w:val="superscript"/>
        </w:rPr>
      </w:pPr>
      <w:r>
        <w:rPr>
          <w:b/>
          <w:bCs/>
        </w:rPr>
        <w:t xml:space="preserve">Figure 2: </w:t>
      </w:r>
      <w:r w:rsidR="00993A07">
        <w:rPr>
          <w:b/>
          <w:bCs/>
        </w:rPr>
        <w:t>S</w:t>
      </w:r>
      <w:r w:rsidR="00993A07" w:rsidRPr="00690EE2">
        <w:rPr>
          <w:b/>
          <w:bCs/>
        </w:rPr>
        <w:t>tep approach in maintenance treatment</w:t>
      </w:r>
      <w:r w:rsidR="00993A07">
        <w:rPr>
          <w:b/>
          <w:bCs/>
        </w:rPr>
        <w:t xml:space="preserve"> for school aged children with asthma</w:t>
      </w:r>
      <w:r w:rsidR="00993A07" w:rsidRPr="00F96A94">
        <w:rPr>
          <w:b/>
          <w:bCs/>
          <w:vertAlign w:val="superscript"/>
        </w:rPr>
        <w:fldChar w:fldCharType="begin"/>
      </w:r>
      <w:r w:rsidR="00993A07" w:rsidRPr="00F96A94">
        <w:rPr>
          <w:b/>
          <w:bCs/>
          <w:vertAlign w:val="superscript"/>
        </w:rPr>
        <w:instrText xml:space="preserve"> NOTEREF _Ref213925710 \h </w:instrText>
      </w:r>
      <w:r w:rsidR="00993A07">
        <w:rPr>
          <w:b/>
          <w:bCs/>
          <w:vertAlign w:val="superscript"/>
        </w:rPr>
        <w:instrText xml:space="preserve"> \* MERGEFORMAT </w:instrText>
      </w:r>
      <w:r w:rsidR="00993A07" w:rsidRPr="00F96A94">
        <w:rPr>
          <w:b/>
          <w:bCs/>
          <w:vertAlign w:val="superscript"/>
        </w:rPr>
      </w:r>
      <w:r w:rsidR="00993A07" w:rsidRPr="00F96A94">
        <w:rPr>
          <w:b/>
          <w:bCs/>
          <w:vertAlign w:val="superscript"/>
        </w:rPr>
        <w:fldChar w:fldCharType="separate"/>
      </w:r>
      <w:r w:rsidR="00993A07" w:rsidRPr="00F96A94">
        <w:rPr>
          <w:b/>
          <w:bCs/>
          <w:vertAlign w:val="superscript"/>
        </w:rPr>
        <w:t>1</w:t>
      </w:r>
      <w:r w:rsidR="00993A07" w:rsidRPr="00F96A94">
        <w:rPr>
          <w:b/>
          <w:bCs/>
          <w:vertAlign w:val="superscript"/>
        </w:rPr>
        <w:fldChar w:fldCharType="end"/>
      </w:r>
    </w:p>
    <w:p w14:paraId="0183A567" w14:textId="413DF87B" w:rsidR="007247B9" w:rsidRDefault="007247B9" w:rsidP="00CF5E22">
      <w:pPr>
        <w:pStyle w:val="Heading2"/>
      </w:pPr>
      <w:r>
        <w:t>Pharmacology</w:t>
      </w:r>
    </w:p>
    <w:p w14:paraId="3FD6787B" w14:textId="0944BAC6" w:rsidR="006C2E70" w:rsidRDefault="00934BDB" w:rsidP="00934BDB">
      <w:pPr>
        <w:pStyle w:val="Heading2"/>
        <w:rPr>
          <w:b w:val="0"/>
          <w:sz w:val="24"/>
        </w:rPr>
      </w:pPr>
      <w:r w:rsidRPr="00934BDB">
        <w:rPr>
          <w:b w:val="0"/>
          <w:sz w:val="24"/>
        </w:rPr>
        <w:t xml:space="preserve">Fluticasone propionate given by inhalation at recommended doses has </w:t>
      </w:r>
      <w:r w:rsidR="006C2E70">
        <w:rPr>
          <w:b w:val="0"/>
          <w:sz w:val="24"/>
        </w:rPr>
        <w:t>strong</w:t>
      </w:r>
      <w:r w:rsidRPr="00934BDB">
        <w:rPr>
          <w:b w:val="0"/>
          <w:sz w:val="24"/>
        </w:rPr>
        <w:t xml:space="preserve"> </w:t>
      </w:r>
      <w:r w:rsidR="00EA38E1">
        <w:rPr>
          <w:b w:val="0"/>
          <w:sz w:val="24"/>
        </w:rPr>
        <w:t xml:space="preserve">anti-inflammatory and </w:t>
      </w:r>
      <w:r w:rsidR="009257C4">
        <w:rPr>
          <w:b w:val="0"/>
          <w:sz w:val="24"/>
        </w:rPr>
        <w:t>immune suppressive</w:t>
      </w:r>
      <w:r w:rsidRPr="00934BDB">
        <w:rPr>
          <w:b w:val="0"/>
          <w:sz w:val="24"/>
        </w:rPr>
        <w:t xml:space="preserve"> activity in the airway. </w:t>
      </w:r>
      <w:r w:rsidR="007C684B">
        <w:rPr>
          <w:b w:val="0"/>
          <w:sz w:val="24"/>
        </w:rPr>
        <w:t>This</w:t>
      </w:r>
      <w:r w:rsidRPr="00934BDB">
        <w:rPr>
          <w:b w:val="0"/>
          <w:sz w:val="24"/>
        </w:rPr>
        <w:t xml:space="preserve"> improves the symptom</w:t>
      </w:r>
      <w:r w:rsidR="007C684B">
        <w:rPr>
          <w:b w:val="0"/>
          <w:sz w:val="24"/>
        </w:rPr>
        <w:t>s</w:t>
      </w:r>
      <w:r w:rsidRPr="00934BDB">
        <w:rPr>
          <w:b w:val="0"/>
          <w:sz w:val="24"/>
        </w:rPr>
        <w:t xml:space="preserve"> of asthma, allows reduction of other drugs, such as bronchodilators, and may limit the risk of decline in lung function over time. </w:t>
      </w:r>
      <w:r w:rsidR="000A7D6C">
        <w:rPr>
          <w:b w:val="0"/>
          <w:sz w:val="24"/>
        </w:rPr>
        <w:t xml:space="preserve">Inhaled fluticasone propionate </w:t>
      </w:r>
      <w:r w:rsidR="004A225C">
        <w:rPr>
          <w:b w:val="0"/>
          <w:sz w:val="24"/>
        </w:rPr>
        <w:t xml:space="preserve">targets the lungs and has little effect on the rest of the body making it </w:t>
      </w:r>
      <w:r w:rsidR="00353A84">
        <w:rPr>
          <w:b w:val="0"/>
          <w:sz w:val="24"/>
        </w:rPr>
        <w:t xml:space="preserve">more suitable for asthma than </w:t>
      </w:r>
      <w:r w:rsidR="00280A04">
        <w:rPr>
          <w:b w:val="0"/>
          <w:sz w:val="24"/>
        </w:rPr>
        <w:t xml:space="preserve">taking </w:t>
      </w:r>
      <w:r w:rsidR="00353A84">
        <w:rPr>
          <w:b w:val="0"/>
          <w:sz w:val="24"/>
        </w:rPr>
        <w:t>orally</w:t>
      </w:r>
      <w:r w:rsidRPr="00934BDB">
        <w:rPr>
          <w:b w:val="0"/>
          <w:sz w:val="24"/>
        </w:rPr>
        <w:t xml:space="preserve"> administered corticosteroids.</w:t>
      </w:r>
      <w:r w:rsidR="006B4AB3">
        <w:rPr>
          <w:rStyle w:val="FootnoteReference"/>
          <w:b w:val="0"/>
          <w:sz w:val="24"/>
        </w:rPr>
        <w:footnoteReference w:id="2"/>
      </w:r>
    </w:p>
    <w:p w14:paraId="6AC18C88" w14:textId="391AD8F5" w:rsidR="001420B3" w:rsidRPr="005E22C2" w:rsidRDefault="00A52918" w:rsidP="00934BDB">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7166DFE5" w14:textId="6CC3230E" w:rsidR="00816D1F" w:rsidRDefault="00816D1F" w:rsidP="00816D1F">
      <w:pPr>
        <w:pStyle w:val="Heading2"/>
        <w:rPr>
          <w:b w:val="0"/>
          <w:sz w:val="24"/>
        </w:rPr>
      </w:pPr>
      <w:r w:rsidRPr="00816D1F">
        <w:rPr>
          <w:b w:val="0"/>
          <w:sz w:val="24"/>
        </w:rPr>
        <w:t>For use in the prophylactic management of asthma in adults and children of ages 1 year and</w:t>
      </w:r>
      <w:r>
        <w:rPr>
          <w:b w:val="0"/>
          <w:sz w:val="24"/>
        </w:rPr>
        <w:t xml:space="preserve"> o</w:t>
      </w:r>
      <w:r w:rsidRPr="00816D1F">
        <w:rPr>
          <w:b w:val="0"/>
          <w:sz w:val="24"/>
        </w:rPr>
        <w:t>lder</w:t>
      </w:r>
      <w:r>
        <w:rPr>
          <w:b w:val="0"/>
          <w:sz w:val="24"/>
        </w:rPr>
        <w:t>.</w:t>
      </w:r>
    </w:p>
    <w:p w14:paraId="26768319" w14:textId="77777777" w:rsidR="000A1E3E" w:rsidRDefault="000A1E3E" w:rsidP="00816D1F">
      <w:pPr>
        <w:pStyle w:val="Heading2"/>
      </w:pPr>
    </w:p>
    <w:p w14:paraId="352EF494" w14:textId="77777777" w:rsidR="005C1035" w:rsidRDefault="005C1035">
      <w:pPr>
        <w:spacing w:line="276" w:lineRule="auto"/>
        <w:rPr>
          <w:b/>
          <w:sz w:val="28"/>
        </w:rPr>
      </w:pPr>
      <w:r>
        <w:br w:type="page"/>
      </w:r>
    </w:p>
    <w:p w14:paraId="15E919C1" w14:textId="2B31EBC7" w:rsidR="006B709B" w:rsidRDefault="006B709B" w:rsidP="00816D1F">
      <w:pPr>
        <w:pStyle w:val="Heading2"/>
      </w:pPr>
      <w:r>
        <w:lastRenderedPageBreak/>
        <w:t>Dosage and administration</w:t>
      </w:r>
    </w:p>
    <w:p w14:paraId="54F89BAE" w14:textId="77777777" w:rsidR="00B22AA9" w:rsidRPr="00B22AA9" w:rsidRDefault="00B22AA9" w:rsidP="00B22AA9">
      <w:pPr>
        <w:rPr>
          <w:i/>
          <w:iCs/>
        </w:rPr>
      </w:pPr>
      <w:r w:rsidRPr="00B22AA9">
        <w:rPr>
          <w:i/>
          <w:iCs/>
        </w:rPr>
        <w:t>Children 1 year and older</w:t>
      </w:r>
    </w:p>
    <w:p w14:paraId="60793D3F" w14:textId="15C7733F" w:rsidR="00B22AA9" w:rsidRDefault="00B22AA9" w:rsidP="00B22AA9">
      <w:r>
        <w:t>50 to 100 micrograms twice daily.</w:t>
      </w:r>
      <w:r w:rsidR="003D58DC" w:rsidRPr="003D58DC">
        <w:t xml:space="preserve"> </w:t>
      </w:r>
      <w:r w:rsidR="003D58DC">
        <w:t>Once asthma symptoms have been controlled, the dose of fluticasone propionate should be reduced to the lowest dose which maintains control of asthma symptoms.</w:t>
      </w:r>
    </w:p>
    <w:p w14:paraId="060426B5" w14:textId="77777777" w:rsidR="00B22AA9" w:rsidRDefault="00B22AA9" w:rsidP="00B22AA9">
      <w:r>
        <w:t>The diagnosis and treatment of asthma should be kept under regular review.</w:t>
      </w:r>
    </w:p>
    <w:p w14:paraId="07DE2733" w14:textId="5988F9FB" w:rsidR="00B22AA9" w:rsidRDefault="00B22AA9" w:rsidP="00B22AA9">
      <w:r>
        <w:t xml:space="preserve">In children under the age of eight, it is strongly recommended that a spacer device be used </w:t>
      </w:r>
      <w:r w:rsidR="004203AE">
        <w:t>t</w:t>
      </w:r>
      <w:r>
        <w:t xml:space="preserve">o administer </w:t>
      </w:r>
      <w:r w:rsidR="00E32844">
        <w:t>a</w:t>
      </w:r>
      <w:r>
        <w:t xml:space="preserve"> metered dose inhaler. </w:t>
      </w:r>
    </w:p>
    <w:p w14:paraId="6682A05C" w14:textId="3044688A" w:rsidR="00F17D4B" w:rsidRPr="002F61CA" w:rsidRDefault="00F17D4B" w:rsidP="00F17D4B">
      <w:r w:rsidRPr="002F61CA">
        <w:t xml:space="preserve">The current Product Information (PI) and Consumer Medicine Information (CMI) are available from </w:t>
      </w:r>
      <w:hyperlink r:id="rId10" w:history="1">
        <w:r>
          <w:rPr>
            <w:rStyle w:val="Hyperlink"/>
          </w:rPr>
          <w:t>the TGA (Product Information)</w:t>
        </w:r>
      </w:hyperlink>
      <w:r>
        <w:t xml:space="preserve"> and </w:t>
      </w:r>
      <w:hyperlink r:id="rId11" w:history="1">
        <w:r>
          <w:rPr>
            <w:rStyle w:val="Hyperlink"/>
          </w:rPr>
          <w:t>the TGA (Consumer Medicines Information)</w:t>
        </w:r>
      </w:hyperlink>
      <w:r>
        <w:t>.</w:t>
      </w:r>
    </w:p>
    <w:p w14:paraId="46E2BB42" w14:textId="27334825" w:rsidR="00DF0B13" w:rsidRPr="007247B9" w:rsidDel="00EE2BBB" w:rsidRDefault="00DF0B13" w:rsidP="00CF5E22">
      <w:pPr>
        <w:pStyle w:val="Heading2"/>
      </w:pPr>
      <w:r w:rsidRPr="007247B9" w:rsidDel="00EE2BBB">
        <w:t>PBS listing details</w:t>
      </w:r>
      <w:r w:rsidR="00D151EB" w:rsidDel="00EE2BBB">
        <w:t xml:space="preserve"> (</w:t>
      </w:r>
      <w:r w:rsidR="00D151EB" w:rsidRPr="005A6FDE" w:rsidDel="00EE2BBB">
        <w:t xml:space="preserve">as at </w:t>
      </w:r>
      <w:r w:rsidR="0021136B" w:rsidRPr="005A6FDE">
        <w:t>December 2025</w:t>
      </w:r>
      <w:r w:rsidR="00D151EB" w:rsidDel="00EE2BBB">
        <w:t>)</w:t>
      </w:r>
    </w:p>
    <w:p w14:paraId="1D47784A" w14:textId="702C9EF7" w:rsidR="001420B3" w:rsidRPr="001420B3" w:rsidDel="00EE2BBB" w:rsidRDefault="001420B3" w:rsidP="00CF5E22">
      <w:pPr>
        <w:pStyle w:val="Tabletitle"/>
      </w:pPr>
      <w:r w:rsidRPr="0044779D" w:rsidDel="00EE2BBB">
        <w:t xml:space="preserve">Table </w:t>
      </w:r>
      <w:r w:rsidR="0044779D" w:rsidRPr="0044779D">
        <w:t>1</w:t>
      </w:r>
      <w:r w:rsidRPr="0044779D" w:rsidDel="00EE2BBB">
        <w:t>:</w:t>
      </w:r>
      <w:r w:rsidRPr="001420B3" w:rsidDel="00EE2BBB">
        <w:t xml:space="preserve"> </w:t>
      </w:r>
      <w:r w:rsidR="009663B6" w:rsidDel="00EE2BBB">
        <w:t>PB</w:t>
      </w:r>
      <w:r w:rsidR="00D151EB" w:rsidDel="00EE2BBB">
        <w:t xml:space="preserve">S listing of </w:t>
      </w:r>
      <w:r w:rsidR="005E61C2">
        <w:t>f</w:t>
      </w:r>
      <w:r w:rsidR="005E61C2" w:rsidRPr="005E61C2">
        <w:t>luticasone propionate 50 microgram/actuation inhalation</w:t>
      </w:r>
    </w:p>
    <w:tbl>
      <w:tblPr>
        <w:tblStyle w:val="TableGrid"/>
        <w:tblW w:w="9064" w:type="dxa"/>
        <w:tblLayout w:type="fixed"/>
        <w:tblLook w:val="04A0" w:firstRow="1" w:lastRow="0" w:firstColumn="1" w:lastColumn="0" w:noHBand="0" w:noVBand="1"/>
      </w:tblPr>
      <w:tblGrid>
        <w:gridCol w:w="969"/>
        <w:gridCol w:w="2400"/>
        <w:gridCol w:w="1701"/>
        <w:gridCol w:w="850"/>
        <w:gridCol w:w="1040"/>
        <w:gridCol w:w="2104"/>
      </w:tblGrid>
      <w:tr w:rsidR="0093111F" w:rsidRPr="00A35800" w:rsidDel="00EE2BBB" w14:paraId="6AA19A37" w14:textId="77B518AD" w:rsidTr="0093111F">
        <w:trPr>
          <w:trHeight w:val="694"/>
          <w:tblHeader/>
        </w:trPr>
        <w:tc>
          <w:tcPr>
            <w:tcW w:w="969" w:type="dxa"/>
            <w:shd w:val="clear" w:color="auto" w:fill="BFBFBF" w:themeFill="background1" w:themeFillShade="BF"/>
          </w:tcPr>
          <w:p w14:paraId="56A3DEA0" w14:textId="1A878237" w:rsidR="0093111F" w:rsidRPr="00A35800" w:rsidDel="00EE2BBB" w:rsidRDefault="0093111F" w:rsidP="00A35800">
            <w:pPr>
              <w:pStyle w:val="Tableheading"/>
              <w:rPr>
                <w:sz w:val="20"/>
                <w:szCs w:val="20"/>
              </w:rPr>
            </w:pPr>
            <w:r w:rsidRPr="00A35800" w:rsidDel="00EE2BBB">
              <w:rPr>
                <w:sz w:val="20"/>
                <w:szCs w:val="20"/>
              </w:rPr>
              <w:t>Item</w:t>
            </w:r>
          </w:p>
        </w:tc>
        <w:tc>
          <w:tcPr>
            <w:tcW w:w="2400" w:type="dxa"/>
            <w:shd w:val="clear" w:color="auto" w:fill="BFBFBF" w:themeFill="background1" w:themeFillShade="BF"/>
          </w:tcPr>
          <w:p w14:paraId="67A07252" w14:textId="6DE43662" w:rsidR="0093111F" w:rsidRPr="00A35800" w:rsidDel="00EE2BBB" w:rsidRDefault="0093111F" w:rsidP="00A35800">
            <w:pPr>
              <w:pStyle w:val="Tableheading"/>
              <w:rPr>
                <w:sz w:val="20"/>
                <w:szCs w:val="20"/>
              </w:rPr>
            </w:pPr>
            <w:r w:rsidRPr="00A35800" w:rsidDel="00EE2BBB">
              <w:rPr>
                <w:sz w:val="20"/>
                <w:szCs w:val="20"/>
              </w:rPr>
              <w:t>Name, form &amp; strength, pack size</w:t>
            </w:r>
          </w:p>
        </w:tc>
        <w:tc>
          <w:tcPr>
            <w:tcW w:w="1701" w:type="dxa"/>
            <w:shd w:val="clear" w:color="auto" w:fill="BFBFBF" w:themeFill="background1" w:themeFillShade="BF"/>
          </w:tcPr>
          <w:p w14:paraId="114E9799" w14:textId="71E76A27" w:rsidR="0093111F" w:rsidRPr="00A35800" w:rsidDel="00EE2BBB" w:rsidRDefault="0093111F" w:rsidP="00A35800">
            <w:pPr>
              <w:pStyle w:val="Tableheading"/>
              <w:rPr>
                <w:sz w:val="20"/>
                <w:szCs w:val="20"/>
              </w:rPr>
            </w:pPr>
            <w:r w:rsidRPr="00A35800" w:rsidDel="00EE2BBB">
              <w:rPr>
                <w:sz w:val="20"/>
                <w:szCs w:val="20"/>
              </w:rPr>
              <w:t>Max</w:t>
            </w:r>
            <w:r w:rsidR="00A13C60" w:rsidRPr="00A35800" w:rsidDel="00EE2BBB">
              <w:rPr>
                <w:sz w:val="20"/>
                <w:szCs w:val="20"/>
              </w:rPr>
              <w:t xml:space="preserve">. </w:t>
            </w:r>
            <w:r w:rsidRPr="00A35800" w:rsidDel="00EE2BBB">
              <w:rPr>
                <w:sz w:val="20"/>
                <w:szCs w:val="20"/>
              </w:rPr>
              <w:t xml:space="preserve">quant. </w:t>
            </w:r>
          </w:p>
        </w:tc>
        <w:tc>
          <w:tcPr>
            <w:tcW w:w="850" w:type="dxa"/>
            <w:shd w:val="clear" w:color="auto" w:fill="BFBFBF" w:themeFill="background1" w:themeFillShade="BF"/>
          </w:tcPr>
          <w:p w14:paraId="0F1A79F7" w14:textId="170F6D44" w:rsidR="0093111F" w:rsidRPr="00A35800" w:rsidDel="00EE2BBB" w:rsidRDefault="0093111F" w:rsidP="00A35800">
            <w:pPr>
              <w:pStyle w:val="Tableheading"/>
              <w:rPr>
                <w:sz w:val="20"/>
                <w:szCs w:val="20"/>
              </w:rPr>
            </w:pPr>
            <w:proofErr w:type="spellStart"/>
            <w:r w:rsidRPr="00A35800" w:rsidDel="00EE2BBB">
              <w:rPr>
                <w:sz w:val="20"/>
                <w:szCs w:val="20"/>
              </w:rPr>
              <w:t>Rpts</w:t>
            </w:r>
            <w:proofErr w:type="spellEnd"/>
            <w:r w:rsidRPr="00A35800" w:rsidDel="00EE2BBB">
              <w:rPr>
                <w:sz w:val="20"/>
                <w:szCs w:val="20"/>
              </w:rPr>
              <w:t xml:space="preserve"> </w:t>
            </w:r>
          </w:p>
        </w:tc>
        <w:tc>
          <w:tcPr>
            <w:tcW w:w="1040" w:type="dxa"/>
            <w:shd w:val="clear" w:color="auto" w:fill="BFBFBF" w:themeFill="background1" w:themeFillShade="BF"/>
          </w:tcPr>
          <w:p w14:paraId="05C5A0BF" w14:textId="2CFF9AC9" w:rsidR="0093111F" w:rsidRPr="00A35800" w:rsidDel="00EE2BBB" w:rsidRDefault="0093111F" w:rsidP="00A35800">
            <w:pPr>
              <w:pStyle w:val="Tableheading"/>
              <w:rPr>
                <w:sz w:val="20"/>
                <w:szCs w:val="20"/>
              </w:rPr>
            </w:pPr>
            <w:r w:rsidRPr="00A35800" w:rsidDel="00EE2BBB">
              <w:rPr>
                <w:sz w:val="20"/>
                <w:szCs w:val="20"/>
              </w:rPr>
              <w:t>DPMQ</w:t>
            </w:r>
          </w:p>
        </w:tc>
        <w:tc>
          <w:tcPr>
            <w:tcW w:w="2104" w:type="dxa"/>
            <w:shd w:val="clear" w:color="auto" w:fill="BFBFBF" w:themeFill="background1" w:themeFillShade="BF"/>
          </w:tcPr>
          <w:p w14:paraId="09B472B7" w14:textId="479D46E2" w:rsidR="0093111F" w:rsidRPr="00A35800" w:rsidDel="00EE2BBB" w:rsidRDefault="0093111F" w:rsidP="00A35800">
            <w:pPr>
              <w:pStyle w:val="Tableheading"/>
              <w:rPr>
                <w:sz w:val="20"/>
                <w:szCs w:val="20"/>
              </w:rPr>
            </w:pPr>
            <w:r w:rsidRPr="00A35800" w:rsidDel="00EE2BBB">
              <w:rPr>
                <w:sz w:val="20"/>
                <w:szCs w:val="20"/>
              </w:rPr>
              <w:t>Brand name and manufacturer</w:t>
            </w:r>
          </w:p>
        </w:tc>
      </w:tr>
      <w:tr w:rsidR="00DF1CB5" w:rsidRPr="00A35800" w:rsidDel="00EE2BBB" w14:paraId="2AF9D84B" w14:textId="0D323411" w:rsidTr="0093111F">
        <w:trPr>
          <w:trHeight w:val="552"/>
          <w:tblHeader/>
        </w:trPr>
        <w:tc>
          <w:tcPr>
            <w:tcW w:w="969" w:type="dxa"/>
            <w:vMerge w:val="restart"/>
          </w:tcPr>
          <w:p w14:paraId="0A3E3442" w14:textId="01E57DAE" w:rsidR="00DF1CB5" w:rsidRPr="00A35800" w:rsidDel="00EE2BBB" w:rsidRDefault="00DF1CB5" w:rsidP="00A35800">
            <w:pPr>
              <w:pStyle w:val="Tablewriting"/>
            </w:pPr>
            <w:r>
              <w:t>14487L</w:t>
            </w:r>
          </w:p>
        </w:tc>
        <w:tc>
          <w:tcPr>
            <w:tcW w:w="2400" w:type="dxa"/>
            <w:vMerge w:val="restart"/>
          </w:tcPr>
          <w:p w14:paraId="0F676F51" w14:textId="7ECC40A2" w:rsidR="00DF1CB5" w:rsidRPr="00A35800" w:rsidDel="00EE2BBB" w:rsidRDefault="00DF1CB5" w:rsidP="00A35800">
            <w:pPr>
              <w:pStyle w:val="Tablewriting"/>
            </w:pPr>
            <w:r w:rsidRPr="001E439C">
              <w:t>fluticasone propionate 50 microgram/actuation inhalation, 120 actuations</w:t>
            </w:r>
          </w:p>
        </w:tc>
        <w:tc>
          <w:tcPr>
            <w:tcW w:w="1701" w:type="dxa"/>
            <w:vMerge w:val="restart"/>
          </w:tcPr>
          <w:p w14:paraId="0E2637C4" w14:textId="7CD89271" w:rsidR="00DF1CB5" w:rsidRPr="00A35800" w:rsidDel="00EE2BBB" w:rsidRDefault="00DF1CB5" w:rsidP="00A35800">
            <w:pPr>
              <w:pStyle w:val="Tablewriting"/>
            </w:pPr>
            <w:r>
              <w:t>2</w:t>
            </w:r>
          </w:p>
        </w:tc>
        <w:tc>
          <w:tcPr>
            <w:tcW w:w="850" w:type="dxa"/>
            <w:vMerge w:val="restart"/>
          </w:tcPr>
          <w:p w14:paraId="6B361CAA" w14:textId="5E4DDAE9" w:rsidR="00DF1CB5" w:rsidRPr="00A35800" w:rsidDel="00EE2BBB" w:rsidRDefault="00DF1CB5" w:rsidP="00A35800">
            <w:pPr>
              <w:pStyle w:val="Tablewriting"/>
            </w:pPr>
            <w:r>
              <w:t>5</w:t>
            </w:r>
          </w:p>
        </w:tc>
        <w:tc>
          <w:tcPr>
            <w:tcW w:w="1040" w:type="dxa"/>
          </w:tcPr>
          <w:p w14:paraId="15F68405" w14:textId="36196D93" w:rsidR="00DF1CB5" w:rsidRPr="00A35800" w:rsidDel="00EE2BBB" w:rsidRDefault="00DF1CB5" w:rsidP="00A35800">
            <w:pPr>
              <w:pStyle w:val="Tablewriting"/>
            </w:pPr>
            <w:r>
              <w:t>$28.62</w:t>
            </w:r>
          </w:p>
        </w:tc>
        <w:tc>
          <w:tcPr>
            <w:tcW w:w="2104" w:type="dxa"/>
          </w:tcPr>
          <w:p w14:paraId="0A58E191" w14:textId="77777777" w:rsidR="00DF1CB5" w:rsidRDefault="00DF1CB5" w:rsidP="00A35800">
            <w:pPr>
              <w:pStyle w:val="Tablewriting"/>
            </w:pPr>
            <w:proofErr w:type="spellStart"/>
            <w:r>
              <w:t>Axotide</w:t>
            </w:r>
            <w:proofErr w:type="spellEnd"/>
            <w:r>
              <w:t xml:space="preserve"> Junior</w:t>
            </w:r>
          </w:p>
          <w:p w14:paraId="2D337AC6" w14:textId="37F929A8" w:rsidR="00DF1CB5" w:rsidRPr="00A35800" w:rsidDel="00EE2BBB" w:rsidRDefault="00DF1CB5" w:rsidP="00A35800">
            <w:pPr>
              <w:pStyle w:val="Tablewriting"/>
            </w:pPr>
            <w:proofErr w:type="spellStart"/>
            <w:r>
              <w:t>Apotex</w:t>
            </w:r>
            <w:proofErr w:type="spellEnd"/>
            <w:r>
              <w:t xml:space="preserve"> Pty Ltd</w:t>
            </w:r>
          </w:p>
        </w:tc>
      </w:tr>
      <w:tr w:rsidR="00DF1CB5" w:rsidRPr="00A35800" w:rsidDel="00EE2BBB" w14:paraId="5A26F6DA" w14:textId="5F9D4936" w:rsidTr="0093111F">
        <w:trPr>
          <w:trHeight w:val="546"/>
          <w:tblHeader/>
        </w:trPr>
        <w:tc>
          <w:tcPr>
            <w:tcW w:w="969" w:type="dxa"/>
            <w:vMerge/>
          </w:tcPr>
          <w:p w14:paraId="76F26606" w14:textId="5A0419D6" w:rsidR="00DF1CB5" w:rsidRPr="00A35800" w:rsidDel="00EE2BBB" w:rsidRDefault="00DF1CB5" w:rsidP="00A35800">
            <w:pPr>
              <w:pStyle w:val="Tablewriting"/>
            </w:pPr>
          </w:p>
        </w:tc>
        <w:tc>
          <w:tcPr>
            <w:tcW w:w="2400" w:type="dxa"/>
            <w:vMerge/>
          </w:tcPr>
          <w:p w14:paraId="4C40F7E7" w14:textId="6A600047" w:rsidR="00DF1CB5" w:rsidRPr="00A35800" w:rsidDel="00EE2BBB" w:rsidRDefault="00DF1CB5" w:rsidP="00A35800">
            <w:pPr>
              <w:pStyle w:val="Tablewriting"/>
            </w:pPr>
          </w:p>
        </w:tc>
        <w:tc>
          <w:tcPr>
            <w:tcW w:w="1701" w:type="dxa"/>
            <w:vMerge/>
          </w:tcPr>
          <w:p w14:paraId="73733F58" w14:textId="7FF7A651" w:rsidR="00DF1CB5" w:rsidRPr="00A35800" w:rsidDel="00EE2BBB" w:rsidRDefault="00DF1CB5" w:rsidP="00A35800">
            <w:pPr>
              <w:pStyle w:val="Tablewriting"/>
            </w:pPr>
          </w:p>
        </w:tc>
        <w:tc>
          <w:tcPr>
            <w:tcW w:w="850" w:type="dxa"/>
            <w:vMerge/>
          </w:tcPr>
          <w:p w14:paraId="2751F86C" w14:textId="5AB45B4C" w:rsidR="00DF1CB5" w:rsidRPr="00A35800" w:rsidDel="00EE2BBB" w:rsidRDefault="00DF1CB5" w:rsidP="00A35800">
            <w:pPr>
              <w:pStyle w:val="Tablewriting"/>
            </w:pPr>
          </w:p>
        </w:tc>
        <w:tc>
          <w:tcPr>
            <w:tcW w:w="1040" w:type="dxa"/>
          </w:tcPr>
          <w:p w14:paraId="0EB41EFB" w14:textId="47050A2F" w:rsidR="00DF1CB5" w:rsidRPr="00A35800" w:rsidDel="00EE2BBB" w:rsidRDefault="00DF1CB5" w:rsidP="00A35800">
            <w:pPr>
              <w:pStyle w:val="Tablewriting"/>
            </w:pPr>
            <w:r>
              <w:t>$36.62</w:t>
            </w:r>
          </w:p>
        </w:tc>
        <w:tc>
          <w:tcPr>
            <w:tcW w:w="2104" w:type="dxa"/>
          </w:tcPr>
          <w:p w14:paraId="16842152" w14:textId="77777777" w:rsidR="00DF1CB5" w:rsidRDefault="00DF1CB5" w:rsidP="00A35800">
            <w:pPr>
              <w:pStyle w:val="Tablewriting"/>
            </w:pPr>
            <w:r>
              <w:t>Flixotide Junior</w:t>
            </w:r>
          </w:p>
          <w:p w14:paraId="2F152B32" w14:textId="4807EB26" w:rsidR="00DF1CB5" w:rsidRPr="00A35800" w:rsidDel="00EE2BBB" w:rsidRDefault="00DF1CB5" w:rsidP="00A35800">
            <w:pPr>
              <w:pStyle w:val="Tablewriting"/>
            </w:pPr>
            <w:r>
              <w:t>GlaxoSmithKline Australia Pty Ltd</w:t>
            </w:r>
          </w:p>
        </w:tc>
      </w:tr>
      <w:tr w:rsidR="00DF1CB5" w:rsidRPr="00A35800" w:rsidDel="00EE2BBB" w14:paraId="56F2FDD4" w14:textId="77777777" w:rsidTr="0093111F">
        <w:trPr>
          <w:trHeight w:val="546"/>
          <w:tblHeader/>
        </w:trPr>
        <w:tc>
          <w:tcPr>
            <w:tcW w:w="969" w:type="dxa"/>
            <w:vMerge w:val="restart"/>
          </w:tcPr>
          <w:p w14:paraId="7517E50F" w14:textId="7F041C13" w:rsidR="00DF1CB5" w:rsidRPr="00A35800" w:rsidDel="00EE2BBB" w:rsidRDefault="00DF1CB5" w:rsidP="00A35800">
            <w:pPr>
              <w:pStyle w:val="Tablewriting"/>
            </w:pPr>
            <w:r>
              <w:t>8516F</w:t>
            </w:r>
          </w:p>
        </w:tc>
        <w:tc>
          <w:tcPr>
            <w:tcW w:w="2400" w:type="dxa"/>
            <w:vMerge/>
          </w:tcPr>
          <w:p w14:paraId="30BB7513" w14:textId="77777777" w:rsidR="00DF1CB5" w:rsidRPr="00A35800" w:rsidDel="00EE2BBB" w:rsidRDefault="00DF1CB5" w:rsidP="00A35800">
            <w:pPr>
              <w:pStyle w:val="Tablewriting"/>
            </w:pPr>
          </w:p>
        </w:tc>
        <w:tc>
          <w:tcPr>
            <w:tcW w:w="1701" w:type="dxa"/>
            <w:vMerge w:val="restart"/>
          </w:tcPr>
          <w:p w14:paraId="228720DD" w14:textId="606EAEA9" w:rsidR="00DF1CB5" w:rsidRPr="00A35800" w:rsidDel="00EE2BBB" w:rsidRDefault="00DF1CB5" w:rsidP="00A35800">
            <w:pPr>
              <w:pStyle w:val="Tablewriting"/>
            </w:pPr>
            <w:r>
              <w:t>1</w:t>
            </w:r>
          </w:p>
        </w:tc>
        <w:tc>
          <w:tcPr>
            <w:tcW w:w="850" w:type="dxa"/>
            <w:vMerge w:val="restart"/>
          </w:tcPr>
          <w:p w14:paraId="35047249" w14:textId="112F61D0" w:rsidR="00DF1CB5" w:rsidRPr="00A35800" w:rsidDel="00EE2BBB" w:rsidRDefault="00DF1CB5" w:rsidP="00A35800">
            <w:pPr>
              <w:pStyle w:val="Tablewriting"/>
            </w:pPr>
            <w:r>
              <w:t>5</w:t>
            </w:r>
          </w:p>
        </w:tc>
        <w:tc>
          <w:tcPr>
            <w:tcW w:w="1040" w:type="dxa"/>
          </w:tcPr>
          <w:p w14:paraId="06A1369C" w14:textId="546C7B79" w:rsidR="00DF1CB5" w:rsidRDefault="00DF1CB5" w:rsidP="00A35800">
            <w:pPr>
              <w:pStyle w:val="Tablewriting"/>
            </w:pPr>
            <w:r>
              <w:t>$21.20</w:t>
            </w:r>
          </w:p>
        </w:tc>
        <w:tc>
          <w:tcPr>
            <w:tcW w:w="2104" w:type="dxa"/>
          </w:tcPr>
          <w:p w14:paraId="4D92C37C" w14:textId="77777777" w:rsidR="00DF1CB5" w:rsidRDefault="00DF1CB5" w:rsidP="00DF1CB5">
            <w:pPr>
              <w:pStyle w:val="Tablewriting"/>
            </w:pPr>
            <w:proofErr w:type="spellStart"/>
            <w:r>
              <w:t>Axotide</w:t>
            </w:r>
            <w:proofErr w:type="spellEnd"/>
            <w:r>
              <w:t xml:space="preserve"> Junior</w:t>
            </w:r>
          </w:p>
          <w:p w14:paraId="71B8BB36" w14:textId="12623E2C" w:rsidR="00DF1CB5" w:rsidRDefault="00DF1CB5" w:rsidP="00DF1CB5">
            <w:pPr>
              <w:pStyle w:val="Tablewriting"/>
            </w:pPr>
            <w:proofErr w:type="spellStart"/>
            <w:r>
              <w:t>Apotex</w:t>
            </w:r>
            <w:proofErr w:type="spellEnd"/>
            <w:r>
              <w:t xml:space="preserve"> Pty Ltd</w:t>
            </w:r>
          </w:p>
        </w:tc>
      </w:tr>
      <w:tr w:rsidR="00DF1CB5" w:rsidRPr="00A35800" w:rsidDel="00EE2BBB" w14:paraId="031762CD" w14:textId="77777777" w:rsidTr="0093111F">
        <w:trPr>
          <w:trHeight w:val="546"/>
          <w:tblHeader/>
        </w:trPr>
        <w:tc>
          <w:tcPr>
            <w:tcW w:w="969" w:type="dxa"/>
            <w:vMerge/>
          </w:tcPr>
          <w:p w14:paraId="0A48FFCB" w14:textId="77777777" w:rsidR="00DF1CB5" w:rsidRDefault="00DF1CB5" w:rsidP="00A35800">
            <w:pPr>
              <w:pStyle w:val="Tablewriting"/>
            </w:pPr>
          </w:p>
        </w:tc>
        <w:tc>
          <w:tcPr>
            <w:tcW w:w="2400" w:type="dxa"/>
            <w:vMerge/>
          </w:tcPr>
          <w:p w14:paraId="2D89BF00" w14:textId="77777777" w:rsidR="00DF1CB5" w:rsidRPr="00A35800" w:rsidDel="00EE2BBB" w:rsidRDefault="00DF1CB5" w:rsidP="00A35800">
            <w:pPr>
              <w:pStyle w:val="Tablewriting"/>
            </w:pPr>
          </w:p>
        </w:tc>
        <w:tc>
          <w:tcPr>
            <w:tcW w:w="1701" w:type="dxa"/>
            <w:vMerge/>
          </w:tcPr>
          <w:p w14:paraId="18713BF1" w14:textId="77777777" w:rsidR="00DF1CB5" w:rsidRDefault="00DF1CB5" w:rsidP="00A35800">
            <w:pPr>
              <w:pStyle w:val="Tablewriting"/>
            </w:pPr>
          </w:p>
        </w:tc>
        <w:tc>
          <w:tcPr>
            <w:tcW w:w="850" w:type="dxa"/>
            <w:vMerge/>
          </w:tcPr>
          <w:p w14:paraId="4B155754" w14:textId="77777777" w:rsidR="00DF1CB5" w:rsidRDefault="00DF1CB5" w:rsidP="00A35800">
            <w:pPr>
              <w:pStyle w:val="Tablewriting"/>
            </w:pPr>
          </w:p>
        </w:tc>
        <w:tc>
          <w:tcPr>
            <w:tcW w:w="1040" w:type="dxa"/>
          </w:tcPr>
          <w:p w14:paraId="0CC415FF" w14:textId="52A1350D" w:rsidR="00DF1CB5" w:rsidRDefault="00DF1CB5" w:rsidP="00A35800">
            <w:pPr>
              <w:pStyle w:val="Tablewriting"/>
            </w:pPr>
            <w:r>
              <w:t>$25.20</w:t>
            </w:r>
          </w:p>
        </w:tc>
        <w:tc>
          <w:tcPr>
            <w:tcW w:w="2104" w:type="dxa"/>
          </w:tcPr>
          <w:p w14:paraId="2EC19EFD" w14:textId="77777777" w:rsidR="00DF1CB5" w:rsidRDefault="00DF1CB5" w:rsidP="00DF1CB5">
            <w:pPr>
              <w:pStyle w:val="Tablewriting"/>
            </w:pPr>
            <w:r>
              <w:t>Flixotide Junior</w:t>
            </w:r>
          </w:p>
          <w:p w14:paraId="598CA15D" w14:textId="54FD2C5F" w:rsidR="00DF1CB5" w:rsidRDefault="00DF1CB5" w:rsidP="00DF1CB5">
            <w:pPr>
              <w:pStyle w:val="Tablewriting"/>
            </w:pPr>
            <w:r>
              <w:t>GlaxoSmithKline Australia Pty Ltd</w:t>
            </w:r>
          </w:p>
        </w:tc>
      </w:tr>
    </w:tbl>
    <w:p w14:paraId="1183F151" w14:textId="368BC323" w:rsidR="007247B9" w:rsidRPr="00A35800" w:rsidDel="00EE2BBB" w:rsidRDefault="007408C7" w:rsidP="00BB1D3B">
      <w:pPr>
        <w:pStyle w:val="Notes"/>
      </w:pPr>
      <w:r w:rsidRPr="00A35800" w:rsidDel="00EE2BBB">
        <w:t xml:space="preserve">Source: </w:t>
      </w:r>
      <w:r w:rsidR="001624D7" w:rsidDel="00EE2BBB">
        <w:t xml:space="preserve">the </w:t>
      </w:r>
      <w:hyperlink r:id="rId12" w:history="1">
        <w:r w:rsidR="001624D7" w:rsidRPr="001624D7" w:rsidDel="00EE2BBB">
          <w:rPr>
            <w:rStyle w:val="Hyperlink"/>
          </w:rPr>
          <w:t>PBS website</w:t>
        </w:r>
      </w:hyperlink>
      <w:r w:rsidR="001624D7" w:rsidDel="00EE2BBB">
        <w:t>.</w:t>
      </w:r>
      <w:r w:rsidR="0080485E" w:rsidDel="00EE2BBB">
        <w:t xml:space="preserve">  </w:t>
      </w:r>
    </w:p>
    <w:p w14:paraId="1AFA1485" w14:textId="3186A599" w:rsidR="004C3186" w:rsidDel="00EE2BBB" w:rsidRDefault="004C3186" w:rsidP="00CF5E22">
      <w:pPr>
        <w:pStyle w:val="Heading3"/>
      </w:pPr>
      <w:r w:rsidDel="00EE2BBB">
        <w:t>Restriction</w:t>
      </w:r>
    </w:p>
    <w:p w14:paraId="6E0CA46A" w14:textId="02B5BDE8" w:rsidR="00557487" w:rsidRPr="003174F7" w:rsidRDefault="006A1CAB" w:rsidP="00A35800">
      <w:r w:rsidRPr="003174F7">
        <w:t>The two item numbers have</w:t>
      </w:r>
      <w:r w:rsidR="00557487" w:rsidRPr="003174F7">
        <w:t xml:space="preserve"> the same restriction for asthma:</w:t>
      </w:r>
    </w:p>
    <w:p w14:paraId="7375FDA1" w14:textId="7BCC965F" w:rsidR="00557487" w:rsidRPr="003174F7" w:rsidRDefault="00557487" w:rsidP="00A35800">
      <w:pPr>
        <w:rPr>
          <w:b/>
          <w:bCs/>
        </w:rPr>
      </w:pPr>
      <w:r w:rsidRPr="003174F7">
        <w:rPr>
          <w:b/>
          <w:bCs/>
        </w:rPr>
        <w:t>Clinical criteria:</w:t>
      </w:r>
    </w:p>
    <w:p w14:paraId="28E45E54" w14:textId="18587D2B" w:rsidR="00557487" w:rsidRPr="003174F7" w:rsidRDefault="00160A85" w:rsidP="00160A85">
      <w:pPr>
        <w:pStyle w:val="ListParagraph"/>
        <w:numPr>
          <w:ilvl w:val="0"/>
          <w:numId w:val="5"/>
        </w:numPr>
      </w:pPr>
      <w:r w:rsidRPr="003174F7">
        <w:t xml:space="preserve">The treatment must not be a PBS benefit where this 50 microgram strength is being initiated in a patient over the age of 6.00 years. </w:t>
      </w:r>
    </w:p>
    <w:p w14:paraId="7F12120F" w14:textId="6A667B72" w:rsidR="00160A85" w:rsidRPr="003174F7" w:rsidRDefault="0078775F" w:rsidP="00160A85">
      <w:r>
        <w:t>However, i</w:t>
      </w:r>
      <w:r w:rsidR="008461C0" w:rsidRPr="003174F7">
        <w:t xml:space="preserve">tem number 14487L includes the </w:t>
      </w:r>
      <w:r w:rsidR="003174F7" w:rsidRPr="003174F7">
        <w:t xml:space="preserve">following </w:t>
      </w:r>
      <w:r w:rsidR="008461C0" w:rsidRPr="003174F7">
        <w:t xml:space="preserve">additional clinical criterion: </w:t>
      </w:r>
    </w:p>
    <w:p w14:paraId="18EE1EBB" w14:textId="1733CCCC" w:rsidR="003174F7" w:rsidRPr="003174F7" w:rsidDel="00EE2BBB" w:rsidRDefault="003174F7" w:rsidP="003174F7">
      <w:pPr>
        <w:pStyle w:val="ListParagraph"/>
        <w:numPr>
          <w:ilvl w:val="0"/>
          <w:numId w:val="5"/>
        </w:numPr>
      </w:pPr>
      <w:r w:rsidRPr="003174F7">
        <w:t>AND the condition must be stable for the prescriber to consider the listed maximum quantity of this medicine suitable for this patient.</w:t>
      </w:r>
    </w:p>
    <w:p w14:paraId="22433632" w14:textId="163222AC" w:rsidR="006775F1" w:rsidRPr="006775F1" w:rsidDel="00EE2BBB" w:rsidRDefault="006775F1" w:rsidP="00A35800">
      <w:r w:rsidRPr="006775F1" w:rsidDel="00EE2BBB">
        <w:lastRenderedPageBreak/>
        <w:t xml:space="preserve">For </w:t>
      </w:r>
      <w:r w:rsidR="00835337" w:rsidDel="00EE2BBB">
        <w:t xml:space="preserve">details of the current PBS listing refer to the </w:t>
      </w:r>
      <w:hyperlink r:id="rId13" w:history="1">
        <w:r w:rsidR="00835337" w:rsidRPr="00645D51" w:rsidDel="00EE2BBB">
          <w:rPr>
            <w:rStyle w:val="Hyperlink"/>
          </w:rPr>
          <w:t>PBS website</w:t>
        </w:r>
      </w:hyperlink>
      <w:r w:rsidR="00835337" w:rsidDel="00EE2BBB">
        <w:rPr>
          <w:rStyle w:val="Hyperlink"/>
        </w:rPr>
        <w:t>.</w:t>
      </w:r>
    </w:p>
    <w:p w14:paraId="509ADFEB" w14:textId="201634E9" w:rsidR="009C35F2" w:rsidRDefault="009C35F2" w:rsidP="00CF5E22">
      <w:pPr>
        <w:pStyle w:val="Heading3"/>
      </w:pPr>
      <w:r w:rsidRPr="00675BB1" w:rsidDel="00EE2BBB">
        <w:t>Date of listing on PBS</w:t>
      </w:r>
    </w:p>
    <w:p w14:paraId="75EA4990" w14:textId="36B11B72" w:rsidR="00260929" w:rsidRDefault="00EA01FD" w:rsidP="00F52C14">
      <w:r>
        <w:t xml:space="preserve">Fluticasone propionate 50 mcg was first listed on the PBS </w:t>
      </w:r>
      <w:r w:rsidR="00D258E2">
        <w:t>on 1 May 2001</w:t>
      </w:r>
      <w:r w:rsidR="00E159FF">
        <w:t xml:space="preserve"> under item code 8516F</w:t>
      </w:r>
      <w:r w:rsidR="00260929">
        <w:t xml:space="preserve"> as an Unrestricted </w:t>
      </w:r>
      <w:r w:rsidR="00512490">
        <w:t>B</w:t>
      </w:r>
      <w:r w:rsidR="00260929">
        <w:t>enefit</w:t>
      </w:r>
      <w:r w:rsidR="00D258E2">
        <w:t>.</w:t>
      </w:r>
      <w:r w:rsidR="00E159FF">
        <w:t xml:space="preserve"> </w:t>
      </w:r>
    </w:p>
    <w:p w14:paraId="379A168E" w14:textId="1E2F82B4" w:rsidR="00AB199C" w:rsidRDefault="00531B5C" w:rsidP="00F52C14">
      <w:r w:rsidRPr="00531B5C">
        <w:t>Item 14487L</w:t>
      </w:r>
      <w:r>
        <w:t xml:space="preserve"> was listed </w:t>
      </w:r>
      <w:r w:rsidR="00BC3978">
        <w:t xml:space="preserve">on the PBS on </w:t>
      </w:r>
      <w:r>
        <w:t>1 September 2024</w:t>
      </w:r>
      <w:r w:rsidR="00260929">
        <w:t xml:space="preserve"> </w:t>
      </w:r>
      <w:r w:rsidR="00BC3978">
        <w:t>as a Restricted Benefit</w:t>
      </w:r>
      <w:r w:rsidR="002B6DA4">
        <w:t xml:space="preserve"> with the restriction wording:</w:t>
      </w:r>
    </w:p>
    <w:p w14:paraId="19A9C038" w14:textId="0AD0FE9E" w:rsidR="002B6DA4" w:rsidRPr="00AB199C" w:rsidDel="00EE2BBB" w:rsidRDefault="002B6DA4" w:rsidP="002B6DA4">
      <w:pPr>
        <w:pStyle w:val="ListParagraph"/>
        <w:numPr>
          <w:ilvl w:val="0"/>
          <w:numId w:val="5"/>
        </w:numPr>
      </w:pPr>
      <w:r w:rsidRPr="002B6DA4">
        <w:t>The condition must be stable for the prescriber to consider the listed maximum quantity of this medicine suitable for this patient.</w:t>
      </w:r>
    </w:p>
    <w:p w14:paraId="39EF75ED" w14:textId="73256AB5" w:rsidR="00675BB1" w:rsidRDefault="00675BB1" w:rsidP="00CF5E22">
      <w:pPr>
        <w:pStyle w:val="Heading3"/>
      </w:pPr>
      <w:r w:rsidRPr="00675BB1" w:rsidDel="00EE2BBB">
        <w:t>Changes to listing</w:t>
      </w:r>
    </w:p>
    <w:p w14:paraId="4AC27511" w14:textId="4AFDCFB7" w:rsidR="0061245E" w:rsidRPr="0061245E" w:rsidDel="00EE2BBB" w:rsidRDefault="0061245E" w:rsidP="00D938B7">
      <w:pPr>
        <w:spacing w:after="0"/>
        <w:rPr>
          <w:b/>
          <w:bCs/>
        </w:rPr>
      </w:pPr>
      <w:r w:rsidRPr="0044779D" w:rsidDel="00EE2BBB">
        <w:rPr>
          <w:b/>
          <w:bCs/>
        </w:rPr>
        <w:t xml:space="preserve">Table </w:t>
      </w:r>
      <w:r w:rsidR="0044779D" w:rsidRPr="0044779D">
        <w:rPr>
          <w:b/>
          <w:bCs/>
        </w:rPr>
        <w:t>2</w:t>
      </w:r>
      <w:r w:rsidRPr="0044779D" w:rsidDel="00EE2BBB">
        <w:rPr>
          <w:b/>
          <w:bCs/>
        </w:rPr>
        <w:t xml:space="preserve">: </w:t>
      </w:r>
      <w:r w:rsidRPr="0044779D">
        <w:rPr>
          <w:b/>
          <w:bCs/>
        </w:rPr>
        <w:t>Changes</w:t>
      </w:r>
      <w:r>
        <w:rPr>
          <w:b/>
          <w:bCs/>
        </w:rPr>
        <w:t xml:space="preserve"> to </w:t>
      </w:r>
      <w:r w:rsidR="00C55E08">
        <w:rPr>
          <w:b/>
          <w:bCs/>
        </w:rPr>
        <w:t xml:space="preserve">PBS </w:t>
      </w:r>
      <w:r>
        <w:rPr>
          <w:b/>
          <w:bCs/>
        </w:rPr>
        <w:t>listing</w:t>
      </w:r>
      <w:r w:rsidR="00C55E08">
        <w:rPr>
          <w:b/>
          <w:bCs/>
        </w:rPr>
        <w:t xml:space="preserve"> arrangements for fluticasone propionate 50 mcg</w:t>
      </w:r>
    </w:p>
    <w:tbl>
      <w:tblPr>
        <w:tblStyle w:val="TableGrid"/>
        <w:tblW w:w="0" w:type="auto"/>
        <w:tblLook w:val="04A0" w:firstRow="1" w:lastRow="0" w:firstColumn="1" w:lastColumn="0" w:noHBand="0" w:noVBand="1"/>
      </w:tblPr>
      <w:tblGrid>
        <w:gridCol w:w="1226"/>
        <w:gridCol w:w="1808"/>
        <w:gridCol w:w="5913"/>
      </w:tblGrid>
      <w:tr w:rsidR="005D0491" w14:paraId="4B1C79DD" w14:textId="77777777" w:rsidTr="00D938B7">
        <w:tc>
          <w:tcPr>
            <w:tcW w:w="1242" w:type="dxa"/>
            <w:shd w:val="clear" w:color="auto" w:fill="BFBFBF" w:themeFill="background1" w:themeFillShade="BF"/>
          </w:tcPr>
          <w:p w14:paraId="4C2F60A6" w14:textId="2BDE39AE" w:rsidR="005D0491" w:rsidRPr="00C55E08" w:rsidRDefault="005D0491" w:rsidP="00C55E08">
            <w:pPr>
              <w:pStyle w:val="Tableheading"/>
              <w:rPr>
                <w:sz w:val="20"/>
                <w:szCs w:val="20"/>
              </w:rPr>
            </w:pPr>
            <w:r w:rsidRPr="00C55E08">
              <w:rPr>
                <w:sz w:val="20"/>
                <w:szCs w:val="20"/>
              </w:rPr>
              <w:t>Item code</w:t>
            </w:r>
          </w:p>
        </w:tc>
        <w:tc>
          <w:tcPr>
            <w:tcW w:w="1843" w:type="dxa"/>
            <w:shd w:val="clear" w:color="auto" w:fill="BFBFBF" w:themeFill="background1" w:themeFillShade="BF"/>
          </w:tcPr>
          <w:p w14:paraId="509B9C3E" w14:textId="6D525DAA" w:rsidR="005D0491" w:rsidRPr="00C55E08" w:rsidRDefault="005D0491" w:rsidP="00C55E08">
            <w:pPr>
              <w:pStyle w:val="Tableheading"/>
              <w:rPr>
                <w:sz w:val="20"/>
                <w:szCs w:val="20"/>
              </w:rPr>
            </w:pPr>
            <w:r w:rsidRPr="00C55E08">
              <w:rPr>
                <w:sz w:val="20"/>
                <w:szCs w:val="20"/>
              </w:rPr>
              <w:t>Date of change</w:t>
            </w:r>
          </w:p>
        </w:tc>
        <w:tc>
          <w:tcPr>
            <w:tcW w:w="6088" w:type="dxa"/>
            <w:shd w:val="clear" w:color="auto" w:fill="BFBFBF" w:themeFill="background1" w:themeFillShade="BF"/>
          </w:tcPr>
          <w:p w14:paraId="7CC5CB7D" w14:textId="58060082" w:rsidR="005D0491" w:rsidRPr="00C55E08" w:rsidRDefault="005D0491" w:rsidP="00C55E08">
            <w:pPr>
              <w:pStyle w:val="Tableheading"/>
              <w:rPr>
                <w:sz w:val="20"/>
                <w:szCs w:val="20"/>
              </w:rPr>
            </w:pPr>
            <w:r w:rsidRPr="00C55E08">
              <w:rPr>
                <w:sz w:val="20"/>
                <w:szCs w:val="20"/>
              </w:rPr>
              <w:t>Description of change</w:t>
            </w:r>
          </w:p>
        </w:tc>
      </w:tr>
      <w:tr w:rsidR="007671E1" w14:paraId="030D7A64" w14:textId="77777777" w:rsidTr="005D0491">
        <w:tc>
          <w:tcPr>
            <w:tcW w:w="1242" w:type="dxa"/>
            <w:vMerge w:val="restart"/>
          </w:tcPr>
          <w:p w14:paraId="1E7BEC14" w14:textId="78D676D9" w:rsidR="007671E1" w:rsidRPr="00C55E08" w:rsidRDefault="007671E1" w:rsidP="00C55E08">
            <w:pPr>
              <w:pStyle w:val="Tablewriting"/>
            </w:pPr>
            <w:r w:rsidRPr="005D0491">
              <w:t>8516F</w:t>
            </w:r>
          </w:p>
        </w:tc>
        <w:tc>
          <w:tcPr>
            <w:tcW w:w="1843" w:type="dxa"/>
          </w:tcPr>
          <w:p w14:paraId="131C781C" w14:textId="62C8E848" w:rsidR="007671E1" w:rsidRDefault="007671E1" w:rsidP="00C55E08">
            <w:pPr>
              <w:pStyle w:val="Tablewriting"/>
            </w:pPr>
            <w:r>
              <w:t>1 April 2023</w:t>
            </w:r>
          </w:p>
        </w:tc>
        <w:tc>
          <w:tcPr>
            <w:tcW w:w="6088" w:type="dxa"/>
          </w:tcPr>
          <w:p w14:paraId="295CF41C" w14:textId="77777777" w:rsidR="007671E1" w:rsidRDefault="007671E1" w:rsidP="00C55E08">
            <w:pPr>
              <w:pStyle w:val="Tablewriting"/>
            </w:pPr>
            <w:r>
              <w:t>Unrestricted Benefit to Authority Required</w:t>
            </w:r>
          </w:p>
          <w:p w14:paraId="41C36CE3" w14:textId="77777777" w:rsidR="007671E1" w:rsidRDefault="007671E1" w:rsidP="00C55E08">
            <w:pPr>
              <w:pStyle w:val="Tablewriting"/>
            </w:pPr>
          </w:p>
          <w:p w14:paraId="6FAEB7F1" w14:textId="6E793E7A" w:rsidR="007671E1" w:rsidRPr="00C04E97" w:rsidRDefault="007671E1" w:rsidP="00C55E08">
            <w:pPr>
              <w:pStyle w:val="Tablewriting"/>
              <w:rPr>
                <w:u w:val="single"/>
              </w:rPr>
            </w:pPr>
            <w:r w:rsidRPr="00C04E97">
              <w:rPr>
                <w:u w:val="single"/>
              </w:rPr>
              <w:t>Restriction wording</w:t>
            </w:r>
          </w:p>
          <w:p w14:paraId="77E1A678" w14:textId="77777777" w:rsidR="007671E1" w:rsidRPr="00F75E65" w:rsidRDefault="007671E1" w:rsidP="00C55E08">
            <w:pPr>
              <w:pStyle w:val="Tablewriting"/>
            </w:pPr>
            <w:r w:rsidRPr="00F75E65">
              <w:t xml:space="preserve">Asthma Population criteria: </w:t>
            </w:r>
          </w:p>
          <w:p w14:paraId="1C64FF14" w14:textId="77777777" w:rsidR="007671E1" w:rsidRPr="00F75E65" w:rsidRDefault="007671E1" w:rsidP="00C55E08">
            <w:pPr>
              <w:pStyle w:val="Tablewriting"/>
            </w:pPr>
            <w:r w:rsidRPr="00F75E65">
              <w:t xml:space="preserve">* Patient must be less than 6.00 years of age. </w:t>
            </w:r>
          </w:p>
          <w:p w14:paraId="643F2482" w14:textId="77777777" w:rsidR="007671E1" w:rsidRPr="00F75E65" w:rsidRDefault="007671E1" w:rsidP="00C55E08">
            <w:pPr>
              <w:pStyle w:val="Tablewriting"/>
            </w:pPr>
            <w:r w:rsidRPr="00F75E65">
              <w:t xml:space="preserve">Treatment criteria: </w:t>
            </w:r>
          </w:p>
          <w:p w14:paraId="741A45BF" w14:textId="77777777" w:rsidR="007671E1" w:rsidRPr="00F75E65" w:rsidRDefault="007671E1" w:rsidP="00C55E08">
            <w:pPr>
              <w:pStyle w:val="Tablewriting"/>
            </w:pPr>
            <w:r w:rsidRPr="00F75E65">
              <w:t xml:space="preserve">* Must be treated by a respiratory physician; OR </w:t>
            </w:r>
          </w:p>
          <w:p w14:paraId="2E620EB5" w14:textId="77777777" w:rsidR="007671E1" w:rsidRPr="00F75E65" w:rsidRDefault="007671E1" w:rsidP="00C55E08">
            <w:pPr>
              <w:pStyle w:val="Tablewriting"/>
            </w:pPr>
            <w:r w:rsidRPr="00F75E65">
              <w:t xml:space="preserve">* Must be treated by a paediatrician; OR </w:t>
            </w:r>
          </w:p>
          <w:p w14:paraId="46389088" w14:textId="2EF2A99F" w:rsidR="007671E1" w:rsidRPr="00C55E08" w:rsidRDefault="007671E1" w:rsidP="00C55E08">
            <w:pPr>
              <w:pStyle w:val="Tablewriting"/>
            </w:pPr>
            <w:r w:rsidRPr="00F75E65">
              <w:t>* Must be treated by a health practitioner who is continuing treatment that was initiated by one of the specialists above.</w:t>
            </w:r>
          </w:p>
        </w:tc>
      </w:tr>
      <w:tr w:rsidR="007671E1" w14:paraId="30DE848E" w14:textId="77777777" w:rsidTr="005D0491">
        <w:tc>
          <w:tcPr>
            <w:tcW w:w="1242" w:type="dxa"/>
            <w:vMerge/>
          </w:tcPr>
          <w:p w14:paraId="371CFEA8" w14:textId="77777777" w:rsidR="007671E1" w:rsidRDefault="007671E1" w:rsidP="00C55E08">
            <w:pPr>
              <w:pStyle w:val="Tablewriting"/>
            </w:pPr>
          </w:p>
        </w:tc>
        <w:tc>
          <w:tcPr>
            <w:tcW w:w="1843" w:type="dxa"/>
          </w:tcPr>
          <w:p w14:paraId="6E6252F0" w14:textId="11EF3C36" w:rsidR="007671E1" w:rsidRDefault="007671E1" w:rsidP="00C55E08">
            <w:pPr>
              <w:pStyle w:val="Tablewriting"/>
            </w:pPr>
            <w:r>
              <w:t>1 July 2023</w:t>
            </w:r>
          </w:p>
        </w:tc>
        <w:tc>
          <w:tcPr>
            <w:tcW w:w="6088" w:type="dxa"/>
          </w:tcPr>
          <w:p w14:paraId="3B56CC44" w14:textId="77777777" w:rsidR="007671E1" w:rsidRDefault="007671E1" w:rsidP="00C55E08">
            <w:pPr>
              <w:pStyle w:val="Tablewriting"/>
            </w:pPr>
            <w:r>
              <w:t>Authority Required to Streamlined Authority</w:t>
            </w:r>
          </w:p>
          <w:p w14:paraId="3A65DAB5" w14:textId="77777777" w:rsidR="007671E1" w:rsidRDefault="007671E1" w:rsidP="00C55E08">
            <w:pPr>
              <w:pStyle w:val="Tablewriting"/>
            </w:pPr>
          </w:p>
          <w:p w14:paraId="448538A3" w14:textId="77777777" w:rsidR="007671E1" w:rsidRPr="00C04E97" w:rsidRDefault="007671E1" w:rsidP="00C55E08">
            <w:pPr>
              <w:pStyle w:val="Tablewriting"/>
              <w:rPr>
                <w:u w:val="single"/>
              </w:rPr>
            </w:pPr>
            <w:r w:rsidRPr="00C04E97">
              <w:rPr>
                <w:u w:val="single"/>
              </w:rPr>
              <w:t>Restriction wording</w:t>
            </w:r>
          </w:p>
          <w:p w14:paraId="167B4978" w14:textId="77777777" w:rsidR="007671E1" w:rsidRDefault="007671E1" w:rsidP="00C55E08">
            <w:pPr>
              <w:pStyle w:val="Tablewriting"/>
            </w:pPr>
            <w:r w:rsidRPr="007671E1">
              <w:t xml:space="preserve">Asthma Clinical criteria: </w:t>
            </w:r>
          </w:p>
          <w:p w14:paraId="4D14C536" w14:textId="09302154" w:rsidR="007671E1" w:rsidRPr="007671E1" w:rsidRDefault="007671E1" w:rsidP="00C55E08">
            <w:pPr>
              <w:pStyle w:val="Tablewriting"/>
            </w:pPr>
            <w:r w:rsidRPr="007671E1">
              <w:t>* The treatment must not be a PBS benefit where this 50 microgram strength is being initiated in a patient over the age of 6.00 years.</w:t>
            </w:r>
          </w:p>
        </w:tc>
      </w:tr>
      <w:tr w:rsidR="005D0491" w14:paraId="4731718D" w14:textId="77777777" w:rsidTr="005D0491">
        <w:tc>
          <w:tcPr>
            <w:tcW w:w="1242" w:type="dxa"/>
          </w:tcPr>
          <w:p w14:paraId="6390108E" w14:textId="40BCA048" w:rsidR="005D0491" w:rsidRDefault="004E1117" w:rsidP="00C55E08">
            <w:pPr>
              <w:pStyle w:val="Tablewriting"/>
            </w:pPr>
            <w:r w:rsidRPr="004E1117">
              <w:t>14487L</w:t>
            </w:r>
          </w:p>
        </w:tc>
        <w:tc>
          <w:tcPr>
            <w:tcW w:w="1843" w:type="dxa"/>
          </w:tcPr>
          <w:p w14:paraId="28D7F0AD" w14:textId="7011C1CC" w:rsidR="005D0491" w:rsidRDefault="00A369D4" w:rsidP="00C55E08">
            <w:pPr>
              <w:pStyle w:val="Tablewriting"/>
            </w:pPr>
            <w:r>
              <w:t>1 October 2024</w:t>
            </w:r>
          </w:p>
        </w:tc>
        <w:tc>
          <w:tcPr>
            <w:tcW w:w="6088" w:type="dxa"/>
          </w:tcPr>
          <w:p w14:paraId="79304C73" w14:textId="77777777" w:rsidR="005D0491" w:rsidRDefault="00A369D4" w:rsidP="00C55E08">
            <w:pPr>
              <w:pStyle w:val="Tablewriting"/>
            </w:pPr>
            <w:r>
              <w:t xml:space="preserve">Restricted Benefit to Streamlined Authority </w:t>
            </w:r>
          </w:p>
          <w:p w14:paraId="7695774E" w14:textId="77777777" w:rsidR="00A369D4" w:rsidRDefault="00A369D4" w:rsidP="00C55E08">
            <w:pPr>
              <w:pStyle w:val="Tablewriting"/>
            </w:pPr>
          </w:p>
          <w:p w14:paraId="25D673D7" w14:textId="77777777" w:rsidR="00A369D4" w:rsidRPr="00C04E97" w:rsidRDefault="00A369D4" w:rsidP="00C55E08">
            <w:pPr>
              <w:pStyle w:val="Tablewriting"/>
              <w:rPr>
                <w:u w:val="single"/>
              </w:rPr>
            </w:pPr>
            <w:r w:rsidRPr="00C04E97">
              <w:rPr>
                <w:u w:val="single"/>
              </w:rPr>
              <w:t>Restriction wording</w:t>
            </w:r>
          </w:p>
          <w:p w14:paraId="5CDEBB7E" w14:textId="77777777" w:rsidR="0061245E" w:rsidRDefault="0061245E" w:rsidP="00C55E08">
            <w:pPr>
              <w:pStyle w:val="Tablewriting"/>
            </w:pPr>
            <w:r w:rsidRPr="0061245E">
              <w:t xml:space="preserve">Asthma Clinical criteria: </w:t>
            </w:r>
          </w:p>
          <w:p w14:paraId="10146465" w14:textId="77777777" w:rsidR="0061245E" w:rsidRDefault="0061245E" w:rsidP="00C55E08">
            <w:pPr>
              <w:pStyle w:val="Tablewriting"/>
            </w:pPr>
            <w:r w:rsidRPr="0061245E">
              <w:t xml:space="preserve">* The treatment must not be a PBS benefit where this 50 microgram strength is being initiated in a patient over the age of 6.00 years, AND </w:t>
            </w:r>
          </w:p>
          <w:p w14:paraId="7F38F58F" w14:textId="67CBCA15" w:rsidR="00A369D4" w:rsidRPr="00A369D4" w:rsidRDefault="0061245E" w:rsidP="00C55E08">
            <w:pPr>
              <w:pStyle w:val="Tablewriting"/>
            </w:pPr>
            <w:r w:rsidRPr="0061245E">
              <w:t>* The condition must be stable for the prescriber to consider the listed maximum quantity of this medicine suitable for this patient.</w:t>
            </w:r>
          </w:p>
        </w:tc>
      </w:tr>
    </w:tbl>
    <w:p w14:paraId="495755EE" w14:textId="77777777" w:rsidR="00C04E97" w:rsidRDefault="00C04E97" w:rsidP="00201E30"/>
    <w:p w14:paraId="64C94A85" w14:textId="167F4D09" w:rsidR="00BF544D" w:rsidRPr="002F61CA" w:rsidDel="00EE2BBB" w:rsidRDefault="00BF544D" w:rsidP="00201E30">
      <w:r w:rsidRPr="002F61CA" w:rsidDel="00EE2BBB">
        <w:t xml:space="preserve">Current PBS listing details are available from </w:t>
      </w:r>
      <w:r w:rsidDel="00EE2BBB">
        <w:t xml:space="preserve">the </w:t>
      </w:r>
      <w:hyperlink r:id="rId14" w:history="1">
        <w:r w:rsidRPr="00645D51" w:rsidDel="00EE2BBB">
          <w:rPr>
            <w:rStyle w:val="Hyperlink"/>
          </w:rPr>
          <w:t>PBS website</w:t>
        </w:r>
      </w:hyperlink>
      <w:r w:rsidDel="00EE2BBB">
        <w:t>.</w:t>
      </w:r>
    </w:p>
    <w:p w14:paraId="383E312E" w14:textId="724CF700" w:rsidR="00736041" w:rsidRPr="005E22C2" w:rsidRDefault="00394AEE" w:rsidP="00CF5E22">
      <w:pPr>
        <w:pStyle w:val="Heading2"/>
      </w:pPr>
      <w:r>
        <w:lastRenderedPageBreak/>
        <w:t>Relevant aspects of</w:t>
      </w:r>
      <w:r w:rsidR="00736041" w:rsidRPr="005E22C2">
        <w:t xml:space="preserve"> consideration</w:t>
      </w:r>
      <w:r>
        <w:t xml:space="preserve"> by the Pharmaceutical Benefits Advisory Committee (PBAC)</w:t>
      </w:r>
    </w:p>
    <w:p w14:paraId="422D22E4" w14:textId="77777777" w:rsidR="002F4298" w:rsidRDefault="00A74DA1" w:rsidP="00D94863">
      <w:r>
        <w:t>At its</w:t>
      </w:r>
      <w:r w:rsidR="002F4298">
        <w:t xml:space="preserve"> May 2023 meeting, t</w:t>
      </w:r>
      <w:r>
        <w:t>he PBAC recalled its previous advice to amend the restrictions for fluticasone propionate 50 mcg metered dose inhaler had been provided in the context of the sponsor’s request for Ministerial Discretion to avoid the 1 April 2023 catch</w:t>
      </w:r>
      <w:r w:rsidR="002F4298">
        <w:t xml:space="preserve"> </w:t>
      </w:r>
      <w:r>
        <w:t xml:space="preserve">up statutory price reductions. The PBAC had been asked to provide advice as to whether there were any clinical alternatives available on the PBS and whether the delisting of the item would result in an unmet clinical need. </w:t>
      </w:r>
    </w:p>
    <w:p w14:paraId="1C314E3A" w14:textId="12CFEAFB" w:rsidR="002F4298" w:rsidRDefault="00A74DA1" w:rsidP="00D94863">
      <w:r>
        <w:t>At the time of its previous recommendation, the PBAC noted the relevant alternate therapies, beclomethasone and budesonide would remain available under the existing conditions. However, the PBAC noted that fluticasone propionate 50 mcg is the only metred aerosol for use in patients under 6 years of age and the only low dose metred aerosol registered for use in Australia by the Therapeutic Goods Administration</w:t>
      </w:r>
      <w:r w:rsidR="004B3934">
        <w:t xml:space="preserve"> (TGA)</w:t>
      </w:r>
      <w:r>
        <w:t xml:space="preserve">. Therefore, the PBAC advised there was a clinical need to retain fluticasone propionate 50 mcg on the PBS for patients under 6 years of age due to the lack of clinical alternatives in this population. The PBAC noted the strong concerns that had been raised by clinicians and professional organisations regarding the restriction changes implemented on 1 April 2023. </w:t>
      </w:r>
    </w:p>
    <w:p w14:paraId="45ED0AE8" w14:textId="77777777" w:rsidR="00355E3C" w:rsidRDefault="00A74DA1" w:rsidP="00D94863">
      <w:r>
        <w:t xml:space="preserve">The PBAC acknowledged these concerns, including that the current listings may create difficulties in patient access, particularly for those in rural or remote areas, those unable to secure timely respiratory specialist appointments, and those who cannot afford private consultations or the private cost of the medicine. The PBAC noted this had not been the intended effect of its previous advice. </w:t>
      </w:r>
    </w:p>
    <w:p w14:paraId="623991FD" w14:textId="77777777" w:rsidR="00355E3C" w:rsidRDefault="00A74DA1" w:rsidP="00D94863">
      <w:r>
        <w:t xml:space="preserve">Therefore, to reduce the impact on patient access, the PBAC recommended the following changes to the existing restrictions for fluticasone propionate 50 mcg: </w:t>
      </w:r>
    </w:p>
    <w:p w14:paraId="06836DCA" w14:textId="77777777" w:rsidR="00355E3C" w:rsidRDefault="00A74DA1" w:rsidP="00355E3C">
      <w:pPr>
        <w:pStyle w:val="ListParagraph"/>
        <w:numPr>
          <w:ilvl w:val="0"/>
          <w:numId w:val="4"/>
        </w:numPr>
      </w:pPr>
      <w:r>
        <w:t xml:space="preserve">Remove existing restrictions on prescriber type, including the criterion that treatment must be initiated by a respiratory physician or paediatrician. </w:t>
      </w:r>
    </w:p>
    <w:p w14:paraId="68A23FFE" w14:textId="77777777" w:rsidR="00355E3C" w:rsidRDefault="00A74DA1" w:rsidP="00355E3C">
      <w:pPr>
        <w:pStyle w:val="ListParagraph"/>
        <w:numPr>
          <w:ilvl w:val="0"/>
          <w:numId w:val="4"/>
        </w:numPr>
      </w:pPr>
      <w:r>
        <w:t xml:space="preserve">Amend the authority approval method from Authority Required (Telephone/Online) to Authority Required (STREAMLINED). </w:t>
      </w:r>
    </w:p>
    <w:p w14:paraId="68BABE1E" w14:textId="77777777" w:rsidR="00355E3C" w:rsidRDefault="00A74DA1" w:rsidP="00355E3C">
      <w:pPr>
        <w:pStyle w:val="ListParagraph"/>
        <w:numPr>
          <w:ilvl w:val="0"/>
          <w:numId w:val="4"/>
        </w:numPr>
      </w:pPr>
      <w:r>
        <w:t>Allow patients who start and are stabilised on treatment before 6 years of age to continue PBS access beyond 6 years of age</w:t>
      </w:r>
      <w:r w:rsidR="00355E3C">
        <w:t>.</w:t>
      </w:r>
    </w:p>
    <w:p w14:paraId="373817F2" w14:textId="77777777" w:rsidR="00597A38" w:rsidRDefault="00597A38" w:rsidP="00597A38">
      <w:r>
        <w:t xml:space="preserve">The PBAC recommended that a review of utilisation be undertaken in two years to assess any impact on utilisation resulting from these changes. </w:t>
      </w:r>
    </w:p>
    <w:p w14:paraId="09FE7C45" w14:textId="5EE01CE1" w:rsidR="00597A38" w:rsidRDefault="00597A38" w:rsidP="00597A38">
      <w:r>
        <w:t>The PBAC recommended that fluticasone could return to an unrestricted listing if the price for patients aged 6 years and above were reduced as per the legislated 1 April 2023 catch up reduction. The PBAC considered that the cost-effectiveness of fluticasone propionate 50mcg would be acceptable under these circumstances, where the price would be more consistent with the alternative therapies. While the PBAC considered an unrestricted listing would provide the greatest patient access and reduction in administrative burden for prescribers, it noted that accepting a price consistent with the legislated 1 April 2023 catch up reduction would be a commercial decision for the medicine’s sponsor.</w:t>
      </w:r>
    </w:p>
    <w:p w14:paraId="70539E18" w14:textId="7BFD2EF8" w:rsidR="00D94863" w:rsidRPr="00F65F0D" w:rsidRDefault="00D94863" w:rsidP="00355E3C">
      <w:r>
        <w:lastRenderedPageBreak/>
        <w:t xml:space="preserve">For further details refer to </w:t>
      </w:r>
      <w:r w:rsidRPr="00F65F0D">
        <w:t xml:space="preserve">the </w:t>
      </w:r>
      <w:hyperlink r:id="rId15" w:history="1">
        <w:r w:rsidR="008530F6" w:rsidRPr="008530F6">
          <w:rPr>
            <w:rStyle w:val="Hyperlink"/>
          </w:rPr>
          <w:t>May 2023</w:t>
        </w:r>
      </w:hyperlink>
      <w:r>
        <w:t xml:space="preserve"> PBAC meeting.</w:t>
      </w:r>
    </w:p>
    <w:p w14:paraId="0312FFEC" w14:textId="5C6A9662" w:rsidR="00E677DD" w:rsidRPr="005E22C2" w:rsidRDefault="00E677DD" w:rsidP="00CF5E22">
      <w:pPr>
        <w:pStyle w:val="Heading1"/>
      </w:pPr>
      <w:r w:rsidRPr="005E22C2">
        <w:t>Method</w:t>
      </w:r>
      <w:r w:rsidR="001B5D37" w:rsidRPr="005E22C2">
        <w:t>s</w:t>
      </w:r>
    </w:p>
    <w:p w14:paraId="6D8C9BF9" w14:textId="3DAD7A50" w:rsidR="006804E0" w:rsidRDefault="006804E0" w:rsidP="00524D13">
      <w:r w:rsidRPr="006804E0">
        <w:t xml:space="preserve">Data extracted from the PBS claims database maintained by the </w:t>
      </w:r>
      <w:r w:rsidR="00CB79F0" w:rsidRPr="006804E0">
        <w:t>Department of Health</w:t>
      </w:r>
      <w:r w:rsidR="00CB79F0">
        <w:t xml:space="preserve">, Disability and Ageing </w:t>
      </w:r>
      <w:r w:rsidRPr="006804E0">
        <w:t xml:space="preserve">and processed by Services Australia were used for the analyses. Prescription data were extracted </w:t>
      </w:r>
      <w:r w:rsidR="002B51E0">
        <w:t xml:space="preserve">for fluticasone 50mg (PBS item codes </w:t>
      </w:r>
      <w:r w:rsidR="002B51E0" w:rsidRPr="002B51E0">
        <w:t>14487L and 8516F</w:t>
      </w:r>
      <w:r w:rsidR="002B51E0">
        <w:t>)</w:t>
      </w:r>
      <w:r w:rsidR="002B51E0" w:rsidRPr="002B51E0">
        <w:t xml:space="preserve"> </w:t>
      </w:r>
      <w:r w:rsidR="002B51E0">
        <w:t>prescriptions supplied from 1 July 2019 to the end of September 2025</w:t>
      </w:r>
      <w:r w:rsidRPr="006804E0">
        <w:t xml:space="preserve">. </w:t>
      </w:r>
    </w:p>
    <w:p w14:paraId="478E1B79" w14:textId="040E343C" w:rsidR="002B51E0" w:rsidRDefault="00077520" w:rsidP="00524D13">
      <w:r>
        <w:t>I</w:t>
      </w:r>
      <w:r w:rsidRPr="00077520">
        <w:t xml:space="preserve">nitiating fluticasone propionate 50 mcg </w:t>
      </w:r>
      <w:r>
        <w:t xml:space="preserve">was defined as no prescription since </w:t>
      </w:r>
      <w:r w:rsidR="0095206F">
        <w:t>1 July 2019 (i.e. the beginning of the extracted data). Since initiator counts are reported from 1 January 2021, these mean patients are deemed to have initiated if they have not had a prior prescription for at least 18 months.</w:t>
      </w:r>
    </w:p>
    <w:p w14:paraId="0712D9D5" w14:textId="7B9F0B99" w:rsidR="00524D13" w:rsidRDefault="006804E0" w:rsidP="00524D13">
      <w:r w:rsidRPr="006804E0">
        <w:t>As this analysis uses date of supply prescription data, there may be small differences compared with publicly available Services Australia Medicare date of processing data.</w:t>
      </w:r>
      <w:r w:rsidR="00576B18">
        <w:rPr>
          <w:rStyle w:val="FootnoteReference"/>
        </w:rPr>
        <w:footnoteReference w:id="3"/>
      </w:r>
      <w:r w:rsidR="00576B18">
        <w:t xml:space="preserve"> </w:t>
      </w:r>
      <w:r w:rsidR="0090691F">
        <w:t xml:space="preserve">The </w:t>
      </w:r>
      <w:r w:rsidR="00AC5054">
        <w:t xml:space="preserve">publicly available </w:t>
      </w:r>
      <w:r w:rsidRPr="006804E0">
        <w:t xml:space="preserve">Services Australia </w:t>
      </w:r>
      <w:r w:rsidR="0090691F">
        <w:t xml:space="preserve">Medicare data </w:t>
      </w:r>
      <w:r w:rsidR="008E3F8C">
        <w:t xml:space="preserve">only </w:t>
      </w:r>
      <w:r w:rsidR="0090691F">
        <w:t xml:space="preserve">includes </w:t>
      </w:r>
      <w:r w:rsidR="00524D13">
        <w:t xml:space="preserve">subsidised R/PBS prescriptions </w:t>
      </w:r>
      <w:r w:rsidR="008E3F8C">
        <w:t xml:space="preserve">with prescriptions </w:t>
      </w:r>
      <w:r w:rsidR="00524D13">
        <w:t xml:space="preserve">under </w:t>
      </w:r>
      <w:r w:rsidR="00DD29A3">
        <w:t xml:space="preserve">the </w:t>
      </w:r>
      <w:r w:rsidR="00524D13">
        <w:t xml:space="preserve">patient co-payment </w:t>
      </w:r>
      <w:r w:rsidR="008E3F8C">
        <w:t>not included</w:t>
      </w:r>
      <w:r w:rsidR="00524D13">
        <w:t>.</w:t>
      </w:r>
      <w:r w:rsidR="00DD29A3">
        <w:t xml:space="preserve"> The </w:t>
      </w:r>
      <w:r w:rsidR="00BB1AFB">
        <w:t>prescription</w:t>
      </w:r>
      <w:r w:rsidR="00DD29A3">
        <w:t xml:space="preserve"> data used in this report </w:t>
      </w:r>
      <w:r w:rsidR="00BB1AFB">
        <w:t xml:space="preserve">does </w:t>
      </w:r>
      <w:r w:rsidR="00DD29A3">
        <w:t>include under co-payment prescriptions from 1</w:t>
      </w:r>
      <w:r w:rsidR="006B554F">
        <w:t> </w:t>
      </w:r>
      <w:r w:rsidR="00DD29A3">
        <w:t>April 2012.</w:t>
      </w:r>
    </w:p>
    <w:p w14:paraId="6898D5DE" w14:textId="77777777" w:rsidR="002F192D" w:rsidRDefault="002F192D">
      <w:pPr>
        <w:spacing w:line="276" w:lineRule="auto"/>
        <w:rPr>
          <w:rFonts w:eastAsiaTheme="majorEastAsia" w:cstheme="majorBidi"/>
          <w:b/>
          <w:bCs/>
          <w:sz w:val="32"/>
          <w:szCs w:val="32"/>
        </w:rPr>
      </w:pPr>
      <w:r>
        <w:br w:type="page"/>
      </w:r>
    </w:p>
    <w:p w14:paraId="4F91A98A" w14:textId="17A32395" w:rsidR="00C714D0" w:rsidRPr="005E22C2" w:rsidRDefault="00C714D0" w:rsidP="00CF5E22">
      <w:pPr>
        <w:pStyle w:val="Heading1"/>
      </w:pPr>
      <w:r w:rsidRPr="005E22C2">
        <w:lastRenderedPageBreak/>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07D40EAC" w:rsidR="006A44F5" w:rsidRPr="005E22C2" w:rsidRDefault="00736041" w:rsidP="00CF5E22">
      <w:pPr>
        <w:pStyle w:val="Heading3"/>
      </w:pPr>
      <w:r w:rsidRPr="005E22C2">
        <w:t>Overall utilisation</w:t>
      </w:r>
    </w:p>
    <w:p w14:paraId="561F4684" w14:textId="75804EED" w:rsidR="00A35800" w:rsidRDefault="00F45481" w:rsidP="00FE645A">
      <w:pPr>
        <w:pStyle w:val="Figurecaption"/>
      </w:pPr>
      <w:r w:rsidRPr="00F45481">
        <w:rPr>
          <w:b/>
          <w:noProof/>
          <w:sz w:val="24"/>
          <w:szCs w:val="24"/>
          <w:lang w:val="en-US" w:eastAsia="en-AU"/>
        </w:rPr>
        <w:drawing>
          <wp:inline distT="0" distB="0" distL="0" distR="0" wp14:anchorId="538404CD" wp14:editId="3045C1B9">
            <wp:extent cx="5687695" cy="3710940"/>
            <wp:effectExtent l="0" t="0" r="8255" b="3810"/>
            <wp:docPr id="732102816" name="Picture 1" descr="Four lines on the graph with indicators to dates of restriction chan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102816" name="Picture 1" descr="Four lines on the graph with indicators to dates of restriction changes. "/>
                    <pic:cNvPicPr/>
                  </pic:nvPicPr>
                  <pic:blipFill>
                    <a:blip r:embed="rId16"/>
                    <a:stretch>
                      <a:fillRect/>
                    </a:stretch>
                  </pic:blipFill>
                  <pic:spPr>
                    <a:xfrm>
                      <a:off x="0" y="0"/>
                      <a:ext cx="5687695" cy="3710940"/>
                    </a:xfrm>
                    <a:prstGeom prst="rect">
                      <a:avLst/>
                    </a:prstGeom>
                  </pic:spPr>
                </pic:pic>
              </a:graphicData>
            </a:graphic>
          </wp:inline>
        </w:drawing>
      </w:r>
      <w:r w:rsidR="00E1353A" w:rsidRPr="009764EF">
        <w:rPr>
          <w:b/>
          <w:sz w:val="24"/>
          <w:szCs w:val="24"/>
          <w:lang w:val="en-US" w:eastAsia="en-AU"/>
        </w:rPr>
        <w:t xml:space="preserve">Figure 1: </w:t>
      </w:r>
      <w:r w:rsidR="00840D3A" w:rsidRPr="009764EF">
        <w:rPr>
          <w:b/>
          <w:sz w:val="24"/>
          <w:szCs w:val="24"/>
          <w:lang w:val="en-US" w:eastAsia="en-AU"/>
        </w:rPr>
        <w:t>Prescriptions for fluticasone propionate 50 mcg by PBS item</w:t>
      </w:r>
      <w:r w:rsidR="00992362">
        <w:rPr>
          <w:b/>
          <w:sz w:val="24"/>
          <w:szCs w:val="24"/>
          <w:lang w:val="en-US" w:eastAsia="en-AU"/>
        </w:rPr>
        <w:t xml:space="preserve"> and month of supply</w:t>
      </w:r>
    </w:p>
    <w:p w14:paraId="075171EE" w14:textId="3A0F095D" w:rsidR="00344A61" w:rsidRDefault="00344A61" w:rsidP="00FE645A">
      <w:pPr>
        <w:pStyle w:val="Figurecaption"/>
      </w:pPr>
    </w:p>
    <w:p w14:paraId="5811C94E" w14:textId="71097435" w:rsidR="00344A61" w:rsidRDefault="00B44DFA" w:rsidP="00FE645A">
      <w:pPr>
        <w:pStyle w:val="Figurecaption"/>
        <w:rPr>
          <w:rFonts w:eastAsia="Calibri" w:cs="Times New Roman"/>
          <w:sz w:val="24"/>
          <w:szCs w:val="24"/>
          <w:lang w:eastAsia="en-AU"/>
        </w:rPr>
      </w:pPr>
      <w:r>
        <w:rPr>
          <w:rFonts w:eastAsia="Calibri" w:cs="Times New Roman"/>
          <w:sz w:val="24"/>
          <w:szCs w:val="24"/>
          <w:lang w:eastAsia="en-AU"/>
        </w:rPr>
        <w:t>Figure 1 illustrates that</w:t>
      </w:r>
      <w:r w:rsidR="005156E6" w:rsidRPr="005156E6">
        <w:rPr>
          <w:rFonts w:eastAsia="Calibri" w:cs="Times New Roman"/>
          <w:sz w:val="24"/>
          <w:szCs w:val="24"/>
          <w:lang w:eastAsia="en-AU"/>
        </w:rPr>
        <w:t xml:space="preserve"> the restriction change in </w:t>
      </w:r>
      <w:r w:rsidR="005156E6">
        <w:rPr>
          <w:rFonts w:eastAsia="Calibri" w:cs="Times New Roman"/>
          <w:sz w:val="24"/>
          <w:szCs w:val="24"/>
          <w:lang w:eastAsia="en-AU"/>
        </w:rPr>
        <w:t>April 202</w:t>
      </w:r>
      <w:r w:rsidR="001B6285">
        <w:rPr>
          <w:rFonts w:eastAsia="Calibri" w:cs="Times New Roman"/>
          <w:sz w:val="24"/>
          <w:szCs w:val="24"/>
          <w:lang w:eastAsia="en-AU"/>
        </w:rPr>
        <w:t>3</w:t>
      </w:r>
      <w:r w:rsidR="005156E6" w:rsidRPr="005156E6">
        <w:rPr>
          <w:rFonts w:eastAsia="Calibri" w:cs="Times New Roman"/>
          <w:sz w:val="24"/>
          <w:szCs w:val="24"/>
          <w:lang w:eastAsia="en-AU"/>
        </w:rPr>
        <w:t xml:space="preserve"> (Unrestricted to Authority Required) and the change in </w:t>
      </w:r>
      <w:r w:rsidR="001B6285">
        <w:rPr>
          <w:rFonts w:eastAsia="Calibri" w:cs="Times New Roman"/>
          <w:sz w:val="24"/>
          <w:szCs w:val="24"/>
          <w:lang w:eastAsia="en-AU"/>
        </w:rPr>
        <w:t xml:space="preserve">July </w:t>
      </w:r>
      <w:r w:rsidR="005156E6" w:rsidRPr="005156E6">
        <w:rPr>
          <w:rFonts w:eastAsia="Calibri" w:cs="Times New Roman"/>
          <w:sz w:val="24"/>
          <w:szCs w:val="24"/>
          <w:lang w:eastAsia="en-AU"/>
        </w:rPr>
        <w:t xml:space="preserve">2023 (Authority Required to Streamlined) both had an impact on the number of scripts supplied. This impact was slightly greater for patients 6 years </w:t>
      </w:r>
      <w:r w:rsidR="00654323">
        <w:rPr>
          <w:rFonts w:eastAsia="Calibri" w:cs="Times New Roman"/>
          <w:sz w:val="24"/>
          <w:szCs w:val="24"/>
          <w:lang w:eastAsia="en-AU"/>
        </w:rPr>
        <w:t xml:space="preserve">of age and over </w:t>
      </w:r>
      <w:r w:rsidR="006E5401">
        <w:rPr>
          <w:rFonts w:eastAsia="Calibri" w:cs="Times New Roman"/>
          <w:sz w:val="24"/>
          <w:szCs w:val="24"/>
          <w:lang w:eastAsia="en-AU"/>
        </w:rPr>
        <w:t xml:space="preserve">(the orange line) </w:t>
      </w:r>
      <w:r w:rsidR="005156E6" w:rsidRPr="005156E6">
        <w:rPr>
          <w:rFonts w:eastAsia="Calibri" w:cs="Times New Roman"/>
          <w:sz w:val="24"/>
          <w:szCs w:val="24"/>
          <w:lang w:eastAsia="en-AU"/>
        </w:rPr>
        <w:t xml:space="preserve">than for patients 5 years </w:t>
      </w:r>
      <w:r w:rsidR="00654323">
        <w:rPr>
          <w:rFonts w:eastAsia="Calibri" w:cs="Times New Roman"/>
          <w:sz w:val="24"/>
          <w:szCs w:val="24"/>
          <w:lang w:eastAsia="en-AU"/>
        </w:rPr>
        <w:t xml:space="preserve">and under </w:t>
      </w:r>
      <w:r w:rsidR="00777D9C">
        <w:rPr>
          <w:rFonts w:eastAsia="Calibri" w:cs="Times New Roman"/>
          <w:sz w:val="24"/>
          <w:szCs w:val="24"/>
          <w:lang w:eastAsia="en-AU"/>
        </w:rPr>
        <w:t>(</w:t>
      </w:r>
      <w:r w:rsidR="00FB5DBB">
        <w:rPr>
          <w:rFonts w:eastAsia="Calibri" w:cs="Times New Roman"/>
          <w:sz w:val="24"/>
          <w:szCs w:val="24"/>
          <w:lang w:eastAsia="en-AU"/>
        </w:rPr>
        <w:t xml:space="preserve">the </w:t>
      </w:r>
      <w:r w:rsidR="00777D9C">
        <w:rPr>
          <w:rFonts w:eastAsia="Calibri" w:cs="Times New Roman"/>
          <w:sz w:val="24"/>
          <w:szCs w:val="24"/>
          <w:lang w:eastAsia="en-AU"/>
        </w:rPr>
        <w:t>dark blue line)</w:t>
      </w:r>
      <w:r w:rsidR="005156E6" w:rsidRPr="005156E6">
        <w:rPr>
          <w:rFonts w:eastAsia="Calibri" w:cs="Times New Roman"/>
          <w:sz w:val="24"/>
          <w:szCs w:val="24"/>
          <w:lang w:eastAsia="en-AU"/>
        </w:rPr>
        <w:t>.</w:t>
      </w:r>
    </w:p>
    <w:p w14:paraId="3CA6CCC3" w14:textId="256065D5" w:rsidR="00C6586F" w:rsidRDefault="00C6586F" w:rsidP="00FE645A">
      <w:pPr>
        <w:pStyle w:val="Figurecaption"/>
        <w:rPr>
          <w:rFonts w:eastAsia="Calibri" w:cs="Times New Roman"/>
          <w:sz w:val="24"/>
          <w:szCs w:val="24"/>
          <w:lang w:eastAsia="en-AU"/>
        </w:rPr>
      </w:pPr>
    </w:p>
    <w:p w14:paraId="2E3ACB91" w14:textId="00437F57" w:rsidR="00C6586F" w:rsidRDefault="00D91A0F" w:rsidP="00FE645A">
      <w:pPr>
        <w:pStyle w:val="Figurecaption"/>
        <w:rPr>
          <w:rFonts w:eastAsia="Calibri" w:cs="Times New Roman"/>
          <w:sz w:val="24"/>
          <w:szCs w:val="24"/>
          <w:lang w:eastAsia="en-AU"/>
        </w:rPr>
      </w:pPr>
      <w:r w:rsidRPr="00D91A0F">
        <w:rPr>
          <w:rFonts w:eastAsia="Calibri" w:cs="Times New Roman"/>
          <w:noProof/>
          <w:sz w:val="24"/>
          <w:szCs w:val="24"/>
          <w:lang w:eastAsia="en-AU"/>
        </w:rPr>
        <w:lastRenderedPageBreak/>
        <w:drawing>
          <wp:inline distT="0" distB="0" distL="0" distR="0" wp14:anchorId="027AC010" wp14:editId="0B66BA63">
            <wp:extent cx="5687695" cy="3763010"/>
            <wp:effectExtent l="0" t="0" r="8255" b="8890"/>
            <wp:docPr id="28552017" name="Picture 1" descr="Two lines on the graph with indicators to dates of restriction chan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52017" name="Picture 1" descr="Two lines on the graph with indicators to dates of restriction changes. "/>
                    <pic:cNvPicPr/>
                  </pic:nvPicPr>
                  <pic:blipFill>
                    <a:blip r:embed="rId17"/>
                    <a:stretch>
                      <a:fillRect/>
                    </a:stretch>
                  </pic:blipFill>
                  <pic:spPr>
                    <a:xfrm>
                      <a:off x="0" y="0"/>
                      <a:ext cx="5687695" cy="3763010"/>
                    </a:xfrm>
                    <a:prstGeom prst="rect">
                      <a:avLst/>
                    </a:prstGeom>
                  </pic:spPr>
                </pic:pic>
              </a:graphicData>
            </a:graphic>
          </wp:inline>
        </w:drawing>
      </w:r>
    </w:p>
    <w:p w14:paraId="6503C96D" w14:textId="448A8099" w:rsidR="003E3498" w:rsidRDefault="003E3498" w:rsidP="003E3498">
      <w:pPr>
        <w:pStyle w:val="Figurecaption"/>
        <w:rPr>
          <w:b/>
          <w:sz w:val="24"/>
          <w:szCs w:val="24"/>
          <w:lang w:val="en-US" w:eastAsia="en-AU"/>
        </w:rPr>
      </w:pPr>
      <w:r w:rsidRPr="009764EF">
        <w:rPr>
          <w:b/>
          <w:sz w:val="24"/>
          <w:szCs w:val="24"/>
          <w:lang w:val="en-US" w:eastAsia="en-AU"/>
        </w:rPr>
        <w:t xml:space="preserve">Figure </w:t>
      </w:r>
      <w:r>
        <w:rPr>
          <w:b/>
          <w:sz w:val="24"/>
          <w:szCs w:val="24"/>
          <w:lang w:val="en-US" w:eastAsia="en-AU"/>
        </w:rPr>
        <w:t>2</w:t>
      </w:r>
      <w:r w:rsidRPr="009764EF">
        <w:rPr>
          <w:b/>
          <w:sz w:val="24"/>
          <w:szCs w:val="24"/>
          <w:lang w:val="en-US" w:eastAsia="en-AU"/>
        </w:rPr>
        <w:t xml:space="preserve">: </w:t>
      </w:r>
      <w:r w:rsidR="00D84B9A">
        <w:rPr>
          <w:b/>
          <w:sz w:val="24"/>
          <w:szCs w:val="24"/>
          <w:lang w:val="en-US" w:eastAsia="en-AU"/>
        </w:rPr>
        <w:t>Number of p</w:t>
      </w:r>
      <w:r>
        <w:rPr>
          <w:b/>
          <w:sz w:val="24"/>
          <w:szCs w:val="24"/>
          <w:lang w:val="en-US" w:eastAsia="en-AU"/>
        </w:rPr>
        <w:t>atients initiating fluticasone propionate 50 mcg (</w:t>
      </w:r>
      <w:r w:rsidR="00D84B9A">
        <w:rPr>
          <w:b/>
          <w:sz w:val="24"/>
          <w:szCs w:val="24"/>
          <w:lang w:val="en-US" w:eastAsia="en-AU"/>
        </w:rPr>
        <w:t>using either</w:t>
      </w:r>
      <w:r>
        <w:rPr>
          <w:b/>
          <w:sz w:val="24"/>
          <w:szCs w:val="24"/>
          <w:lang w:val="en-US" w:eastAsia="en-AU"/>
        </w:rPr>
        <w:t xml:space="preserve"> item code) by </w:t>
      </w:r>
      <w:r w:rsidR="00DE5E16">
        <w:rPr>
          <w:b/>
          <w:sz w:val="24"/>
          <w:szCs w:val="24"/>
          <w:lang w:val="en-US" w:eastAsia="en-AU"/>
        </w:rPr>
        <w:t>age</w:t>
      </w:r>
      <w:r w:rsidR="00D84B9A">
        <w:rPr>
          <w:b/>
          <w:sz w:val="24"/>
          <w:szCs w:val="24"/>
          <w:lang w:val="en-US" w:eastAsia="en-AU"/>
        </w:rPr>
        <w:t xml:space="preserve"> and month of supply</w:t>
      </w:r>
    </w:p>
    <w:p w14:paraId="312311B8" w14:textId="4607DB18" w:rsidR="00C625F0" w:rsidRDefault="00C625F0" w:rsidP="003E3498">
      <w:pPr>
        <w:pStyle w:val="Figurecaption"/>
        <w:rPr>
          <w:b/>
          <w:sz w:val="24"/>
          <w:szCs w:val="24"/>
          <w:lang w:val="en-US" w:eastAsia="en-AU"/>
        </w:rPr>
      </w:pPr>
    </w:p>
    <w:p w14:paraId="1D13C15B" w14:textId="512E9478" w:rsidR="00C625F0" w:rsidRDefault="00C625F0" w:rsidP="003E3498">
      <w:pPr>
        <w:pStyle w:val="Figurecaption"/>
        <w:rPr>
          <w:sz w:val="24"/>
          <w:szCs w:val="24"/>
          <w:lang w:eastAsia="en-AU"/>
        </w:rPr>
      </w:pPr>
      <w:r>
        <w:rPr>
          <w:sz w:val="24"/>
          <w:szCs w:val="24"/>
          <w:lang w:eastAsia="en-AU"/>
        </w:rPr>
        <w:t>Figure 2</w:t>
      </w:r>
      <w:r w:rsidRPr="00C625F0">
        <w:rPr>
          <w:sz w:val="24"/>
          <w:szCs w:val="24"/>
          <w:lang w:eastAsia="en-AU"/>
        </w:rPr>
        <w:t xml:space="preserve"> shows that </w:t>
      </w:r>
      <w:r w:rsidR="007219A1">
        <w:rPr>
          <w:sz w:val="24"/>
          <w:szCs w:val="24"/>
          <w:lang w:eastAsia="en-AU"/>
        </w:rPr>
        <w:t xml:space="preserve">the number of </w:t>
      </w:r>
      <w:r w:rsidR="001047B3">
        <w:rPr>
          <w:sz w:val="24"/>
          <w:szCs w:val="24"/>
          <w:lang w:eastAsia="en-AU"/>
        </w:rPr>
        <w:t xml:space="preserve">initiating </w:t>
      </w:r>
      <w:r w:rsidRPr="00C625F0">
        <w:rPr>
          <w:sz w:val="24"/>
          <w:szCs w:val="24"/>
          <w:lang w:eastAsia="en-AU"/>
        </w:rPr>
        <w:t>patients 6</w:t>
      </w:r>
      <w:r>
        <w:rPr>
          <w:sz w:val="24"/>
          <w:szCs w:val="24"/>
          <w:lang w:eastAsia="en-AU"/>
        </w:rPr>
        <w:t xml:space="preserve"> years </w:t>
      </w:r>
      <w:r w:rsidR="005146A1">
        <w:rPr>
          <w:sz w:val="24"/>
          <w:szCs w:val="24"/>
          <w:lang w:eastAsia="en-AU"/>
        </w:rPr>
        <w:t xml:space="preserve">and over </w:t>
      </w:r>
      <w:r>
        <w:rPr>
          <w:sz w:val="24"/>
          <w:szCs w:val="24"/>
          <w:lang w:eastAsia="en-AU"/>
        </w:rPr>
        <w:t>(the orange line)</w:t>
      </w:r>
      <w:r w:rsidRPr="00C625F0">
        <w:rPr>
          <w:sz w:val="24"/>
          <w:szCs w:val="24"/>
          <w:lang w:eastAsia="en-AU"/>
        </w:rPr>
        <w:t xml:space="preserve"> was low when the restriction only allowed treatment of patients 5 years</w:t>
      </w:r>
      <w:r w:rsidR="00417450">
        <w:rPr>
          <w:sz w:val="24"/>
          <w:szCs w:val="24"/>
          <w:lang w:eastAsia="en-AU"/>
        </w:rPr>
        <w:t xml:space="preserve"> </w:t>
      </w:r>
      <w:r w:rsidR="005146A1">
        <w:rPr>
          <w:sz w:val="24"/>
          <w:szCs w:val="24"/>
          <w:lang w:eastAsia="en-AU"/>
        </w:rPr>
        <w:t>and under</w:t>
      </w:r>
      <w:r w:rsidRPr="00C625F0">
        <w:rPr>
          <w:sz w:val="24"/>
          <w:szCs w:val="24"/>
          <w:lang w:eastAsia="en-AU"/>
        </w:rPr>
        <w:t xml:space="preserve">. However, </w:t>
      </w:r>
      <w:r w:rsidR="00A41B0B">
        <w:rPr>
          <w:sz w:val="24"/>
          <w:szCs w:val="24"/>
          <w:lang w:eastAsia="en-AU"/>
        </w:rPr>
        <w:t>this</w:t>
      </w:r>
      <w:r w:rsidR="007F21B2">
        <w:rPr>
          <w:sz w:val="24"/>
          <w:szCs w:val="24"/>
          <w:lang w:eastAsia="en-AU"/>
        </w:rPr>
        <w:t xml:space="preserve"> </w:t>
      </w:r>
      <w:r w:rsidR="004223C9">
        <w:rPr>
          <w:sz w:val="24"/>
          <w:szCs w:val="24"/>
          <w:lang w:eastAsia="en-AU"/>
        </w:rPr>
        <w:t xml:space="preserve">group </w:t>
      </w:r>
      <w:r w:rsidRPr="00C625F0">
        <w:rPr>
          <w:sz w:val="24"/>
          <w:szCs w:val="24"/>
          <w:lang w:eastAsia="en-AU"/>
        </w:rPr>
        <w:t xml:space="preserve">recovered after the listing </w:t>
      </w:r>
      <w:r w:rsidR="007F21B2">
        <w:rPr>
          <w:sz w:val="24"/>
          <w:szCs w:val="24"/>
          <w:lang w:eastAsia="en-AU"/>
        </w:rPr>
        <w:t>changed to S</w:t>
      </w:r>
      <w:r w:rsidRPr="00C625F0">
        <w:rPr>
          <w:sz w:val="24"/>
          <w:szCs w:val="24"/>
          <w:lang w:eastAsia="en-AU"/>
        </w:rPr>
        <w:t xml:space="preserve">treamlined </w:t>
      </w:r>
      <w:r w:rsidR="007F21B2">
        <w:rPr>
          <w:sz w:val="24"/>
          <w:szCs w:val="24"/>
          <w:lang w:eastAsia="en-AU"/>
        </w:rPr>
        <w:t xml:space="preserve">Authority </w:t>
      </w:r>
      <w:r w:rsidR="009C3045">
        <w:rPr>
          <w:sz w:val="24"/>
          <w:szCs w:val="24"/>
          <w:lang w:eastAsia="en-AU"/>
        </w:rPr>
        <w:t>despite th</w:t>
      </w:r>
      <w:r w:rsidR="00091A48">
        <w:rPr>
          <w:sz w:val="24"/>
          <w:szCs w:val="24"/>
          <w:lang w:eastAsia="en-AU"/>
        </w:rPr>
        <w:t xml:space="preserve">is use being outside the PBS restriction. </w:t>
      </w:r>
    </w:p>
    <w:p w14:paraId="1A5A9BBB" w14:textId="1DF9D976" w:rsidR="003F7AC0" w:rsidRDefault="003F7AC0" w:rsidP="003E3498">
      <w:pPr>
        <w:pStyle w:val="Figurecaption"/>
        <w:rPr>
          <w:sz w:val="24"/>
          <w:szCs w:val="24"/>
          <w:lang w:eastAsia="en-AU"/>
        </w:rPr>
      </w:pPr>
    </w:p>
    <w:p w14:paraId="3E1E9F42" w14:textId="56316E0B" w:rsidR="003F7AC0" w:rsidRDefault="00C32C46" w:rsidP="003E3498">
      <w:pPr>
        <w:pStyle w:val="Figurecaption"/>
        <w:rPr>
          <w:color w:val="FF0000"/>
          <w:sz w:val="24"/>
          <w:szCs w:val="24"/>
          <w:lang w:eastAsia="en-AU"/>
        </w:rPr>
      </w:pPr>
      <w:r w:rsidRPr="00C32C46">
        <w:rPr>
          <w:noProof/>
          <w:color w:val="FF0000"/>
          <w:sz w:val="24"/>
          <w:szCs w:val="24"/>
          <w:lang w:eastAsia="en-AU"/>
        </w:rPr>
        <w:lastRenderedPageBreak/>
        <w:drawing>
          <wp:inline distT="0" distB="0" distL="0" distR="0" wp14:anchorId="5391286A" wp14:editId="541D14E4">
            <wp:extent cx="5687695" cy="3756660"/>
            <wp:effectExtent l="0" t="0" r="8255" b="0"/>
            <wp:docPr id="1909652683" name="Picture 1" descr="Two lines on the graph with indicators to dates of restriction chan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652683" name="Picture 1" descr="Two lines on the graph with indicators to dates of restriction changes. "/>
                    <pic:cNvPicPr/>
                  </pic:nvPicPr>
                  <pic:blipFill>
                    <a:blip r:embed="rId18"/>
                    <a:stretch>
                      <a:fillRect/>
                    </a:stretch>
                  </pic:blipFill>
                  <pic:spPr>
                    <a:xfrm>
                      <a:off x="0" y="0"/>
                      <a:ext cx="5687695" cy="3756660"/>
                    </a:xfrm>
                    <a:prstGeom prst="rect">
                      <a:avLst/>
                    </a:prstGeom>
                  </pic:spPr>
                </pic:pic>
              </a:graphicData>
            </a:graphic>
          </wp:inline>
        </w:drawing>
      </w:r>
    </w:p>
    <w:p w14:paraId="67C26600" w14:textId="112196D9" w:rsidR="00E4476A" w:rsidRDefault="00E4476A" w:rsidP="00E4476A">
      <w:pPr>
        <w:pStyle w:val="Figurecaption"/>
        <w:rPr>
          <w:b/>
          <w:sz w:val="24"/>
          <w:szCs w:val="24"/>
          <w:lang w:val="en-US" w:eastAsia="en-AU"/>
        </w:rPr>
      </w:pPr>
      <w:r w:rsidRPr="009764EF">
        <w:rPr>
          <w:b/>
          <w:sz w:val="24"/>
          <w:szCs w:val="24"/>
          <w:lang w:val="en-US" w:eastAsia="en-AU"/>
        </w:rPr>
        <w:t xml:space="preserve">Figure </w:t>
      </w:r>
      <w:r>
        <w:rPr>
          <w:b/>
          <w:sz w:val="24"/>
          <w:szCs w:val="24"/>
          <w:lang w:val="en-US" w:eastAsia="en-AU"/>
        </w:rPr>
        <w:t>3</w:t>
      </w:r>
      <w:r w:rsidRPr="009764EF">
        <w:rPr>
          <w:b/>
          <w:sz w:val="24"/>
          <w:szCs w:val="24"/>
          <w:lang w:val="en-US" w:eastAsia="en-AU"/>
        </w:rPr>
        <w:t xml:space="preserve">: </w:t>
      </w:r>
      <w:r>
        <w:rPr>
          <w:b/>
          <w:sz w:val="24"/>
          <w:szCs w:val="24"/>
          <w:lang w:val="en-US" w:eastAsia="en-AU"/>
        </w:rPr>
        <w:t xml:space="preserve">Number of patients </w:t>
      </w:r>
      <w:r w:rsidR="00077520">
        <w:rPr>
          <w:b/>
          <w:sz w:val="24"/>
          <w:szCs w:val="24"/>
          <w:lang w:val="en-US" w:eastAsia="en-AU"/>
        </w:rPr>
        <w:t>supplied</w:t>
      </w:r>
      <w:r>
        <w:rPr>
          <w:b/>
          <w:sz w:val="24"/>
          <w:szCs w:val="24"/>
          <w:lang w:val="en-US" w:eastAsia="en-AU"/>
        </w:rPr>
        <w:t xml:space="preserve"> fluticasone propionate 50 mcg (using either item code) by age and month of supply</w:t>
      </w:r>
    </w:p>
    <w:p w14:paraId="78ADCBFF" w14:textId="1CCD061E" w:rsidR="00D269AD" w:rsidRDefault="00D269AD" w:rsidP="00E4476A">
      <w:pPr>
        <w:pStyle w:val="Figurecaption"/>
        <w:rPr>
          <w:b/>
          <w:sz w:val="24"/>
          <w:szCs w:val="24"/>
          <w:lang w:val="en-US" w:eastAsia="en-AU"/>
        </w:rPr>
      </w:pPr>
    </w:p>
    <w:p w14:paraId="2AFD097A" w14:textId="2CEBA428" w:rsidR="00E4476A" w:rsidRPr="00A74803" w:rsidRDefault="00B90874" w:rsidP="003E3498">
      <w:pPr>
        <w:pStyle w:val="Figurecaption"/>
        <w:rPr>
          <w:sz w:val="24"/>
          <w:szCs w:val="24"/>
          <w:lang w:eastAsia="en-AU"/>
        </w:rPr>
      </w:pPr>
      <w:r w:rsidRPr="00A74803">
        <w:rPr>
          <w:bCs/>
          <w:sz w:val="24"/>
          <w:szCs w:val="24"/>
          <w:lang w:val="en-US" w:eastAsia="en-AU"/>
        </w:rPr>
        <w:t xml:space="preserve">The trends seen in Figure 3 are similar to those of Figure 1. </w:t>
      </w:r>
      <w:r w:rsidR="00213BCD" w:rsidRPr="00A74803">
        <w:rPr>
          <w:bCs/>
          <w:sz w:val="24"/>
          <w:szCs w:val="24"/>
          <w:lang w:val="en-US" w:eastAsia="en-AU"/>
        </w:rPr>
        <w:t>A potential</w:t>
      </w:r>
      <w:r w:rsidR="00117F2D" w:rsidRPr="00A74803">
        <w:rPr>
          <w:bCs/>
          <w:sz w:val="24"/>
          <w:szCs w:val="24"/>
          <w:lang w:val="en-US" w:eastAsia="en-AU"/>
        </w:rPr>
        <w:t xml:space="preserve"> reason </w:t>
      </w:r>
      <w:r w:rsidR="0002200D" w:rsidRPr="00A74803">
        <w:rPr>
          <w:bCs/>
          <w:sz w:val="24"/>
          <w:szCs w:val="24"/>
          <w:lang w:val="en-US" w:eastAsia="en-AU"/>
        </w:rPr>
        <w:t>for</w:t>
      </w:r>
      <w:r w:rsidR="00117F2D" w:rsidRPr="00A74803">
        <w:rPr>
          <w:bCs/>
          <w:sz w:val="24"/>
          <w:szCs w:val="24"/>
          <w:lang w:val="en-US" w:eastAsia="en-AU"/>
        </w:rPr>
        <w:t xml:space="preserve"> </w:t>
      </w:r>
      <w:r w:rsidR="0002200D" w:rsidRPr="00A74803">
        <w:rPr>
          <w:bCs/>
          <w:sz w:val="24"/>
          <w:szCs w:val="24"/>
          <w:lang w:val="en-US" w:eastAsia="en-AU"/>
        </w:rPr>
        <w:t xml:space="preserve">the number of </w:t>
      </w:r>
      <w:r w:rsidR="00117F2D" w:rsidRPr="00A74803">
        <w:rPr>
          <w:bCs/>
          <w:sz w:val="24"/>
          <w:szCs w:val="24"/>
          <w:lang w:val="en-US" w:eastAsia="en-AU"/>
        </w:rPr>
        <w:t xml:space="preserve">prevalent patients </w:t>
      </w:r>
      <w:r w:rsidR="00213BCD" w:rsidRPr="00A74803">
        <w:rPr>
          <w:bCs/>
          <w:sz w:val="24"/>
          <w:szCs w:val="24"/>
          <w:lang w:val="en-US" w:eastAsia="en-AU"/>
        </w:rPr>
        <w:t xml:space="preserve">aged </w:t>
      </w:r>
      <w:r w:rsidR="00117F2D" w:rsidRPr="00A74803">
        <w:rPr>
          <w:bCs/>
          <w:sz w:val="24"/>
          <w:szCs w:val="24"/>
          <w:lang w:val="en-US" w:eastAsia="en-AU"/>
        </w:rPr>
        <w:t xml:space="preserve">6 years </w:t>
      </w:r>
      <w:r w:rsidR="00213BCD" w:rsidRPr="00A74803">
        <w:rPr>
          <w:bCs/>
          <w:sz w:val="24"/>
          <w:szCs w:val="24"/>
          <w:lang w:val="en-US" w:eastAsia="en-AU"/>
        </w:rPr>
        <w:t xml:space="preserve">and </w:t>
      </w:r>
      <w:r w:rsidR="005146A1">
        <w:rPr>
          <w:bCs/>
          <w:sz w:val="24"/>
          <w:szCs w:val="24"/>
          <w:lang w:val="en-US" w:eastAsia="en-AU"/>
        </w:rPr>
        <w:t>over</w:t>
      </w:r>
      <w:r w:rsidR="00213BCD" w:rsidRPr="00A74803">
        <w:rPr>
          <w:bCs/>
          <w:sz w:val="24"/>
          <w:szCs w:val="24"/>
          <w:lang w:val="en-US" w:eastAsia="en-AU"/>
        </w:rPr>
        <w:t xml:space="preserve"> </w:t>
      </w:r>
      <w:r w:rsidR="00117F2D" w:rsidRPr="00A74803">
        <w:rPr>
          <w:bCs/>
          <w:sz w:val="24"/>
          <w:szCs w:val="24"/>
          <w:lang w:val="en-US" w:eastAsia="en-AU"/>
        </w:rPr>
        <w:t>not decreas</w:t>
      </w:r>
      <w:r w:rsidR="0002200D" w:rsidRPr="00A74803">
        <w:rPr>
          <w:bCs/>
          <w:sz w:val="24"/>
          <w:szCs w:val="24"/>
          <w:lang w:val="en-US" w:eastAsia="en-AU"/>
        </w:rPr>
        <w:t>ing</w:t>
      </w:r>
      <w:r w:rsidR="00117F2D" w:rsidRPr="00A74803">
        <w:rPr>
          <w:bCs/>
          <w:sz w:val="24"/>
          <w:szCs w:val="24"/>
          <w:lang w:val="en-US" w:eastAsia="en-AU"/>
        </w:rPr>
        <w:t xml:space="preserve"> </w:t>
      </w:r>
      <w:r w:rsidR="0002200D" w:rsidRPr="00A74803">
        <w:rPr>
          <w:bCs/>
          <w:sz w:val="24"/>
          <w:szCs w:val="24"/>
          <w:lang w:val="en-US" w:eastAsia="en-AU"/>
        </w:rPr>
        <w:t>further following April 2023</w:t>
      </w:r>
      <w:r w:rsidR="00117F2D" w:rsidRPr="00A74803">
        <w:rPr>
          <w:bCs/>
          <w:sz w:val="24"/>
          <w:szCs w:val="24"/>
          <w:lang w:val="en-US" w:eastAsia="en-AU"/>
        </w:rPr>
        <w:t xml:space="preserve"> is that both item codes have 5 repeats and so patients were being supplied scripts </w:t>
      </w:r>
      <w:r w:rsidR="0002200D" w:rsidRPr="00A74803">
        <w:rPr>
          <w:bCs/>
          <w:sz w:val="24"/>
          <w:szCs w:val="24"/>
          <w:lang w:val="en-US" w:eastAsia="en-AU"/>
        </w:rPr>
        <w:t xml:space="preserve">between April and June </w:t>
      </w:r>
      <w:r w:rsidR="00117F2D" w:rsidRPr="00A74803">
        <w:rPr>
          <w:bCs/>
          <w:sz w:val="24"/>
          <w:szCs w:val="24"/>
          <w:lang w:val="en-US" w:eastAsia="en-AU"/>
        </w:rPr>
        <w:t xml:space="preserve">2023 which were written prior to </w:t>
      </w:r>
      <w:r w:rsidR="0002200D" w:rsidRPr="00A74803">
        <w:rPr>
          <w:bCs/>
          <w:sz w:val="24"/>
          <w:szCs w:val="24"/>
          <w:lang w:val="en-US" w:eastAsia="en-AU"/>
        </w:rPr>
        <w:t>April 2023</w:t>
      </w:r>
      <w:r w:rsidR="00117F2D" w:rsidRPr="00A74803">
        <w:rPr>
          <w:bCs/>
          <w:sz w:val="24"/>
          <w:szCs w:val="24"/>
          <w:lang w:val="en-US" w:eastAsia="en-AU"/>
        </w:rPr>
        <w:t xml:space="preserve"> (when the listing was </w:t>
      </w:r>
      <w:r w:rsidR="0002200D" w:rsidRPr="00A74803">
        <w:rPr>
          <w:bCs/>
          <w:sz w:val="24"/>
          <w:szCs w:val="24"/>
          <w:lang w:val="en-US" w:eastAsia="en-AU"/>
        </w:rPr>
        <w:t>U</w:t>
      </w:r>
      <w:r w:rsidR="00117F2D" w:rsidRPr="00A74803">
        <w:rPr>
          <w:bCs/>
          <w:sz w:val="24"/>
          <w:szCs w:val="24"/>
          <w:lang w:val="en-US" w:eastAsia="en-AU"/>
        </w:rPr>
        <w:t>nrestricted).</w:t>
      </w:r>
    </w:p>
    <w:p w14:paraId="7237E2C6" w14:textId="3316F36D" w:rsidR="003E3498" w:rsidRPr="00344A61" w:rsidRDefault="003E3498" w:rsidP="00FE645A">
      <w:pPr>
        <w:pStyle w:val="Figurecaption"/>
        <w:rPr>
          <w:rFonts w:eastAsia="Calibri" w:cs="Times New Roman"/>
          <w:sz w:val="24"/>
          <w:szCs w:val="24"/>
          <w:lang w:eastAsia="en-AU"/>
        </w:rPr>
      </w:pPr>
    </w:p>
    <w:p w14:paraId="2A5FD27D" w14:textId="77777777" w:rsidR="00EC7F00" w:rsidRDefault="00EC7F00">
      <w:pPr>
        <w:spacing w:line="276" w:lineRule="auto"/>
        <w:rPr>
          <w:b/>
          <w:i/>
          <w:szCs w:val="28"/>
        </w:rPr>
      </w:pPr>
      <w:r>
        <w:br w:type="page"/>
      </w:r>
    </w:p>
    <w:p w14:paraId="09F9D349" w14:textId="72E3DB45" w:rsidR="00736041" w:rsidRPr="005E22C2" w:rsidRDefault="00736041" w:rsidP="00CF5E22">
      <w:pPr>
        <w:pStyle w:val="Heading3"/>
      </w:pPr>
      <w:r w:rsidRPr="005E22C2">
        <w:lastRenderedPageBreak/>
        <w:t xml:space="preserve">Utilisation by </w:t>
      </w:r>
      <w:r w:rsidR="00FB48AA">
        <w:t xml:space="preserve">prescriber type </w:t>
      </w:r>
    </w:p>
    <w:p w14:paraId="3541942A" w14:textId="1C992C8C" w:rsidR="004070C9" w:rsidRDefault="00041082" w:rsidP="00CF5E22">
      <w:pPr>
        <w:pStyle w:val="Heading3"/>
        <w:rPr>
          <w:i w:val="0"/>
          <w:iCs/>
        </w:rPr>
      </w:pPr>
      <w:r w:rsidRPr="00041082">
        <w:rPr>
          <w:i w:val="0"/>
          <w:iCs/>
          <w:noProof/>
        </w:rPr>
        <w:drawing>
          <wp:inline distT="0" distB="0" distL="0" distR="0" wp14:anchorId="3B4EC742" wp14:editId="53A80E88">
            <wp:extent cx="5687695" cy="3756660"/>
            <wp:effectExtent l="0" t="0" r="8255" b="0"/>
            <wp:docPr id="873514229" name="Picture 1" descr="Multiple lines on the graph with indicators to dates of restriction chan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514229" name="Picture 1" descr="Multiple lines on the graph with indicators to dates of restriction changes. "/>
                    <pic:cNvPicPr/>
                  </pic:nvPicPr>
                  <pic:blipFill>
                    <a:blip r:embed="rId19"/>
                    <a:stretch>
                      <a:fillRect/>
                    </a:stretch>
                  </pic:blipFill>
                  <pic:spPr>
                    <a:xfrm>
                      <a:off x="0" y="0"/>
                      <a:ext cx="5687695" cy="3756660"/>
                    </a:xfrm>
                    <a:prstGeom prst="rect">
                      <a:avLst/>
                    </a:prstGeom>
                  </pic:spPr>
                </pic:pic>
              </a:graphicData>
            </a:graphic>
          </wp:inline>
        </w:drawing>
      </w:r>
    </w:p>
    <w:p w14:paraId="3BDFA8C1" w14:textId="6C3958BC" w:rsidR="004070C9" w:rsidRDefault="004070C9" w:rsidP="004070C9">
      <w:pPr>
        <w:pStyle w:val="Figurecaption"/>
        <w:rPr>
          <w:b/>
          <w:sz w:val="24"/>
          <w:szCs w:val="24"/>
          <w:lang w:val="en-US" w:eastAsia="en-AU"/>
        </w:rPr>
      </w:pPr>
      <w:r w:rsidRPr="009764EF">
        <w:rPr>
          <w:b/>
          <w:sz w:val="24"/>
          <w:szCs w:val="24"/>
          <w:lang w:val="en-US" w:eastAsia="en-AU"/>
        </w:rPr>
        <w:t xml:space="preserve">Figure </w:t>
      </w:r>
      <w:r>
        <w:rPr>
          <w:b/>
          <w:sz w:val="24"/>
          <w:szCs w:val="24"/>
          <w:lang w:val="en-US" w:eastAsia="en-AU"/>
        </w:rPr>
        <w:t>4</w:t>
      </w:r>
      <w:r w:rsidRPr="009764EF">
        <w:rPr>
          <w:b/>
          <w:sz w:val="24"/>
          <w:szCs w:val="24"/>
          <w:lang w:val="en-US" w:eastAsia="en-AU"/>
        </w:rPr>
        <w:t xml:space="preserve">: </w:t>
      </w:r>
      <w:r>
        <w:rPr>
          <w:b/>
          <w:sz w:val="24"/>
          <w:szCs w:val="24"/>
          <w:lang w:val="en-US" w:eastAsia="en-AU"/>
        </w:rPr>
        <w:t xml:space="preserve">Number of prescriptions for fluticasone propionate 50 mcg </w:t>
      </w:r>
      <w:r w:rsidR="00201EF8">
        <w:rPr>
          <w:b/>
          <w:sz w:val="24"/>
          <w:szCs w:val="24"/>
          <w:lang w:val="en-US" w:eastAsia="en-AU"/>
        </w:rPr>
        <w:t xml:space="preserve">(using either item code) </w:t>
      </w:r>
      <w:r>
        <w:rPr>
          <w:b/>
          <w:sz w:val="24"/>
          <w:szCs w:val="24"/>
          <w:lang w:val="en-US" w:eastAsia="en-AU"/>
        </w:rPr>
        <w:t>by</w:t>
      </w:r>
      <w:r w:rsidR="000639B0">
        <w:rPr>
          <w:b/>
          <w:sz w:val="24"/>
          <w:szCs w:val="24"/>
          <w:lang w:val="en-US" w:eastAsia="en-AU"/>
        </w:rPr>
        <w:t xml:space="preserve"> prescriber type</w:t>
      </w:r>
      <w:r w:rsidR="00D901C4">
        <w:rPr>
          <w:b/>
          <w:sz w:val="24"/>
          <w:szCs w:val="24"/>
          <w:lang w:val="en-US" w:eastAsia="en-AU"/>
        </w:rPr>
        <w:t>, patient age</w:t>
      </w:r>
      <w:r>
        <w:rPr>
          <w:b/>
          <w:sz w:val="24"/>
          <w:szCs w:val="24"/>
          <w:lang w:val="en-US" w:eastAsia="en-AU"/>
        </w:rPr>
        <w:t xml:space="preserve"> and month of supply</w:t>
      </w:r>
    </w:p>
    <w:p w14:paraId="31A506B5" w14:textId="77777777" w:rsidR="003F3A6C" w:rsidRDefault="003F3A6C" w:rsidP="004070C9">
      <w:pPr>
        <w:pStyle w:val="Figurecaption"/>
        <w:rPr>
          <w:b/>
          <w:sz w:val="24"/>
          <w:szCs w:val="24"/>
          <w:lang w:val="en-US" w:eastAsia="en-AU"/>
        </w:rPr>
      </w:pPr>
    </w:p>
    <w:p w14:paraId="6276B26F" w14:textId="068B24E2" w:rsidR="00A66AF9" w:rsidRDefault="003F3A6C" w:rsidP="004070C9">
      <w:pPr>
        <w:pStyle w:val="Figurecaption"/>
        <w:rPr>
          <w:bCs/>
          <w:sz w:val="24"/>
          <w:szCs w:val="24"/>
          <w:lang w:val="en-US" w:eastAsia="en-AU"/>
        </w:rPr>
      </w:pPr>
      <w:r>
        <w:rPr>
          <w:bCs/>
          <w:sz w:val="24"/>
          <w:szCs w:val="24"/>
          <w:lang w:val="en-US" w:eastAsia="en-AU"/>
        </w:rPr>
        <w:t xml:space="preserve">Figure 4 shows that the </w:t>
      </w:r>
      <w:r w:rsidR="00B36008">
        <w:rPr>
          <w:bCs/>
          <w:sz w:val="24"/>
          <w:szCs w:val="24"/>
          <w:lang w:val="en-US" w:eastAsia="en-AU"/>
        </w:rPr>
        <w:t xml:space="preserve">predominant prescribers of this medicine are </w:t>
      </w:r>
      <w:r w:rsidR="003D5700">
        <w:rPr>
          <w:bCs/>
          <w:sz w:val="24"/>
          <w:szCs w:val="24"/>
          <w:lang w:val="en-US" w:eastAsia="en-AU"/>
        </w:rPr>
        <w:t xml:space="preserve">vocationally registered </w:t>
      </w:r>
      <w:r w:rsidR="00B36008">
        <w:rPr>
          <w:bCs/>
          <w:sz w:val="24"/>
          <w:szCs w:val="24"/>
          <w:lang w:val="en-US" w:eastAsia="en-AU"/>
        </w:rPr>
        <w:t>GPs</w:t>
      </w:r>
      <w:r w:rsidR="00014F60">
        <w:rPr>
          <w:bCs/>
          <w:sz w:val="24"/>
          <w:szCs w:val="24"/>
          <w:lang w:val="en-US" w:eastAsia="en-AU"/>
        </w:rPr>
        <w:t xml:space="preserve"> (VRGP)</w:t>
      </w:r>
      <w:r w:rsidR="00B03360">
        <w:rPr>
          <w:bCs/>
          <w:sz w:val="24"/>
          <w:szCs w:val="24"/>
          <w:lang w:val="en-US" w:eastAsia="en-AU"/>
        </w:rPr>
        <w:t>. A</w:t>
      </w:r>
      <w:r w:rsidR="00B03360" w:rsidRPr="00B03360">
        <w:rPr>
          <w:bCs/>
          <w:sz w:val="24"/>
          <w:szCs w:val="24"/>
          <w:lang w:val="en-US" w:eastAsia="en-AU"/>
        </w:rPr>
        <w:t xml:space="preserve">ll prescriber types less frequent than </w:t>
      </w:r>
      <w:r w:rsidR="00B03360">
        <w:rPr>
          <w:bCs/>
          <w:sz w:val="24"/>
          <w:szCs w:val="24"/>
          <w:lang w:val="en-US" w:eastAsia="en-AU"/>
        </w:rPr>
        <w:t>‘</w:t>
      </w:r>
      <w:r w:rsidR="00B03360" w:rsidRPr="00B03360">
        <w:rPr>
          <w:bCs/>
          <w:sz w:val="24"/>
          <w:szCs w:val="24"/>
          <w:lang w:val="en-US" w:eastAsia="en-AU"/>
        </w:rPr>
        <w:t>Respiratory and Sleep Medicine</w:t>
      </w:r>
      <w:r w:rsidR="00B03360">
        <w:rPr>
          <w:bCs/>
          <w:sz w:val="24"/>
          <w:szCs w:val="24"/>
          <w:lang w:val="en-US" w:eastAsia="en-AU"/>
        </w:rPr>
        <w:t>’</w:t>
      </w:r>
      <w:r w:rsidR="00B03360" w:rsidRPr="00B03360">
        <w:rPr>
          <w:bCs/>
          <w:sz w:val="24"/>
          <w:szCs w:val="24"/>
          <w:lang w:val="en-US" w:eastAsia="en-AU"/>
        </w:rPr>
        <w:t xml:space="preserve"> </w:t>
      </w:r>
      <w:r w:rsidR="00B03360">
        <w:rPr>
          <w:bCs/>
          <w:sz w:val="24"/>
          <w:szCs w:val="24"/>
          <w:lang w:val="en-US" w:eastAsia="en-AU"/>
        </w:rPr>
        <w:t xml:space="preserve">have been grouped </w:t>
      </w:r>
      <w:r w:rsidR="00B03360" w:rsidRPr="00B03360">
        <w:rPr>
          <w:bCs/>
          <w:sz w:val="24"/>
          <w:szCs w:val="24"/>
          <w:lang w:val="en-US" w:eastAsia="en-AU"/>
        </w:rPr>
        <w:t xml:space="preserve">into the </w:t>
      </w:r>
      <w:r w:rsidR="00B03360">
        <w:rPr>
          <w:bCs/>
          <w:sz w:val="24"/>
          <w:szCs w:val="24"/>
          <w:lang w:val="en-US" w:eastAsia="en-AU"/>
        </w:rPr>
        <w:t>‘</w:t>
      </w:r>
      <w:r w:rsidR="00B03360" w:rsidRPr="00B03360">
        <w:rPr>
          <w:bCs/>
          <w:sz w:val="24"/>
          <w:szCs w:val="24"/>
          <w:lang w:val="en-US" w:eastAsia="en-AU"/>
        </w:rPr>
        <w:t>Other</w:t>
      </w:r>
      <w:r w:rsidR="00B03360">
        <w:rPr>
          <w:bCs/>
          <w:sz w:val="24"/>
          <w:szCs w:val="24"/>
          <w:lang w:val="en-US" w:eastAsia="en-AU"/>
        </w:rPr>
        <w:t>’</w:t>
      </w:r>
      <w:r w:rsidR="00B03360" w:rsidRPr="00B03360">
        <w:rPr>
          <w:bCs/>
          <w:sz w:val="24"/>
          <w:szCs w:val="24"/>
          <w:lang w:val="en-US" w:eastAsia="en-AU"/>
        </w:rPr>
        <w:t xml:space="preserve"> category</w:t>
      </w:r>
      <w:r w:rsidR="00C177B6">
        <w:rPr>
          <w:bCs/>
          <w:sz w:val="24"/>
          <w:szCs w:val="24"/>
          <w:lang w:val="en-US" w:eastAsia="en-AU"/>
        </w:rPr>
        <w:t xml:space="preserve"> </w:t>
      </w:r>
      <w:r w:rsidR="00DD46F6">
        <w:rPr>
          <w:bCs/>
          <w:sz w:val="24"/>
          <w:szCs w:val="24"/>
          <w:lang w:val="en-US" w:eastAsia="en-AU"/>
        </w:rPr>
        <w:t xml:space="preserve">to reduce clutter. </w:t>
      </w:r>
      <w:r w:rsidR="002E2E9C">
        <w:rPr>
          <w:bCs/>
          <w:sz w:val="24"/>
          <w:szCs w:val="24"/>
          <w:lang w:val="en-US" w:eastAsia="en-AU"/>
        </w:rPr>
        <w:t xml:space="preserve"> </w:t>
      </w:r>
    </w:p>
    <w:p w14:paraId="1556B937" w14:textId="1FCFE480" w:rsidR="00A66AF9" w:rsidRDefault="00A66AF9" w:rsidP="004070C9">
      <w:pPr>
        <w:pStyle w:val="Figurecaption"/>
        <w:rPr>
          <w:bCs/>
          <w:sz w:val="24"/>
          <w:szCs w:val="24"/>
          <w:lang w:val="en-US" w:eastAsia="en-AU"/>
        </w:rPr>
      </w:pPr>
    </w:p>
    <w:p w14:paraId="318D84AB" w14:textId="57E63442" w:rsidR="003F3A6C" w:rsidRDefault="00A66AF9" w:rsidP="004070C9">
      <w:pPr>
        <w:pStyle w:val="Figurecaption"/>
        <w:rPr>
          <w:bCs/>
          <w:sz w:val="24"/>
          <w:szCs w:val="24"/>
          <w:lang w:val="en-US" w:eastAsia="en-AU"/>
        </w:rPr>
      </w:pPr>
      <w:r>
        <w:rPr>
          <w:bCs/>
          <w:sz w:val="24"/>
          <w:szCs w:val="24"/>
          <w:lang w:val="en-US" w:eastAsia="en-AU"/>
        </w:rPr>
        <w:t>Figure 5</w:t>
      </w:r>
      <w:r w:rsidRPr="00A66AF9">
        <w:rPr>
          <w:bCs/>
          <w:sz w:val="24"/>
          <w:szCs w:val="24"/>
          <w:lang w:val="en-US" w:eastAsia="en-AU"/>
        </w:rPr>
        <w:t xml:space="preserve"> below excludes </w:t>
      </w:r>
      <w:r w:rsidR="00BB1AFB">
        <w:rPr>
          <w:bCs/>
          <w:sz w:val="24"/>
          <w:szCs w:val="24"/>
          <w:lang w:val="en-US" w:eastAsia="en-AU"/>
        </w:rPr>
        <w:t>VR</w:t>
      </w:r>
      <w:r w:rsidRPr="00A66AF9">
        <w:rPr>
          <w:bCs/>
          <w:sz w:val="24"/>
          <w:szCs w:val="24"/>
          <w:lang w:val="en-US" w:eastAsia="en-AU"/>
        </w:rPr>
        <w:t>GPs so that the other prescriber types can be seen</w:t>
      </w:r>
      <w:r w:rsidR="00F66CAD">
        <w:rPr>
          <w:bCs/>
          <w:sz w:val="24"/>
          <w:szCs w:val="24"/>
          <w:lang w:val="en-US" w:eastAsia="en-AU"/>
        </w:rPr>
        <w:t xml:space="preserve"> more clearly. </w:t>
      </w:r>
    </w:p>
    <w:p w14:paraId="3BFB6454" w14:textId="06BB7776" w:rsidR="00F66CAD" w:rsidRPr="003F3A6C" w:rsidRDefault="00A05EB4" w:rsidP="004070C9">
      <w:pPr>
        <w:pStyle w:val="Figurecaption"/>
        <w:rPr>
          <w:bCs/>
          <w:sz w:val="24"/>
          <w:szCs w:val="24"/>
          <w:lang w:val="en-US" w:eastAsia="en-AU"/>
        </w:rPr>
      </w:pPr>
      <w:r w:rsidRPr="00A05EB4">
        <w:rPr>
          <w:bCs/>
          <w:noProof/>
          <w:sz w:val="24"/>
          <w:szCs w:val="24"/>
          <w:lang w:val="en-US" w:eastAsia="en-AU"/>
        </w:rPr>
        <w:lastRenderedPageBreak/>
        <w:drawing>
          <wp:inline distT="0" distB="0" distL="0" distR="0" wp14:anchorId="798E9EA0" wp14:editId="322B1144">
            <wp:extent cx="5687695" cy="3743960"/>
            <wp:effectExtent l="0" t="0" r="8255" b="8890"/>
            <wp:docPr id="1991691474" name="Picture 1" descr="Multiple lines on the graph with indicators to dates of restriction chan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691474" name="Picture 1" descr="Multiple lines on the graph with indicators to dates of restriction changes. "/>
                    <pic:cNvPicPr/>
                  </pic:nvPicPr>
                  <pic:blipFill>
                    <a:blip r:embed="rId20"/>
                    <a:stretch>
                      <a:fillRect/>
                    </a:stretch>
                  </pic:blipFill>
                  <pic:spPr>
                    <a:xfrm>
                      <a:off x="0" y="0"/>
                      <a:ext cx="5687695" cy="3743960"/>
                    </a:xfrm>
                    <a:prstGeom prst="rect">
                      <a:avLst/>
                    </a:prstGeom>
                  </pic:spPr>
                </pic:pic>
              </a:graphicData>
            </a:graphic>
          </wp:inline>
        </w:drawing>
      </w:r>
    </w:p>
    <w:p w14:paraId="26E3D3A0" w14:textId="26E2425B" w:rsidR="0053600D" w:rsidRDefault="00F66CAD" w:rsidP="0053600D">
      <w:pPr>
        <w:pStyle w:val="Figurecaption"/>
        <w:rPr>
          <w:b/>
          <w:sz w:val="24"/>
          <w:szCs w:val="24"/>
          <w:lang w:val="en-US" w:eastAsia="en-AU"/>
        </w:rPr>
      </w:pPr>
      <w:r w:rsidRPr="009764EF">
        <w:rPr>
          <w:b/>
          <w:sz w:val="24"/>
          <w:szCs w:val="24"/>
          <w:lang w:val="en-US" w:eastAsia="en-AU"/>
        </w:rPr>
        <w:t xml:space="preserve">Figure </w:t>
      </w:r>
      <w:r>
        <w:rPr>
          <w:b/>
          <w:sz w:val="24"/>
          <w:szCs w:val="24"/>
          <w:lang w:val="en-US" w:eastAsia="en-AU"/>
        </w:rPr>
        <w:t>5</w:t>
      </w:r>
      <w:r w:rsidRPr="009764EF">
        <w:rPr>
          <w:b/>
          <w:sz w:val="24"/>
          <w:szCs w:val="24"/>
          <w:lang w:val="en-US" w:eastAsia="en-AU"/>
        </w:rPr>
        <w:t xml:space="preserve">: </w:t>
      </w:r>
      <w:r>
        <w:rPr>
          <w:b/>
          <w:sz w:val="24"/>
          <w:szCs w:val="24"/>
          <w:lang w:val="en-US" w:eastAsia="en-AU"/>
        </w:rPr>
        <w:t>Number of prescriptions for fluticasone propionate 50 mcg (using either item code) by prescriber type (excluding VRGPs)</w:t>
      </w:r>
      <w:r w:rsidR="00D901C4">
        <w:rPr>
          <w:b/>
          <w:sz w:val="24"/>
          <w:szCs w:val="24"/>
          <w:lang w:val="en-US" w:eastAsia="en-AU"/>
        </w:rPr>
        <w:t>, patient age</w:t>
      </w:r>
      <w:r>
        <w:rPr>
          <w:b/>
          <w:sz w:val="24"/>
          <w:szCs w:val="24"/>
          <w:lang w:val="en-US" w:eastAsia="en-AU"/>
        </w:rPr>
        <w:t xml:space="preserve"> and month of supply</w:t>
      </w:r>
    </w:p>
    <w:p w14:paraId="482E4D7F" w14:textId="12E4C746" w:rsidR="0053600D" w:rsidRDefault="0053600D" w:rsidP="0053600D">
      <w:pPr>
        <w:pStyle w:val="Figurecaption"/>
        <w:rPr>
          <w:b/>
          <w:sz w:val="24"/>
          <w:szCs w:val="24"/>
          <w:lang w:val="en-US" w:eastAsia="en-AU"/>
        </w:rPr>
      </w:pPr>
    </w:p>
    <w:p w14:paraId="7D1EB47C" w14:textId="1A5019EC" w:rsidR="0053600D" w:rsidRDefault="008B4ADE" w:rsidP="0053600D">
      <w:pPr>
        <w:pStyle w:val="Figurecaption"/>
        <w:rPr>
          <w:bCs/>
          <w:sz w:val="24"/>
          <w:szCs w:val="24"/>
          <w:lang w:val="en-US" w:eastAsia="en-AU"/>
        </w:rPr>
      </w:pPr>
      <w:r w:rsidRPr="008B4ADE">
        <w:rPr>
          <w:bCs/>
          <w:sz w:val="24"/>
          <w:szCs w:val="24"/>
          <w:lang w:val="en-US" w:eastAsia="en-AU"/>
        </w:rPr>
        <w:t xml:space="preserve">One feature </w:t>
      </w:r>
      <w:r w:rsidR="00BD664E">
        <w:rPr>
          <w:bCs/>
          <w:sz w:val="24"/>
          <w:szCs w:val="24"/>
          <w:lang w:val="en-US" w:eastAsia="en-AU"/>
        </w:rPr>
        <w:t xml:space="preserve">of the analysis </w:t>
      </w:r>
      <w:r w:rsidRPr="008B4ADE">
        <w:rPr>
          <w:bCs/>
          <w:sz w:val="24"/>
          <w:szCs w:val="24"/>
          <w:lang w:val="en-US" w:eastAsia="en-AU"/>
        </w:rPr>
        <w:t xml:space="preserve">is that the prescribing </w:t>
      </w:r>
      <w:r w:rsidR="008E4850">
        <w:rPr>
          <w:bCs/>
          <w:sz w:val="24"/>
          <w:szCs w:val="24"/>
          <w:lang w:val="en-US" w:eastAsia="en-AU"/>
        </w:rPr>
        <w:t>by</w:t>
      </w:r>
      <w:r w:rsidRPr="008B4ADE">
        <w:rPr>
          <w:bCs/>
          <w:sz w:val="24"/>
          <w:szCs w:val="24"/>
          <w:lang w:val="en-US" w:eastAsia="en-AU"/>
        </w:rPr>
        <w:t xml:space="preserve"> </w:t>
      </w:r>
      <w:proofErr w:type="spellStart"/>
      <w:r w:rsidRPr="008B4ADE">
        <w:rPr>
          <w:bCs/>
          <w:sz w:val="24"/>
          <w:szCs w:val="24"/>
          <w:lang w:val="en-US" w:eastAsia="en-AU"/>
        </w:rPr>
        <w:t>paediatric</w:t>
      </w:r>
      <w:proofErr w:type="spellEnd"/>
      <w:r w:rsidRPr="008B4ADE">
        <w:rPr>
          <w:bCs/>
          <w:sz w:val="24"/>
          <w:szCs w:val="24"/>
          <w:lang w:val="en-US" w:eastAsia="en-AU"/>
        </w:rPr>
        <w:t xml:space="preserve"> </w:t>
      </w:r>
      <w:r w:rsidR="00C449B7">
        <w:rPr>
          <w:bCs/>
          <w:sz w:val="24"/>
          <w:szCs w:val="24"/>
          <w:lang w:val="en-US" w:eastAsia="en-AU"/>
        </w:rPr>
        <w:t xml:space="preserve">specialists </w:t>
      </w:r>
      <w:r w:rsidRPr="008B4ADE">
        <w:rPr>
          <w:bCs/>
          <w:sz w:val="24"/>
          <w:szCs w:val="24"/>
          <w:lang w:val="en-US" w:eastAsia="en-AU"/>
        </w:rPr>
        <w:t xml:space="preserve">to patients 5 years </w:t>
      </w:r>
      <w:r w:rsidR="00C449B7">
        <w:rPr>
          <w:bCs/>
          <w:sz w:val="24"/>
          <w:szCs w:val="24"/>
          <w:lang w:val="en-US" w:eastAsia="en-AU"/>
        </w:rPr>
        <w:t xml:space="preserve">and under </w:t>
      </w:r>
      <w:r w:rsidRPr="008B4ADE">
        <w:rPr>
          <w:bCs/>
          <w:sz w:val="24"/>
          <w:szCs w:val="24"/>
          <w:lang w:val="en-US" w:eastAsia="en-AU"/>
        </w:rPr>
        <w:t xml:space="preserve">recovers quickly in the month after the 1 April 2023 restriction change. </w:t>
      </w:r>
      <w:proofErr w:type="spellStart"/>
      <w:r w:rsidR="0090144E">
        <w:rPr>
          <w:bCs/>
          <w:sz w:val="24"/>
          <w:szCs w:val="24"/>
          <w:lang w:val="en-US" w:eastAsia="en-AU"/>
        </w:rPr>
        <w:t>P</w:t>
      </w:r>
      <w:r w:rsidRPr="008B4ADE">
        <w:rPr>
          <w:bCs/>
          <w:sz w:val="24"/>
          <w:szCs w:val="24"/>
          <w:lang w:val="en-US" w:eastAsia="en-AU"/>
        </w:rPr>
        <w:t>aediatricians</w:t>
      </w:r>
      <w:proofErr w:type="spellEnd"/>
      <w:r w:rsidRPr="008B4ADE">
        <w:rPr>
          <w:bCs/>
          <w:sz w:val="24"/>
          <w:szCs w:val="24"/>
          <w:lang w:val="en-US" w:eastAsia="en-AU"/>
        </w:rPr>
        <w:t xml:space="preserve"> and respiratory physicians </w:t>
      </w:r>
      <w:r w:rsidR="0090144E">
        <w:rPr>
          <w:bCs/>
          <w:sz w:val="24"/>
          <w:szCs w:val="24"/>
          <w:lang w:val="en-US" w:eastAsia="en-AU"/>
        </w:rPr>
        <w:t>were</w:t>
      </w:r>
      <w:r w:rsidRPr="008B4ADE">
        <w:rPr>
          <w:bCs/>
          <w:sz w:val="24"/>
          <w:szCs w:val="24"/>
          <w:lang w:val="en-US" w:eastAsia="en-AU"/>
        </w:rPr>
        <w:t xml:space="preserve"> the only specialists in the period 1 April to 1 July 2023 that </w:t>
      </w:r>
      <w:r w:rsidR="0090144E">
        <w:rPr>
          <w:bCs/>
          <w:sz w:val="24"/>
          <w:szCs w:val="24"/>
          <w:lang w:val="en-US" w:eastAsia="en-AU"/>
        </w:rPr>
        <w:t>were</w:t>
      </w:r>
      <w:r w:rsidRPr="008B4ADE">
        <w:rPr>
          <w:bCs/>
          <w:sz w:val="24"/>
          <w:szCs w:val="24"/>
          <w:lang w:val="en-US" w:eastAsia="en-AU"/>
        </w:rPr>
        <w:t xml:space="preserve"> </w:t>
      </w:r>
      <w:r w:rsidR="0090144E">
        <w:rPr>
          <w:bCs/>
          <w:sz w:val="24"/>
          <w:szCs w:val="24"/>
          <w:lang w:val="en-US" w:eastAsia="en-AU"/>
        </w:rPr>
        <w:t>permitted</w:t>
      </w:r>
      <w:r w:rsidRPr="008B4ADE">
        <w:rPr>
          <w:bCs/>
          <w:sz w:val="24"/>
          <w:szCs w:val="24"/>
          <w:lang w:val="en-US" w:eastAsia="en-AU"/>
        </w:rPr>
        <w:t xml:space="preserve"> in the </w:t>
      </w:r>
      <w:r w:rsidR="0090144E">
        <w:rPr>
          <w:bCs/>
          <w:sz w:val="24"/>
          <w:szCs w:val="24"/>
          <w:lang w:val="en-US" w:eastAsia="en-AU"/>
        </w:rPr>
        <w:t xml:space="preserve">PBS </w:t>
      </w:r>
      <w:r w:rsidRPr="008B4ADE">
        <w:rPr>
          <w:bCs/>
          <w:sz w:val="24"/>
          <w:szCs w:val="24"/>
          <w:lang w:val="en-US" w:eastAsia="en-AU"/>
        </w:rPr>
        <w:t>restriction to prescribe both initiating and continuing scripts to patients 5 years</w:t>
      </w:r>
      <w:r w:rsidR="00D55CCD">
        <w:rPr>
          <w:bCs/>
          <w:sz w:val="24"/>
          <w:szCs w:val="24"/>
          <w:lang w:val="en-US" w:eastAsia="en-AU"/>
        </w:rPr>
        <w:t xml:space="preserve"> and under</w:t>
      </w:r>
      <w:r w:rsidRPr="008B4ADE">
        <w:rPr>
          <w:bCs/>
          <w:sz w:val="24"/>
          <w:szCs w:val="24"/>
          <w:lang w:val="en-US" w:eastAsia="en-AU"/>
        </w:rPr>
        <w:t>.</w:t>
      </w:r>
    </w:p>
    <w:p w14:paraId="27C6BA7E" w14:textId="7FF8DFF0" w:rsidR="00E333AD" w:rsidRDefault="00E333AD" w:rsidP="0053600D">
      <w:pPr>
        <w:pStyle w:val="Figurecaption"/>
        <w:rPr>
          <w:bCs/>
          <w:sz w:val="24"/>
          <w:szCs w:val="24"/>
          <w:lang w:val="en-US" w:eastAsia="en-AU"/>
        </w:rPr>
      </w:pPr>
    </w:p>
    <w:p w14:paraId="60B69503" w14:textId="6D9E663E" w:rsidR="00E333AD" w:rsidRDefault="009E42B6" w:rsidP="0053600D">
      <w:pPr>
        <w:pStyle w:val="Figurecaption"/>
        <w:rPr>
          <w:bCs/>
          <w:sz w:val="24"/>
          <w:szCs w:val="24"/>
          <w:lang w:val="en-US" w:eastAsia="en-AU"/>
        </w:rPr>
      </w:pPr>
      <w:r w:rsidRPr="009E42B6">
        <w:rPr>
          <w:bCs/>
          <w:noProof/>
          <w:sz w:val="24"/>
          <w:szCs w:val="24"/>
          <w:lang w:val="en-US" w:eastAsia="en-AU"/>
        </w:rPr>
        <w:lastRenderedPageBreak/>
        <w:drawing>
          <wp:inline distT="0" distB="0" distL="0" distR="0" wp14:anchorId="70C5398E" wp14:editId="31F87F3F">
            <wp:extent cx="5687695" cy="3725545"/>
            <wp:effectExtent l="0" t="0" r="8255" b="8255"/>
            <wp:docPr id="1770994802" name="Picture 1" descr="Multiple lines on the graph with indicators to dates of restriction chan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994802" name="Picture 1" descr="Multiple lines on the graph with indicators to dates of restriction changes. "/>
                    <pic:cNvPicPr/>
                  </pic:nvPicPr>
                  <pic:blipFill>
                    <a:blip r:embed="rId21"/>
                    <a:stretch>
                      <a:fillRect/>
                    </a:stretch>
                  </pic:blipFill>
                  <pic:spPr>
                    <a:xfrm>
                      <a:off x="0" y="0"/>
                      <a:ext cx="5687695" cy="3725545"/>
                    </a:xfrm>
                    <a:prstGeom prst="rect">
                      <a:avLst/>
                    </a:prstGeom>
                  </pic:spPr>
                </pic:pic>
              </a:graphicData>
            </a:graphic>
          </wp:inline>
        </w:drawing>
      </w:r>
    </w:p>
    <w:p w14:paraId="7787ADA1" w14:textId="339957F6" w:rsidR="00F02AED" w:rsidRDefault="00F02AED" w:rsidP="00F02AED">
      <w:pPr>
        <w:pStyle w:val="Figurecaption"/>
        <w:rPr>
          <w:b/>
          <w:sz w:val="24"/>
          <w:szCs w:val="24"/>
          <w:lang w:val="en-US" w:eastAsia="en-AU"/>
        </w:rPr>
      </w:pPr>
      <w:r w:rsidRPr="009764EF">
        <w:rPr>
          <w:b/>
          <w:sz w:val="24"/>
          <w:szCs w:val="24"/>
          <w:lang w:val="en-US" w:eastAsia="en-AU"/>
        </w:rPr>
        <w:t xml:space="preserve">Figure </w:t>
      </w:r>
      <w:r>
        <w:rPr>
          <w:b/>
          <w:sz w:val="24"/>
          <w:szCs w:val="24"/>
          <w:lang w:val="en-US" w:eastAsia="en-AU"/>
        </w:rPr>
        <w:t>6</w:t>
      </w:r>
      <w:r w:rsidRPr="009764EF">
        <w:rPr>
          <w:b/>
          <w:sz w:val="24"/>
          <w:szCs w:val="24"/>
          <w:lang w:val="en-US" w:eastAsia="en-AU"/>
        </w:rPr>
        <w:t xml:space="preserve">: </w:t>
      </w:r>
      <w:r>
        <w:rPr>
          <w:b/>
          <w:sz w:val="24"/>
          <w:szCs w:val="24"/>
          <w:lang w:val="en-US" w:eastAsia="en-AU"/>
        </w:rPr>
        <w:t xml:space="preserve">Number of patients initiating fluticasone propionate 50 mcg (using either item code) by </w:t>
      </w:r>
      <w:r w:rsidR="00E746EF">
        <w:rPr>
          <w:b/>
          <w:sz w:val="24"/>
          <w:szCs w:val="24"/>
          <w:lang w:val="en-US" w:eastAsia="en-AU"/>
        </w:rPr>
        <w:t xml:space="preserve">prescriber type, </w:t>
      </w:r>
      <w:r>
        <w:rPr>
          <w:b/>
          <w:sz w:val="24"/>
          <w:szCs w:val="24"/>
          <w:lang w:val="en-US" w:eastAsia="en-AU"/>
        </w:rPr>
        <w:t>age and month of supply</w:t>
      </w:r>
    </w:p>
    <w:p w14:paraId="38783B2C" w14:textId="3BB50A37" w:rsidR="00E178A7" w:rsidRDefault="00E178A7" w:rsidP="00F02AED">
      <w:pPr>
        <w:pStyle w:val="Figurecaption"/>
        <w:rPr>
          <w:b/>
          <w:sz w:val="24"/>
          <w:szCs w:val="24"/>
          <w:lang w:val="en-US" w:eastAsia="en-AU"/>
        </w:rPr>
      </w:pPr>
    </w:p>
    <w:p w14:paraId="70686DCF" w14:textId="2A2E3B4F" w:rsidR="00E178A7" w:rsidRDefault="00E178A7" w:rsidP="00F02AED">
      <w:pPr>
        <w:pStyle w:val="Figurecaption"/>
        <w:rPr>
          <w:bCs/>
          <w:sz w:val="24"/>
          <w:szCs w:val="24"/>
          <w:lang w:val="en-US" w:eastAsia="en-AU"/>
        </w:rPr>
      </w:pPr>
      <w:r w:rsidRPr="00E178A7">
        <w:rPr>
          <w:bCs/>
          <w:sz w:val="24"/>
          <w:szCs w:val="24"/>
          <w:lang w:val="en-US" w:eastAsia="en-AU"/>
        </w:rPr>
        <w:t xml:space="preserve">The decrease in initiations by VRGPs is very marked at </w:t>
      </w:r>
      <w:r>
        <w:rPr>
          <w:bCs/>
          <w:sz w:val="24"/>
          <w:szCs w:val="24"/>
          <w:lang w:val="en-US" w:eastAsia="en-AU"/>
        </w:rPr>
        <w:t xml:space="preserve">April </w:t>
      </w:r>
      <w:r w:rsidRPr="00E178A7">
        <w:rPr>
          <w:bCs/>
          <w:sz w:val="24"/>
          <w:szCs w:val="24"/>
          <w:lang w:val="en-US" w:eastAsia="en-AU"/>
        </w:rPr>
        <w:t>2023, particularly for patients 6</w:t>
      </w:r>
      <w:r w:rsidR="006673CF">
        <w:rPr>
          <w:bCs/>
          <w:sz w:val="24"/>
          <w:szCs w:val="24"/>
          <w:lang w:val="en-US" w:eastAsia="en-AU"/>
        </w:rPr>
        <w:t xml:space="preserve"> years </w:t>
      </w:r>
      <w:r w:rsidR="00D55CCD">
        <w:rPr>
          <w:bCs/>
          <w:sz w:val="24"/>
          <w:szCs w:val="24"/>
          <w:lang w:val="en-US" w:eastAsia="en-AU"/>
        </w:rPr>
        <w:t>and over</w:t>
      </w:r>
      <w:r w:rsidR="006673CF">
        <w:rPr>
          <w:bCs/>
          <w:sz w:val="24"/>
          <w:szCs w:val="24"/>
          <w:lang w:val="en-US" w:eastAsia="en-AU"/>
        </w:rPr>
        <w:t xml:space="preserve"> (the orange line)</w:t>
      </w:r>
      <w:r w:rsidRPr="00E178A7">
        <w:rPr>
          <w:bCs/>
          <w:sz w:val="24"/>
          <w:szCs w:val="24"/>
          <w:lang w:val="en-US" w:eastAsia="en-AU"/>
        </w:rPr>
        <w:t xml:space="preserve">. After the listing became Streamlined </w:t>
      </w:r>
      <w:r w:rsidR="006673CF">
        <w:rPr>
          <w:bCs/>
          <w:sz w:val="24"/>
          <w:szCs w:val="24"/>
          <w:lang w:val="en-US" w:eastAsia="en-AU"/>
        </w:rPr>
        <w:t>A</w:t>
      </w:r>
      <w:r w:rsidRPr="00E178A7">
        <w:rPr>
          <w:bCs/>
          <w:sz w:val="24"/>
          <w:szCs w:val="24"/>
          <w:lang w:val="en-US" w:eastAsia="en-AU"/>
        </w:rPr>
        <w:t>uthority on 1 July 2023</w:t>
      </w:r>
      <w:r w:rsidR="006673CF">
        <w:rPr>
          <w:bCs/>
          <w:sz w:val="24"/>
          <w:szCs w:val="24"/>
          <w:lang w:val="en-US" w:eastAsia="en-AU"/>
        </w:rPr>
        <w:t>,</w:t>
      </w:r>
      <w:r w:rsidRPr="00E178A7">
        <w:rPr>
          <w:bCs/>
          <w:sz w:val="24"/>
          <w:szCs w:val="24"/>
          <w:lang w:val="en-US" w:eastAsia="en-AU"/>
        </w:rPr>
        <w:t xml:space="preserve"> the number of initiations by VRGPs of patients </w:t>
      </w:r>
      <w:r w:rsidR="00B21B2B" w:rsidRPr="00E178A7">
        <w:rPr>
          <w:bCs/>
          <w:sz w:val="24"/>
          <w:szCs w:val="24"/>
          <w:lang w:val="en-US" w:eastAsia="en-AU"/>
        </w:rPr>
        <w:t>6</w:t>
      </w:r>
      <w:r w:rsidR="00B21B2B">
        <w:rPr>
          <w:bCs/>
          <w:sz w:val="24"/>
          <w:szCs w:val="24"/>
          <w:lang w:val="en-US" w:eastAsia="en-AU"/>
        </w:rPr>
        <w:t xml:space="preserve"> years </w:t>
      </w:r>
      <w:r w:rsidR="00D55CCD">
        <w:rPr>
          <w:bCs/>
          <w:sz w:val="24"/>
          <w:szCs w:val="24"/>
          <w:lang w:val="en-US" w:eastAsia="en-AU"/>
        </w:rPr>
        <w:t>and over</w:t>
      </w:r>
      <w:r w:rsidR="00B21B2B">
        <w:rPr>
          <w:bCs/>
          <w:sz w:val="24"/>
          <w:szCs w:val="24"/>
          <w:lang w:val="en-US" w:eastAsia="en-AU"/>
        </w:rPr>
        <w:t xml:space="preserve"> </w:t>
      </w:r>
      <w:r w:rsidRPr="00E178A7">
        <w:rPr>
          <w:bCs/>
          <w:sz w:val="24"/>
          <w:szCs w:val="24"/>
          <w:lang w:val="en-US" w:eastAsia="en-AU"/>
        </w:rPr>
        <w:t xml:space="preserve">returned to the pre 1 April 2023 level, which is </w:t>
      </w:r>
      <w:r w:rsidR="00337341">
        <w:rPr>
          <w:bCs/>
          <w:sz w:val="24"/>
          <w:szCs w:val="24"/>
          <w:lang w:val="en-US" w:eastAsia="en-AU"/>
        </w:rPr>
        <w:t>outside</w:t>
      </w:r>
      <w:r w:rsidRPr="00E178A7">
        <w:rPr>
          <w:bCs/>
          <w:sz w:val="24"/>
          <w:szCs w:val="24"/>
          <w:lang w:val="en-US" w:eastAsia="en-AU"/>
        </w:rPr>
        <w:t xml:space="preserve"> the restriction. </w:t>
      </w:r>
    </w:p>
    <w:p w14:paraId="0CD0F9FF" w14:textId="4C88FADE" w:rsidR="008333B6" w:rsidRDefault="008333B6" w:rsidP="00F02AED">
      <w:pPr>
        <w:pStyle w:val="Figurecaption"/>
        <w:rPr>
          <w:bCs/>
          <w:sz w:val="24"/>
          <w:szCs w:val="24"/>
          <w:lang w:val="en-US" w:eastAsia="en-AU"/>
        </w:rPr>
      </w:pPr>
    </w:p>
    <w:p w14:paraId="2C49E538" w14:textId="10095D5A" w:rsidR="008333B6" w:rsidRDefault="00C10395" w:rsidP="00F02AED">
      <w:pPr>
        <w:pStyle w:val="Figurecaption"/>
        <w:rPr>
          <w:bCs/>
          <w:sz w:val="24"/>
          <w:szCs w:val="24"/>
          <w:lang w:val="en-US" w:eastAsia="en-AU"/>
        </w:rPr>
      </w:pPr>
      <w:r w:rsidRPr="00C10395">
        <w:rPr>
          <w:bCs/>
          <w:noProof/>
          <w:sz w:val="24"/>
          <w:szCs w:val="24"/>
          <w:lang w:val="en-US" w:eastAsia="en-AU"/>
        </w:rPr>
        <w:lastRenderedPageBreak/>
        <w:drawing>
          <wp:inline distT="0" distB="0" distL="0" distR="0" wp14:anchorId="524F05FC" wp14:editId="021C43A6">
            <wp:extent cx="5687695" cy="3756660"/>
            <wp:effectExtent l="0" t="0" r="8255" b="0"/>
            <wp:docPr id="1521663888" name="Picture 1" descr="Multiple lines on the graph with indicators to dates of restriction chan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663888" name="Picture 1" descr="Multiple lines on the graph with indicators to dates of restriction changes. "/>
                    <pic:cNvPicPr/>
                  </pic:nvPicPr>
                  <pic:blipFill>
                    <a:blip r:embed="rId22"/>
                    <a:stretch>
                      <a:fillRect/>
                    </a:stretch>
                  </pic:blipFill>
                  <pic:spPr>
                    <a:xfrm>
                      <a:off x="0" y="0"/>
                      <a:ext cx="5687695" cy="3756660"/>
                    </a:xfrm>
                    <a:prstGeom prst="rect">
                      <a:avLst/>
                    </a:prstGeom>
                  </pic:spPr>
                </pic:pic>
              </a:graphicData>
            </a:graphic>
          </wp:inline>
        </w:drawing>
      </w:r>
    </w:p>
    <w:p w14:paraId="532287E1" w14:textId="24323ECF" w:rsidR="00B21FD6" w:rsidRDefault="00B21FD6" w:rsidP="00B21FD6">
      <w:pPr>
        <w:pStyle w:val="Figurecaption"/>
        <w:rPr>
          <w:b/>
          <w:sz w:val="24"/>
          <w:szCs w:val="24"/>
          <w:lang w:val="en-US" w:eastAsia="en-AU"/>
        </w:rPr>
      </w:pPr>
      <w:r w:rsidRPr="009764EF">
        <w:rPr>
          <w:b/>
          <w:sz w:val="24"/>
          <w:szCs w:val="24"/>
          <w:lang w:val="en-US" w:eastAsia="en-AU"/>
        </w:rPr>
        <w:t xml:space="preserve">Figure </w:t>
      </w:r>
      <w:r>
        <w:rPr>
          <w:b/>
          <w:sz w:val="24"/>
          <w:szCs w:val="24"/>
          <w:lang w:val="en-US" w:eastAsia="en-AU"/>
        </w:rPr>
        <w:t>7</w:t>
      </w:r>
      <w:r w:rsidRPr="009764EF">
        <w:rPr>
          <w:b/>
          <w:sz w:val="24"/>
          <w:szCs w:val="24"/>
          <w:lang w:val="en-US" w:eastAsia="en-AU"/>
        </w:rPr>
        <w:t xml:space="preserve">: </w:t>
      </w:r>
      <w:r>
        <w:rPr>
          <w:b/>
          <w:sz w:val="24"/>
          <w:szCs w:val="24"/>
          <w:lang w:val="en-US" w:eastAsia="en-AU"/>
        </w:rPr>
        <w:t xml:space="preserve">Number of patients </w:t>
      </w:r>
      <w:bookmarkStart w:id="1" w:name="_Hlk215065996"/>
      <w:r>
        <w:rPr>
          <w:b/>
          <w:sz w:val="24"/>
          <w:szCs w:val="24"/>
          <w:lang w:val="en-US" w:eastAsia="en-AU"/>
        </w:rPr>
        <w:t xml:space="preserve">initiating fluticasone propionate 50 mcg (using either item code) </w:t>
      </w:r>
      <w:bookmarkEnd w:id="1"/>
      <w:r>
        <w:rPr>
          <w:b/>
          <w:sz w:val="24"/>
          <w:szCs w:val="24"/>
          <w:lang w:val="en-US" w:eastAsia="en-AU"/>
        </w:rPr>
        <w:t>by prescriber type (excluding VRGPs), patient age and month of supply</w:t>
      </w:r>
    </w:p>
    <w:p w14:paraId="522EA970" w14:textId="77777777" w:rsidR="00C5246F" w:rsidRPr="00E178A7" w:rsidRDefault="00C5246F" w:rsidP="00F02AED">
      <w:pPr>
        <w:pStyle w:val="Figurecaption"/>
        <w:rPr>
          <w:bCs/>
          <w:sz w:val="24"/>
          <w:szCs w:val="24"/>
          <w:lang w:val="en-US" w:eastAsia="en-AU"/>
        </w:rPr>
      </w:pPr>
    </w:p>
    <w:p w14:paraId="73EC94B2" w14:textId="0001FE79" w:rsidR="00F02AED" w:rsidRPr="0053600D" w:rsidRDefault="00D43519" w:rsidP="0053600D">
      <w:pPr>
        <w:pStyle w:val="Figurecaption"/>
        <w:rPr>
          <w:bCs/>
          <w:sz w:val="24"/>
          <w:szCs w:val="24"/>
          <w:lang w:val="en-US" w:eastAsia="en-AU"/>
        </w:rPr>
      </w:pPr>
      <w:r>
        <w:rPr>
          <w:bCs/>
          <w:sz w:val="24"/>
          <w:szCs w:val="24"/>
          <w:lang w:val="en-US" w:eastAsia="en-AU"/>
        </w:rPr>
        <w:t>Figure 7</w:t>
      </w:r>
      <w:r w:rsidR="00014F60">
        <w:rPr>
          <w:bCs/>
          <w:sz w:val="24"/>
          <w:szCs w:val="24"/>
          <w:lang w:val="en-US" w:eastAsia="en-AU"/>
        </w:rPr>
        <w:t xml:space="preserve"> has the </w:t>
      </w:r>
      <w:r w:rsidR="00DF1616">
        <w:rPr>
          <w:bCs/>
          <w:sz w:val="24"/>
          <w:szCs w:val="24"/>
          <w:lang w:val="en-US" w:eastAsia="en-AU"/>
        </w:rPr>
        <w:t>VRGP group removed to see the trends in other prescriber types.</w:t>
      </w:r>
      <w:r w:rsidR="00A44C10">
        <w:rPr>
          <w:bCs/>
          <w:sz w:val="24"/>
          <w:szCs w:val="24"/>
          <w:lang w:val="en-US" w:eastAsia="en-AU"/>
        </w:rPr>
        <w:t xml:space="preserve"> </w:t>
      </w:r>
      <w:r w:rsidR="00A44C10" w:rsidRPr="00A44C10">
        <w:rPr>
          <w:bCs/>
          <w:sz w:val="24"/>
          <w:szCs w:val="24"/>
          <w:lang w:val="en-US" w:eastAsia="en-AU"/>
        </w:rPr>
        <w:t xml:space="preserve">The initiations by </w:t>
      </w:r>
      <w:proofErr w:type="spellStart"/>
      <w:r w:rsidR="00A44C10" w:rsidRPr="00A44C10">
        <w:rPr>
          <w:bCs/>
          <w:sz w:val="24"/>
          <w:szCs w:val="24"/>
          <w:lang w:val="en-US" w:eastAsia="en-AU"/>
        </w:rPr>
        <w:t>paediatricians</w:t>
      </w:r>
      <w:proofErr w:type="spellEnd"/>
      <w:r w:rsidR="00A44C10" w:rsidRPr="00A44C10">
        <w:rPr>
          <w:bCs/>
          <w:sz w:val="24"/>
          <w:szCs w:val="24"/>
          <w:lang w:val="en-US" w:eastAsia="en-AU"/>
        </w:rPr>
        <w:t xml:space="preserve"> of patients aged </w:t>
      </w:r>
      <w:r w:rsidR="0061616B">
        <w:rPr>
          <w:bCs/>
          <w:sz w:val="24"/>
          <w:szCs w:val="24"/>
          <w:lang w:val="en-US" w:eastAsia="en-AU"/>
        </w:rPr>
        <w:t>5</w:t>
      </w:r>
      <w:r w:rsidR="00A44C10" w:rsidRPr="00A44C10">
        <w:rPr>
          <w:bCs/>
          <w:sz w:val="24"/>
          <w:szCs w:val="24"/>
          <w:lang w:val="en-US" w:eastAsia="en-AU"/>
        </w:rPr>
        <w:t xml:space="preserve"> years </w:t>
      </w:r>
      <w:r w:rsidR="0061616B">
        <w:rPr>
          <w:bCs/>
          <w:sz w:val="24"/>
          <w:szCs w:val="24"/>
          <w:lang w:val="en-US" w:eastAsia="en-AU"/>
        </w:rPr>
        <w:t xml:space="preserve">and under </w:t>
      </w:r>
      <w:r w:rsidR="00A44C10" w:rsidRPr="00A44C10">
        <w:rPr>
          <w:bCs/>
          <w:sz w:val="24"/>
          <w:szCs w:val="24"/>
          <w:lang w:val="en-US" w:eastAsia="en-AU"/>
        </w:rPr>
        <w:t>continued through the period 1 April 2023 to 1 July 2023, which was consistent with the restriction. The other specialties had low number of initiations in this period, with the exception of non-VRGPs for patients aged 5</w:t>
      </w:r>
      <w:r w:rsidR="0061616B">
        <w:rPr>
          <w:bCs/>
          <w:sz w:val="24"/>
          <w:szCs w:val="24"/>
          <w:lang w:val="en-US" w:eastAsia="en-AU"/>
        </w:rPr>
        <w:t xml:space="preserve"> years and under</w:t>
      </w:r>
      <w:r w:rsidR="00A44C10" w:rsidRPr="00A44C10">
        <w:rPr>
          <w:bCs/>
          <w:sz w:val="24"/>
          <w:szCs w:val="24"/>
          <w:lang w:val="en-US" w:eastAsia="en-AU"/>
        </w:rPr>
        <w:t xml:space="preserve"> which was inconsistent with the restriction. Once the listing was Streamlined, most prescriber types (with the possible exception of </w:t>
      </w:r>
      <w:proofErr w:type="spellStart"/>
      <w:r w:rsidR="00A44C10" w:rsidRPr="00A44C10">
        <w:rPr>
          <w:bCs/>
          <w:sz w:val="24"/>
          <w:szCs w:val="24"/>
          <w:lang w:val="en-US" w:eastAsia="en-AU"/>
        </w:rPr>
        <w:t>paediatricians</w:t>
      </w:r>
      <w:proofErr w:type="spellEnd"/>
      <w:r w:rsidR="00A44C10" w:rsidRPr="00A44C10">
        <w:rPr>
          <w:bCs/>
          <w:sz w:val="24"/>
          <w:szCs w:val="24"/>
          <w:lang w:val="en-US" w:eastAsia="en-AU"/>
        </w:rPr>
        <w:t>) returned to initiating patients 6</w:t>
      </w:r>
      <w:r w:rsidR="00C718C2">
        <w:rPr>
          <w:bCs/>
          <w:sz w:val="24"/>
          <w:szCs w:val="24"/>
          <w:lang w:val="en-US" w:eastAsia="en-AU"/>
        </w:rPr>
        <w:t xml:space="preserve"> years and over</w:t>
      </w:r>
      <w:r w:rsidR="00A44C10" w:rsidRPr="00A44C10">
        <w:rPr>
          <w:bCs/>
          <w:sz w:val="24"/>
          <w:szCs w:val="24"/>
          <w:lang w:val="en-US" w:eastAsia="en-AU"/>
        </w:rPr>
        <w:t xml:space="preserve"> which is inconsistent with the restriction.</w:t>
      </w:r>
    </w:p>
    <w:p w14:paraId="3A26666B" w14:textId="25FF9232" w:rsidR="00B15239" w:rsidRDefault="00AB3733" w:rsidP="00F73113">
      <w:pPr>
        <w:pStyle w:val="Heading1"/>
      </w:pPr>
      <w:r>
        <w:t>D</w:t>
      </w:r>
      <w:r w:rsidR="007346C7" w:rsidRPr="005E22C2">
        <w:t>iscussion</w:t>
      </w:r>
      <w:r w:rsidR="00AA1188">
        <w:t xml:space="preserve"> and DUSC consideration</w:t>
      </w:r>
    </w:p>
    <w:p w14:paraId="21C97F73" w14:textId="1140EFB8" w:rsidR="007C7B29" w:rsidRDefault="00F419D3" w:rsidP="00B15239">
      <w:pPr>
        <w:rPr>
          <w:rFonts w:eastAsia="Calibri" w:cs="Times New Roman"/>
        </w:rPr>
      </w:pPr>
      <w:r>
        <w:rPr>
          <w:rFonts w:eastAsia="Calibri" w:cs="Times New Roman"/>
        </w:rPr>
        <w:t xml:space="preserve">As </w:t>
      </w:r>
      <w:r w:rsidR="0064066F" w:rsidRPr="0064066F">
        <w:rPr>
          <w:rFonts w:eastAsia="Calibri" w:cs="Times New Roman"/>
        </w:rPr>
        <w:t>fluticasone propionate 50 mcg is the only metred aerosol for use in patients under 6 years of age and the only low dose metred aerosol registered for use in Australia by the TGA</w:t>
      </w:r>
      <w:r>
        <w:rPr>
          <w:rFonts w:eastAsia="Calibri" w:cs="Times New Roman"/>
        </w:rPr>
        <w:t>,</w:t>
      </w:r>
      <w:r w:rsidR="0064066F" w:rsidRPr="0064066F">
        <w:rPr>
          <w:rFonts w:eastAsia="Calibri" w:cs="Times New Roman"/>
        </w:rPr>
        <w:t xml:space="preserve"> the PBAC advised there was a clinical need </w:t>
      </w:r>
      <w:r w:rsidR="00391A9D">
        <w:rPr>
          <w:rFonts w:eastAsia="Calibri" w:cs="Times New Roman"/>
        </w:rPr>
        <w:t xml:space="preserve">for it </w:t>
      </w:r>
      <w:r w:rsidR="0064066F" w:rsidRPr="0064066F">
        <w:rPr>
          <w:rFonts w:eastAsia="Calibri" w:cs="Times New Roman"/>
        </w:rPr>
        <w:t xml:space="preserve">to </w:t>
      </w:r>
      <w:r w:rsidR="00391A9D">
        <w:rPr>
          <w:rFonts w:eastAsia="Calibri" w:cs="Times New Roman"/>
        </w:rPr>
        <w:t xml:space="preserve">be </w:t>
      </w:r>
      <w:r w:rsidR="0064066F" w:rsidRPr="0064066F">
        <w:rPr>
          <w:rFonts w:eastAsia="Calibri" w:cs="Times New Roman"/>
        </w:rPr>
        <w:t>retain</w:t>
      </w:r>
      <w:r w:rsidR="00391A9D">
        <w:rPr>
          <w:rFonts w:eastAsia="Calibri" w:cs="Times New Roman"/>
        </w:rPr>
        <w:t>ed</w:t>
      </w:r>
      <w:r w:rsidR="0064066F" w:rsidRPr="0064066F">
        <w:rPr>
          <w:rFonts w:eastAsia="Calibri" w:cs="Times New Roman"/>
        </w:rPr>
        <w:t xml:space="preserve"> on the PBS for patients under 6 years of age due to the lack of clinical alternatives in this population.</w:t>
      </w:r>
      <w:r w:rsidR="00391A9D">
        <w:rPr>
          <w:rFonts w:eastAsia="Calibri" w:cs="Times New Roman"/>
        </w:rPr>
        <w:t xml:space="preserve"> </w:t>
      </w:r>
      <w:r w:rsidR="002722E8">
        <w:rPr>
          <w:rFonts w:eastAsia="Calibri" w:cs="Times New Roman"/>
        </w:rPr>
        <w:t xml:space="preserve">This decision was made in the </w:t>
      </w:r>
      <w:r w:rsidR="002722E8" w:rsidRPr="002722E8">
        <w:rPr>
          <w:rFonts w:eastAsia="Calibri" w:cs="Times New Roman"/>
        </w:rPr>
        <w:t xml:space="preserve">context of the sponsor’s request for Ministerial Discretion to avoid the 1 April 2023 catch up statutory price reductions. </w:t>
      </w:r>
      <w:r w:rsidR="0049663C">
        <w:rPr>
          <w:rFonts w:eastAsia="Calibri" w:cs="Times New Roman"/>
        </w:rPr>
        <w:t>Th</w:t>
      </w:r>
      <w:r w:rsidR="002C0D1F">
        <w:rPr>
          <w:rFonts w:eastAsia="Calibri" w:cs="Times New Roman"/>
        </w:rPr>
        <w:t>e in</w:t>
      </w:r>
      <w:r w:rsidR="0045526D">
        <w:rPr>
          <w:rFonts w:eastAsia="Calibri" w:cs="Times New Roman"/>
        </w:rPr>
        <w:t xml:space="preserve">crease in Authority </w:t>
      </w:r>
      <w:r w:rsidR="0049663C">
        <w:rPr>
          <w:rFonts w:eastAsia="Calibri" w:cs="Times New Roman"/>
        </w:rPr>
        <w:t>came into effect 1 April 2023. The subsequent change</w:t>
      </w:r>
      <w:r w:rsidR="00250794">
        <w:rPr>
          <w:rFonts w:eastAsia="Calibri" w:cs="Times New Roman"/>
        </w:rPr>
        <w:t xml:space="preserve"> on </w:t>
      </w:r>
      <w:r w:rsidR="00DC65CF">
        <w:rPr>
          <w:rFonts w:eastAsia="Calibri" w:cs="Times New Roman"/>
        </w:rPr>
        <w:t>1</w:t>
      </w:r>
      <w:r w:rsidR="00906310" w:rsidRPr="005156E6">
        <w:rPr>
          <w:rFonts w:eastAsia="Calibri" w:cs="Times New Roman"/>
        </w:rPr>
        <w:t xml:space="preserve"> </w:t>
      </w:r>
      <w:r w:rsidR="00906310">
        <w:rPr>
          <w:rFonts w:eastAsia="Calibri" w:cs="Times New Roman"/>
        </w:rPr>
        <w:t xml:space="preserve">July </w:t>
      </w:r>
      <w:r w:rsidR="00906310" w:rsidRPr="005156E6">
        <w:rPr>
          <w:rFonts w:eastAsia="Calibri" w:cs="Times New Roman"/>
        </w:rPr>
        <w:t>2023 (</w:t>
      </w:r>
      <w:r w:rsidR="00250794">
        <w:rPr>
          <w:rFonts w:eastAsia="Calibri" w:cs="Times New Roman"/>
        </w:rPr>
        <w:t xml:space="preserve">from </w:t>
      </w:r>
      <w:r w:rsidR="00906310" w:rsidRPr="005156E6">
        <w:rPr>
          <w:rFonts w:eastAsia="Calibri" w:cs="Times New Roman"/>
        </w:rPr>
        <w:t>Authority Required to Streamlined)</w:t>
      </w:r>
      <w:r w:rsidR="00250794">
        <w:rPr>
          <w:rFonts w:eastAsia="Calibri" w:cs="Times New Roman"/>
        </w:rPr>
        <w:t xml:space="preserve"> was to address patient access issues</w:t>
      </w:r>
      <w:r w:rsidR="00357EC6">
        <w:rPr>
          <w:rFonts w:eastAsia="Calibri" w:cs="Times New Roman"/>
        </w:rPr>
        <w:t xml:space="preserve">. </w:t>
      </w:r>
    </w:p>
    <w:p w14:paraId="568DE014" w14:textId="74B9E7B6" w:rsidR="00B15239" w:rsidRDefault="00F60861" w:rsidP="00B15239">
      <w:pPr>
        <w:rPr>
          <w:rFonts w:eastAsia="Calibri" w:cs="Times New Roman"/>
        </w:rPr>
      </w:pPr>
      <w:r>
        <w:rPr>
          <w:rFonts w:eastAsia="Calibri" w:cs="Times New Roman"/>
        </w:rPr>
        <w:lastRenderedPageBreak/>
        <w:t xml:space="preserve">Apart from a brief drop in use </w:t>
      </w:r>
      <w:r w:rsidR="008D6215">
        <w:rPr>
          <w:rFonts w:eastAsia="Calibri" w:cs="Times New Roman"/>
        </w:rPr>
        <w:t xml:space="preserve">in the months between these </w:t>
      </w:r>
      <w:r w:rsidR="007C7B29">
        <w:rPr>
          <w:rFonts w:eastAsia="Calibri" w:cs="Times New Roman"/>
        </w:rPr>
        <w:t xml:space="preserve">two </w:t>
      </w:r>
      <w:r w:rsidR="008D6215">
        <w:rPr>
          <w:rFonts w:eastAsia="Calibri" w:cs="Times New Roman"/>
        </w:rPr>
        <w:t xml:space="preserve">dates, </w:t>
      </w:r>
      <w:r w:rsidR="00C170C2">
        <w:rPr>
          <w:rFonts w:eastAsia="Calibri" w:cs="Times New Roman"/>
        </w:rPr>
        <w:t>the</w:t>
      </w:r>
      <w:r w:rsidR="00470EFB">
        <w:rPr>
          <w:rFonts w:eastAsia="Calibri" w:cs="Times New Roman"/>
        </w:rPr>
        <w:t xml:space="preserve"> </w:t>
      </w:r>
      <w:r w:rsidR="00D606A8">
        <w:rPr>
          <w:rFonts w:eastAsia="Calibri" w:cs="Times New Roman"/>
        </w:rPr>
        <w:t>initiation of</w:t>
      </w:r>
      <w:r w:rsidR="00A9716F">
        <w:rPr>
          <w:rFonts w:eastAsia="Calibri" w:cs="Times New Roman"/>
        </w:rPr>
        <w:t xml:space="preserve"> </w:t>
      </w:r>
      <w:r w:rsidR="00D606A8">
        <w:rPr>
          <w:rFonts w:eastAsia="Calibri" w:cs="Times New Roman"/>
        </w:rPr>
        <w:t xml:space="preserve">PBS </w:t>
      </w:r>
      <w:r w:rsidR="00C170C2">
        <w:rPr>
          <w:rFonts w:eastAsia="Calibri" w:cs="Times New Roman"/>
        </w:rPr>
        <w:t xml:space="preserve">fluticasone propionate 50 mcg </w:t>
      </w:r>
      <w:r w:rsidR="00D16BA3">
        <w:rPr>
          <w:rFonts w:eastAsia="Calibri" w:cs="Times New Roman"/>
        </w:rPr>
        <w:t xml:space="preserve">in </w:t>
      </w:r>
      <w:r w:rsidR="00E405F3">
        <w:rPr>
          <w:rFonts w:eastAsia="Calibri" w:cs="Times New Roman"/>
        </w:rPr>
        <w:t>children</w:t>
      </w:r>
      <w:r w:rsidR="000B3DC1">
        <w:rPr>
          <w:rFonts w:eastAsia="Calibri" w:cs="Times New Roman"/>
        </w:rPr>
        <w:t xml:space="preserve"> </w:t>
      </w:r>
      <w:r w:rsidR="002B15FA">
        <w:rPr>
          <w:rFonts w:eastAsia="Calibri" w:cs="Times New Roman"/>
        </w:rPr>
        <w:t xml:space="preserve">aged 6 years and </w:t>
      </w:r>
      <w:r w:rsidR="00CF4E5C">
        <w:rPr>
          <w:rFonts w:eastAsia="Calibri" w:cs="Times New Roman"/>
        </w:rPr>
        <w:t>over</w:t>
      </w:r>
      <w:r w:rsidR="002B15FA">
        <w:rPr>
          <w:rFonts w:eastAsia="Calibri" w:cs="Times New Roman"/>
        </w:rPr>
        <w:t xml:space="preserve"> </w:t>
      </w:r>
      <w:r w:rsidR="006F48B9">
        <w:rPr>
          <w:rFonts w:eastAsia="Calibri" w:cs="Times New Roman"/>
        </w:rPr>
        <w:t>appears to have returned to a similar leve</w:t>
      </w:r>
      <w:r w:rsidR="00D768F8">
        <w:rPr>
          <w:rFonts w:eastAsia="Calibri" w:cs="Times New Roman"/>
        </w:rPr>
        <w:t>l</w:t>
      </w:r>
      <w:r>
        <w:rPr>
          <w:rFonts w:eastAsia="Calibri" w:cs="Times New Roman"/>
        </w:rPr>
        <w:t xml:space="preserve"> </w:t>
      </w:r>
      <w:r w:rsidR="00B550CD">
        <w:rPr>
          <w:rFonts w:eastAsia="Calibri" w:cs="Times New Roman"/>
        </w:rPr>
        <w:t xml:space="preserve">as that about 4 months prior </w:t>
      </w:r>
      <w:r w:rsidR="00D606A8">
        <w:rPr>
          <w:rFonts w:eastAsia="Calibri" w:cs="Times New Roman"/>
        </w:rPr>
        <w:t xml:space="preserve">to </w:t>
      </w:r>
      <w:r w:rsidR="00D16D60">
        <w:rPr>
          <w:rFonts w:eastAsia="Calibri" w:cs="Times New Roman"/>
        </w:rPr>
        <w:t xml:space="preserve">the </w:t>
      </w:r>
      <w:r w:rsidR="00A9563C">
        <w:rPr>
          <w:rFonts w:eastAsia="Calibri" w:cs="Times New Roman"/>
        </w:rPr>
        <w:t xml:space="preserve">1 April 2023 </w:t>
      </w:r>
      <w:r>
        <w:rPr>
          <w:rFonts w:eastAsia="Calibri" w:cs="Times New Roman"/>
        </w:rPr>
        <w:t>restriction changes</w:t>
      </w:r>
      <w:r w:rsidR="00D606A8">
        <w:rPr>
          <w:rFonts w:eastAsia="Calibri" w:cs="Times New Roman"/>
        </w:rPr>
        <w:t xml:space="preserve"> (see Figure 2)</w:t>
      </w:r>
      <w:r w:rsidR="008D6215">
        <w:rPr>
          <w:rFonts w:eastAsia="Calibri" w:cs="Times New Roman"/>
        </w:rPr>
        <w:t xml:space="preserve">, which is outside the </w:t>
      </w:r>
      <w:r w:rsidR="00D16D60">
        <w:rPr>
          <w:rFonts w:eastAsia="Calibri" w:cs="Times New Roman"/>
        </w:rPr>
        <w:t xml:space="preserve">current </w:t>
      </w:r>
      <w:r w:rsidR="008D6215">
        <w:rPr>
          <w:rFonts w:eastAsia="Calibri" w:cs="Times New Roman"/>
        </w:rPr>
        <w:t xml:space="preserve">PBS restriction. </w:t>
      </w:r>
      <w:r w:rsidR="000A21DF" w:rsidRPr="000A21DF">
        <w:t>DUSC acknowledged the sponsor’s response and that the initial restriction change to Authority Required by specialists led to reduced utilisation in the eligible population, and discussed that this was not the intent of the restriction change. DUSC further noted that immediately after the change to Streamlined Authority, there was a growth in utilisation but this was not necessarily sustained to the same extent a year later. DUSC also noted that there is substantial leakage within indication.</w:t>
      </w:r>
    </w:p>
    <w:p w14:paraId="64F9B88F" w14:textId="3B55494D" w:rsidR="007C7B29" w:rsidRDefault="007C7B29" w:rsidP="00B15239">
      <w:pPr>
        <w:rPr>
          <w:rFonts w:eastAsia="Calibri" w:cs="Times New Roman"/>
        </w:rPr>
      </w:pPr>
      <w:bookmarkStart w:id="2" w:name="_Hlk214878366"/>
      <w:r>
        <w:rPr>
          <w:rFonts w:eastAsia="Calibri" w:cs="Times New Roman"/>
        </w:rPr>
        <w:t>G</w:t>
      </w:r>
      <w:r w:rsidR="005C177A">
        <w:rPr>
          <w:rFonts w:eastAsia="Calibri" w:cs="Times New Roman"/>
        </w:rPr>
        <w:t xml:space="preserve">eneral </w:t>
      </w:r>
      <w:r>
        <w:rPr>
          <w:rFonts w:eastAsia="Calibri" w:cs="Times New Roman"/>
        </w:rPr>
        <w:t>P</w:t>
      </w:r>
      <w:r w:rsidR="005C177A">
        <w:rPr>
          <w:rFonts w:eastAsia="Calibri" w:cs="Times New Roman"/>
        </w:rPr>
        <w:t>ractitioner</w:t>
      </w:r>
      <w:r>
        <w:rPr>
          <w:rFonts w:eastAsia="Calibri" w:cs="Times New Roman"/>
        </w:rPr>
        <w:t xml:space="preserve">s </w:t>
      </w:r>
      <w:r w:rsidR="005C177A">
        <w:rPr>
          <w:rFonts w:eastAsia="Calibri" w:cs="Times New Roman"/>
        </w:rPr>
        <w:t>(including VRGPs, GP trainees</w:t>
      </w:r>
      <w:r w:rsidR="00226175">
        <w:rPr>
          <w:rFonts w:eastAsia="Calibri" w:cs="Times New Roman"/>
        </w:rPr>
        <w:t xml:space="preserve"> and</w:t>
      </w:r>
      <w:r w:rsidR="005C177A">
        <w:rPr>
          <w:rFonts w:eastAsia="Calibri" w:cs="Times New Roman"/>
        </w:rPr>
        <w:t xml:space="preserve"> non-VRGPs</w:t>
      </w:r>
      <w:r w:rsidR="00226175">
        <w:rPr>
          <w:rFonts w:eastAsia="Calibri" w:cs="Times New Roman"/>
        </w:rPr>
        <w:t xml:space="preserve">) </w:t>
      </w:r>
      <w:r w:rsidR="0028659D">
        <w:rPr>
          <w:rFonts w:eastAsia="Calibri" w:cs="Times New Roman"/>
        </w:rPr>
        <w:t>are the leading</w:t>
      </w:r>
      <w:r w:rsidR="00226333">
        <w:rPr>
          <w:rFonts w:eastAsia="Calibri" w:cs="Times New Roman"/>
        </w:rPr>
        <w:t xml:space="preserve"> prescribers of initia</w:t>
      </w:r>
      <w:r w:rsidR="00A41022">
        <w:rPr>
          <w:rFonts w:eastAsia="Calibri" w:cs="Times New Roman"/>
        </w:rPr>
        <w:t xml:space="preserve">l prescriptions for </w:t>
      </w:r>
      <w:r w:rsidR="00226333">
        <w:rPr>
          <w:rFonts w:eastAsia="Calibri" w:cs="Times New Roman"/>
        </w:rPr>
        <w:t xml:space="preserve">fluticasone propionate 50 mcg </w:t>
      </w:r>
      <w:r w:rsidR="00A41022">
        <w:rPr>
          <w:rFonts w:eastAsia="Calibri" w:cs="Times New Roman"/>
        </w:rPr>
        <w:t xml:space="preserve">in patients aged 6 years and over. </w:t>
      </w:r>
      <w:bookmarkEnd w:id="2"/>
      <w:r w:rsidR="009457D9">
        <w:rPr>
          <w:rFonts w:eastAsia="Calibri" w:cs="Times New Roman"/>
        </w:rPr>
        <w:t>Of note is that</w:t>
      </w:r>
      <w:r w:rsidR="009457D9" w:rsidRPr="00F2315A">
        <w:rPr>
          <w:rFonts w:eastAsia="Calibri" w:cs="Times New Roman"/>
        </w:rPr>
        <w:t xml:space="preserve"> the relevant alternate therapies, beclomethasone and budesonide</w:t>
      </w:r>
      <w:r w:rsidR="009457D9">
        <w:rPr>
          <w:rFonts w:eastAsia="Calibri" w:cs="Times New Roman"/>
        </w:rPr>
        <w:t>,</w:t>
      </w:r>
      <w:r w:rsidR="009457D9" w:rsidRPr="00F2315A">
        <w:rPr>
          <w:rFonts w:eastAsia="Calibri" w:cs="Times New Roman"/>
        </w:rPr>
        <w:t xml:space="preserve"> </w:t>
      </w:r>
      <w:r w:rsidR="009457D9">
        <w:rPr>
          <w:rFonts w:eastAsia="Calibri" w:cs="Times New Roman"/>
        </w:rPr>
        <w:t>are</w:t>
      </w:r>
      <w:r w:rsidR="009457D9" w:rsidRPr="00F2315A">
        <w:rPr>
          <w:rFonts w:eastAsia="Calibri" w:cs="Times New Roman"/>
        </w:rPr>
        <w:t xml:space="preserve"> available </w:t>
      </w:r>
      <w:r w:rsidR="009457D9">
        <w:rPr>
          <w:rFonts w:eastAsia="Calibri" w:cs="Times New Roman"/>
        </w:rPr>
        <w:t>on the PBS for this age group</w:t>
      </w:r>
      <w:r w:rsidR="009457D9" w:rsidRPr="00F2315A">
        <w:rPr>
          <w:rFonts w:eastAsia="Calibri" w:cs="Times New Roman"/>
        </w:rPr>
        <w:t>.</w:t>
      </w:r>
      <w:r w:rsidR="0073527E">
        <w:rPr>
          <w:rFonts w:eastAsia="Calibri" w:cs="Times New Roman"/>
        </w:rPr>
        <w:t xml:space="preserve"> </w:t>
      </w:r>
      <w:r w:rsidR="0073527E" w:rsidRPr="0073527E">
        <w:rPr>
          <w:rFonts w:eastAsia="Calibri" w:cs="Times New Roman"/>
        </w:rPr>
        <w:t xml:space="preserve">DUSC discussed that there are no true structural barriers to the eligible population accessing therapy, and that prescriber behaviour drives the utilisation of inhalers in this patient group. There are also other steroid inhalers available for this population. DUSC discussed that a solution to appropriate inhaler prescribing is appropriate </w:t>
      </w:r>
      <w:r w:rsidR="0075219F">
        <w:rPr>
          <w:rFonts w:eastAsia="Calibri" w:cs="Times New Roman"/>
        </w:rPr>
        <w:t>quality use of medicines</w:t>
      </w:r>
      <w:r w:rsidR="0073527E" w:rsidRPr="0073527E">
        <w:rPr>
          <w:rFonts w:eastAsia="Calibri" w:cs="Times New Roman"/>
        </w:rPr>
        <w:t xml:space="preserve">. Of note is that the latest version of the Australian Asthma Handbook is still filtering through to prescriber practice.  </w:t>
      </w:r>
    </w:p>
    <w:p w14:paraId="2ECBFE48" w14:textId="32E202EA" w:rsidR="001310AE" w:rsidRDefault="00801E74" w:rsidP="00F73113">
      <w:pPr>
        <w:pStyle w:val="Heading1"/>
      </w:pPr>
      <w:r>
        <w:t xml:space="preserve">DUSC </w:t>
      </w:r>
      <w:r w:rsidR="00044981">
        <w:t>Actions</w:t>
      </w:r>
    </w:p>
    <w:p w14:paraId="3A74B465" w14:textId="1FDAFAB8" w:rsidR="007346C7" w:rsidRDefault="00B23ACA" w:rsidP="00434B3C">
      <w:pPr>
        <w:pStyle w:val="Heading1"/>
        <w:spacing w:before="0"/>
        <w:rPr>
          <w:rFonts w:eastAsia="Calibri" w:cs="Times New Roman"/>
          <w:b w:val="0"/>
          <w:bCs w:val="0"/>
          <w:sz w:val="24"/>
          <w:szCs w:val="24"/>
        </w:rPr>
      </w:pPr>
      <w:r w:rsidRPr="00B23ACA">
        <w:rPr>
          <w:rFonts w:eastAsia="Calibri" w:cs="Times New Roman"/>
          <w:b w:val="0"/>
          <w:bCs w:val="0"/>
          <w:sz w:val="24"/>
          <w:szCs w:val="24"/>
        </w:rPr>
        <w:t>DUSC requested that the report be provided to the PBAC for consideration.</w:t>
      </w:r>
    </w:p>
    <w:p w14:paraId="7B34F773" w14:textId="77777777" w:rsidR="0021525B" w:rsidRPr="00D62E65" w:rsidRDefault="0021525B" w:rsidP="000A3726">
      <w:pPr>
        <w:spacing w:before="480" w:after="240"/>
        <w:rPr>
          <w:b/>
          <w:bCs/>
          <w:sz w:val="32"/>
          <w:szCs w:val="32"/>
        </w:rPr>
      </w:pPr>
      <w:r w:rsidRPr="00D62E65">
        <w:rPr>
          <w:b/>
          <w:bCs/>
          <w:sz w:val="32"/>
          <w:szCs w:val="32"/>
        </w:rPr>
        <w:t>Context for analysis</w:t>
      </w:r>
    </w:p>
    <w:p w14:paraId="3A05E78C" w14:textId="77777777" w:rsidR="0021525B" w:rsidRPr="00D62E65" w:rsidRDefault="0021525B" w:rsidP="0021525B">
      <w:r w:rsidRPr="00D62E65">
        <w:t>The DUSC is a Sub Committee of the Pharmaceutical Benefits Advisory Committee (PBAC). The DUSC assesses estimates on projected usage and financial cost of medicines.</w:t>
      </w:r>
    </w:p>
    <w:p w14:paraId="0F90A793" w14:textId="77777777" w:rsidR="0021525B" w:rsidRPr="00D62E65" w:rsidRDefault="0021525B" w:rsidP="0021525B">
      <w:r w:rsidRPr="00D62E65">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3B797158" w14:textId="77777777" w:rsidR="0021525B" w:rsidRPr="00D62E65" w:rsidRDefault="0021525B" w:rsidP="0021525B">
      <w:r w:rsidRPr="00D62E65">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3CFE06A0" w14:textId="77777777" w:rsidR="0021525B" w:rsidRDefault="0021525B" w:rsidP="0021525B">
      <w:r w:rsidRPr="00D62E65">
        <w:t>The utilisation analysis report was provided to the pharmaceutical sponsors of each drug and comments on the report were provided to DUSC prior to its consideration of the analysis.</w:t>
      </w:r>
    </w:p>
    <w:p w14:paraId="7340CF93" w14:textId="77777777" w:rsidR="00050C3D" w:rsidRDefault="00050C3D" w:rsidP="00050C3D">
      <w:pPr>
        <w:pStyle w:val="Heading1"/>
      </w:pPr>
      <w:r>
        <w:lastRenderedPageBreak/>
        <w:t>Sponsor</w:t>
      </w:r>
      <w:r w:rsidRPr="0092516A">
        <w:t>s</w:t>
      </w:r>
      <w:r>
        <w:t>’</w:t>
      </w:r>
      <w:r w:rsidRPr="0092516A">
        <w:t xml:space="preserve"> comments</w:t>
      </w:r>
    </w:p>
    <w:p w14:paraId="0756F7C6" w14:textId="77777777" w:rsidR="00D051B0" w:rsidRDefault="00D051B0" w:rsidP="00D051B0">
      <w:proofErr w:type="spellStart"/>
      <w:r w:rsidRPr="00AB1D72">
        <w:t>Apotex</w:t>
      </w:r>
      <w:proofErr w:type="spellEnd"/>
      <w:r w:rsidRPr="00AB1D72">
        <w:t xml:space="preserve"> Pty Ltd: The sponsor has no comment.</w:t>
      </w:r>
      <w:r>
        <w:t xml:space="preserve"> </w:t>
      </w:r>
    </w:p>
    <w:p w14:paraId="1868306B" w14:textId="77777777" w:rsidR="00050C3D" w:rsidRPr="00AB1D72" w:rsidRDefault="00050C3D" w:rsidP="00050C3D">
      <w:r w:rsidRPr="00AB1D72">
        <w:t>GlaxoSmithKline Australia Pty Ltd: The sponsor has no comment.</w:t>
      </w:r>
    </w:p>
    <w:p w14:paraId="7C4E8129" w14:textId="77777777" w:rsidR="00D77819" w:rsidRDefault="00D77819" w:rsidP="00D77819">
      <w:pPr>
        <w:pStyle w:val="Heading1"/>
      </w:pPr>
      <w:r w:rsidRPr="00A4020E">
        <w:t>Disclaimer</w:t>
      </w:r>
    </w:p>
    <w:p w14:paraId="6ABDEE50" w14:textId="77777777" w:rsidR="00D77819" w:rsidRDefault="00D77819" w:rsidP="00D77819">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136C6CF9" w14:textId="77777777" w:rsidR="00D77819" w:rsidRDefault="00D77819" w:rsidP="00D77819">
      <w:r>
        <w:t xml:space="preserve">The </w:t>
      </w:r>
      <w:r w:rsidRPr="006804E0">
        <w:t>Department of Health</w:t>
      </w:r>
      <w:r>
        <w:t>, Disability and Ageing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419D543D" w14:textId="77777777" w:rsidR="00D77819" w:rsidRDefault="00D77819" w:rsidP="00D77819">
      <w:r>
        <w:t xml:space="preserve">To the extent provided by law, the </w:t>
      </w:r>
      <w:r w:rsidRPr="006804E0">
        <w:t>Department of Health</w:t>
      </w:r>
      <w:r>
        <w:t xml:space="preserve">, Disability and Ageing makes no warranties or representations as to accuracy or completeness of information contained in this report. </w:t>
      </w:r>
    </w:p>
    <w:p w14:paraId="4BB58273" w14:textId="77777777" w:rsidR="00D77819" w:rsidRDefault="00D77819" w:rsidP="00D77819">
      <w:r>
        <w:t xml:space="preserve">To the fullest extent permitted by law, neither the </w:t>
      </w:r>
      <w:r w:rsidRPr="006804E0">
        <w:t>Department of Health</w:t>
      </w:r>
      <w:r>
        <w:t xml:space="preserve">, Disability and Ageing nor any </w:t>
      </w:r>
      <w:r w:rsidRPr="006804E0">
        <w:t>Department of Health</w:t>
      </w:r>
      <w:r>
        <w:t>, Disability and Ageing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6FD5E8BD" w14:textId="77777777" w:rsidR="00D77819" w:rsidRDefault="00D77819" w:rsidP="00050C3D"/>
    <w:p w14:paraId="518EEDAC" w14:textId="77777777" w:rsidR="00050C3D" w:rsidRPr="00D62E65" w:rsidRDefault="00050C3D" w:rsidP="0021525B"/>
    <w:p w14:paraId="430D95B4" w14:textId="77777777" w:rsidR="0021525B" w:rsidRPr="0021525B" w:rsidRDefault="0021525B" w:rsidP="0021525B"/>
    <w:sectPr w:rsidR="0021525B" w:rsidRPr="0021525B" w:rsidSect="00DD188C">
      <w:headerReference w:type="even" r:id="rId23"/>
      <w:headerReference w:type="default" r:id="rId24"/>
      <w:footerReference w:type="even" r:id="rId25"/>
      <w:footerReference w:type="default" r:id="rId26"/>
      <w:headerReference w:type="first" r:id="rId27"/>
      <w:footerReference w:type="first" r:id="rId28"/>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DE1C5" w14:textId="77777777" w:rsidR="007C3E05" w:rsidRDefault="007C3E05" w:rsidP="00A35800">
      <w:r>
        <w:separator/>
      </w:r>
    </w:p>
  </w:endnote>
  <w:endnote w:type="continuationSeparator" w:id="0">
    <w:p w14:paraId="4A6CC1F4" w14:textId="77777777" w:rsidR="007C3E05" w:rsidRDefault="007C3E05"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9D5E5" w14:textId="04C65376" w:rsidR="00214013" w:rsidRDefault="00D905D3" w:rsidP="00A35800">
    <w:pPr>
      <w:pStyle w:val="Footer"/>
      <w:rPr>
        <w:rStyle w:val="PageNumber"/>
      </w:rPr>
    </w:pPr>
    <w:r>
      <w:rPr>
        <w:noProof/>
      </w:rPr>
      <mc:AlternateContent>
        <mc:Choice Requires="wps">
          <w:drawing>
            <wp:anchor distT="0" distB="0" distL="0" distR="0" simplePos="0" relativeHeight="251676672" behindDoc="0" locked="0" layoutInCell="1" allowOverlap="1" wp14:anchorId="477C80BA" wp14:editId="6C84C9F8">
              <wp:simplePos x="635" y="635"/>
              <wp:positionH relativeFrom="page">
                <wp:align>center</wp:align>
              </wp:positionH>
              <wp:positionV relativeFrom="page">
                <wp:align>bottom</wp:align>
              </wp:positionV>
              <wp:extent cx="622300" cy="376555"/>
              <wp:effectExtent l="0" t="0" r="6350" b="0"/>
              <wp:wrapNone/>
              <wp:docPr id="1976420814"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F08C98B" w14:textId="5F28A300" w:rsidR="00D905D3" w:rsidRPr="00D905D3" w:rsidRDefault="00D905D3" w:rsidP="00D905D3">
                          <w:pPr>
                            <w:spacing w:after="0"/>
                            <w:rPr>
                              <w:rFonts w:ascii="Aptos" w:eastAsia="Aptos" w:hAnsi="Aptos" w:cs="Aptos"/>
                              <w:noProof/>
                              <w:color w:val="FF0000"/>
                            </w:rPr>
                          </w:pPr>
                          <w:r w:rsidRPr="00D905D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7C80BA" id="_x0000_t202" coordsize="21600,21600" o:spt="202" path="m,l,21600r21600,l21600,xe">
              <v:stroke joinstyle="miter"/>
              <v:path gradientshapeok="t" o:connecttype="rect"/>
            </v:shapetype>
            <v:shape id="Text Box 11" o:spid="_x0000_s1028" type="#_x0000_t202" alt="OFFICIAL" style="position:absolute;margin-left:0;margin-top:0;width:49pt;height:29.65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0F08C98B" w14:textId="5F28A300" w:rsidR="00D905D3" w:rsidRPr="00D905D3" w:rsidRDefault="00D905D3" w:rsidP="00D905D3">
                    <w:pPr>
                      <w:spacing w:after="0"/>
                      <w:rPr>
                        <w:rFonts w:ascii="Aptos" w:eastAsia="Aptos" w:hAnsi="Aptos" w:cs="Aptos"/>
                        <w:noProof/>
                        <w:color w:val="FF0000"/>
                      </w:rPr>
                    </w:pPr>
                    <w:r w:rsidRPr="00D905D3">
                      <w:rPr>
                        <w:rFonts w:ascii="Aptos" w:eastAsia="Aptos" w:hAnsi="Aptos" w:cs="Aptos"/>
                        <w:noProof/>
                        <w:color w:val="FF0000"/>
                      </w:rPr>
                      <w:t>OFFICIAL</w:t>
                    </w:r>
                  </w:p>
                </w:txbxContent>
              </v:textbox>
              <w10:wrap anchorx="page" anchory="page"/>
            </v:shape>
          </w:pict>
        </mc:Fallback>
      </mc:AlternateContent>
    </w:r>
    <w:r w:rsidR="00214013">
      <w:rPr>
        <w:rStyle w:val="PageNumber"/>
      </w:rPr>
      <w:fldChar w:fldCharType="begin"/>
    </w:r>
    <w:r w:rsidR="00214013">
      <w:rPr>
        <w:rStyle w:val="PageNumber"/>
      </w:rPr>
      <w:instrText xml:space="preserve">PAGE  </w:instrText>
    </w:r>
    <w:r w:rsidR="00214013">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AC44E" w14:textId="21C14D88" w:rsidR="00CB79F0" w:rsidRDefault="00D905D3" w:rsidP="000E72C6">
    <w:pPr>
      <w:pStyle w:val="Footer"/>
      <w:jc w:val="center"/>
    </w:pPr>
    <w:r>
      <w:rPr>
        <w:noProof/>
      </w:rPr>
      <mc:AlternateContent>
        <mc:Choice Requires="wps">
          <w:drawing>
            <wp:anchor distT="0" distB="0" distL="0" distR="0" simplePos="0" relativeHeight="251677696" behindDoc="0" locked="0" layoutInCell="1" allowOverlap="1" wp14:anchorId="0FC81FCB" wp14:editId="79781185">
              <wp:simplePos x="635" y="635"/>
              <wp:positionH relativeFrom="page">
                <wp:align>center</wp:align>
              </wp:positionH>
              <wp:positionV relativeFrom="page">
                <wp:align>bottom</wp:align>
              </wp:positionV>
              <wp:extent cx="622300" cy="376555"/>
              <wp:effectExtent l="0" t="0" r="6350" b="0"/>
              <wp:wrapNone/>
              <wp:docPr id="1369631431"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5822931" w14:textId="0D72F17B" w:rsidR="00D905D3" w:rsidRPr="00D905D3" w:rsidRDefault="00D905D3" w:rsidP="00D905D3">
                          <w:pPr>
                            <w:spacing w:after="0"/>
                            <w:rPr>
                              <w:rFonts w:ascii="Aptos" w:eastAsia="Aptos" w:hAnsi="Aptos" w:cs="Aptos"/>
                              <w:noProof/>
                              <w:color w:val="FF0000"/>
                            </w:rPr>
                          </w:pPr>
                          <w:r w:rsidRPr="00D905D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C81FCB" id="_x0000_t202" coordsize="21600,21600" o:spt="202" path="m,l,21600r21600,l21600,xe">
              <v:stroke joinstyle="miter"/>
              <v:path gradientshapeok="t" o:connecttype="rect"/>
            </v:shapetype>
            <v:shape id="Text Box 12" o:spid="_x0000_s1029" type="#_x0000_t202" alt="OFFICIAL" style="position:absolute;left:0;text-align:left;margin-left:0;margin-top:0;width:49pt;height:29.65pt;z-index:2516776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25822931" w14:textId="0D72F17B" w:rsidR="00D905D3" w:rsidRPr="00D905D3" w:rsidRDefault="00D905D3" w:rsidP="00D905D3">
                    <w:pPr>
                      <w:spacing w:after="0"/>
                      <w:rPr>
                        <w:rFonts w:ascii="Aptos" w:eastAsia="Aptos" w:hAnsi="Aptos" w:cs="Aptos"/>
                        <w:noProof/>
                        <w:color w:val="FF0000"/>
                      </w:rPr>
                    </w:pPr>
                    <w:r w:rsidRPr="00D905D3">
                      <w:rPr>
                        <w:rFonts w:ascii="Aptos" w:eastAsia="Aptos" w:hAnsi="Aptos" w:cs="Aptos"/>
                        <w:noProof/>
                        <w:color w:val="FF0000"/>
                      </w:rPr>
                      <w:t>OFFICIAL</w:t>
                    </w:r>
                  </w:p>
                </w:txbxContent>
              </v:textbox>
              <w10:wrap anchorx="page" anchory="page"/>
            </v:shape>
          </w:pict>
        </mc:Fallback>
      </mc:AlternateContent>
    </w:r>
  </w:p>
  <w:sdt>
    <w:sdtPr>
      <w:id w:val="-1220733839"/>
      <w:docPartObj>
        <w:docPartGallery w:val="Page Numbers (Bottom of Page)"/>
        <w:docPartUnique/>
      </w:docPartObj>
    </w:sdtPr>
    <w:sdtContent>
      <w:sdt>
        <w:sdtPr>
          <w:id w:val="-1669238322"/>
          <w:docPartObj>
            <w:docPartGallery w:val="Page Numbers (Top of Page)"/>
            <w:docPartUnique/>
          </w:docPartObj>
        </w:sdtPr>
        <w:sdtContent>
          <w:p w14:paraId="3140A929" w14:textId="77777777" w:rsidR="001F64AE" w:rsidRDefault="001F64AE" w:rsidP="000E72C6">
            <w:pPr>
              <w:pStyle w:val="Footer"/>
              <w:jc w:val="center"/>
              <w:rPr>
                <w:i/>
                <w:sz w:val="20"/>
              </w:rPr>
            </w:pPr>
            <w:r w:rsidRPr="001F64AE">
              <w:rPr>
                <w:i/>
                <w:sz w:val="20"/>
              </w:rPr>
              <w:t xml:space="preserve">Public Release Document, </w:t>
            </w:r>
            <w:r>
              <w:rPr>
                <w:i/>
                <w:sz w:val="20"/>
              </w:rPr>
              <w:t>February 2026</w:t>
            </w:r>
            <w:r w:rsidRPr="001F64AE">
              <w:rPr>
                <w:i/>
                <w:sz w:val="20"/>
              </w:rPr>
              <w:t xml:space="preserve"> DUSC Meeting </w:t>
            </w:r>
          </w:p>
          <w:p w14:paraId="10292A9A" w14:textId="699C6E4F" w:rsidR="00214013" w:rsidRDefault="00DD188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1F0A4E">
              <w:rPr>
                <w:bCs/>
                <w:i/>
                <w:noProof/>
                <w:sz w:val="20"/>
              </w:rPr>
              <w:t>3</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1F0A4E">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2E1F" w14:textId="54837048" w:rsidR="007A5733" w:rsidRDefault="00D905D3" w:rsidP="007A5733">
    <w:pPr>
      <w:pStyle w:val="Footer"/>
      <w:jc w:val="center"/>
      <w:rPr>
        <w:rStyle w:val="PageNumber"/>
      </w:rPr>
    </w:pPr>
    <w:r>
      <w:rPr>
        <w:noProof/>
      </w:rPr>
      <mc:AlternateContent>
        <mc:Choice Requires="wps">
          <w:drawing>
            <wp:anchor distT="0" distB="0" distL="0" distR="0" simplePos="0" relativeHeight="251675648" behindDoc="0" locked="0" layoutInCell="1" allowOverlap="1" wp14:anchorId="5177551E" wp14:editId="610852E6">
              <wp:simplePos x="635" y="635"/>
              <wp:positionH relativeFrom="page">
                <wp:align>center</wp:align>
              </wp:positionH>
              <wp:positionV relativeFrom="page">
                <wp:align>bottom</wp:align>
              </wp:positionV>
              <wp:extent cx="622300" cy="376555"/>
              <wp:effectExtent l="0" t="0" r="6350" b="0"/>
              <wp:wrapNone/>
              <wp:docPr id="1447018598"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1E9F774" w14:textId="07C6CAA0" w:rsidR="00D905D3" w:rsidRPr="00D905D3" w:rsidRDefault="00D905D3" w:rsidP="00D905D3">
                          <w:pPr>
                            <w:spacing w:after="0"/>
                            <w:rPr>
                              <w:rFonts w:ascii="Aptos" w:eastAsia="Aptos" w:hAnsi="Aptos" w:cs="Aptos"/>
                              <w:noProof/>
                              <w:color w:val="FF0000"/>
                            </w:rPr>
                          </w:pPr>
                          <w:r w:rsidRPr="00D905D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77551E" id="_x0000_t202" coordsize="21600,21600" o:spt="202" path="m,l,21600r21600,l21600,xe">
              <v:stroke joinstyle="miter"/>
              <v:path gradientshapeok="t" o:connecttype="rect"/>
            </v:shapetype>
            <v:shape id="Text Box 10" o:spid="_x0000_s1031" type="#_x0000_t202" alt="OFFICIAL" style="position:absolute;left:0;text-align:left;margin-left:0;margin-top:0;width:49pt;height:29.6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01E9F774" w14:textId="07C6CAA0" w:rsidR="00D905D3" w:rsidRPr="00D905D3" w:rsidRDefault="00D905D3" w:rsidP="00D905D3">
                    <w:pPr>
                      <w:spacing w:after="0"/>
                      <w:rPr>
                        <w:rFonts w:ascii="Aptos" w:eastAsia="Aptos" w:hAnsi="Aptos" w:cs="Aptos"/>
                        <w:noProof/>
                        <w:color w:val="FF0000"/>
                      </w:rPr>
                    </w:pPr>
                    <w:r w:rsidRPr="00D905D3">
                      <w:rPr>
                        <w:rFonts w:ascii="Aptos" w:eastAsia="Aptos" w:hAnsi="Aptos" w:cs="Aptos"/>
                        <w:noProof/>
                        <w:color w:val="FF0000"/>
                      </w:rPr>
                      <w:t>OFFICIAL</w:t>
                    </w:r>
                  </w:p>
                </w:txbxContent>
              </v:textbox>
              <w10:wrap anchorx="page" anchory="page"/>
            </v:shape>
          </w:pict>
        </mc:Fallback>
      </mc:AlternateContent>
    </w:r>
    <w:r w:rsidR="007A5733">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E1C87" w14:textId="77777777" w:rsidR="007C3E05" w:rsidRDefault="007C3E05" w:rsidP="00A35800">
      <w:r>
        <w:separator/>
      </w:r>
    </w:p>
  </w:footnote>
  <w:footnote w:type="continuationSeparator" w:id="0">
    <w:p w14:paraId="4478777A" w14:textId="77777777" w:rsidR="007C3E05" w:rsidRDefault="007C3E05" w:rsidP="00A35800">
      <w:r>
        <w:continuationSeparator/>
      </w:r>
    </w:p>
  </w:footnote>
  <w:footnote w:id="1">
    <w:p w14:paraId="3879FB11" w14:textId="39762C4B" w:rsidR="00914615" w:rsidRDefault="00914615" w:rsidP="00914615">
      <w:pPr>
        <w:pStyle w:val="FootnoteText"/>
      </w:pPr>
      <w:r>
        <w:rPr>
          <w:rStyle w:val="FootnoteReference"/>
        </w:rPr>
        <w:footnoteRef/>
      </w:r>
      <w:r>
        <w:t xml:space="preserve"> </w:t>
      </w:r>
      <w:r w:rsidR="00D84B16" w:rsidRPr="00D84B16">
        <w:t xml:space="preserve">The Royal Children’s Hospital Melbourne. Clinical Practice Guidelines : Preschool asthma (1-5 years) [Internet]. www.rch.org.au. 2023 June [cited 2026 July 21]. Available from: </w:t>
      </w:r>
      <w:hyperlink r:id="rId1" w:history="1">
        <w:r w:rsidR="00D84B16" w:rsidRPr="00730947">
          <w:rPr>
            <w:rStyle w:val="Hyperlink"/>
          </w:rPr>
          <w:t>https://www.rch.org.au/clinicalguide/guideline_index/Preschool_asthma_(1-5_years)/</w:t>
        </w:r>
      </w:hyperlink>
      <w:r w:rsidR="00D84B16">
        <w:t xml:space="preserve"> </w:t>
      </w:r>
    </w:p>
  </w:footnote>
  <w:footnote w:id="2">
    <w:p w14:paraId="2CBDE844" w14:textId="5B262798" w:rsidR="006B4AB3" w:rsidRDefault="006B4AB3">
      <w:pPr>
        <w:pStyle w:val="FootnoteText"/>
      </w:pPr>
      <w:r>
        <w:rPr>
          <w:rStyle w:val="FootnoteReference"/>
        </w:rPr>
        <w:footnoteRef/>
      </w:r>
      <w:r>
        <w:t xml:space="preserve"> </w:t>
      </w:r>
      <w:r w:rsidR="001439C6">
        <w:t>FLIXOTIDE</w:t>
      </w:r>
      <w:r w:rsidR="00B90992">
        <w:t xml:space="preserve"> JUNIOR</w:t>
      </w:r>
      <w:r w:rsidR="001439C6">
        <w:t>®</w:t>
      </w:r>
      <w:r w:rsidR="00B90992">
        <w:t xml:space="preserve"> (fluticasone propionate). Australian Approved Product Information. </w:t>
      </w:r>
      <w:r w:rsidR="00AB5F6B">
        <w:t xml:space="preserve">GlaxoSmithKline Australia Pty Ptd. </w:t>
      </w:r>
      <w:r w:rsidR="00D6791E">
        <w:t>Approved 25 November 1993</w:t>
      </w:r>
      <w:r w:rsidR="00DC66E9">
        <w:t xml:space="preserve">, updated 7 September 2021. </w:t>
      </w:r>
      <w:r w:rsidR="00D353D7">
        <w:t xml:space="preserve">Available from </w:t>
      </w:r>
      <w:hyperlink r:id="rId2" w:history="1">
        <w:r w:rsidR="00D353D7" w:rsidRPr="00865376">
          <w:rPr>
            <w:rStyle w:val="Hyperlink"/>
          </w:rPr>
          <w:t>https://www.ebs.tga.gov.au/ebs/picmi/picmirepository.nsf/pdf?OpenAgent=&amp;id=CP-2010-PI-05259-3&amp;d=20251124172310101</w:t>
        </w:r>
      </w:hyperlink>
      <w:r w:rsidR="00D353D7">
        <w:t xml:space="preserve"> </w:t>
      </w:r>
      <w:r w:rsidR="001439C6">
        <w:t xml:space="preserve"> </w:t>
      </w:r>
    </w:p>
  </w:footnote>
  <w:footnote w:id="3">
    <w:p w14:paraId="0A4DD767" w14:textId="6B3A91EE" w:rsidR="00576B18" w:rsidRPr="00BC5AE2" w:rsidRDefault="00576B18" w:rsidP="00576B18">
      <w:pPr>
        <w:pStyle w:val="FootnoteText"/>
        <w:rPr>
          <w:sz w:val="20"/>
        </w:rPr>
      </w:pPr>
      <w:r w:rsidRPr="00BC5AE2">
        <w:rPr>
          <w:rStyle w:val="FootnoteReference"/>
          <w:sz w:val="20"/>
        </w:rPr>
        <w:footnoteRef/>
      </w:r>
      <w:r w:rsidRPr="00BC5AE2">
        <w:rPr>
          <w:sz w:val="20"/>
        </w:rPr>
        <w:t xml:space="preserve"> PBS statistics</w:t>
      </w:r>
      <w:r>
        <w:rPr>
          <w:sz w:val="20"/>
        </w:rPr>
        <w:t xml:space="preserve">. Australian Government </w:t>
      </w:r>
      <w:r w:rsidR="006804E0" w:rsidRPr="006804E0">
        <w:rPr>
          <w:sz w:val="20"/>
        </w:rPr>
        <w:t>Services Australia</w:t>
      </w:r>
      <w:r>
        <w:rPr>
          <w:sz w:val="20"/>
        </w:rPr>
        <w:t>. Canberra. Available from &lt;</w:t>
      </w:r>
      <w:hyperlink r:id="rId3" w:history="1">
        <w:r>
          <w:rPr>
            <w:rStyle w:val="Hyperlink"/>
            <w:sz w:val="20"/>
          </w:rPr>
          <w:t>http://www.medicareaustralia.gov.au/provider/pbs/stats.jsp</w:t>
        </w:r>
      </w:hyperlink>
      <w:r>
        <w:rPr>
          <w:sz w:val="20"/>
        </w:rPr>
        <w: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F878" w14:textId="1E1CB482" w:rsidR="00DD188C" w:rsidRDefault="00D905D3">
    <w:pPr>
      <w:pStyle w:val="Header"/>
    </w:pPr>
    <w:r>
      <w:rPr>
        <w:noProof/>
      </w:rPr>
      <mc:AlternateContent>
        <mc:Choice Requires="wps">
          <w:drawing>
            <wp:anchor distT="0" distB="0" distL="0" distR="0" simplePos="0" relativeHeight="251673600" behindDoc="0" locked="0" layoutInCell="1" allowOverlap="1" wp14:anchorId="4E459B8B" wp14:editId="360A9C7B">
              <wp:simplePos x="635" y="635"/>
              <wp:positionH relativeFrom="page">
                <wp:align>center</wp:align>
              </wp:positionH>
              <wp:positionV relativeFrom="page">
                <wp:align>top</wp:align>
              </wp:positionV>
              <wp:extent cx="622300" cy="376555"/>
              <wp:effectExtent l="0" t="0" r="6350" b="4445"/>
              <wp:wrapNone/>
              <wp:docPr id="858133977"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4846F4C" w14:textId="17AEB10C" w:rsidR="00D905D3" w:rsidRPr="00D905D3" w:rsidRDefault="00D905D3" w:rsidP="00D905D3">
                          <w:pPr>
                            <w:spacing w:after="0"/>
                            <w:rPr>
                              <w:rFonts w:ascii="Aptos" w:eastAsia="Aptos" w:hAnsi="Aptos" w:cs="Aptos"/>
                              <w:noProof/>
                              <w:color w:val="FF0000"/>
                            </w:rPr>
                          </w:pPr>
                          <w:r w:rsidRPr="00D905D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459B8B" id="_x0000_t202" coordsize="21600,21600" o:spt="202" path="m,l,21600r21600,l21600,xe">
              <v:stroke joinstyle="miter"/>
              <v:path gradientshapeok="t" o:connecttype="rect"/>
            </v:shapetype>
            <v:shape id="Text Box 8" o:spid="_x0000_s1026" type="#_x0000_t202" alt="OFFICIAL" style="position:absolute;margin-left:0;margin-top:0;width:49pt;height:29.6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74846F4C" w14:textId="17AEB10C" w:rsidR="00D905D3" w:rsidRPr="00D905D3" w:rsidRDefault="00D905D3" w:rsidP="00D905D3">
                    <w:pPr>
                      <w:spacing w:after="0"/>
                      <w:rPr>
                        <w:rFonts w:ascii="Aptos" w:eastAsia="Aptos" w:hAnsi="Aptos" w:cs="Aptos"/>
                        <w:noProof/>
                        <w:color w:val="FF0000"/>
                      </w:rPr>
                    </w:pPr>
                    <w:r w:rsidRPr="00D905D3">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680EB" w14:textId="3DAF3864" w:rsidR="00D905D3" w:rsidRDefault="00D905D3">
    <w:pPr>
      <w:pStyle w:val="Header"/>
    </w:pPr>
    <w:r>
      <w:rPr>
        <w:noProof/>
      </w:rPr>
      <mc:AlternateContent>
        <mc:Choice Requires="wps">
          <w:drawing>
            <wp:anchor distT="0" distB="0" distL="0" distR="0" simplePos="0" relativeHeight="251674624" behindDoc="0" locked="0" layoutInCell="1" allowOverlap="1" wp14:anchorId="06133703" wp14:editId="3F4EA7C5">
              <wp:simplePos x="635" y="635"/>
              <wp:positionH relativeFrom="page">
                <wp:align>center</wp:align>
              </wp:positionH>
              <wp:positionV relativeFrom="page">
                <wp:align>top</wp:align>
              </wp:positionV>
              <wp:extent cx="622300" cy="376555"/>
              <wp:effectExtent l="0" t="0" r="6350" b="4445"/>
              <wp:wrapNone/>
              <wp:docPr id="1354626374"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1835ABB" w14:textId="073CB25F" w:rsidR="00D905D3" w:rsidRPr="00D905D3" w:rsidRDefault="00D905D3" w:rsidP="00D905D3">
                          <w:pPr>
                            <w:spacing w:after="0"/>
                            <w:rPr>
                              <w:rFonts w:ascii="Aptos" w:eastAsia="Aptos" w:hAnsi="Aptos" w:cs="Aptos"/>
                              <w:noProof/>
                              <w:color w:val="FF0000"/>
                            </w:rPr>
                          </w:pPr>
                          <w:r w:rsidRPr="00D905D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133703" id="_x0000_t202" coordsize="21600,21600" o:spt="202" path="m,l,21600r21600,l21600,xe">
              <v:stroke joinstyle="miter"/>
              <v:path gradientshapeok="t" o:connecttype="rect"/>
            </v:shapetype>
            <v:shape id="Text Box 9" o:spid="_x0000_s1027" type="#_x0000_t202" alt="OFFICIAL" style="position:absolute;margin-left:0;margin-top:0;width:49pt;height:29.65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61835ABB" w14:textId="073CB25F" w:rsidR="00D905D3" w:rsidRPr="00D905D3" w:rsidRDefault="00D905D3" w:rsidP="00D905D3">
                    <w:pPr>
                      <w:spacing w:after="0"/>
                      <w:rPr>
                        <w:rFonts w:ascii="Aptos" w:eastAsia="Aptos" w:hAnsi="Aptos" w:cs="Aptos"/>
                        <w:noProof/>
                        <w:color w:val="FF0000"/>
                      </w:rPr>
                    </w:pPr>
                    <w:r w:rsidRPr="00D905D3">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87C54" w14:textId="6E64F8BE" w:rsidR="00DD188C" w:rsidRDefault="00D905D3">
    <w:pPr>
      <w:pStyle w:val="Header"/>
    </w:pPr>
    <w:r>
      <w:rPr>
        <w:noProof/>
      </w:rPr>
      <mc:AlternateContent>
        <mc:Choice Requires="wps">
          <w:drawing>
            <wp:anchor distT="0" distB="0" distL="0" distR="0" simplePos="0" relativeHeight="251672576" behindDoc="0" locked="0" layoutInCell="1" allowOverlap="1" wp14:anchorId="32A7925A" wp14:editId="45C374B9">
              <wp:simplePos x="635" y="635"/>
              <wp:positionH relativeFrom="page">
                <wp:align>center</wp:align>
              </wp:positionH>
              <wp:positionV relativeFrom="page">
                <wp:align>top</wp:align>
              </wp:positionV>
              <wp:extent cx="622300" cy="376555"/>
              <wp:effectExtent l="0" t="0" r="6350" b="4445"/>
              <wp:wrapNone/>
              <wp:docPr id="1609514800"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4095984" w14:textId="35BBE88F" w:rsidR="00D905D3" w:rsidRPr="00D905D3" w:rsidRDefault="00D905D3" w:rsidP="00D905D3">
                          <w:pPr>
                            <w:spacing w:after="0"/>
                            <w:rPr>
                              <w:rFonts w:ascii="Aptos" w:eastAsia="Aptos" w:hAnsi="Aptos" w:cs="Aptos"/>
                              <w:noProof/>
                              <w:color w:val="FF0000"/>
                            </w:rPr>
                          </w:pPr>
                          <w:r w:rsidRPr="00D905D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A7925A" id="_x0000_t202" coordsize="21600,21600" o:spt="202" path="m,l,21600r21600,l21600,xe">
              <v:stroke joinstyle="miter"/>
              <v:path gradientshapeok="t" o:connecttype="rect"/>
            </v:shapetype>
            <v:shape id="Text Box 7" o:spid="_x0000_s1030" type="#_x0000_t202" alt="OFFICIAL" style="position:absolute;margin-left:0;margin-top:0;width:49pt;height:29.6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44095984" w14:textId="35BBE88F" w:rsidR="00D905D3" w:rsidRPr="00D905D3" w:rsidRDefault="00D905D3" w:rsidP="00D905D3">
                    <w:pPr>
                      <w:spacing w:after="0"/>
                      <w:rPr>
                        <w:rFonts w:ascii="Aptos" w:eastAsia="Aptos" w:hAnsi="Aptos" w:cs="Aptos"/>
                        <w:noProof/>
                        <w:color w:val="FF0000"/>
                      </w:rPr>
                    </w:pPr>
                    <w:r w:rsidRPr="00D905D3">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76DA8"/>
    <w:multiLevelType w:val="hybridMultilevel"/>
    <w:tmpl w:val="36745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F1D6B28"/>
    <w:multiLevelType w:val="hybridMultilevel"/>
    <w:tmpl w:val="086A4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6415909">
    <w:abstractNumId w:val="4"/>
  </w:num>
  <w:num w:numId="2" w16cid:durableId="1520583505">
    <w:abstractNumId w:val="3"/>
  </w:num>
  <w:num w:numId="3" w16cid:durableId="599725331">
    <w:abstractNumId w:val="1"/>
  </w:num>
  <w:num w:numId="4" w16cid:durableId="1815364345">
    <w:abstractNumId w:val="0"/>
  </w:num>
  <w:num w:numId="5" w16cid:durableId="400294923">
    <w:abstractNumId w:val="2"/>
  </w:num>
  <w:num w:numId="6" w16cid:durableId="15891950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41"/>
    <w:rsid w:val="00007E85"/>
    <w:rsid w:val="00013465"/>
    <w:rsid w:val="00014F60"/>
    <w:rsid w:val="0002200D"/>
    <w:rsid w:val="000226B3"/>
    <w:rsid w:val="00024549"/>
    <w:rsid w:val="00025712"/>
    <w:rsid w:val="000362AC"/>
    <w:rsid w:val="00041082"/>
    <w:rsid w:val="00044981"/>
    <w:rsid w:val="00050C3D"/>
    <w:rsid w:val="000514AF"/>
    <w:rsid w:val="000544B6"/>
    <w:rsid w:val="00057B6F"/>
    <w:rsid w:val="000604AF"/>
    <w:rsid w:val="00062583"/>
    <w:rsid w:val="000639B0"/>
    <w:rsid w:val="00065A9A"/>
    <w:rsid w:val="0006721E"/>
    <w:rsid w:val="00077520"/>
    <w:rsid w:val="000801EA"/>
    <w:rsid w:val="00081918"/>
    <w:rsid w:val="00086C11"/>
    <w:rsid w:val="00090352"/>
    <w:rsid w:val="00091A48"/>
    <w:rsid w:val="00094DCF"/>
    <w:rsid w:val="000A1B96"/>
    <w:rsid w:val="000A1E3E"/>
    <w:rsid w:val="000A21DF"/>
    <w:rsid w:val="000A3726"/>
    <w:rsid w:val="000A6066"/>
    <w:rsid w:val="000A6CFD"/>
    <w:rsid w:val="000A7D6C"/>
    <w:rsid w:val="000B0453"/>
    <w:rsid w:val="000B0982"/>
    <w:rsid w:val="000B3DC1"/>
    <w:rsid w:val="000B3FB3"/>
    <w:rsid w:val="000B796C"/>
    <w:rsid w:val="000C46BB"/>
    <w:rsid w:val="000C4D9D"/>
    <w:rsid w:val="000C7C4B"/>
    <w:rsid w:val="000C7D8B"/>
    <w:rsid w:val="000D02C3"/>
    <w:rsid w:val="000D5C01"/>
    <w:rsid w:val="000E485D"/>
    <w:rsid w:val="000E72C6"/>
    <w:rsid w:val="000F1893"/>
    <w:rsid w:val="000F2F51"/>
    <w:rsid w:val="000F48B3"/>
    <w:rsid w:val="00100EE4"/>
    <w:rsid w:val="001047B3"/>
    <w:rsid w:val="00113CF8"/>
    <w:rsid w:val="00113D74"/>
    <w:rsid w:val="001161C5"/>
    <w:rsid w:val="00116B49"/>
    <w:rsid w:val="0011786A"/>
    <w:rsid w:val="00117C5C"/>
    <w:rsid w:val="00117F2D"/>
    <w:rsid w:val="0012329F"/>
    <w:rsid w:val="001310AE"/>
    <w:rsid w:val="001420B3"/>
    <w:rsid w:val="001439C6"/>
    <w:rsid w:val="001460C4"/>
    <w:rsid w:val="001465EB"/>
    <w:rsid w:val="0015691C"/>
    <w:rsid w:val="00160A85"/>
    <w:rsid w:val="001621F7"/>
    <w:rsid w:val="001624D7"/>
    <w:rsid w:val="00177B86"/>
    <w:rsid w:val="00182585"/>
    <w:rsid w:val="00191182"/>
    <w:rsid w:val="00194384"/>
    <w:rsid w:val="0019664D"/>
    <w:rsid w:val="001A1760"/>
    <w:rsid w:val="001A6103"/>
    <w:rsid w:val="001B5D37"/>
    <w:rsid w:val="001B6285"/>
    <w:rsid w:val="001C2940"/>
    <w:rsid w:val="001C3ED7"/>
    <w:rsid w:val="001C4016"/>
    <w:rsid w:val="001C548D"/>
    <w:rsid w:val="001C6A5D"/>
    <w:rsid w:val="001D5178"/>
    <w:rsid w:val="001E31A6"/>
    <w:rsid w:val="001E42C7"/>
    <w:rsid w:val="001E439C"/>
    <w:rsid w:val="001E4CAB"/>
    <w:rsid w:val="001E6B94"/>
    <w:rsid w:val="001F0A4E"/>
    <w:rsid w:val="001F2F3E"/>
    <w:rsid w:val="001F4906"/>
    <w:rsid w:val="001F64AE"/>
    <w:rsid w:val="001F7C4A"/>
    <w:rsid w:val="00201E30"/>
    <w:rsid w:val="00201EF8"/>
    <w:rsid w:val="0020578A"/>
    <w:rsid w:val="00207631"/>
    <w:rsid w:val="0021136B"/>
    <w:rsid w:val="00212260"/>
    <w:rsid w:val="00212FE8"/>
    <w:rsid w:val="00213608"/>
    <w:rsid w:val="00213BCD"/>
    <w:rsid w:val="00214013"/>
    <w:rsid w:val="0021525B"/>
    <w:rsid w:val="00220FC1"/>
    <w:rsid w:val="00221B3A"/>
    <w:rsid w:val="00222E9A"/>
    <w:rsid w:val="00226175"/>
    <w:rsid w:val="00226333"/>
    <w:rsid w:val="0023179D"/>
    <w:rsid w:val="002344DC"/>
    <w:rsid w:val="00242D06"/>
    <w:rsid w:val="00246121"/>
    <w:rsid w:val="00250794"/>
    <w:rsid w:val="00250F7C"/>
    <w:rsid w:val="0025389D"/>
    <w:rsid w:val="00254CC2"/>
    <w:rsid w:val="00254E02"/>
    <w:rsid w:val="002603AE"/>
    <w:rsid w:val="00260929"/>
    <w:rsid w:val="0026265F"/>
    <w:rsid w:val="00271420"/>
    <w:rsid w:val="002722E8"/>
    <w:rsid w:val="00277C1D"/>
    <w:rsid w:val="00280A04"/>
    <w:rsid w:val="0028519D"/>
    <w:rsid w:val="0028659D"/>
    <w:rsid w:val="00286C3A"/>
    <w:rsid w:val="002930F5"/>
    <w:rsid w:val="002A06B7"/>
    <w:rsid w:val="002B0307"/>
    <w:rsid w:val="002B0635"/>
    <w:rsid w:val="002B15FA"/>
    <w:rsid w:val="002B51E0"/>
    <w:rsid w:val="002B6DA4"/>
    <w:rsid w:val="002C0D1F"/>
    <w:rsid w:val="002C59C4"/>
    <w:rsid w:val="002C6E0C"/>
    <w:rsid w:val="002C7743"/>
    <w:rsid w:val="002D144A"/>
    <w:rsid w:val="002D65BF"/>
    <w:rsid w:val="002E19A3"/>
    <w:rsid w:val="002E212B"/>
    <w:rsid w:val="002E2E9C"/>
    <w:rsid w:val="002E3337"/>
    <w:rsid w:val="002E4469"/>
    <w:rsid w:val="002E6D03"/>
    <w:rsid w:val="002F192D"/>
    <w:rsid w:val="002F4298"/>
    <w:rsid w:val="002F49A8"/>
    <w:rsid w:val="002F5E66"/>
    <w:rsid w:val="002F61CA"/>
    <w:rsid w:val="002F62F8"/>
    <w:rsid w:val="003000B4"/>
    <w:rsid w:val="0030010D"/>
    <w:rsid w:val="0030609E"/>
    <w:rsid w:val="00314E97"/>
    <w:rsid w:val="003174F7"/>
    <w:rsid w:val="00333465"/>
    <w:rsid w:val="0033504C"/>
    <w:rsid w:val="00336816"/>
    <w:rsid w:val="003370D0"/>
    <w:rsid w:val="00337341"/>
    <w:rsid w:val="00337355"/>
    <w:rsid w:val="003402E4"/>
    <w:rsid w:val="00340F95"/>
    <w:rsid w:val="00344A61"/>
    <w:rsid w:val="003531ED"/>
    <w:rsid w:val="00353A84"/>
    <w:rsid w:val="00355E3C"/>
    <w:rsid w:val="00357EC6"/>
    <w:rsid w:val="00360B9A"/>
    <w:rsid w:val="00361C9D"/>
    <w:rsid w:val="00365ED2"/>
    <w:rsid w:val="00381113"/>
    <w:rsid w:val="0038422C"/>
    <w:rsid w:val="0039017F"/>
    <w:rsid w:val="00391A9D"/>
    <w:rsid w:val="00394AEE"/>
    <w:rsid w:val="003C0E86"/>
    <w:rsid w:val="003C0FAD"/>
    <w:rsid w:val="003C2018"/>
    <w:rsid w:val="003C2D98"/>
    <w:rsid w:val="003D3A96"/>
    <w:rsid w:val="003D3B9C"/>
    <w:rsid w:val="003D56D0"/>
    <w:rsid w:val="003D5700"/>
    <w:rsid w:val="003D58DC"/>
    <w:rsid w:val="003E131F"/>
    <w:rsid w:val="003E318C"/>
    <w:rsid w:val="003E3498"/>
    <w:rsid w:val="003F3A6C"/>
    <w:rsid w:val="003F7AC0"/>
    <w:rsid w:val="00404F03"/>
    <w:rsid w:val="00406944"/>
    <w:rsid w:val="004070C9"/>
    <w:rsid w:val="00407C64"/>
    <w:rsid w:val="00412051"/>
    <w:rsid w:val="00414DEC"/>
    <w:rsid w:val="00417450"/>
    <w:rsid w:val="004203AE"/>
    <w:rsid w:val="004223C9"/>
    <w:rsid w:val="00423B94"/>
    <w:rsid w:val="00424A6F"/>
    <w:rsid w:val="0042627F"/>
    <w:rsid w:val="00434B3C"/>
    <w:rsid w:val="00443A83"/>
    <w:rsid w:val="00445CE8"/>
    <w:rsid w:val="0044779D"/>
    <w:rsid w:val="0045526D"/>
    <w:rsid w:val="0046084C"/>
    <w:rsid w:val="00463731"/>
    <w:rsid w:val="0046400A"/>
    <w:rsid w:val="00467B25"/>
    <w:rsid w:val="00470EFB"/>
    <w:rsid w:val="00476BC2"/>
    <w:rsid w:val="00481108"/>
    <w:rsid w:val="00484BF2"/>
    <w:rsid w:val="0049042B"/>
    <w:rsid w:val="00493FDA"/>
    <w:rsid w:val="00495473"/>
    <w:rsid w:val="00495EE2"/>
    <w:rsid w:val="0049663C"/>
    <w:rsid w:val="004A225C"/>
    <w:rsid w:val="004A458E"/>
    <w:rsid w:val="004A4962"/>
    <w:rsid w:val="004B23E7"/>
    <w:rsid w:val="004B306F"/>
    <w:rsid w:val="004B3934"/>
    <w:rsid w:val="004C3186"/>
    <w:rsid w:val="004C5042"/>
    <w:rsid w:val="004E1117"/>
    <w:rsid w:val="004E4422"/>
    <w:rsid w:val="004E5B96"/>
    <w:rsid w:val="00503998"/>
    <w:rsid w:val="0050623B"/>
    <w:rsid w:val="00512490"/>
    <w:rsid w:val="00512C24"/>
    <w:rsid w:val="005146A1"/>
    <w:rsid w:val="005156E6"/>
    <w:rsid w:val="00515FBE"/>
    <w:rsid w:val="00523181"/>
    <w:rsid w:val="00524D13"/>
    <w:rsid w:val="00530333"/>
    <w:rsid w:val="00531B5C"/>
    <w:rsid w:val="005339F6"/>
    <w:rsid w:val="0053600D"/>
    <w:rsid w:val="00544B7A"/>
    <w:rsid w:val="00554C58"/>
    <w:rsid w:val="00557487"/>
    <w:rsid w:val="00564F89"/>
    <w:rsid w:val="00575C12"/>
    <w:rsid w:val="00575FB1"/>
    <w:rsid w:val="00576B18"/>
    <w:rsid w:val="00576BA3"/>
    <w:rsid w:val="00583321"/>
    <w:rsid w:val="00583CF9"/>
    <w:rsid w:val="00587724"/>
    <w:rsid w:val="00591512"/>
    <w:rsid w:val="00597A38"/>
    <w:rsid w:val="005A6FDE"/>
    <w:rsid w:val="005B2D91"/>
    <w:rsid w:val="005B35D4"/>
    <w:rsid w:val="005B48B4"/>
    <w:rsid w:val="005C1035"/>
    <w:rsid w:val="005C177A"/>
    <w:rsid w:val="005C4B7B"/>
    <w:rsid w:val="005C5BC5"/>
    <w:rsid w:val="005C6661"/>
    <w:rsid w:val="005C6E3B"/>
    <w:rsid w:val="005D0491"/>
    <w:rsid w:val="005D474B"/>
    <w:rsid w:val="005E085C"/>
    <w:rsid w:val="005E147D"/>
    <w:rsid w:val="005E22C2"/>
    <w:rsid w:val="005E57BB"/>
    <w:rsid w:val="005E61C2"/>
    <w:rsid w:val="005E66B8"/>
    <w:rsid w:val="005E758B"/>
    <w:rsid w:val="005F0017"/>
    <w:rsid w:val="006014F1"/>
    <w:rsid w:val="006034F9"/>
    <w:rsid w:val="0061245E"/>
    <w:rsid w:val="0061357B"/>
    <w:rsid w:val="00614A7D"/>
    <w:rsid w:val="0061616B"/>
    <w:rsid w:val="00621E63"/>
    <w:rsid w:val="006268BF"/>
    <w:rsid w:val="006277F2"/>
    <w:rsid w:val="00635B8A"/>
    <w:rsid w:val="0063631C"/>
    <w:rsid w:val="00636C89"/>
    <w:rsid w:val="0063757B"/>
    <w:rsid w:val="006377CE"/>
    <w:rsid w:val="0064066F"/>
    <w:rsid w:val="00646A44"/>
    <w:rsid w:val="006537D9"/>
    <w:rsid w:val="00654323"/>
    <w:rsid w:val="006565F9"/>
    <w:rsid w:val="00664A48"/>
    <w:rsid w:val="00665DEF"/>
    <w:rsid w:val="006673CF"/>
    <w:rsid w:val="00670D9E"/>
    <w:rsid w:val="00670F03"/>
    <w:rsid w:val="00671410"/>
    <w:rsid w:val="006714CF"/>
    <w:rsid w:val="00675BB1"/>
    <w:rsid w:val="006775F1"/>
    <w:rsid w:val="006804E0"/>
    <w:rsid w:val="00690EE2"/>
    <w:rsid w:val="00692AA7"/>
    <w:rsid w:val="00697FEC"/>
    <w:rsid w:val="006A175F"/>
    <w:rsid w:val="006A1AE5"/>
    <w:rsid w:val="006A1CAB"/>
    <w:rsid w:val="006A44F5"/>
    <w:rsid w:val="006B2C74"/>
    <w:rsid w:val="006B3674"/>
    <w:rsid w:val="006B4537"/>
    <w:rsid w:val="006B4AB3"/>
    <w:rsid w:val="006B554F"/>
    <w:rsid w:val="006B5F85"/>
    <w:rsid w:val="006B6929"/>
    <w:rsid w:val="006B709B"/>
    <w:rsid w:val="006C2E70"/>
    <w:rsid w:val="006C54AF"/>
    <w:rsid w:val="006D3982"/>
    <w:rsid w:val="006D6002"/>
    <w:rsid w:val="006E0181"/>
    <w:rsid w:val="006E5401"/>
    <w:rsid w:val="006F43BB"/>
    <w:rsid w:val="006F48B9"/>
    <w:rsid w:val="006F541C"/>
    <w:rsid w:val="006F6AA2"/>
    <w:rsid w:val="00700C0E"/>
    <w:rsid w:val="00705DAD"/>
    <w:rsid w:val="007219A1"/>
    <w:rsid w:val="007247B9"/>
    <w:rsid w:val="007250F0"/>
    <w:rsid w:val="00727D85"/>
    <w:rsid w:val="007346C7"/>
    <w:rsid w:val="0073527E"/>
    <w:rsid w:val="00736041"/>
    <w:rsid w:val="007408C7"/>
    <w:rsid w:val="00744E64"/>
    <w:rsid w:val="007465DA"/>
    <w:rsid w:val="0075219F"/>
    <w:rsid w:val="00752C7F"/>
    <w:rsid w:val="00760471"/>
    <w:rsid w:val="00761FEF"/>
    <w:rsid w:val="007648E9"/>
    <w:rsid w:val="007671E1"/>
    <w:rsid w:val="00771DCD"/>
    <w:rsid w:val="00775537"/>
    <w:rsid w:val="00776598"/>
    <w:rsid w:val="00777D9C"/>
    <w:rsid w:val="0078775F"/>
    <w:rsid w:val="00792948"/>
    <w:rsid w:val="00796E84"/>
    <w:rsid w:val="007A3ADE"/>
    <w:rsid w:val="007A5733"/>
    <w:rsid w:val="007A5774"/>
    <w:rsid w:val="007C3E05"/>
    <w:rsid w:val="007C684B"/>
    <w:rsid w:val="007C7B29"/>
    <w:rsid w:val="007D4832"/>
    <w:rsid w:val="007F201B"/>
    <w:rsid w:val="007F21B2"/>
    <w:rsid w:val="0080046A"/>
    <w:rsid w:val="00801E74"/>
    <w:rsid w:val="0080485E"/>
    <w:rsid w:val="00811E8F"/>
    <w:rsid w:val="008142B4"/>
    <w:rsid w:val="00816D1F"/>
    <w:rsid w:val="00821888"/>
    <w:rsid w:val="00830CD9"/>
    <w:rsid w:val="0083210F"/>
    <w:rsid w:val="00832324"/>
    <w:rsid w:val="008333B6"/>
    <w:rsid w:val="00833CEF"/>
    <w:rsid w:val="00835337"/>
    <w:rsid w:val="008408DD"/>
    <w:rsid w:val="00840D3A"/>
    <w:rsid w:val="00842302"/>
    <w:rsid w:val="008461C0"/>
    <w:rsid w:val="00846DCD"/>
    <w:rsid w:val="00851D85"/>
    <w:rsid w:val="008530F6"/>
    <w:rsid w:val="008576B6"/>
    <w:rsid w:val="00860CCB"/>
    <w:rsid w:val="00871A57"/>
    <w:rsid w:val="008740A3"/>
    <w:rsid w:val="0088027A"/>
    <w:rsid w:val="0089297B"/>
    <w:rsid w:val="00897EB5"/>
    <w:rsid w:val="008B4ADE"/>
    <w:rsid w:val="008B58FB"/>
    <w:rsid w:val="008C1B3E"/>
    <w:rsid w:val="008C36CA"/>
    <w:rsid w:val="008C378E"/>
    <w:rsid w:val="008C3A06"/>
    <w:rsid w:val="008D6215"/>
    <w:rsid w:val="008E3F8C"/>
    <w:rsid w:val="008E4850"/>
    <w:rsid w:val="008F143F"/>
    <w:rsid w:val="0090144E"/>
    <w:rsid w:val="00902FD0"/>
    <w:rsid w:val="0090309E"/>
    <w:rsid w:val="009053D3"/>
    <w:rsid w:val="00905949"/>
    <w:rsid w:val="00906310"/>
    <w:rsid w:val="0090691F"/>
    <w:rsid w:val="00914615"/>
    <w:rsid w:val="0092168D"/>
    <w:rsid w:val="009234C7"/>
    <w:rsid w:val="009257C4"/>
    <w:rsid w:val="0093111F"/>
    <w:rsid w:val="00931EF7"/>
    <w:rsid w:val="00934BDB"/>
    <w:rsid w:val="00935689"/>
    <w:rsid w:val="009371EE"/>
    <w:rsid w:val="009436FA"/>
    <w:rsid w:val="00943AA7"/>
    <w:rsid w:val="009457D9"/>
    <w:rsid w:val="0095206F"/>
    <w:rsid w:val="0095303B"/>
    <w:rsid w:val="009663B6"/>
    <w:rsid w:val="00970C2E"/>
    <w:rsid w:val="009717B9"/>
    <w:rsid w:val="00974A47"/>
    <w:rsid w:val="009764EF"/>
    <w:rsid w:val="00980286"/>
    <w:rsid w:val="00983510"/>
    <w:rsid w:val="00990DCF"/>
    <w:rsid w:val="00991D07"/>
    <w:rsid w:val="00992362"/>
    <w:rsid w:val="00993A07"/>
    <w:rsid w:val="009A0EC2"/>
    <w:rsid w:val="009A0F4A"/>
    <w:rsid w:val="009A4CD6"/>
    <w:rsid w:val="009A537C"/>
    <w:rsid w:val="009A6249"/>
    <w:rsid w:val="009C0886"/>
    <w:rsid w:val="009C19EE"/>
    <w:rsid w:val="009C28D0"/>
    <w:rsid w:val="009C3045"/>
    <w:rsid w:val="009C35F2"/>
    <w:rsid w:val="009C5562"/>
    <w:rsid w:val="009C6A66"/>
    <w:rsid w:val="009C7782"/>
    <w:rsid w:val="009D1ED5"/>
    <w:rsid w:val="009D4C13"/>
    <w:rsid w:val="009E21A7"/>
    <w:rsid w:val="009E3A82"/>
    <w:rsid w:val="009E42B6"/>
    <w:rsid w:val="009E4CF2"/>
    <w:rsid w:val="009E7FDA"/>
    <w:rsid w:val="009F667A"/>
    <w:rsid w:val="00A02D16"/>
    <w:rsid w:val="00A05EB4"/>
    <w:rsid w:val="00A103ED"/>
    <w:rsid w:val="00A13C60"/>
    <w:rsid w:val="00A15134"/>
    <w:rsid w:val="00A341A3"/>
    <w:rsid w:val="00A35800"/>
    <w:rsid w:val="00A369D4"/>
    <w:rsid w:val="00A41022"/>
    <w:rsid w:val="00A41B0B"/>
    <w:rsid w:val="00A43829"/>
    <w:rsid w:val="00A44C10"/>
    <w:rsid w:val="00A46270"/>
    <w:rsid w:val="00A475B3"/>
    <w:rsid w:val="00A52918"/>
    <w:rsid w:val="00A547B3"/>
    <w:rsid w:val="00A65A85"/>
    <w:rsid w:val="00A66AF9"/>
    <w:rsid w:val="00A70E82"/>
    <w:rsid w:val="00A74803"/>
    <w:rsid w:val="00A74DA1"/>
    <w:rsid w:val="00A84CAD"/>
    <w:rsid w:val="00A84F95"/>
    <w:rsid w:val="00A90E50"/>
    <w:rsid w:val="00A9563C"/>
    <w:rsid w:val="00A95FA5"/>
    <w:rsid w:val="00A96D92"/>
    <w:rsid w:val="00A9716F"/>
    <w:rsid w:val="00AA0752"/>
    <w:rsid w:val="00AA1188"/>
    <w:rsid w:val="00AB199C"/>
    <w:rsid w:val="00AB1D72"/>
    <w:rsid w:val="00AB3733"/>
    <w:rsid w:val="00AB4B7F"/>
    <w:rsid w:val="00AB588C"/>
    <w:rsid w:val="00AB5F6B"/>
    <w:rsid w:val="00AB7897"/>
    <w:rsid w:val="00AC5054"/>
    <w:rsid w:val="00AC64D6"/>
    <w:rsid w:val="00AE4BAC"/>
    <w:rsid w:val="00AE66D5"/>
    <w:rsid w:val="00B03360"/>
    <w:rsid w:val="00B034FC"/>
    <w:rsid w:val="00B05310"/>
    <w:rsid w:val="00B10A0B"/>
    <w:rsid w:val="00B15239"/>
    <w:rsid w:val="00B16C37"/>
    <w:rsid w:val="00B16D28"/>
    <w:rsid w:val="00B209E1"/>
    <w:rsid w:val="00B21B2B"/>
    <w:rsid w:val="00B21FD6"/>
    <w:rsid w:val="00B22AA9"/>
    <w:rsid w:val="00B23ACA"/>
    <w:rsid w:val="00B30D85"/>
    <w:rsid w:val="00B35A4A"/>
    <w:rsid w:val="00B36008"/>
    <w:rsid w:val="00B41ABE"/>
    <w:rsid w:val="00B4284E"/>
    <w:rsid w:val="00B44DFA"/>
    <w:rsid w:val="00B45071"/>
    <w:rsid w:val="00B453CF"/>
    <w:rsid w:val="00B46B30"/>
    <w:rsid w:val="00B550CD"/>
    <w:rsid w:val="00B63FD7"/>
    <w:rsid w:val="00B75B52"/>
    <w:rsid w:val="00B816D9"/>
    <w:rsid w:val="00B819D5"/>
    <w:rsid w:val="00B90874"/>
    <w:rsid w:val="00B90992"/>
    <w:rsid w:val="00B9120F"/>
    <w:rsid w:val="00B9216C"/>
    <w:rsid w:val="00B924A4"/>
    <w:rsid w:val="00B97661"/>
    <w:rsid w:val="00BA6CC9"/>
    <w:rsid w:val="00BB0D1A"/>
    <w:rsid w:val="00BB1AFB"/>
    <w:rsid w:val="00BB1CA4"/>
    <w:rsid w:val="00BB1D3B"/>
    <w:rsid w:val="00BB2965"/>
    <w:rsid w:val="00BC35ED"/>
    <w:rsid w:val="00BC3978"/>
    <w:rsid w:val="00BC7F25"/>
    <w:rsid w:val="00BD664E"/>
    <w:rsid w:val="00BD702C"/>
    <w:rsid w:val="00BE205A"/>
    <w:rsid w:val="00BE3802"/>
    <w:rsid w:val="00BF238E"/>
    <w:rsid w:val="00BF2F4A"/>
    <w:rsid w:val="00BF544D"/>
    <w:rsid w:val="00C0076F"/>
    <w:rsid w:val="00C00795"/>
    <w:rsid w:val="00C0265C"/>
    <w:rsid w:val="00C0301C"/>
    <w:rsid w:val="00C04E97"/>
    <w:rsid w:val="00C050B6"/>
    <w:rsid w:val="00C10395"/>
    <w:rsid w:val="00C10F12"/>
    <w:rsid w:val="00C170C2"/>
    <w:rsid w:val="00C177B6"/>
    <w:rsid w:val="00C245EA"/>
    <w:rsid w:val="00C256F6"/>
    <w:rsid w:val="00C3097E"/>
    <w:rsid w:val="00C32C46"/>
    <w:rsid w:val="00C359FD"/>
    <w:rsid w:val="00C35ECC"/>
    <w:rsid w:val="00C361A8"/>
    <w:rsid w:val="00C41246"/>
    <w:rsid w:val="00C449B7"/>
    <w:rsid w:val="00C44AF4"/>
    <w:rsid w:val="00C45E5F"/>
    <w:rsid w:val="00C46291"/>
    <w:rsid w:val="00C5246F"/>
    <w:rsid w:val="00C55E08"/>
    <w:rsid w:val="00C625F0"/>
    <w:rsid w:val="00C63412"/>
    <w:rsid w:val="00C6586F"/>
    <w:rsid w:val="00C66D1A"/>
    <w:rsid w:val="00C714D0"/>
    <w:rsid w:val="00C718C2"/>
    <w:rsid w:val="00C80176"/>
    <w:rsid w:val="00C81359"/>
    <w:rsid w:val="00C85ED8"/>
    <w:rsid w:val="00C90EF4"/>
    <w:rsid w:val="00CA015A"/>
    <w:rsid w:val="00CB5108"/>
    <w:rsid w:val="00CB79F0"/>
    <w:rsid w:val="00CC1AA3"/>
    <w:rsid w:val="00CC4AAA"/>
    <w:rsid w:val="00CC6098"/>
    <w:rsid w:val="00CC7596"/>
    <w:rsid w:val="00CD4486"/>
    <w:rsid w:val="00CD653E"/>
    <w:rsid w:val="00CF2A73"/>
    <w:rsid w:val="00CF4E5C"/>
    <w:rsid w:val="00CF5E22"/>
    <w:rsid w:val="00D051B0"/>
    <w:rsid w:val="00D06A44"/>
    <w:rsid w:val="00D151EB"/>
    <w:rsid w:val="00D16BA3"/>
    <w:rsid w:val="00D16D60"/>
    <w:rsid w:val="00D23E34"/>
    <w:rsid w:val="00D258E2"/>
    <w:rsid w:val="00D269AD"/>
    <w:rsid w:val="00D26A89"/>
    <w:rsid w:val="00D300E0"/>
    <w:rsid w:val="00D30F64"/>
    <w:rsid w:val="00D353D7"/>
    <w:rsid w:val="00D36AD4"/>
    <w:rsid w:val="00D374CD"/>
    <w:rsid w:val="00D43519"/>
    <w:rsid w:val="00D55CCD"/>
    <w:rsid w:val="00D55DC1"/>
    <w:rsid w:val="00D606A8"/>
    <w:rsid w:val="00D650CE"/>
    <w:rsid w:val="00D6791E"/>
    <w:rsid w:val="00D70FC2"/>
    <w:rsid w:val="00D71719"/>
    <w:rsid w:val="00D768F8"/>
    <w:rsid w:val="00D776DA"/>
    <w:rsid w:val="00D77819"/>
    <w:rsid w:val="00D84B16"/>
    <w:rsid w:val="00D84B9A"/>
    <w:rsid w:val="00D8758B"/>
    <w:rsid w:val="00D901C4"/>
    <w:rsid w:val="00D905D3"/>
    <w:rsid w:val="00D91A0F"/>
    <w:rsid w:val="00D938B7"/>
    <w:rsid w:val="00D942B3"/>
    <w:rsid w:val="00D94863"/>
    <w:rsid w:val="00DA7D09"/>
    <w:rsid w:val="00DC2630"/>
    <w:rsid w:val="00DC49E9"/>
    <w:rsid w:val="00DC55E4"/>
    <w:rsid w:val="00DC65CF"/>
    <w:rsid w:val="00DC66E9"/>
    <w:rsid w:val="00DC7D71"/>
    <w:rsid w:val="00DD188C"/>
    <w:rsid w:val="00DD29A3"/>
    <w:rsid w:val="00DD46F6"/>
    <w:rsid w:val="00DD48EE"/>
    <w:rsid w:val="00DE0B96"/>
    <w:rsid w:val="00DE10B9"/>
    <w:rsid w:val="00DE4EDB"/>
    <w:rsid w:val="00DE5E16"/>
    <w:rsid w:val="00DF0B13"/>
    <w:rsid w:val="00DF1616"/>
    <w:rsid w:val="00DF1CB5"/>
    <w:rsid w:val="00DF2EB8"/>
    <w:rsid w:val="00DF4A94"/>
    <w:rsid w:val="00DF6003"/>
    <w:rsid w:val="00E00095"/>
    <w:rsid w:val="00E066C3"/>
    <w:rsid w:val="00E076E3"/>
    <w:rsid w:val="00E10D8C"/>
    <w:rsid w:val="00E1353A"/>
    <w:rsid w:val="00E1564B"/>
    <w:rsid w:val="00E159FF"/>
    <w:rsid w:val="00E178A7"/>
    <w:rsid w:val="00E208A0"/>
    <w:rsid w:val="00E25B49"/>
    <w:rsid w:val="00E32844"/>
    <w:rsid w:val="00E333AD"/>
    <w:rsid w:val="00E371EA"/>
    <w:rsid w:val="00E405F3"/>
    <w:rsid w:val="00E4476A"/>
    <w:rsid w:val="00E57EBB"/>
    <w:rsid w:val="00E626F1"/>
    <w:rsid w:val="00E64429"/>
    <w:rsid w:val="00E677DD"/>
    <w:rsid w:val="00E71425"/>
    <w:rsid w:val="00E746EF"/>
    <w:rsid w:val="00E7594B"/>
    <w:rsid w:val="00EA01FD"/>
    <w:rsid w:val="00EA38E1"/>
    <w:rsid w:val="00EB4688"/>
    <w:rsid w:val="00EB6C07"/>
    <w:rsid w:val="00EC028D"/>
    <w:rsid w:val="00EC4772"/>
    <w:rsid w:val="00EC7F00"/>
    <w:rsid w:val="00ED52AB"/>
    <w:rsid w:val="00ED633B"/>
    <w:rsid w:val="00ED7C2C"/>
    <w:rsid w:val="00EE2BBB"/>
    <w:rsid w:val="00EE478C"/>
    <w:rsid w:val="00EF5B29"/>
    <w:rsid w:val="00F02AED"/>
    <w:rsid w:val="00F03C4A"/>
    <w:rsid w:val="00F055F7"/>
    <w:rsid w:val="00F1132C"/>
    <w:rsid w:val="00F15DD5"/>
    <w:rsid w:val="00F17D4B"/>
    <w:rsid w:val="00F23139"/>
    <w:rsid w:val="00F2315A"/>
    <w:rsid w:val="00F27F7D"/>
    <w:rsid w:val="00F36CAA"/>
    <w:rsid w:val="00F419D3"/>
    <w:rsid w:val="00F45481"/>
    <w:rsid w:val="00F47068"/>
    <w:rsid w:val="00F511C8"/>
    <w:rsid w:val="00F52C14"/>
    <w:rsid w:val="00F6054A"/>
    <w:rsid w:val="00F60861"/>
    <w:rsid w:val="00F6633B"/>
    <w:rsid w:val="00F66CAD"/>
    <w:rsid w:val="00F66CD5"/>
    <w:rsid w:val="00F67A9A"/>
    <w:rsid w:val="00F70F4E"/>
    <w:rsid w:val="00F73113"/>
    <w:rsid w:val="00F75263"/>
    <w:rsid w:val="00F75E65"/>
    <w:rsid w:val="00F75FC4"/>
    <w:rsid w:val="00F8416E"/>
    <w:rsid w:val="00F85981"/>
    <w:rsid w:val="00F87263"/>
    <w:rsid w:val="00F93725"/>
    <w:rsid w:val="00F96A94"/>
    <w:rsid w:val="00FA1317"/>
    <w:rsid w:val="00FA2212"/>
    <w:rsid w:val="00FA4890"/>
    <w:rsid w:val="00FA54C4"/>
    <w:rsid w:val="00FB48AA"/>
    <w:rsid w:val="00FB5C3E"/>
    <w:rsid w:val="00FB5DBB"/>
    <w:rsid w:val="00FB77FA"/>
    <w:rsid w:val="00FC3C70"/>
    <w:rsid w:val="00FC4A73"/>
    <w:rsid w:val="00FC559C"/>
    <w:rsid w:val="00FC7F0D"/>
    <w:rsid w:val="00FD0627"/>
    <w:rsid w:val="00FD7C45"/>
    <w:rsid w:val="00FE2270"/>
    <w:rsid w:val="00FE645A"/>
    <w:rsid w:val="00FE6AFF"/>
    <w:rsid w:val="00FF5913"/>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Revision">
    <w:name w:val="Revision"/>
    <w:hidden/>
    <w:uiPriority w:val="99"/>
    <w:semiHidden/>
    <w:rsid w:val="00CB79F0"/>
    <w:pPr>
      <w:spacing w:after="0" w:line="240" w:lineRule="auto"/>
    </w:pPr>
    <w:rPr>
      <w:sz w:val="24"/>
      <w:szCs w:val="24"/>
    </w:rPr>
  </w:style>
  <w:style w:type="character" w:styleId="UnresolvedMention">
    <w:name w:val="Unresolved Mention"/>
    <w:basedOn w:val="DefaultParagraphFont"/>
    <w:uiPriority w:val="99"/>
    <w:semiHidden/>
    <w:unhideWhenUsed/>
    <w:rsid w:val="008530F6"/>
    <w:rPr>
      <w:color w:val="605E5C"/>
      <w:shd w:val="clear" w:color="auto" w:fill="E1DFDD"/>
    </w:rPr>
  </w:style>
  <w:style w:type="character" w:styleId="FollowedHyperlink">
    <w:name w:val="FollowedHyperlink"/>
    <w:basedOn w:val="DefaultParagraphFont"/>
    <w:uiPriority w:val="99"/>
    <w:semiHidden/>
    <w:unhideWhenUsed/>
    <w:rsid w:val="001178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805007434">
      <w:bodyDiv w:val="1"/>
      <w:marLeft w:val="0"/>
      <w:marRight w:val="0"/>
      <w:marTop w:val="0"/>
      <w:marBottom w:val="0"/>
      <w:divBdr>
        <w:top w:val="none" w:sz="0" w:space="0" w:color="auto"/>
        <w:left w:val="none" w:sz="0" w:space="0" w:color="auto"/>
        <w:bottom w:val="none" w:sz="0" w:space="0" w:color="auto"/>
        <w:right w:val="none" w:sz="0" w:space="0" w:color="auto"/>
      </w:divBdr>
    </w:div>
    <w:div w:id="1014452766">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bs.gov.au/home" TargetMode="External"/><Relationship Id="rId18" Type="http://schemas.openxmlformats.org/officeDocument/2006/relationships/image" Target="media/image5.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www.pbs.gov.au/pbs/home" TargetMode="External"/><Relationship Id="rId17" Type="http://schemas.openxmlformats.org/officeDocument/2006/relationships/image" Target="media/image4.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ga.gov.au/resources/artg"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pbs.gov.au/industry/listing/elements/pbac-meetings/pbac-outcomes/2023-05/may-2023-PBAC-web-outcomes-fluticasone.pdf"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tga.gov.au/resources/artg"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pbs.gov.au/home" TargetMode="External"/><Relationship Id="rId22" Type="http://schemas.openxmlformats.org/officeDocument/2006/relationships/image" Target="media/image9.png"/><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medicareaustralia.gov.au/provider/pbs/stats.jsp" TargetMode="External"/><Relationship Id="rId2" Type="http://schemas.openxmlformats.org/officeDocument/2006/relationships/hyperlink" Target="https://www.ebs.tga.gov.au/ebs/picmi/picmirepository.nsf/pdf?OpenAgent=&amp;id=CP-2010-PI-05259-3&amp;d=20251124172310101" TargetMode="External"/><Relationship Id="rId1" Type="http://schemas.openxmlformats.org/officeDocument/2006/relationships/hyperlink" Target="https://www.rch.org.au/clinicalguide/guideline_index/Preschool_asthma_(1-5_yea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4F82B-27DE-4369-A0C3-FBA3FE91E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3182</Words>
  <Characters>18139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2026-07-21T00:27:00Z</dcterms:created>
  <dcterms:modified xsi:type="dcterms:W3CDTF">2026-07-21T01:43:00Z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5fef3f30,332615d9,50bdf546</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563fc066,75cdc9ce,51a2eac7</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2026-07-21T00:27:46Z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bf01da24-ee71-45a2-a421-62ada9d5c487</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