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C130" w14:textId="73721DE3" w:rsidR="00832324" w:rsidRDefault="009C2DB5" w:rsidP="00F73113">
      <w:pPr>
        <w:pStyle w:val="Title"/>
      </w:pPr>
      <w:r>
        <w:t>Mepolizumab</w:t>
      </w:r>
      <w:r w:rsidR="001C4016">
        <w:t>: a</w:t>
      </w:r>
      <w:r w:rsidR="00935689">
        <w:t xml:space="preserve">nalysis </w:t>
      </w:r>
      <w:r>
        <w:t xml:space="preserve">of use for </w:t>
      </w:r>
      <w:r w:rsidR="0047565F" w:rsidRPr="0047565F">
        <w:t>chronic rhinosinusitis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1E9FB252" w:rsidR="009053D3" w:rsidRPr="00F73113" w:rsidRDefault="0047565F" w:rsidP="00F73113">
      <w:pPr>
        <w:pStyle w:val="Meetingdate"/>
      </w:pPr>
      <w:r>
        <w:t>February</w:t>
      </w:r>
      <w:r w:rsidR="00D151EB" w:rsidRPr="00F73113">
        <w:t xml:space="preserve"> 20</w:t>
      </w:r>
      <w:r>
        <w:t>26</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5A70ACAE" w:rsidR="005C6661" w:rsidRDefault="0015498F" w:rsidP="0015498F">
      <w:pPr>
        <w:pStyle w:val="NoSpacing"/>
      </w:pPr>
      <w:r w:rsidRPr="0012031F">
        <w:t xml:space="preserve">To review the utilisation of </w:t>
      </w:r>
      <w:r>
        <w:t>mepolizumab</w:t>
      </w:r>
      <w:r w:rsidRPr="0012031F">
        <w:t xml:space="preserve"> for the treatment of </w:t>
      </w:r>
      <w:r>
        <w:t>chronic rhinosinusitis</w:t>
      </w:r>
      <w:r w:rsidRPr="0012031F">
        <w:t xml:space="preserve"> </w:t>
      </w:r>
      <w:r w:rsidRPr="007209B2">
        <w:t>with nasal polyps</w:t>
      </w:r>
      <w:r>
        <w:t xml:space="preserve"> </w:t>
      </w:r>
      <w:r w:rsidRPr="007209B2">
        <w:t>(</w:t>
      </w:r>
      <w:proofErr w:type="spellStart"/>
      <w:r w:rsidRPr="007209B2">
        <w:t>CRSwNP</w:t>
      </w:r>
      <w:proofErr w:type="spellEnd"/>
      <w:r w:rsidRPr="007209B2">
        <w:t xml:space="preserve">) </w:t>
      </w:r>
      <w:r w:rsidRPr="0012031F">
        <w:t xml:space="preserve">as requested by DUSC at its </w:t>
      </w:r>
      <w:r>
        <w:t>October</w:t>
      </w:r>
      <w:r w:rsidRPr="0012031F">
        <w:t xml:space="preserve"> 202</w:t>
      </w:r>
      <w:r>
        <w:t>5</w:t>
      </w:r>
      <w:r w:rsidRPr="0012031F">
        <w:t xml:space="preserve"> meeting.</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58B3CAD9" w:rsidR="002D144A" w:rsidRPr="002D144A" w:rsidRDefault="0015498F" w:rsidP="002D144A">
      <w:r>
        <w:t xml:space="preserve">Mepolizumab </w:t>
      </w:r>
      <w:r w:rsidRPr="00E526B8">
        <w:t xml:space="preserve">was PBS listed for </w:t>
      </w:r>
      <w:proofErr w:type="spellStart"/>
      <w:r w:rsidRPr="00E526B8">
        <w:t>CRSwNP</w:t>
      </w:r>
      <w:proofErr w:type="spellEnd"/>
      <w:r>
        <w:t xml:space="preserve"> on </w:t>
      </w:r>
      <w:r w:rsidRPr="00244098">
        <w:t>1</w:t>
      </w:r>
      <w:r>
        <w:t> </w:t>
      </w:r>
      <w:r w:rsidRPr="00244098">
        <w:t>April 2023</w:t>
      </w:r>
      <w:r>
        <w:t>.</w:t>
      </w:r>
    </w:p>
    <w:p w14:paraId="526743BB" w14:textId="77777777" w:rsidR="005C6661" w:rsidRDefault="005C6661" w:rsidP="00CF5E22">
      <w:pPr>
        <w:pStyle w:val="Heading3"/>
      </w:pPr>
      <w:r>
        <w:t>Data Source / methodology</w:t>
      </w:r>
    </w:p>
    <w:p w14:paraId="3C74AB36" w14:textId="00CBF192" w:rsidR="006804E0" w:rsidRDefault="006804E0" w:rsidP="005C6661">
      <w:pPr>
        <w:pStyle w:val="NoSpacing"/>
      </w:pPr>
      <w:r w:rsidRPr="006804E0">
        <w:t>Data extracted from the PBS database maintained by Department of Healt</w:t>
      </w:r>
      <w:r w:rsidR="00E15ADE">
        <w:t xml:space="preserve">h, </w:t>
      </w:r>
      <w:r w:rsidR="000B343F">
        <w:t xml:space="preserve">Disability and </w:t>
      </w:r>
      <w:r w:rsidR="00E15ADE">
        <w:t>Ageing</w:t>
      </w:r>
      <w:r w:rsidRPr="006804E0">
        <w:t>, processed by Services Australia were used for the analyses.</w:t>
      </w:r>
    </w:p>
    <w:p w14:paraId="7599E7C1" w14:textId="77777777" w:rsidR="005C6661" w:rsidRDefault="005C6661" w:rsidP="00CF5E22">
      <w:pPr>
        <w:pStyle w:val="Heading3"/>
      </w:pPr>
      <w:r>
        <w:t>Key Findings</w:t>
      </w:r>
    </w:p>
    <w:p w14:paraId="013B8A7D" w14:textId="06E37038" w:rsidR="005C6661" w:rsidRDefault="00460DB9" w:rsidP="005C6661">
      <w:pPr>
        <w:pStyle w:val="NoSpacing"/>
        <w:numPr>
          <w:ilvl w:val="0"/>
          <w:numId w:val="1"/>
        </w:numPr>
      </w:pPr>
      <w:r>
        <w:t>Since PBS listing on 1 April 2023, 2,509 patients have been supplied 31,992</w:t>
      </w:r>
      <w:r w:rsidRPr="00460DB9">
        <w:t xml:space="preserve"> </w:t>
      </w:r>
      <w:r w:rsidRPr="00E74587">
        <w:t xml:space="preserve">prescriptions of mepolizumab for </w:t>
      </w:r>
      <w:proofErr w:type="spellStart"/>
      <w:r w:rsidRPr="00E74587">
        <w:t>CRSwNP</w:t>
      </w:r>
      <w:proofErr w:type="spellEnd"/>
      <w:r>
        <w:t xml:space="preserve">. </w:t>
      </w:r>
      <w:r w:rsidR="009F33D5" w:rsidRPr="00E74587">
        <w:t xml:space="preserve">In 2024, </w:t>
      </w:r>
      <w:r w:rsidR="00B61B32">
        <w:t xml:space="preserve">there were </w:t>
      </w:r>
      <w:r w:rsidR="009F33D5" w:rsidRPr="00E74587">
        <w:t xml:space="preserve">1,717 patients supplied 13,484 prescriptions of mepolizumab for </w:t>
      </w:r>
      <w:proofErr w:type="spellStart"/>
      <w:r w:rsidR="009F33D5" w:rsidRPr="00E74587">
        <w:t>CRSwNP</w:t>
      </w:r>
      <w:proofErr w:type="spellEnd"/>
      <w:r w:rsidR="009F33D5" w:rsidRPr="00E74587">
        <w:t>.</w:t>
      </w:r>
    </w:p>
    <w:p w14:paraId="5403A3EE" w14:textId="2AEB4C89" w:rsidR="00C2649E" w:rsidRDefault="00C2649E" w:rsidP="005C6661">
      <w:pPr>
        <w:pStyle w:val="NoSpacing"/>
        <w:numPr>
          <w:ilvl w:val="0"/>
          <w:numId w:val="1"/>
        </w:numPr>
      </w:pPr>
      <w:r>
        <w:t xml:space="preserve">The number of treated patients has increased each quarter, and patients who initiate appear to continue treatment, as </w:t>
      </w:r>
      <w:r w:rsidR="00182565">
        <w:t>approximately</w:t>
      </w:r>
      <w:r>
        <w:t xml:space="preserve"> 80% of patients </w:t>
      </w:r>
      <w:r w:rsidRPr="00F37786">
        <w:t>who have initiated treatment were</w:t>
      </w:r>
      <w:r>
        <w:t xml:space="preserve"> </w:t>
      </w:r>
      <w:r w:rsidRPr="00F37786">
        <w:t>identified as continuing treatment at</w:t>
      </w:r>
      <w:r>
        <w:t xml:space="preserve"> the end of the data collection.</w:t>
      </w:r>
    </w:p>
    <w:p w14:paraId="08670393" w14:textId="078ABA5E" w:rsidR="009F33D5" w:rsidRDefault="009F33D5" w:rsidP="005C6661">
      <w:pPr>
        <w:pStyle w:val="NoSpacing"/>
        <w:numPr>
          <w:ilvl w:val="0"/>
          <w:numId w:val="1"/>
        </w:numPr>
      </w:pPr>
      <w:r>
        <w:t>Publicly available data from the Medicare Benefits Schedule show</w:t>
      </w:r>
      <w:r w:rsidR="001E4E09">
        <w:t>ed</w:t>
      </w:r>
      <w:r>
        <w:t xml:space="preserve"> a decrease in </w:t>
      </w:r>
      <w:r w:rsidRPr="00342DF1">
        <w:t>the number of services related to surgeries for nasal polyps from 2023.</w:t>
      </w:r>
      <w:r>
        <w:t xml:space="preserve"> </w:t>
      </w:r>
      <w:r w:rsidR="006A2558" w:rsidRPr="001B5624">
        <w:rPr>
          <w:rFonts w:eastAsiaTheme="majorEastAsia" w:cstheme="majorBidi"/>
          <w:bCs/>
          <w:iCs/>
        </w:rPr>
        <w:t>However, this decrease was likely due to administrative changes to MBS item codes rather than the PBS listing of mepolizumab.</w:t>
      </w:r>
    </w:p>
    <w:p w14:paraId="524712FC" w14:textId="77777777" w:rsidR="00B61B32" w:rsidRDefault="00B61B32" w:rsidP="00B61B32">
      <w:pPr>
        <w:pStyle w:val="NoSpacing"/>
        <w:numPr>
          <w:ilvl w:val="0"/>
          <w:numId w:val="1"/>
        </w:numPr>
      </w:pPr>
      <w:r>
        <w:t>The supplied quantity and time between supplies of mepolizumab appear to be in accordance with recommended dosing.</w:t>
      </w:r>
    </w:p>
    <w:p w14:paraId="24BB4D5C" w14:textId="5558C922" w:rsidR="00B61B32" w:rsidRDefault="00613672" w:rsidP="00B61B32">
      <w:pPr>
        <w:pStyle w:val="NoSpacing"/>
        <w:numPr>
          <w:ilvl w:val="0"/>
          <w:numId w:val="1"/>
        </w:numPr>
      </w:pPr>
      <w:proofErr w:type="gramStart"/>
      <w:r>
        <w:t>The</w:t>
      </w:r>
      <w:r w:rsidR="00B61B32">
        <w:t xml:space="preserve"> majority of</w:t>
      </w:r>
      <w:proofErr w:type="gramEnd"/>
      <w:r w:rsidR="00B61B32">
        <w:t xml:space="preserve"> patients who initiated </w:t>
      </w:r>
      <w:r w:rsidR="00B61B32" w:rsidRPr="00E74587">
        <w:t xml:space="preserve">mepolizumab for </w:t>
      </w:r>
      <w:proofErr w:type="spellStart"/>
      <w:r w:rsidR="00B61B32" w:rsidRPr="00E74587">
        <w:t>CRSwNP</w:t>
      </w:r>
      <w:proofErr w:type="spellEnd"/>
      <w:r w:rsidR="00B61B32">
        <w:t xml:space="preserve"> were male (57%).</w:t>
      </w:r>
    </w:p>
    <w:p w14:paraId="2824594C" w14:textId="06234486" w:rsidR="00306782" w:rsidRPr="00E74587" w:rsidDel="00C2649E" w:rsidRDefault="00306782" w:rsidP="005C6661">
      <w:pPr>
        <w:pStyle w:val="NoSpacing"/>
        <w:numPr>
          <w:ilvl w:val="0"/>
          <w:numId w:val="1"/>
        </w:numPr>
      </w:pPr>
      <w:r w:rsidDel="00C2649E">
        <w:t>The States with the highest use per population were SA, QLD and WA.</w:t>
      </w: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026F9A1D" w14:textId="61C03B82" w:rsidR="00990DCF" w:rsidRDefault="0012031F" w:rsidP="00990DCF">
      <w:pPr>
        <w:rPr>
          <w:highlight w:val="yellow"/>
        </w:rPr>
      </w:pPr>
      <w:r w:rsidRPr="0012031F">
        <w:t xml:space="preserve">To review the utilisation of </w:t>
      </w:r>
      <w:r>
        <w:t>mepolizumab</w:t>
      </w:r>
      <w:r w:rsidRPr="0012031F">
        <w:t xml:space="preserve"> for the treatment of </w:t>
      </w:r>
      <w:r>
        <w:t xml:space="preserve">chronic </w:t>
      </w:r>
      <w:r w:rsidR="00995135">
        <w:t>rhinosinusitis</w:t>
      </w:r>
      <w:r w:rsidRPr="0012031F">
        <w:t xml:space="preserve"> </w:t>
      </w:r>
      <w:r w:rsidR="007209B2" w:rsidRPr="007209B2">
        <w:t>with nasal polyps</w:t>
      </w:r>
      <w:r w:rsidR="007209B2">
        <w:t xml:space="preserve"> </w:t>
      </w:r>
      <w:r w:rsidR="007209B2" w:rsidRPr="007209B2">
        <w:t>(</w:t>
      </w:r>
      <w:proofErr w:type="spellStart"/>
      <w:r w:rsidR="007209B2" w:rsidRPr="007209B2">
        <w:t>CRSwNP</w:t>
      </w:r>
      <w:proofErr w:type="spellEnd"/>
      <w:r w:rsidR="007209B2" w:rsidRPr="007209B2">
        <w:t xml:space="preserve">) </w:t>
      </w:r>
      <w:r w:rsidRPr="0012031F">
        <w:t xml:space="preserve">as requested by DUSC at its </w:t>
      </w:r>
      <w:r w:rsidR="00995135">
        <w:t>October</w:t>
      </w:r>
      <w:r w:rsidRPr="0012031F">
        <w:t xml:space="preserve"> 202</w:t>
      </w:r>
      <w:r w:rsidR="00995135">
        <w:t>5</w:t>
      </w:r>
      <w:r w:rsidRPr="0012031F">
        <w:t xml:space="preserve"> meeting.</w:t>
      </w:r>
      <w:r w:rsidR="00683FC3">
        <w:t xml:space="preserve"> </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608E345D" w14:textId="025A86EF" w:rsidR="00EE2BBB" w:rsidRPr="00C256F6" w:rsidRDefault="00041158" w:rsidP="00EE2BBB">
      <w:pPr>
        <w:rPr>
          <w:vertAlign w:val="superscript"/>
        </w:rPr>
      </w:pPr>
      <w:proofErr w:type="spellStart"/>
      <w:r w:rsidRPr="001B1676">
        <w:t>CRSwNP</w:t>
      </w:r>
      <w:proofErr w:type="spellEnd"/>
      <w:r w:rsidRPr="001B1676">
        <w:t xml:space="preserve"> is a subtype of chronic rhinosinusitis characterised by persistent inflammation of the nasal and sinus mucosa, </w:t>
      </w:r>
      <w:r w:rsidR="00C06F67" w:rsidRPr="001B1676">
        <w:t>which can cause symptoms such as blocked nose and loss of smell, a</w:t>
      </w:r>
      <w:r w:rsidR="00800BC0" w:rsidRPr="001B1676">
        <w:t>nd</w:t>
      </w:r>
      <w:r w:rsidRPr="001B1676">
        <w:t xml:space="preserve"> </w:t>
      </w:r>
      <w:r w:rsidR="00EA7198" w:rsidRPr="001B1676">
        <w:t xml:space="preserve">soft jelly-like growths </w:t>
      </w:r>
      <w:r w:rsidR="00D723F9" w:rsidRPr="001B1676">
        <w:t>(nasal polyps) to form inside the nose</w:t>
      </w:r>
      <w:r w:rsidRPr="001B1676">
        <w:t>.</w:t>
      </w:r>
      <w:r w:rsidR="00353401">
        <w:rPr>
          <w:rStyle w:val="FootnoteReference"/>
        </w:rPr>
        <w:footnoteReference w:id="1"/>
      </w:r>
      <w:r w:rsidRPr="001B1676">
        <w:t xml:space="preserve"> </w:t>
      </w:r>
      <w:r w:rsidR="001B1676" w:rsidRPr="001B1676">
        <w:t xml:space="preserve">The first‐line treatment for nasal polyps is usually medical therapy in the form of </w:t>
      </w:r>
      <w:r w:rsidR="0069759A">
        <w:t xml:space="preserve">topical or oral </w:t>
      </w:r>
      <w:r w:rsidR="000F3478">
        <w:t>cortico</w:t>
      </w:r>
      <w:r w:rsidR="001B1676" w:rsidRPr="001B1676">
        <w:t xml:space="preserve">steroids. In patients where this treatment has failed to relieve the symptoms, the polyps can be removed surgically. These surgical procedures are often not </w:t>
      </w:r>
      <w:proofErr w:type="gramStart"/>
      <w:r w:rsidR="001B1676" w:rsidRPr="001B1676">
        <w:t>curative</w:t>
      </w:r>
      <w:proofErr w:type="gramEnd"/>
      <w:r w:rsidR="001B1676" w:rsidRPr="001B1676">
        <w:t xml:space="preserve"> and patients may need to continue medical therapy or undergo further surgeries.</w:t>
      </w:r>
      <w:r w:rsidR="00152F07" w:rsidRPr="001B1676">
        <w:rPr>
          <w:rStyle w:val="FootnoteReference"/>
        </w:rPr>
        <w:footnoteReference w:id="2"/>
      </w:r>
      <w:r w:rsidRPr="001B1676">
        <w:t xml:space="preserve"> The condition is frequently associated with elevated eosinophil levels and may coexist with other eosinophilic disorders such as asthma.</w:t>
      </w:r>
      <w:r w:rsidR="00EE2BBB" w:rsidRPr="001B1676">
        <w:rPr>
          <w:rStyle w:val="FootnoteReference"/>
        </w:rPr>
        <w:footnoteReference w:id="3"/>
      </w:r>
    </w:p>
    <w:p w14:paraId="0183A567" w14:textId="413DF87B" w:rsidR="007247B9" w:rsidRDefault="007247B9" w:rsidP="00CF5E22">
      <w:pPr>
        <w:pStyle w:val="Heading2"/>
      </w:pPr>
      <w:r>
        <w:t>Pharmacology</w:t>
      </w:r>
    </w:p>
    <w:p w14:paraId="06821C4B" w14:textId="3FCB5075" w:rsidR="00AE4BAC" w:rsidRPr="007247B9" w:rsidRDefault="003F2D32" w:rsidP="00AE4BAC">
      <w:r w:rsidRPr="005116C8">
        <w:t xml:space="preserve">Mepolizumab is a humanised monoclonal antibody that selectively binds to interleukin-5 (IL-5), a key cytokine involved in the growth </w:t>
      </w:r>
      <w:r w:rsidR="001554AB" w:rsidRPr="005116C8">
        <w:t>and differentiation, recruitment, a</w:t>
      </w:r>
      <w:r w:rsidRPr="005116C8">
        <w:t xml:space="preserve">ctivation, and survival of eosinophils. By inhibiting IL-5, mepolizumab reduces eosinophil levels in the blood and tissues, thereby mitigating eosinophilic inflammation. This mechanism is particularly relevant in </w:t>
      </w:r>
      <w:proofErr w:type="spellStart"/>
      <w:r w:rsidRPr="005116C8">
        <w:t>CRSwNP</w:t>
      </w:r>
      <w:proofErr w:type="spellEnd"/>
      <w:r w:rsidRPr="005116C8">
        <w:t>, where eosinophilic infiltration contributes to polyp formation and symptom severity.</w:t>
      </w:r>
      <w:bookmarkStart w:id="0" w:name="_Ref212803680"/>
      <w:r w:rsidR="00360B9A" w:rsidRPr="005116C8">
        <w:rPr>
          <w:rStyle w:val="FootnoteReference"/>
        </w:rPr>
        <w:footnoteReference w:id="4"/>
      </w:r>
      <w:bookmarkEnd w:id="0"/>
      <w:r w:rsidR="00AE4BAC">
        <w:t xml:space="preserve"> </w:t>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1E393897" w14:textId="0B961431" w:rsidR="001420B3" w:rsidRDefault="00AF2E6C" w:rsidP="00A35800">
      <w:r w:rsidRPr="005116C8">
        <w:t xml:space="preserve">Mepolizumab </w:t>
      </w:r>
      <w:r w:rsidR="00793A68" w:rsidRPr="005116C8">
        <w:t>is</w:t>
      </w:r>
      <w:r w:rsidRPr="005116C8">
        <w:t xml:space="preserve"> registered by the TGA as an add-on treatment for adult patients </w:t>
      </w:r>
      <w:r w:rsidR="007805C1" w:rsidRPr="005116C8">
        <w:t>(18 years and older</w:t>
      </w:r>
      <w:r w:rsidRPr="005116C8">
        <w:t xml:space="preserve">) with severe </w:t>
      </w:r>
      <w:proofErr w:type="spellStart"/>
      <w:r w:rsidRPr="005116C8">
        <w:t>CRSwNP</w:t>
      </w:r>
      <w:proofErr w:type="spellEnd"/>
      <w:r w:rsidRPr="005116C8">
        <w:t xml:space="preserve"> who have an inadequate response to intranasal corticosteroids. It is also approved for severe eosinophilic asthma and </w:t>
      </w:r>
      <w:r w:rsidR="00DE56CC" w:rsidRPr="005116C8">
        <w:t xml:space="preserve">relapsed or refractory </w:t>
      </w:r>
      <w:r w:rsidRPr="005116C8">
        <w:t>eosinophilic granulomatosis with polyangiitis.</w:t>
      </w:r>
      <w:r w:rsidRPr="005116C8">
        <w:rPr>
          <w:vertAlign w:val="superscript"/>
        </w:rPr>
        <w:fldChar w:fldCharType="begin"/>
      </w:r>
      <w:r w:rsidRPr="005116C8">
        <w:rPr>
          <w:vertAlign w:val="superscript"/>
        </w:rPr>
        <w:instrText xml:space="preserve"> NOTEREF _Ref212803680 \h  \* MERGEFORMAT </w:instrText>
      </w:r>
      <w:r w:rsidRPr="005116C8">
        <w:rPr>
          <w:vertAlign w:val="superscript"/>
        </w:rPr>
      </w:r>
      <w:r w:rsidRPr="005116C8">
        <w:rPr>
          <w:vertAlign w:val="superscript"/>
        </w:rPr>
        <w:fldChar w:fldCharType="separate"/>
      </w:r>
      <w:r w:rsidR="00BF39CF">
        <w:rPr>
          <w:vertAlign w:val="superscript"/>
        </w:rPr>
        <w:t>4</w:t>
      </w:r>
      <w:r w:rsidRPr="005116C8">
        <w:rPr>
          <w:vertAlign w:val="superscript"/>
        </w:rPr>
        <w:fldChar w:fldCharType="end"/>
      </w:r>
    </w:p>
    <w:p w14:paraId="15E919C1" w14:textId="1B3BA560" w:rsidR="006B709B" w:rsidRDefault="006B709B" w:rsidP="00AF2E6C">
      <w:pPr>
        <w:pStyle w:val="Heading2"/>
        <w:keepNext/>
      </w:pPr>
      <w:r>
        <w:lastRenderedPageBreak/>
        <w:t>Dosage and administration</w:t>
      </w:r>
    </w:p>
    <w:p w14:paraId="636F6542" w14:textId="3B4237FC" w:rsidR="00136EDC" w:rsidRPr="005116C8" w:rsidRDefault="00136EDC" w:rsidP="00A35800">
      <w:r w:rsidRPr="005116C8">
        <w:t xml:space="preserve">Mepolizumab is administered as a 100 mg subcutaneous injection </w:t>
      </w:r>
      <w:r w:rsidR="000D404D">
        <w:t xml:space="preserve">once </w:t>
      </w:r>
      <w:r w:rsidRPr="005116C8">
        <w:t>every 28 days. It is supplied as a single-dose pre-filled pen for self-administration.</w:t>
      </w:r>
      <w:r w:rsidR="008244AA" w:rsidRPr="008244AA">
        <w:rPr>
          <w:vertAlign w:val="superscript"/>
        </w:rPr>
        <w:fldChar w:fldCharType="begin"/>
      </w:r>
      <w:r w:rsidR="008244AA" w:rsidRPr="008244AA">
        <w:rPr>
          <w:vertAlign w:val="superscript"/>
        </w:rPr>
        <w:instrText xml:space="preserve"> NOTEREF _Ref212803680 \h </w:instrText>
      </w:r>
      <w:r w:rsidR="008244AA">
        <w:rPr>
          <w:vertAlign w:val="superscript"/>
        </w:rPr>
        <w:instrText xml:space="preserve"> \* MERGEFORMAT </w:instrText>
      </w:r>
      <w:r w:rsidR="008244AA" w:rsidRPr="008244AA">
        <w:rPr>
          <w:vertAlign w:val="superscript"/>
        </w:rPr>
      </w:r>
      <w:r w:rsidR="008244AA" w:rsidRPr="008244AA">
        <w:rPr>
          <w:vertAlign w:val="superscript"/>
        </w:rPr>
        <w:fldChar w:fldCharType="separate"/>
      </w:r>
      <w:r w:rsidR="00BF39CF">
        <w:rPr>
          <w:vertAlign w:val="superscript"/>
        </w:rPr>
        <w:t>4</w:t>
      </w:r>
      <w:r w:rsidR="008244AA" w:rsidRPr="008244AA">
        <w:rPr>
          <w:vertAlign w:val="superscript"/>
        </w:rPr>
        <w:fldChar w:fldCharType="end"/>
      </w:r>
      <w:r w:rsidRPr="005116C8">
        <w:t xml:space="preserve"> </w:t>
      </w:r>
    </w:p>
    <w:p w14:paraId="6682A05C" w14:textId="25F53E6B" w:rsidR="00F17D4B" w:rsidRPr="002F61CA" w:rsidRDefault="00F17D4B"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46E2BB42" w14:textId="0A23D31E" w:rsidR="00DF0B13" w:rsidRPr="007247B9" w:rsidDel="00EE2BBB" w:rsidRDefault="00DF0B13" w:rsidP="00CF5E22">
      <w:pPr>
        <w:pStyle w:val="Heading2"/>
      </w:pPr>
      <w:bookmarkStart w:id="1" w:name="_Hlk212815650"/>
      <w:r w:rsidRPr="007247B9" w:rsidDel="00EE2BBB">
        <w:t>PBS listing details</w:t>
      </w:r>
      <w:r w:rsidR="00D151EB" w:rsidDel="00EE2BBB">
        <w:t xml:space="preserve"> (as </w:t>
      </w:r>
      <w:proofErr w:type="gramStart"/>
      <w:r w:rsidR="00D151EB" w:rsidDel="00EE2BBB">
        <w:t>at</w:t>
      </w:r>
      <w:proofErr w:type="gramEnd"/>
      <w:r w:rsidR="00D151EB" w:rsidDel="00EE2BBB">
        <w:t xml:space="preserve"> </w:t>
      </w:r>
      <w:r w:rsidR="00B95CD8">
        <w:t>December</w:t>
      </w:r>
      <w:r w:rsidR="00B95CD8" w:rsidRPr="00B974FC">
        <w:t xml:space="preserve"> </w:t>
      </w:r>
      <w:r w:rsidR="00B974FC" w:rsidRPr="00B974FC">
        <w:t>2025</w:t>
      </w:r>
      <w:r w:rsidR="00D151EB" w:rsidDel="00EE2BBB">
        <w:t>)</w:t>
      </w:r>
    </w:p>
    <w:bookmarkEnd w:id="1"/>
    <w:p w14:paraId="0336A4BA" w14:textId="3B8A366D" w:rsidR="00DF0B13" w:rsidDel="00EE2BBB" w:rsidRDefault="00825FBB" w:rsidP="00A35800">
      <w:r w:rsidRPr="00F95362">
        <w:t xml:space="preserve">Mepolizumab was listed on the PBS </w:t>
      </w:r>
      <w:r w:rsidR="00F95362" w:rsidRPr="00F95362">
        <w:t xml:space="preserve">for </w:t>
      </w:r>
      <w:proofErr w:type="spellStart"/>
      <w:r w:rsidR="00F95362" w:rsidRPr="00F95362">
        <w:t>CRSwNP</w:t>
      </w:r>
      <w:proofErr w:type="spellEnd"/>
      <w:r w:rsidR="00F95362" w:rsidRPr="00F95362">
        <w:t xml:space="preserve"> </w:t>
      </w:r>
      <w:r w:rsidRPr="00F95362">
        <w:t xml:space="preserve">on 1 April 2023 </w:t>
      </w:r>
      <w:r w:rsidR="00F95362">
        <w:t>as an Authority Requir</w:t>
      </w:r>
      <w:r w:rsidR="00F95362" w:rsidRPr="00F95362">
        <w:t xml:space="preserve">ed </w:t>
      </w:r>
      <w:r w:rsidR="005F6B4D">
        <w:t>listing, under the</w:t>
      </w:r>
      <w:r w:rsidRPr="00F95362">
        <w:t xml:space="preserve"> Section 100 Highly Specialised Drugs Program. The listing</w:t>
      </w:r>
      <w:r w:rsidR="00B61B32">
        <w:t>s</w:t>
      </w:r>
      <w:r w:rsidR="0017782F">
        <w:t xml:space="preserve"> for </w:t>
      </w:r>
      <w:r w:rsidR="0017782F" w:rsidRPr="007E43CC">
        <w:t>S100 HSD Public</w:t>
      </w:r>
      <w:r w:rsidR="0017782F">
        <w:t xml:space="preserve"> and </w:t>
      </w:r>
      <w:r w:rsidR="0017782F" w:rsidRPr="007E43CC">
        <w:t>S100 HSD Private</w:t>
      </w:r>
      <w:r w:rsidR="0017782F">
        <w:t xml:space="preserve"> both include</w:t>
      </w:r>
      <w:r w:rsidRPr="00F95362">
        <w:t xml:space="preserve"> criteria for initial and continuing treatment.</w:t>
      </w:r>
    </w:p>
    <w:p w14:paraId="1D47784A" w14:textId="0822D668" w:rsidR="001420B3" w:rsidRPr="001420B3" w:rsidDel="00EE2BBB" w:rsidRDefault="001420B3" w:rsidP="00CF5E22">
      <w:pPr>
        <w:pStyle w:val="Tabletitle"/>
      </w:pPr>
      <w:r w:rsidRPr="001420B3" w:rsidDel="00EE2BBB">
        <w:t xml:space="preserve">Table </w:t>
      </w:r>
      <w:r w:rsidR="00D07663">
        <w:t>1</w:t>
      </w:r>
      <w:r w:rsidRPr="001420B3" w:rsidDel="00EE2BBB">
        <w:t xml:space="preserve">: </w:t>
      </w:r>
      <w:r w:rsidR="009663B6" w:rsidDel="00EE2BBB">
        <w:t>PB</w:t>
      </w:r>
      <w:r w:rsidR="00D151EB" w:rsidDel="00EE2BBB">
        <w:t xml:space="preserve">S listing of </w:t>
      </w:r>
      <w:r w:rsidR="004D3B8C">
        <w:t xml:space="preserve">mepolizumab for </w:t>
      </w:r>
      <w:proofErr w:type="spellStart"/>
      <w:r w:rsidR="004222A3" w:rsidRPr="004222A3">
        <w:t>CRSwNP</w:t>
      </w:r>
      <w:proofErr w:type="spellEnd"/>
    </w:p>
    <w:tbl>
      <w:tblPr>
        <w:tblStyle w:val="TableGrid"/>
        <w:tblW w:w="9291" w:type="dxa"/>
        <w:tblLayout w:type="fixed"/>
        <w:tblLook w:val="04A0" w:firstRow="1" w:lastRow="0" w:firstColumn="1" w:lastColumn="0" w:noHBand="0" w:noVBand="1"/>
      </w:tblPr>
      <w:tblGrid>
        <w:gridCol w:w="969"/>
        <w:gridCol w:w="2400"/>
        <w:gridCol w:w="964"/>
        <w:gridCol w:w="964"/>
        <w:gridCol w:w="850"/>
        <w:gridCol w:w="1040"/>
        <w:gridCol w:w="2104"/>
      </w:tblGrid>
      <w:tr w:rsidR="002945F1" w:rsidRPr="00A35800" w:rsidDel="00EE2BBB" w14:paraId="6AA19A37" w14:textId="66816B88" w:rsidTr="002945F1">
        <w:trPr>
          <w:trHeight w:val="694"/>
          <w:tblHeader/>
        </w:trPr>
        <w:tc>
          <w:tcPr>
            <w:tcW w:w="969" w:type="dxa"/>
            <w:shd w:val="clear" w:color="auto" w:fill="BFBFBF" w:themeFill="background1" w:themeFillShade="BF"/>
          </w:tcPr>
          <w:p w14:paraId="56A3DEA0" w14:textId="44B86D46" w:rsidR="002945F1" w:rsidRPr="00A35800" w:rsidDel="00EE2BBB" w:rsidRDefault="0070594C" w:rsidP="002945F1">
            <w:pPr>
              <w:pStyle w:val="Tableheading"/>
              <w:rPr>
                <w:sz w:val="20"/>
                <w:szCs w:val="20"/>
              </w:rPr>
            </w:pPr>
            <w:r>
              <w:rPr>
                <w:sz w:val="20"/>
                <w:szCs w:val="20"/>
              </w:rPr>
              <w:t>PBS Item Number</w:t>
            </w:r>
          </w:p>
        </w:tc>
        <w:tc>
          <w:tcPr>
            <w:tcW w:w="2400" w:type="dxa"/>
            <w:shd w:val="clear" w:color="auto" w:fill="BFBFBF" w:themeFill="background1" w:themeFillShade="BF"/>
          </w:tcPr>
          <w:p w14:paraId="67A07252" w14:textId="6DE43662" w:rsidR="002945F1" w:rsidRPr="00A35800" w:rsidDel="00EE2BBB" w:rsidRDefault="002945F1" w:rsidP="002945F1">
            <w:pPr>
              <w:pStyle w:val="Tableheading"/>
              <w:rPr>
                <w:sz w:val="20"/>
                <w:szCs w:val="20"/>
              </w:rPr>
            </w:pPr>
            <w:r w:rsidRPr="00A35800" w:rsidDel="00EE2BBB">
              <w:rPr>
                <w:sz w:val="20"/>
                <w:szCs w:val="20"/>
              </w:rPr>
              <w:t>Name, form &amp; strength, pack size</w:t>
            </w:r>
          </w:p>
        </w:tc>
        <w:tc>
          <w:tcPr>
            <w:tcW w:w="964" w:type="dxa"/>
            <w:shd w:val="clear" w:color="auto" w:fill="BFBFBF" w:themeFill="background1" w:themeFillShade="BF"/>
          </w:tcPr>
          <w:p w14:paraId="0E0104B6" w14:textId="36096267" w:rsidR="002945F1" w:rsidRPr="00A35800" w:rsidDel="00EE2BBB" w:rsidRDefault="002945F1" w:rsidP="002945F1">
            <w:pPr>
              <w:pStyle w:val="Tableheading"/>
              <w:rPr>
                <w:sz w:val="20"/>
                <w:szCs w:val="20"/>
              </w:rPr>
            </w:pPr>
            <w:r w:rsidRPr="002945F1">
              <w:rPr>
                <w:sz w:val="20"/>
                <w:szCs w:val="20"/>
              </w:rPr>
              <w:t>Max qty packs</w:t>
            </w:r>
          </w:p>
        </w:tc>
        <w:tc>
          <w:tcPr>
            <w:tcW w:w="964" w:type="dxa"/>
            <w:shd w:val="clear" w:color="auto" w:fill="BFBFBF" w:themeFill="background1" w:themeFillShade="BF"/>
          </w:tcPr>
          <w:p w14:paraId="114E9799" w14:textId="208385CC" w:rsidR="002945F1" w:rsidRPr="00A35800" w:rsidDel="00EE2BBB" w:rsidRDefault="002945F1" w:rsidP="002945F1">
            <w:pPr>
              <w:pStyle w:val="Tableheading"/>
              <w:rPr>
                <w:sz w:val="20"/>
                <w:szCs w:val="20"/>
              </w:rPr>
            </w:pPr>
            <w:r w:rsidRPr="002945F1">
              <w:rPr>
                <w:sz w:val="20"/>
                <w:szCs w:val="20"/>
              </w:rPr>
              <w:t>Max qty units</w:t>
            </w:r>
          </w:p>
        </w:tc>
        <w:tc>
          <w:tcPr>
            <w:tcW w:w="850" w:type="dxa"/>
            <w:shd w:val="clear" w:color="auto" w:fill="BFBFBF" w:themeFill="background1" w:themeFillShade="BF"/>
          </w:tcPr>
          <w:p w14:paraId="0F1A79F7" w14:textId="170F6D44" w:rsidR="002945F1" w:rsidRPr="00A35800" w:rsidDel="00EE2BBB" w:rsidRDefault="002945F1" w:rsidP="002945F1">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040" w:type="dxa"/>
            <w:shd w:val="clear" w:color="auto" w:fill="BFBFBF" w:themeFill="background1" w:themeFillShade="BF"/>
          </w:tcPr>
          <w:p w14:paraId="05C5A0BF" w14:textId="2CFF9AC9" w:rsidR="002945F1" w:rsidRPr="00A35800" w:rsidDel="00EE2BBB" w:rsidRDefault="002945F1" w:rsidP="002945F1">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2945F1" w:rsidRPr="00A35800" w:rsidDel="00EE2BBB" w:rsidRDefault="002945F1" w:rsidP="002945F1">
            <w:pPr>
              <w:pStyle w:val="Tableheading"/>
              <w:rPr>
                <w:sz w:val="20"/>
                <w:szCs w:val="20"/>
              </w:rPr>
            </w:pPr>
            <w:r w:rsidRPr="00A35800" w:rsidDel="00EE2BBB">
              <w:rPr>
                <w:sz w:val="20"/>
                <w:szCs w:val="20"/>
              </w:rPr>
              <w:t>Brand name and manufacturer</w:t>
            </w:r>
          </w:p>
        </w:tc>
      </w:tr>
      <w:tr w:rsidR="002945F1" w:rsidRPr="00A35800" w:rsidDel="00EE2BBB" w14:paraId="2AF9D84B" w14:textId="46E1CDA2" w:rsidTr="002945F1">
        <w:trPr>
          <w:trHeight w:val="552"/>
          <w:tblHeader/>
        </w:trPr>
        <w:tc>
          <w:tcPr>
            <w:tcW w:w="969" w:type="dxa"/>
          </w:tcPr>
          <w:p w14:paraId="0A3E3442" w14:textId="6DD9220B" w:rsidR="002945F1" w:rsidRPr="00A35800" w:rsidDel="00EE2BBB" w:rsidRDefault="002945F1" w:rsidP="00C8084A">
            <w:pPr>
              <w:pStyle w:val="Tablewriting"/>
            </w:pPr>
            <w:r w:rsidRPr="0075374E">
              <w:t>13237Q</w:t>
            </w:r>
            <w:r w:rsidR="007E43CC">
              <w:t xml:space="preserve"> (</w:t>
            </w:r>
            <w:r w:rsidR="007E43CC" w:rsidRPr="007E43CC">
              <w:t>S100 HSD Public</w:t>
            </w:r>
            <w:r w:rsidR="007E43CC">
              <w:t>)</w:t>
            </w:r>
          </w:p>
        </w:tc>
        <w:tc>
          <w:tcPr>
            <w:tcW w:w="2400" w:type="dxa"/>
          </w:tcPr>
          <w:p w14:paraId="0F676F51" w14:textId="5B6F0951" w:rsidR="002945F1" w:rsidRPr="00A35800" w:rsidDel="00EE2BBB" w:rsidRDefault="002945F1" w:rsidP="00C8084A">
            <w:pPr>
              <w:pStyle w:val="Tablewriting"/>
            </w:pPr>
            <w:r w:rsidRPr="0075374E">
              <w:t>Mepolizumab 100 mg/mL injection, 1 mL pen device</w:t>
            </w:r>
          </w:p>
        </w:tc>
        <w:tc>
          <w:tcPr>
            <w:tcW w:w="964" w:type="dxa"/>
          </w:tcPr>
          <w:p w14:paraId="57E940C4" w14:textId="34E86D1A" w:rsidR="002945F1" w:rsidRPr="0075374E" w:rsidRDefault="002945F1" w:rsidP="00C8084A">
            <w:pPr>
              <w:pStyle w:val="Tablewriting"/>
            </w:pPr>
            <w:r>
              <w:t>1 pack</w:t>
            </w:r>
          </w:p>
        </w:tc>
        <w:tc>
          <w:tcPr>
            <w:tcW w:w="964" w:type="dxa"/>
          </w:tcPr>
          <w:p w14:paraId="0E2637C4" w14:textId="79237B99" w:rsidR="002945F1" w:rsidRPr="00A35800" w:rsidDel="00EE2BBB" w:rsidRDefault="002945F1" w:rsidP="00C8084A">
            <w:pPr>
              <w:pStyle w:val="Tablewriting"/>
            </w:pPr>
            <w:r>
              <w:t>1 unit</w:t>
            </w:r>
          </w:p>
        </w:tc>
        <w:tc>
          <w:tcPr>
            <w:tcW w:w="850" w:type="dxa"/>
          </w:tcPr>
          <w:p w14:paraId="6B361CAA" w14:textId="2377DD48" w:rsidR="002945F1" w:rsidRPr="00A35800" w:rsidDel="00EE2BBB" w:rsidRDefault="002945F1" w:rsidP="00C8084A">
            <w:pPr>
              <w:pStyle w:val="Tablewriting"/>
            </w:pPr>
            <w:r w:rsidRPr="0075374E">
              <w:t>5</w:t>
            </w:r>
          </w:p>
        </w:tc>
        <w:tc>
          <w:tcPr>
            <w:tcW w:w="1040" w:type="dxa"/>
          </w:tcPr>
          <w:p w14:paraId="15F68405" w14:textId="7DEC1201" w:rsidR="002945F1" w:rsidRPr="00A35800" w:rsidDel="00EE2BBB" w:rsidRDefault="002945F1" w:rsidP="00C8084A">
            <w:pPr>
              <w:pStyle w:val="Tablewriting"/>
            </w:pPr>
            <w:r w:rsidRPr="0075374E">
              <w:t>$1</w:t>
            </w:r>
            <w:r>
              <w:t>,</w:t>
            </w:r>
            <w:r w:rsidRPr="0075374E">
              <w:t>556.10</w:t>
            </w:r>
          </w:p>
        </w:tc>
        <w:tc>
          <w:tcPr>
            <w:tcW w:w="2104" w:type="dxa"/>
          </w:tcPr>
          <w:p w14:paraId="2D337AC6" w14:textId="64E7FE36" w:rsidR="002945F1" w:rsidRPr="00A35800" w:rsidDel="00EE2BBB" w:rsidRDefault="002945F1" w:rsidP="00C8084A">
            <w:pPr>
              <w:pStyle w:val="Tablewriting"/>
            </w:pPr>
            <w:r w:rsidRPr="0075374E">
              <w:t>Nucala® GlaxoSmithKline Australia Pty Ltd</w:t>
            </w:r>
          </w:p>
        </w:tc>
      </w:tr>
      <w:tr w:rsidR="002945F1" w:rsidRPr="00A35800" w:rsidDel="00EE2BBB" w14:paraId="40A49E3A" w14:textId="102A3D97" w:rsidTr="002945F1">
        <w:trPr>
          <w:trHeight w:val="552"/>
          <w:tblHeader/>
        </w:trPr>
        <w:tc>
          <w:tcPr>
            <w:tcW w:w="969" w:type="dxa"/>
          </w:tcPr>
          <w:p w14:paraId="24DA1DD8" w14:textId="1513C770" w:rsidR="002945F1" w:rsidRPr="00A35800" w:rsidDel="00EE2BBB" w:rsidRDefault="002945F1" w:rsidP="002945F1">
            <w:pPr>
              <w:pStyle w:val="Tablewriting"/>
            </w:pPr>
            <w:r w:rsidRPr="0075374E">
              <w:t>13242Y</w:t>
            </w:r>
            <w:r w:rsidR="007E43CC">
              <w:t xml:space="preserve"> (</w:t>
            </w:r>
            <w:r w:rsidR="007E43CC" w:rsidRPr="007E43CC">
              <w:t>S100 HSD Private</w:t>
            </w:r>
            <w:r w:rsidR="007E43CC">
              <w:t>)</w:t>
            </w:r>
          </w:p>
        </w:tc>
        <w:tc>
          <w:tcPr>
            <w:tcW w:w="2400" w:type="dxa"/>
          </w:tcPr>
          <w:p w14:paraId="5EB7B205" w14:textId="0D10699E" w:rsidR="002945F1" w:rsidRPr="00A35800" w:rsidDel="00EE2BBB" w:rsidRDefault="002945F1" w:rsidP="002945F1">
            <w:pPr>
              <w:pStyle w:val="Tablewriting"/>
            </w:pPr>
            <w:r w:rsidRPr="0075374E">
              <w:t>Mepolizumab 100 mg/mL injection, 1 mL pen device</w:t>
            </w:r>
          </w:p>
        </w:tc>
        <w:tc>
          <w:tcPr>
            <w:tcW w:w="964" w:type="dxa"/>
          </w:tcPr>
          <w:p w14:paraId="34C8C37D" w14:textId="02A43783" w:rsidR="002945F1" w:rsidRPr="0075374E" w:rsidRDefault="002945F1" w:rsidP="002945F1">
            <w:pPr>
              <w:pStyle w:val="Tablewriting"/>
            </w:pPr>
            <w:r>
              <w:t>1 pack</w:t>
            </w:r>
          </w:p>
        </w:tc>
        <w:tc>
          <w:tcPr>
            <w:tcW w:w="964" w:type="dxa"/>
          </w:tcPr>
          <w:p w14:paraId="48355FC1" w14:textId="1C1470FC" w:rsidR="002945F1" w:rsidRPr="00A35800" w:rsidDel="00EE2BBB" w:rsidRDefault="002945F1" w:rsidP="002945F1">
            <w:pPr>
              <w:pStyle w:val="Tablewriting"/>
            </w:pPr>
            <w:r>
              <w:t>1 unit</w:t>
            </w:r>
          </w:p>
        </w:tc>
        <w:tc>
          <w:tcPr>
            <w:tcW w:w="850" w:type="dxa"/>
          </w:tcPr>
          <w:p w14:paraId="42A74535" w14:textId="74B66483" w:rsidR="002945F1" w:rsidRPr="00A35800" w:rsidDel="00EE2BBB" w:rsidRDefault="002945F1" w:rsidP="002945F1">
            <w:pPr>
              <w:pStyle w:val="Tablewriting"/>
            </w:pPr>
            <w:r>
              <w:t>5</w:t>
            </w:r>
          </w:p>
        </w:tc>
        <w:tc>
          <w:tcPr>
            <w:tcW w:w="1040" w:type="dxa"/>
          </w:tcPr>
          <w:p w14:paraId="2616D0C8" w14:textId="47989B21" w:rsidR="002945F1" w:rsidRPr="00A35800" w:rsidDel="00EE2BBB" w:rsidRDefault="002945F1" w:rsidP="002945F1">
            <w:pPr>
              <w:pStyle w:val="Tablewriting"/>
            </w:pPr>
            <w:r w:rsidRPr="0075374E">
              <w:t>$1</w:t>
            </w:r>
            <w:r>
              <w:t>,</w:t>
            </w:r>
            <w:r w:rsidR="00B95CD8">
              <w:t>604</w:t>
            </w:r>
            <w:r w:rsidRPr="0075374E">
              <w:t>.</w:t>
            </w:r>
            <w:r w:rsidR="00B95CD8">
              <w:t>98</w:t>
            </w:r>
          </w:p>
        </w:tc>
        <w:tc>
          <w:tcPr>
            <w:tcW w:w="2104" w:type="dxa"/>
          </w:tcPr>
          <w:p w14:paraId="545449EB" w14:textId="12E3F5E2" w:rsidR="002945F1" w:rsidRPr="00A35800" w:rsidDel="00EE2BBB" w:rsidRDefault="002945F1" w:rsidP="002945F1">
            <w:pPr>
              <w:pStyle w:val="Tablewriting"/>
            </w:pPr>
            <w:r w:rsidRPr="0075374E">
              <w:t>Nucala® GlaxoSmithKline Australia Pty Ltd</w:t>
            </w:r>
          </w:p>
        </w:tc>
      </w:tr>
    </w:tbl>
    <w:p w14:paraId="1183F151" w14:textId="6D992333" w:rsidR="007247B9" w:rsidRPr="00A35800" w:rsidDel="00EE2BBB" w:rsidRDefault="007408C7" w:rsidP="00BB1D3B">
      <w:pPr>
        <w:pStyle w:val="Notes"/>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1624D7" w:rsidDel="00EE2BBB">
        <w:t>.</w:t>
      </w:r>
      <w:r w:rsidR="0080485E" w:rsidDel="00EE2BBB">
        <w:t xml:space="preserve">  </w:t>
      </w:r>
      <w:r w:rsidR="0080485E" w:rsidRPr="0080485E" w:rsidDel="00EE2BBB">
        <w:t>Special Pricing Arrangemen</w:t>
      </w:r>
      <w:r w:rsidR="004B1F13">
        <w:t>ts apply</w:t>
      </w:r>
      <w:r w:rsidR="0080485E" w:rsidRPr="0080485E" w:rsidDel="00EE2BBB">
        <w:t>.</w:t>
      </w:r>
    </w:p>
    <w:p w14:paraId="0F98E3EF" w14:textId="79E246A0" w:rsidR="00185C19" w:rsidRPr="007247B9" w:rsidDel="00EE2BBB" w:rsidRDefault="00185C19" w:rsidP="0070594C">
      <w:pPr>
        <w:pStyle w:val="Heading2"/>
        <w:keepNext/>
      </w:pPr>
      <w:r w:rsidRPr="00613672">
        <w:lastRenderedPageBreak/>
        <w:t>MBS</w:t>
      </w:r>
      <w:r w:rsidRPr="00613672" w:rsidDel="00EE2BBB">
        <w:t xml:space="preserve"> listing details (as </w:t>
      </w:r>
      <w:proofErr w:type="gramStart"/>
      <w:r w:rsidRPr="00613672" w:rsidDel="00EE2BBB">
        <w:t>at</w:t>
      </w:r>
      <w:proofErr w:type="gramEnd"/>
      <w:r w:rsidRPr="00613672" w:rsidDel="00EE2BBB">
        <w:t xml:space="preserve"> </w:t>
      </w:r>
      <w:r w:rsidR="00B95CD8" w:rsidRPr="00613672">
        <w:t xml:space="preserve">December </w:t>
      </w:r>
      <w:r w:rsidRPr="00613672">
        <w:t>2025</w:t>
      </w:r>
      <w:r w:rsidRPr="00613672" w:rsidDel="00EE2BBB">
        <w:t>)</w:t>
      </w:r>
    </w:p>
    <w:p w14:paraId="7A336AA2" w14:textId="0D0B0436" w:rsidR="00185C19" w:rsidRPr="00185C19" w:rsidDel="00EE2BBB" w:rsidRDefault="00185C19" w:rsidP="0070594C">
      <w:pPr>
        <w:keepNext/>
        <w:spacing w:before="240" w:after="20"/>
        <w:outlineLvl w:val="3"/>
        <w:rPr>
          <w:rFonts w:eastAsiaTheme="majorEastAsia" w:cstheme="majorBidi"/>
          <w:b/>
        </w:rPr>
      </w:pPr>
      <w:r w:rsidRPr="00185C19" w:rsidDel="00EE2BBB">
        <w:rPr>
          <w:rFonts w:eastAsiaTheme="majorEastAsia" w:cstheme="majorBidi"/>
          <w:b/>
        </w:rPr>
        <w:t xml:space="preserve">Table </w:t>
      </w:r>
      <w:r w:rsidR="006060D9">
        <w:rPr>
          <w:rFonts w:eastAsiaTheme="majorEastAsia" w:cstheme="majorBidi"/>
          <w:b/>
        </w:rPr>
        <w:t>2</w:t>
      </w:r>
      <w:r w:rsidRPr="00185C19" w:rsidDel="00EE2BBB">
        <w:rPr>
          <w:rFonts w:eastAsiaTheme="majorEastAsia" w:cstheme="majorBidi"/>
          <w:b/>
        </w:rPr>
        <w:t xml:space="preserve">: </w:t>
      </w:r>
      <w:r w:rsidR="00DB32A2">
        <w:rPr>
          <w:rFonts w:eastAsiaTheme="majorEastAsia" w:cstheme="majorBidi"/>
          <w:b/>
        </w:rPr>
        <w:t>M</w:t>
      </w:r>
      <w:r w:rsidRPr="00185C19" w:rsidDel="00EE2BBB">
        <w:rPr>
          <w:rFonts w:eastAsiaTheme="majorEastAsia" w:cstheme="majorBidi"/>
          <w:b/>
        </w:rPr>
        <w:t xml:space="preserve">BS listing </w:t>
      </w:r>
      <w:r w:rsidR="00AD78F1">
        <w:rPr>
          <w:rFonts w:eastAsiaTheme="majorEastAsia" w:cstheme="majorBidi"/>
          <w:b/>
        </w:rPr>
        <w:t>related to</w:t>
      </w:r>
      <w:r w:rsidR="00AD78F1" w:rsidRPr="00185C19" w:rsidDel="00EE2BBB">
        <w:rPr>
          <w:rFonts w:eastAsiaTheme="majorEastAsia" w:cstheme="majorBidi"/>
          <w:b/>
        </w:rPr>
        <w:t xml:space="preserve"> </w:t>
      </w:r>
      <w:r w:rsidR="00DB32A2">
        <w:rPr>
          <w:rFonts w:eastAsiaTheme="majorEastAsia" w:cstheme="majorBidi"/>
          <w:b/>
        </w:rPr>
        <w:t xml:space="preserve">surgeries </w:t>
      </w:r>
      <w:r w:rsidR="00AD78F1">
        <w:rPr>
          <w:rFonts w:eastAsiaTheme="majorEastAsia" w:cstheme="majorBidi"/>
          <w:b/>
        </w:rPr>
        <w:t xml:space="preserve">for </w:t>
      </w:r>
      <w:r w:rsidR="00DB32A2">
        <w:rPr>
          <w:rFonts w:eastAsiaTheme="majorEastAsia" w:cstheme="majorBidi"/>
          <w:b/>
        </w:rPr>
        <w:t>remov</w:t>
      </w:r>
      <w:r w:rsidR="00AD78F1">
        <w:rPr>
          <w:rFonts w:eastAsiaTheme="majorEastAsia" w:cstheme="majorBidi"/>
          <w:b/>
        </w:rPr>
        <w:t>al of</w:t>
      </w:r>
      <w:r w:rsidR="00DB32A2">
        <w:rPr>
          <w:rFonts w:eastAsiaTheme="majorEastAsia" w:cstheme="majorBidi"/>
          <w:b/>
        </w:rPr>
        <w:t xml:space="preserve"> nasal polyps</w:t>
      </w:r>
    </w:p>
    <w:tbl>
      <w:tblPr>
        <w:tblStyle w:val="TableGrid"/>
        <w:tblW w:w="8926" w:type="dxa"/>
        <w:tblLayout w:type="fixed"/>
        <w:tblLook w:val="04A0" w:firstRow="1" w:lastRow="0" w:firstColumn="1" w:lastColumn="0" w:noHBand="0" w:noVBand="1"/>
      </w:tblPr>
      <w:tblGrid>
        <w:gridCol w:w="969"/>
        <w:gridCol w:w="6114"/>
        <w:gridCol w:w="1843"/>
      </w:tblGrid>
      <w:tr w:rsidR="00B173F2" w:rsidRPr="00AD78F1" w:rsidDel="00EE2BBB" w14:paraId="288EEBA0" w14:textId="77777777" w:rsidTr="00CB28D1">
        <w:trPr>
          <w:trHeight w:val="694"/>
          <w:tblHeader/>
        </w:trPr>
        <w:tc>
          <w:tcPr>
            <w:tcW w:w="969" w:type="dxa"/>
            <w:shd w:val="clear" w:color="auto" w:fill="BFBFBF" w:themeFill="background1" w:themeFillShade="BF"/>
          </w:tcPr>
          <w:p w14:paraId="218ECAA1" w14:textId="4A252B6D" w:rsidR="00B173F2" w:rsidRPr="00AD78F1" w:rsidDel="00EE2BBB" w:rsidRDefault="0070594C" w:rsidP="00185C19">
            <w:pPr>
              <w:autoSpaceDE w:val="0"/>
              <w:autoSpaceDN w:val="0"/>
              <w:adjustRightInd w:val="0"/>
              <w:spacing w:before="60" w:after="60"/>
              <w:jc w:val="center"/>
              <w:rPr>
                <w:rFonts w:cs="Calibri"/>
                <w:b/>
                <w:sz w:val="20"/>
                <w:szCs w:val="20"/>
              </w:rPr>
            </w:pPr>
            <w:r w:rsidRPr="00AD78F1">
              <w:rPr>
                <w:rFonts w:cs="Calibri"/>
                <w:b/>
                <w:sz w:val="20"/>
                <w:szCs w:val="20"/>
              </w:rPr>
              <w:t xml:space="preserve">MBS </w:t>
            </w:r>
            <w:r w:rsidR="00B173F2" w:rsidRPr="00AD78F1" w:rsidDel="00EE2BBB">
              <w:rPr>
                <w:rFonts w:cs="Calibri"/>
                <w:b/>
                <w:sz w:val="20"/>
                <w:szCs w:val="20"/>
              </w:rPr>
              <w:t>Item</w:t>
            </w:r>
            <w:r w:rsidRPr="00AD78F1">
              <w:rPr>
                <w:rFonts w:cs="Calibri"/>
                <w:b/>
                <w:sz w:val="20"/>
                <w:szCs w:val="20"/>
              </w:rPr>
              <w:t xml:space="preserve"> Number</w:t>
            </w:r>
          </w:p>
        </w:tc>
        <w:tc>
          <w:tcPr>
            <w:tcW w:w="6114" w:type="dxa"/>
            <w:shd w:val="clear" w:color="auto" w:fill="BFBFBF" w:themeFill="background1" w:themeFillShade="BF"/>
          </w:tcPr>
          <w:p w14:paraId="7E004D0A" w14:textId="77777777" w:rsidR="00B173F2" w:rsidRPr="00AD78F1" w:rsidDel="00EE2BBB" w:rsidRDefault="00B173F2" w:rsidP="00185C19">
            <w:pPr>
              <w:autoSpaceDE w:val="0"/>
              <w:autoSpaceDN w:val="0"/>
              <w:adjustRightInd w:val="0"/>
              <w:spacing w:before="60" w:after="60"/>
              <w:jc w:val="center"/>
              <w:rPr>
                <w:rFonts w:cs="Calibri"/>
                <w:b/>
                <w:sz w:val="20"/>
                <w:szCs w:val="20"/>
              </w:rPr>
            </w:pPr>
            <w:r w:rsidRPr="00AD78F1" w:rsidDel="00EE2BBB">
              <w:rPr>
                <w:rFonts w:cs="Calibri"/>
                <w:b/>
                <w:sz w:val="20"/>
                <w:szCs w:val="20"/>
              </w:rPr>
              <w:t>Name, form &amp; strength, pack size</w:t>
            </w:r>
          </w:p>
        </w:tc>
        <w:tc>
          <w:tcPr>
            <w:tcW w:w="1843" w:type="dxa"/>
            <w:shd w:val="clear" w:color="auto" w:fill="BFBFBF" w:themeFill="background1" w:themeFillShade="BF"/>
          </w:tcPr>
          <w:p w14:paraId="6C986E91" w14:textId="7E10D66F" w:rsidR="00B173F2" w:rsidRPr="00AD78F1" w:rsidDel="00EE2BBB" w:rsidRDefault="00B173F2" w:rsidP="00185C19">
            <w:pPr>
              <w:autoSpaceDE w:val="0"/>
              <w:autoSpaceDN w:val="0"/>
              <w:adjustRightInd w:val="0"/>
              <w:spacing w:before="60" w:after="60"/>
              <w:jc w:val="center"/>
              <w:rPr>
                <w:rFonts w:cs="Calibri"/>
                <w:b/>
                <w:sz w:val="20"/>
                <w:szCs w:val="20"/>
              </w:rPr>
            </w:pPr>
            <w:r w:rsidRPr="00AD78F1">
              <w:rPr>
                <w:rFonts w:cs="Calibri"/>
                <w:b/>
                <w:sz w:val="20"/>
                <w:szCs w:val="20"/>
              </w:rPr>
              <w:t>Fee</w:t>
            </w:r>
            <w:r w:rsidR="0081314E" w:rsidRPr="00AD78F1">
              <w:rPr>
                <w:rFonts w:cs="Calibri"/>
                <w:b/>
                <w:sz w:val="20"/>
                <w:szCs w:val="20"/>
              </w:rPr>
              <w:t xml:space="preserve"> and Benefit</w:t>
            </w:r>
          </w:p>
        </w:tc>
      </w:tr>
      <w:tr w:rsidR="00B173F2" w:rsidRPr="00AD78F1" w:rsidDel="00EE2BBB" w14:paraId="293BE995" w14:textId="77777777" w:rsidTr="00CB28D1">
        <w:trPr>
          <w:trHeight w:val="552"/>
          <w:tblHeader/>
        </w:trPr>
        <w:tc>
          <w:tcPr>
            <w:tcW w:w="969" w:type="dxa"/>
          </w:tcPr>
          <w:p w14:paraId="0DF210F3" w14:textId="1AA63721" w:rsidR="00B173F2" w:rsidRPr="00AD78F1" w:rsidDel="00EE2BBB" w:rsidRDefault="00B173F2" w:rsidP="00185C19">
            <w:pPr>
              <w:autoSpaceDE w:val="0"/>
              <w:autoSpaceDN w:val="0"/>
              <w:adjustRightInd w:val="0"/>
              <w:spacing w:before="60" w:after="60"/>
              <w:rPr>
                <w:rFonts w:cs="Calibri"/>
                <w:color w:val="000000"/>
                <w:sz w:val="20"/>
                <w:szCs w:val="20"/>
              </w:rPr>
            </w:pPr>
            <w:r w:rsidRPr="00AD78F1">
              <w:rPr>
                <w:rFonts w:cs="Calibri"/>
                <w:color w:val="000000"/>
                <w:sz w:val="20"/>
                <w:szCs w:val="20"/>
              </w:rPr>
              <w:t>41662</w:t>
            </w:r>
          </w:p>
        </w:tc>
        <w:tc>
          <w:tcPr>
            <w:tcW w:w="6114" w:type="dxa"/>
          </w:tcPr>
          <w:p w14:paraId="22565900" w14:textId="77777777" w:rsidR="0081314E" w:rsidRPr="00AD78F1" w:rsidRDefault="0081314E" w:rsidP="00185C19">
            <w:pPr>
              <w:autoSpaceDE w:val="0"/>
              <w:autoSpaceDN w:val="0"/>
              <w:adjustRightInd w:val="0"/>
              <w:spacing w:before="60" w:after="60"/>
              <w:rPr>
                <w:rFonts w:cs="Calibri"/>
                <w:color w:val="000000"/>
                <w:sz w:val="20"/>
                <w:szCs w:val="20"/>
              </w:rPr>
            </w:pPr>
            <w:r w:rsidRPr="00AD78F1">
              <w:rPr>
                <w:rFonts w:cs="Calibri"/>
                <w:color w:val="000000"/>
                <w:sz w:val="20"/>
                <w:szCs w:val="20"/>
              </w:rPr>
              <w:t>Nasal polyp or polypi (simple), removal of, other than a service associated with a service to which item 41702, 41703 or 41705 applies on the same side.</w:t>
            </w:r>
          </w:p>
          <w:p w14:paraId="1A80FA1E" w14:textId="59E0DB9F" w:rsidR="00B173F2" w:rsidRPr="00AD78F1" w:rsidDel="00EE2BBB" w:rsidRDefault="0081314E" w:rsidP="00185C19">
            <w:pPr>
              <w:autoSpaceDE w:val="0"/>
              <w:autoSpaceDN w:val="0"/>
              <w:adjustRightInd w:val="0"/>
              <w:spacing w:before="60" w:after="60"/>
              <w:rPr>
                <w:rFonts w:cs="Calibri"/>
                <w:color w:val="000000"/>
                <w:sz w:val="20"/>
                <w:szCs w:val="20"/>
              </w:rPr>
            </w:pPr>
            <w:r w:rsidRPr="00AD78F1">
              <w:rPr>
                <w:rFonts w:cs="Calibri"/>
                <w:color w:val="000000"/>
                <w:sz w:val="20"/>
                <w:szCs w:val="20"/>
              </w:rPr>
              <w:t>I</w:t>
            </w:r>
            <w:r w:rsidR="00B173F2" w:rsidRPr="00AD78F1">
              <w:rPr>
                <w:rFonts w:cs="Calibri"/>
                <w:color w:val="000000"/>
                <w:sz w:val="20"/>
                <w:szCs w:val="20"/>
              </w:rPr>
              <w:t>ntended to cover the removal of simple nasal polyp or polypi. Simple nasal polyp or polypi are those confined to the middle meatus, the equivalent of Grade 0, 1 or 2 in any accepted clinical nasal polyp grading system.</w:t>
            </w:r>
          </w:p>
        </w:tc>
        <w:tc>
          <w:tcPr>
            <w:tcW w:w="1843" w:type="dxa"/>
          </w:tcPr>
          <w:p w14:paraId="1A0098BC" w14:textId="77777777" w:rsidR="00CB28D1" w:rsidRPr="00AD78F1" w:rsidRDefault="00CB28D1" w:rsidP="00185C19">
            <w:pPr>
              <w:autoSpaceDE w:val="0"/>
              <w:autoSpaceDN w:val="0"/>
              <w:adjustRightInd w:val="0"/>
              <w:spacing w:before="60" w:after="60"/>
              <w:rPr>
                <w:rFonts w:cs="Calibri"/>
                <w:color w:val="000000"/>
                <w:sz w:val="20"/>
                <w:szCs w:val="20"/>
              </w:rPr>
            </w:pPr>
            <w:r w:rsidRPr="00AD78F1">
              <w:rPr>
                <w:rFonts w:cs="Calibri"/>
                <w:color w:val="000000"/>
                <w:sz w:val="20"/>
                <w:szCs w:val="20"/>
              </w:rPr>
              <w:t>Fee: $96.20 </w:t>
            </w:r>
          </w:p>
          <w:p w14:paraId="61082172" w14:textId="7A16E05A" w:rsidR="00B173F2" w:rsidRPr="00AD78F1" w:rsidRDefault="00CB28D1" w:rsidP="00185C19">
            <w:pPr>
              <w:autoSpaceDE w:val="0"/>
              <w:autoSpaceDN w:val="0"/>
              <w:adjustRightInd w:val="0"/>
              <w:spacing w:before="60" w:after="60"/>
              <w:rPr>
                <w:rFonts w:cs="Calibri"/>
                <w:color w:val="000000"/>
                <w:sz w:val="20"/>
                <w:szCs w:val="20"/>
              </w:rPr>
            </w:pPr>
            <w:r w:rsidRPr="00AD78F1">
              <w:rPr>
                <w:rFonts w:cs="Calibri"/>
                <w:color w:val="000000"/>
                <w:sz w:val="20"/>
                <w:szCs w:val="20"/>
              </w:rPr>
              <w:t>Benefit: </w:t>
            </w:r>
            <w:r w:rsidRPr="00AD78F1">
              <w:rPr>
                <w:rFonts w:cs="Calibri"/>
                <w:color w:val="000000"/>
                <w:sz w:val="20"/>
                <w:szCs w:val="20"/>
              </w:rPr>
              <w:br/>
              <w:t xml:space="preserve">75% = $72.15 </w:t>
            </w:r>
            <w:r w:rsidR="0070594C" w:rsidRPr="00AD78F1">
              <w:rPr>
                <w:rFonts w:cs="Calibri"/>
                <w:color w:val="000000"/>
                <w:sz w:val="20"/>
                <w:szCs w:val="20"/>
              </w:rPr>
              <w:br/>
            </w:r>
            <w:r w:rsidRPr="00AD78F1">
              <w:rPr>
                <w:rFonts w:cs="Calibri"/>
                <w:color w:val="000000"/>
                <w:sz w:val="20"/>
                <w:szCs w:val="20"/>
              </w:rPr>
              <w:t>85% = $81.80</w:t>
            </w:r>
          </w:p>
        </w:tc>
      </w:tr>
      <w:tr w:rsidR="00B173F2" w:rsidRPr="00AD78F1" w:rsidDel="00EE2BBB" w14:paraId="5D6B3857" w14:textId="77777777" w:rsidTr="00CB28D1">
        <w:trPr>
          <w:trHeight w:val="552"/>
          <w:tblHeader/>
        </w:trPr>
        <w:tc>
          <w:tcPr>
            <w:tcW w:w="969" w:type="dxa"/>
          </w:tcPr>
          <w:p w14:paraId="7A7CB18C" w14:textId="6B14E189" w:rsidR="00B173F2" w:rsidRPr="00AD78F1" w:rsidDel="00EE2BBB" w:rsidRDefault="00B173F2" w:rsidP="00185C19">
            <w:pPr>
              <w:autoSpaceDE w:val="0"/>
              <w:autoSpaceDN w:val="0"/>
              <w:adjustRightInd w:val="0"/>
              <w:spacing w:before="60" w:after="60"/>
              <w:rPr>
                <w:rFonts w:cs="Calibri"/>
                <w:color w:val="000000"/>
                <w:sz w:val="20"/>
                <w:szCs w:val="20"/>
              </w:rPr>
            </w:pPr>
            <w:r w:rsidRPr="00AD78F1">
              <w:rPr>
                <w:rFonts w:cs="Calibri"/>
                <w:color w:val="000000"/>
                <w:sz w:val="20"/>
                <w:szCs w:val="20"/>
              </w:rPr>
              <w:t>41668</w:t>
            </w:r>
          </w:p>
        </w:tc>
        <w:tc>
          <w:tcPr>
            <w:tcW w:w="6114" w:type="dxa"/>
          </w:tcPr>
          <w:p w14:paraId="1BE96405" w14:textId="77777777" w:rsidR="000D4E46" w:rsidRPr="00AD78F1" w:rsidRDefault="000D4E46" w:rsidP="00185C19">
            <w:pPr>
              <w:autoSpaceDE w:val="0"/>
              <w:autoSpaceDN w:val="0"/>
              <w:adjustRightInd w:val="0"/>
              <w:spacing w:before="60" w:after="60"/>
              <w:rPr>
                <w:rFonts w:cs="Calibri"/>
                <w:color w:val="000000"/>
                <w:sz w:val="20"/>
                <w:szCs w:val="20"/>
              </w:rPr>
            </w:pPr>
            <w:r w:rsidRPr="00AD78F1">
              <w:rPr>
                <w:rFonts w:cs="Calibri"/>
                <w:color w:val="000000"/>
                <w:sz w:val="20"/>
                <w:szCs w:val="20"/>
              </w:rPr>
              <w:t>Nasal polyp or polypi, removal of.</w:t>
            </w:r>
          </w:p>
          <w:p w14:paraId="1CB43F73" w14:textId="0BD23FE1" w:rsidR="00B173F2" w:rsidRPr="00AD78F1" w:rsidDel="00EE2BBB" w:rsidRDefault="0081314E" w:rsidP="00185C19">
            <w:pPr>
              <w:autoSpaceDE w:val="0"/>
              <w:autoSpaceDN w:val="0"/>
              <w:adjustRightInd w:val="0"/>
              <w:spacing w:before="60" w:after="60"/>
              <w:rPr>
                <w:rFonts w:cs="Calibri"/>
                <w:color w:val="000000"/>
                <w:sz w:val="20"/>
                <w:szCs w:val="20"/>
              </w:rPr>
            </w:pPr>
            <w:r w:rsidRPr="00AD78F1">
              <w:rPr>
                <w:rFonts w:cs="Calibri"/>
                <w:color w:val="000000"/>
                <w:sz w:val="20"/>
                <w:szCs w:val="20"/>
              </w:rPr>
              <w:t>I</w:t>
            </w:r>
            <w:r w:rsidR="007161FC" w:rsidRPr="00AD78F1">
              <w:rPr>
                <w:rFonts w:cs="Calibri"/>
                <w:color w:val="000000"/>
                <w:sz w:val="20"/>
                <w:szCs w:val="20"/>
              </w:rPr>
              <w:t>ntended to cover the removal of nasal polyp or polypi extending beyond the middle meatus, the equivalent of Grade 3 or beyond in any accepted clinical nasal polyp grading system.</w:t>
            </w:r>
          </w:p>
        </w:tc>
        <w:tc>
          <w:tcPr>
            <w:tcW w:w="1843" w:type="dxa"/>
          </w:tcPr>
          <w:p w14:paraId="4EFD5F62" w14:textId="77777777" w:rsidR="00CB28D1" w:rsidRPr="00AD78F1" w:rsidRDefault="007161FC" w:rsidP="00185C19">
            <w:pPr>
              <w:autoSpaceDE w:val="0"/>
              <w:autoSpaceDN w:val="0"/>
              <w:adjustRightInd w:val="0"/>
              <w:spacing w:before="60" w:after="60"/>
              <w:rPr>
                <w:rFonts w:cs="Calibri"/>
                <w:color w:val="000000"/>
                <w:sz w:val="20"/>
                <w:szCs w:val="20"/>
              </w:rPr>
            </w:pPr>
            <w:r w:rsidRPr="00AD78F1">
              <w:rPr>
                <w:rFonts w:cs="Calibri"/>
                <w:color w:val="000000"/>
                <w:sz w:val="20"/>
                <w:szCs w:val="20"/>
              </w:rPr>
              <w:t>Fee: $256.50 </w:t>
            </w:r>
          </w:p>
          <w:p w14:paraId="49F2CE5B" w14:textId="44142131" w:rsidR="00B173F2" w:rsidRPr="00AD78F1" w:rsidRDefault="007161FC" w:rsidP="00185C19">
            <w:pPr>
              <w:autoSpaceDE w:val="0"/>
              <w:autoSpaceDN w:val="0"/>
              <w:adjustRightInd w:val="0"/>
              <w:spacing w:before="60" w:after="60"/>
              <w:rPr>
                <w:rFonts w:cs="Calibri"/>
                <w:color w:val="000000"/>
                <w:sz w:val="20"/>
                <w:szCs w:val="20"/>
              </w:rPr>
            </w:pPr>
            <w:r w:rsidRPr="00AD78F1">
              <w:rPr>
                <w:rFonts w:cs="Calibri"/>
                <w:color w:val="000000"/>
                <w:sz w:val="20"/>
                <w:szCs w:val="20"/>
              </w:rPr>
              <w:t>Benefit: </w:t>
            </w:r>
            <w:r w:rsidR="0070594C" w:rsidRPr="00AD78F1">
              <w:rPr>
                <w:rFonts w:cs="Calibri"/>
                <w:color w:val="000000"/>
                <w:sz w:val="20"/>
                <w:szCs w:val="20"/>
              </w:rPr>
              <w:br/>
            </w:r>
            <w:r w:rsidRPr="00AD78F1">
              <w:rPr>
                <w:rFonts w:cs="Calibri"/>
                <w:color w:val="000000"/>
                <w:sz w:val="20"/>
                <w:szCs w:val="20"/>
              </w:rPr>
              <w:t xml:space="preserve">75% = $192.40 </w:t>
            </w:r>
            <w:r w:rsidR="0070594C" w:rsidRPr="00AD78F1">
              <w:rPr>
                <w:rFonts w:cs="Calibri"/>
                <w:color w:val="000000"/>
                <w:sz w:val="20"/>
                <w:szCs w:val="20"/>
              </w:rPr>
              <w:br/>
            </w:r>
            <w:r w:rsidRPr="00AD78F1">
              <w:rPr>
                <w:rFonts w:cs="Calibri"/>
                <w:color w:val="000000"/>
                <w:sz w:val="20"/>
                <w:szCs w:val="20"/>
              </w:rPr>
              <w:t>85% = $218.05</w:t>
            </w:r>
          </w:p>
        </w:tc>
      </w:tr>
      <w:tr w:rsidR="00FF5C77" w:rsidRPr="00AD78F1" w:rsidDel="00EE2BBB" w14:paraId="2FA391BB" w14:textId="77777777" w:rsidTr="00CB28D1">
        <w:trPr>
          <w:trHeight w:val="552"/>
          <w:tblHeader/>
        </w:trPr>
        <w:tc>
          <w:tcPr>
            <w:tcW w:w="969" w:type="dxa"/>
          </w:tcPr>
          <w:p w14:paraId="3836D0A4" w14:textId="77777777" w:rsidR="00AD78F1" w:rsidRPr="00AD78F1" w:rsidRDefault="00AD78F1" w:rsidP="00AD78F1">
            <w:pPr>
              <w:autoSpaceDE w:val="0"/>
              <w:autoSpaceDN w:val="0"/>
              <w:adjustRightInd w:val="0"/>
              <w:spacing w:before="60" w:after="60"/>
              <w:rPr>
                <w:rFonts w:cs="Calibri"/>
                <w:color w:val="000000"/>
                <w:sz w:val="20"/>
                <w:szCs w:val="20"/>
              </w:rPr>
            </w:pPr>
            <w:r w:rsidRPr="00AD78F1">
              <w:rPr>
                <w:rFonts w:cs="Calibri"/>
                <w:color w:val="000000"/>
                <w:sz w:val="20"/>
                <w:szCs w:val="20"/>
              </w:rPr>
              <w:t xml:space="preserve">41710 </w:t>
            </w:r>
          </w:p>
          <w:p w14:paraId="777260BD" w14:textId="77777777" w:rsidR="00FF5C77" w:rsidRPr="00AD78F1" w:rsidRDefault="00FF5C77" w:rsidP="00185C19">
            <w:pPr>
              <w:autoSpaceDE w:val="0"/>
              <w:autoSpaceDN w:val="0"/>
              <w:adjustRightInd w:val="0"/>
              <w:spacing w:before="60" w:after="60"/>
              <w:rPr>
                <w:rFonts w:cs="Calibri"/>
                <w:color w:val="000000"/>
                <w:sz w:val="20"/>
                <w:szCs w:val="20"/>
              </w:rPr>
            </w:pPr>
          </w:p>
        </w:tc>
        <w:tc>
          <w:tcPr>
            <w:tcW w:w="6114" w:type="dxa"/>
          </w:tcPr>
          <w:p w14:paraId="79F62659" w14:textId="5752084D" w:rsidR="00FF5C77" w:rsidRPr="00AD78F1" w:rsidRDefault="00FF5C77" w:rsidP="00FF5C77">
            <w:pPr>
              <w:autoSpaceDE w:val="0"/>
              <w:autoSpaceDN w:val="0"/>
              <w:adjustRightInd w:val="0"/>
              <w:spacing w:before="60" w:after="60"/>
              <w:rPr>
                <w:rFonts w:cs="Calibri"/>
                <w:color w:val="000000"/>
                <w:sz w:val="20"/>
                <w:szCs w:val="20"/>
              </w:rPr>
            </w:pPr>
            <w:r w:rsidRPr="00AD78F1">
              <w:rPr>
                <w:rFonts w:cs="Calibri"/>
                <w:color w:val="000000"/>
                <w:sz w:val="20"/>
                <w:szCs w:val="20"/>
              </w:rPr>
              <w:t>Antrostomy by any approach, other than a service associated with a service to which item 41702, 41703, 41705 or 41698 applies on the same side</w:t>
            </w:r>
            <w:r w:rsidR="003C1AA3">
              <w:rPr>
                <w:rFonts w:cs="Calibri"/>
                <w:color w:val="000000"/>
                <w:sz w:val="20"/>
                <w:szCs w:val="20"/>
              </w:rPr>
              <w:t>.</w:t>
            </w:r>
          </w:p>
        </w:tc>
        <w:tc>
          <w:tcPr>
            <w:tcW w:w="1843" w:type="dxa"/>
          </w:tcPr>
          <w:p w14:paraId="408C121F" w14:textId="77777777" w:rsidR="00AD78F1" w:rsidRPr="00AD78F1" w:rsidRDefault="00AD78F1" w:rsidP="00185C19">
            <w:pPr>
              <w:autoSpaceDE w:val="0"/>
              <w:autoSpaceDN w:val="0"/>
              <w:adjustRightInd w:val="0"/>
              <w:spacing w:before="60" w:after="60"/>
              <w:rPr>
                <w:rFonts w:cs="Calibri"/>
                <w:color w:val="000000"/>
                <w:sz w:val="20"/>
                <w:szCs w:val="20"/>
              </w:rPr>
            </w:pPr>
            <w:r w:rsidRPr="00AD78F1">
              <w:rPr>
                <w:rFonts w:cs="Calibri"/>
                <w:color w:val="000000"/>
                <w:sz w:val="20"/>
                <w:szCs w:val="20"/>
              </w:rPr>
              <w:t>Fee: $412.75 </w:t>
            </w:r>
          </w:p>
          <w:p w14:paraId="1C7FEFAD" w14:textId="77777777" w:rsidR="00AD78F1" w:rsidRPr="00AD78F1" w:rsidRDefault="00AD78F1" w:rsidP="00185C19">
            <w:pPr>
              <w:autoSpaceDE w:val="0"/>
              <w:autoSpaceDN w:val="0"/>
              <w:adjustRightInd w:val="0"/>
              <w:spacing w:before="60" w:after="60"/>
              <w:rPr>
                <w:rFonts w:cs="Calibri"/>
                <w:color w:val="000000"/>
                <w:sz w:val="20"/>
                <w:szCs w:val="20"/>
              </w:rPr>
            </w:pPr>
            <w:r w:rsidRPr="00AD78F1">
              <w:rPr>
                <w:rFonts w:cs="Calibri"/>
                <w:color w:val="000000"/>
                <w:sz w:val="20"/>
                <w:szCs w:val="20"/>
              </w:rPr>
              <w:t>Benefit: </w:t>
            </w:r>
          </w:p>
          <w:p w14:paraId="732A0F8D" w14:textId="5C03E548" w:rsidR="00FF5C77" w:rsidRPr="00AD78F1" w:rsidRDefault="00AD78F1" w:rsidP="00185C19">
            <w:pPr>
              <w:autoSpaceDE w:val="0"/>
              <w:autoSpaceDN w:val="0"/>
              <w:adjustRightInd w:val="0"/>
              <w:spacing w:before="60" w:after="60"/>
              <w:rPr>
                <w:rFonts w:cs="Calibri"/>
                <w:color w:val="000000"/>
                <w:sz w:val="20"/>
                <w:szCs w:val="20"/>
              </w:rPr>
            </w:pPr>
            <w:r w:rsidRPr="00AD78F1">
              <w:rPr>
                <w:rFonts w:cs="Calibri"/>
                <w:color w:val="000000"/>
                <w:sz w:val="20"/>
                <w:szCs w:val="20"/>
              </w:rPr>
              <w:t>75% = $309.60</w:t>
            </w:r>
          </w:p>
        </w:tc>
      </w:tr>
      <w:tr w:rsidR="00FF5C77" w:rsidRPr="00AD78F1" w:rsidDel="00EE2BBB" w14:paraId="689B0BE5" w14:textId="77777777" w:rsidTr="00CB28D1">
        <w:trPr>
          <w:trHeight w:val="552"/>
          <w:tblHeader/>
        </w:trPr>
        <w:tc>
          <w:tcPr>
            <w:tcW w:w="969" w:type="dxa"/>
          </w:tcPr>
          <w:p w14:paraId="31788F7D" w14:textId="5E71FBF1" w:rsidR="00FF5C77" w:rsidRPr="00AD78F1" w:rsidRDefault="00FF5C77" w:rsidP="00185C19">
            <w:pPr>
              <w:autoSpaceDE w:val="0"/>
              <w:autoSpaceDN w:val="0"/>
              <w:adjustRightInd w:val="0"/>
              <w:spacing w:before="60" w:after="60"/>
              <w:rPr>
                <w:rFonts w:cs="Calibri"/>
                <w:color w:val="000000"/>
                <w:sz w:val="20"/>
                <w:szCs w:val="20"/>
              </w:rPr>
            </w:pPr>
            <w:r w:rsidRPr="00B95CD8">
              <w:rPr>
                <w:sz w:val="20"/>
                <w:szCs w:val="20"/>
              </w:rPr>
              <w:t>41734</w:t>
            </w:r>
          </w:p>
        </w:tc>
        <w:tc>
          <w:tcPr>
            <w:tcW w:w="6114" w:type="dxa"/>
          </w:tcPr>
          <w:p w14:paraId="79257B6F" w14:textId="011545BF" w:rsidR="00FF5C77" w:rsidRPr="00AD78F1" w:rsidRDefault="00F249CE" w:rsidP="00185C19">
            <w:pPr>
              <w:autoSpaceDE w:val="0"/>
              <w:autoSpaceDN w:val="0"/>
              <w:adjustRightInd w:val="0"/>
              <w:spacing w:before="60" w:after="60"/>
              <w:rPr>
                <w:rFonts w:cs="Calibri"/>
                <w:color w:val="000000"/>
                <w:sz w:val="20"/>
                <w:szCs w:val="20"/>
              </w:rPr>
            </w:pPr>
            <w:r w:rsidRPr="00F249CE">
              <w:rPr>
                <w:rFonts w:cs="Calibri"/>
                <w:color w:val="000000"/>
                <w:sz w:val="20"/>
                <w:szCs w:val="20"/>
              </w:rPr>
              <w:t>Endoscopic Lothrop procedure or radical external frontal sinusotomy with osteoplastic flap, unilateral, other than a service associated with a service to which item 41698, 41703, 41705 or 41764 applies on the same side</w:t>
            </w:r>
            <w:r w:rsidR="003C1AA3">
              <w:rPr>
                <w:rFonts w:cs="Calibri"/>
                <w:color w:val="000000"/>
                <w:sz w:val="20"/>
                <w:szCs w:val="20"/>
              </w:rPr>
              <w:t>.</w:t>
            </w:r>
          </w:p>
        </w:tc>
        <w:tc>
          <w:tcPr>
            <w:tcW w:w="1843" w:type="dxa"/>
          </w:tcPr>
          <w:p w14:paraId="2B640B9C" w14:textId="77777777" w:rsidR="00F249CE" w:rsidRDefault="00F249CE" w:rsidP="00185C19">
            <w:pPr>
              <w:autoSpaceDE w:val="0"/>
              <w:autoSpaceDN w:val="0"/>
              <w:adjustRightInd w:val="0"/>
              <w:spacing w:before="60" w:after="60"/>
              <w:rPr>
                <w:rFonts w:cs="Calibri"/>
                <w:color w:val="000000"/>
                <w:sz w:val="20"/>
                <w:szCs w:val="20"/>
              </w:rPr>
            </w:pPr>
            <w:r w:rsidRPr="00F249CE">
              <w:rPr>
                <w:rFonts w:cs="Calibri"/>
                <w:color w:val="000000"/>
                <w:sz w:val="20"/>
                <w:szCs w:val="20"/>
              </w:rPr>
              <w:t xml:space="preserve">Fee: $1,182.90 </w:t>
            </w:r>
          </w:p>
          <w:p w14:paraId="26C56BC5" w14:textId="66321BDE" w:rsidR="00F249CE" w:rsidRDefault="00F249CE" w:rsidP="00185C19">
            <w:pPr>
              <w:autoSpaceDE w:val="0"/>
              <w:autoSpaceDN w:val="0"/>
              <w:adjustRightInd w:val="0"/>
              <w:spacing w:before="60" w:after="60"/>
              <w:rPr>
                <w:rFonts w:cs="Calibri"/>
                <w:color w:val="000000"/>
                <w:sz w:val="20"/>
                <w:szCs w:val="20"/>
              </w:rPr>
            </w:pPr>
            <w:r w:rsidRPr="00F249CE">
              <w:rPr>
                <w:rFonts w:cs="Calibri"/>
                <w:color w:val="000000"/>
                <w:sz w:val="20"/>
                <w:szCs w:val="20"/>
              </w:rPr>
              <w:t xml:space="preserve">Benefit: </w:t>
            </w:r>
          </w:p>
          <w:p w14:paraId="2DFD470A" w14:textId="4E68D523" w:rsidR="00FF5C77" w:rsidRPr="00AD78F1" w:rsidRDefault="00F249CE" w:rsidP="00185C19">
            <w:pPr>
              <w:autoSpaceDE w:val="0"/>
              <w:autoSpaceDN w:val="0"/>
              <w:adjustRightInd w:val="0"/>
              <w:spacing w:before="60" w:after="60"/>
              <w:rPr>
                <w:rFonts w:cs="Calibri"/>
                <w:color w:val="000000"/>
                <w:sz w:val="20"/>
                <w:szCs w:val="20"/>
              </w:rPr>
            </w:pPr>
            <w:r w:rsidRPr="00F249CE">
              <w:rPr>
                <w:rFonts w:cs="Calibri"/>
                <w:color w:val="000000"/>
                <w:sz w:val="20"/>
                <w:szCs w:val="20"/>
              </w:rPr>
              <w:t>75% = $887.20</w:t>
            </w:r>
          </w:p>
        </w:tc>
      </w:tr>
      <w:tr w:rsidR="00FF5C77" w:rsidRPr="00AD78F1" w:rsidDel="00EE2BBB" w14:paraId="663A3642" w14:textId="77777777" w:rsidTr="00CB28D1">
        <w:trPr>
          <w:trHeight w:val="552"/>
          <w:tblHeader/>
        </w:trPr>
        <w:tc>
          <w:tcPr>
            <w:tcW w:w="969" w:type="dxa"/>
          </w:tcPr>
          <w:p w14:paraId="62E47B0A" w14:textId="263D5147" w:rsidR="00FF5C77" w:rsidRPr="00AD78F1" w:rsidRDefault="00FF5C77" w:rsidP="00185C19">
            <w:pPr>
              <w:autoSpaceDE w:val="0"/>
              <w:autoSpaceDN w:val="0"/>
              <w:adjustRightInd w:val="0"/>
              <w:spacing w:before="60" w:after="60"/>
              <w:rPr>
                <w:rFonts w:cs="Calibri"/>
                <w:color w:val="000000"/>
                <w:sz w:val="20"/>
                <w:szCs w:val="20"/>
              </w:rPr>
            </w:pPr>
            <w:r w:rsidRPr="00B95CD8">
              <w:rPr>
                <w:sz w:val="20"/>
                <w:szCs w:val="20"/>
              </w:rPr>
              <w:t>41752</w:t>
            </w:r>
          </w:p>
        </w:tc>
        <w:tc>
          <w:tcPr>
            <w:tcW w:w="6114" w:type="dxa"/>
          </w:tcPr>
          <w:p w14:paraId="72511EDF" w14:textId="282166B6" w:rsidR="00FF5C77" w:rsidRPr="00AD78F1" w:rsidRDefault="00F249CE" w:rsidP="00185C19">
            <w:pPr>
              <w:autoSpaceDE w:val="0"/>
              <w:autoSpaceDN w:val="0"/>
              <w:adjustRightInd w:val="0"/>
              <w:spacing w:before="60" w:after="60"/>
              <w:rPr>
                <w:rFonts w:cs="Calibri"/>
                <w:color w:val="000000"/>
                <w:sz w:val="20"/>
                <w:szCs w:val="20"/>
              </w:rPr>
            </w:pPr>
            <w:r w:rsidRPr="00F249CE">
              <w:rPr>
                <w:rFonts w:cs="Calibri"/>
                <w:color w:val="000000"/>
                <w:sz w:val="20"/>
                <w:szCs w:val="20"/>
              </w:rPr>
              <w:t>Sphenoidal sinus, unilateral, intranasal operation on, other than a service associated with a service to which item 41703 or 41705 applies on the same side</w:t>
            </w:r>
            <w:r w:rsidR="003C1AA3">
              <w:rPr>
                <w:rFonts w:cs="Calibri"/>
                <w:color w:val="000000"/>
                <w:sz w:val="20"/>
                <w:szCs w:val="20"/>
              </w:rPr>
              <w:t>.</w:t>
            </w:r>
          </w:p>
        </w:tc>
        <w:tc>
          <w:tcPr>
            <w:tcW w:w="1843" w:type="dxa"/>
          </w:tcPr>
          <w:p w14:paraId="7A496072" w14:textId="77777777" w:rsidR="00F249CE" w:rsidRDefault="00F249CE" w:rsidP="00185C19">
            <w:pPr>
              <w:autoSpaceDE w:val="0"/>
              <w:autoSpaceDN w:val="0"/>
              <w:adjustRightInd w:val="0"/>
              <w:spacing w:before="60" w:after="60"/>
              <w:rPr>
                <w:rFonts w:cs="Calibri"/>
                <w:color w:val="000000"/>
                <w:sz w:val="20"/>
                <w:szCs w:val="20"/>
              </w:rPr>
            </w:pPr>
            <w:r w:rsidRPr="00F249CE">
              <w:rPr>
                <w:rFonts w:cs="Calibri"/>
                <w:color w:val="000000"/>
                <w:sz w:val="20"/>
                <w:szCs w:val="20"/>
              </w:rPr>
              <w:t xml:space="preserve">Fee: $344.95 </w:t>
            </w:r>
          </w:p>
          <w:p w14:paraId="41F7C868" w14:textId="77777777" w:rsidR="00F249CE" w:rsidRDefault="00F249CE" w:rsidP="00185C19">
            <w:pPr>
              <w:autoSpaceDE w:val="0"/>
              <w:autoSpaceDN w:val="0"/>
              <w:adjustRightInd w:val="0"/>
              <w:spacing w:before="60" w:after="60"/>
              <w:rPr>
                <w:rFonts w:cs="Calibri"/>
                <w:color w:val="000000"/>
                <w:sz w:val="20"/>
                <w:szCs w:val="20"/>
              </w:rPr>
            </w:pPr>
            <w:r w:rsidRPr="00F249CE">
              <w:rPr>
                <w:rFonts w:cs="Calibri"/>
                <w:color w:val="000000"/>
                <w:sz w:val="20"/>
                <w:szCs w:val="20"/>
              </w:rPr>
              <w:t xml:space="preserve">Benefit: </w:t>
            </w:r>
          </w:p>
          <w:p w14:paraId="2D1A54F6" w14:textId="10F27ED1" w:rsidR="00FF5C77" w:rsidRPr="00AD78F1" w:rsidRDefault="00F249CE" w:rsidP="00185C19">
            <w:pPr>
              <w:autoSpaceDE w:val="0"/>
              <w:autoSpaceDN w:val="0"/>
              <w:adjustRightInd w:val="0"/>
              <w:spacing w:before="60" w:after="60"/>
              <w:rPr>
                <w:rFonts w:cs="Calibri"/>
                <w:color w:val="000000"/>
                <w:sz w:val="20"/>
                <w:szCs w:val="20"/>
              </w:rPr>
            </w:pPr>
            <w:r w:rsidRPr="00F249CE">
              <w:rPr>
                <w:rFonts w:cs="Calibri"/>
                <w:color w:val="000000"/>
                <w:sz w:val="20"/>
                <w:szCs w:val="20"/>
              </w:rPr>
              <w:t>75% = $258.75</w:t>
            </w:r>
          </w:p>
        </w:tc>
      </w:tr>
      <w:tr w:rsidR="00FF5C77" w:rsidRPr="00AD78F1" w:rsidDel="00EE2BBB" w14:paraId="23D3A9F3" w14:textId="77777777" w:rsidTr="00CB28D1">
        <w:trPr>
          <w:trHeight w:val="552"/>
          <w:tblHeader/>
        </w:trPr>
        <w:tc>
          <w:tcPr>
            <w:tcW w:w="969" w:type="dxa"/>
          </w:tcPr>
          <w:p w14:paraId="005D3413" w14:textId="513670C1" w:rsidR="00FF5C77" w:rsidRPr="00AD78F1" w:rsidRDefault="00FF5C77" w:rsidP="00185C19">
            <w:pPr>
              <w:autoSpaceDE w:val="0"/>
              <w:autoSpaceDN w:val="0"/>
              <w:adjustRightInd w:val="0"/>
              <w:spacing w:before="60" w:after="60"/>
              <w:rPr>
                <w:rFonts w:cs="Calibri"/>
                <w:color w:val="000000"/>
                <w:sz w:val="20"/>
                <w:szCs w:val="20"/>
              </w:rPr>
            </w:pPr>
            <w:r w:rsidRPr="00B95CD8">
              <w:rPr>
                <w:sz w:val="20"/>
                <w:szCs w:val="20"/>
              </w:rPr>
              <w:t>41737</w:t>
            </w:r>
          </w:p>
        </w:tc>
        <w:tc>
          <w:tcPr>
            <w:tcW w:w="6114" w:type="dxa"/>
          </w:tcPr>
          <w:p w14:paraId="12A37E2B" w14:textId="246E220C" w:rsidR="00FF5C77" w:rsidRPr="00AD78F1" w:rsidRDefault="00F249CE" w:rsidP="00185C19">
            <w:pPr>
              <w:autoSpaceDE w:val="0"/>
              <w:autoSpaceDN w:val="0"/>
              <w:adjustRightInd w:val="0"/>
              <w:spacing w:before="60" w:after="60"/>
              <w:rPr>
                <w:rFonts w:cs="Calibri"/>
                <w:color w:val="000000"/>
                <w:sz w:val="20"/>
                <w:szCs w:val="20"/>
              </w:rPr>
            </w:pPr>
            <w:r w:rsidRPr="00F249CE">
              <w:rPr>
                <w:rFonts w:cs="Calibri"/>
                <w:color w:val="000000"/>
                <w:sz w:val="20"/>
                <w:szCs w:val="20"/>
              </w:rPr>
              <w:t>Frontal sinus, unilateral, intranasal operation on, including complete dissection of frontal recess and exposure of frontal sinus ostium (excludes simple probing, dilatation or irrigation of frontal sinus), other than a service associated with a service to which item 41698, 41703, 41705 or 41764 applies on the same side</w:t>
            </w:r>
            <w:r w:rsidR="003C1AA3">
              <w:rPr>
                <w:rFonts w:cs="Calibri"/>
                <w:color w:val="000000"/>
                <w:sz w:val="20"/>
                <w:szCs w:val="20"/>
              </w:rPr>
              <w:t>.</w:t>
            </w:r>
          </w:p>
        </w:tc>
        <w:tc>
          <w:tcPr>
            <w:tcW w:w="1843" w:type="dxa"/>
          </w:tcPr>
          <w:p w14:paraId="30B8649F" w14:textId="77777777" w:rsidR="00F249CE" w:rsidRDefault="00F249CE" w:rsidP="00185C19">
            <w:pPr>
              <w:autoSpaceDE w:val="0"/>
              <w:autoSpaceDN w:val="0"/>
              <w:adjustRightInd w:val="0"/>
              <w:spacing w:before="60" w:after="60"/>
              <w:rPr>
                <w:rFonts w:cs="Calibri"/>
                <w:color w:val="000000"/>
                <w:sz w:val="20"/>
                <w:szCs w:val="20"/>
              </w:rPr>
            </w:pPr>
            <w:r w:rsidRPr="00F249CE">
              <w:rPr>
                <w:rFonts w:cs="Calibri"/>
                <w:color w:val="000000"/>
                <w:sz w:val="20"/>
                <w:szCs w:val="20"/>
              </w:rPr>
              <w:t xml:space="preserve">Fee: $563.75 </w:t>
            </w:r>
          </w:p>
          <w:p w14:paraId="621F27FE" w14:textId="77777777" w:rsidR="00F249CE" w:rsidRDefault="00F249CE" w:rsidP="00185C19">
            <w:pPr>
              <w:autoSpaceDE w:val="0"/>
              <w:autoSpaceDN w:val="0"/>
              <w:adjustRightInd w:val="0"/>
              <w:spacing w:before="60" w:after="60"/>
              <w:rPr>
                <w:rFonts w:cs="Calibri"/>
                <w:color w:val="000000"/>
                <w:sz w:val="20"/>
                <w:szCs w:val="20"/>
              </w:rPr>
            </w:pPr>
            <w:r w:rsidRPr="00F249CE">
              <w:rPr>
                <w:rFonts w:cs="Calibri"/>
                <w:color w:val="000000"/>
                <w:sz w:val="20"/>
                <w:szCs w:val="20"/>
              </w:rPr>
              <w:t xml:space="preserve">Benefit: </w:t>
            </w:r>
          </w:p>
          <w:p w14:paraId="252BFE9E" w14:textId="5B0ECEC4" w:rsidR="00FF5C77" w:rsidRPr="00AD78F1" w:rsidRDefault="00F249CE" w:rsidP="00185C19">
            <w:pPr>
              <w:autoSpaceDE w:val="0"/>
              <w:autoSpaceDN w:val="0"/>
              <w:adjustRightInd w:val="0"/>
              <w:spacing w:before="60" w:after="60"/>
              <w:rPr>
                <w:rFonts w:cs="Calibri"/>
                <w:color w:val="000000"/>
                <w:sz w:val="20"/>
                <w:szCs w:val="20"/>
              </w:rPr>
            </w:pPr>
            <w:r w:rsidRPr="00F249CE">
              <w:rPr>
                <w:rFonts w:cs="Calibri"/>
                <w:color w:val="000000"/>
                <w:sz w:val="20"/>
                <w:szCs w:val="20"/>
              </w:rPr>
              <w:t>75% = $422.85</w:t>
            </w:r>
          </w:p>
        </w:tc>
      </w:tr>
      <w:tr w:rsidR="00FF5C77" w:rsidRPr="00AD78F1" w:rsidDel="00EE2BBB" w14:paraId="0B0285C7" w14:textId="77777777" w:rsidTr="00CB28D1">
        <w:trPr>
          <w:trHeight w:val="552"/>
          <w:tblHeader/>
        </w:trPr>
        <w:tc>
          <w:tcPr>
            <w:tcW w:w="969" w:type="dxa"/>
          </w:tcPr>
          <w:p w14:paraId="2CEB5D5B" w14:textId="77777777" w:rsidR="00AD78F1" w:rsidRPr="00AD78F1" w:rsidRDefault="00AD78F1" w:rsidP="00AD78F1">
            <w:pPr>
              <w:autoSpaceDE w:val="0"/>
              <w:autoSpaceDN w:val="0"/>
              <w:adjustRightInd w:val="0"/>
              <w:spacing w:before="60" w:after="60"/>
              <w:rPr>
                <w:rFonts w:cs="Calibri"/>
                <w:color w:val="000000"/>
                <w:sz w:val="20"/>
                <w:szCs w:val="20"/>
              </w:rPr>
            </w:pPr>
            <w:r w:rsidRPr="00AD78F1">
              <w:rPr>
                <w:rFonts w:cs="Calibri"/>
                <w:color w:val="000000"/>
                <w:sz w:val="20"/>
                <w:szCs w:val="20"/>
              </w:rPr>
              <w:t xml:space="preserve">41702 </w:t>
            </w:r>
          </w:p>
          <w:p w14:paraId="15646FE9" w14:textId="77777777" w:rsidR="00FF5C77" w:rsidRPr="00AD78F1" w:rsidRDefault="00FF5C77" w:rsidP="00185C19">
            <w:pPr>
              <w:autoSpaceDE w:val="0"/>
              <w:autoSpaceDN w:val="0"/>
              <w:adjustRightInd w:val="0"/>
              <w:spacing w:before="60" w:after="60"/>
              <w:rPr>
                <w:rFonts w:cs="Calibri"/>
                <w:color w:val="000000"/>
                <w:sz w:val="20"/>
                <w:szCs w:val="20"/>
              </w:rPr>
            </w:pPr>
          </w:p>
        </w:tc>
        <w:tc>
          <w:tcPr>
            <w:tcW w:w="6114" w:type="dxa"/>
          </w:tcPr>
          <w:p w14:paraId="49260D85" w14:textId="301CE1BE" w:rsidR="00FF5C77" w:rsidRPr="00AD78F1" w:rsidRDefault="00FF5C77" w:rsidP="00FF5C77">
            <w:pPr>
              <w:autoSpaceDE w:val="0"/>
              <w:autoSpaceDN w:val="0"/>
              <w:adjustRightInd w:val="0"/>
              <w:spacing w:before="60" w:after="60"/>
              <w:rPr>
                <w:rFonts w:cs="Calibri"/>
                <w:color w:val="000000"/>
                <w:sz w:val="20"/>
                <w:szCs w:val="20"/>
              </w:rPr>
            </w:pPr>
            <w:r w:rsidRPr="00AD78F1">
              <w:rPr>
                <w:rFonts w:cs="Calibri"/>
                <w:color w:val="000000"/>
                <w:sz w:val="20"/>
                <w:szCs w:val="20"/>
              </w:rPr>
              <w:t xml:space="preserve">Functional sinus surgery of the </w:t>
            </w:r>
            <w:proofErr w:type="spellStart"/>
            <w:r w:rsidRPr="00AD78F1">
              <w:rPr>
                <w:rFonts w:cs="Calibri"/>
                <w:color w:val="000000"/>
                <w:sz w:val="20"/>
                <w:szCs w:val="20"/>
              </w:rPr>
              <w:t>ostiomeatal</w:t>
            </w:r>
            <w:proofErr w:type="spellEnd"/>
            <w:r w:rsidRPr="00AD78F1">
              <w:rPr>
                <w:rFonts w:cs="Calibri"/>
                <w:color w:val="000000"/>
                <w:sz w:val="20"/>
                <w:szCs w:val="20"/>
              </w:rPr>
              <w:t xml:space="preserve"> unit, including ethmoid, unilateral, other than a service associated with a service to which item 41662, 41698, 41703, 41705, 41710 or 41764 applies on the same side</w:t>
            </w:r>
            <w:r w:rsidR="003C1AA3">
              <w:rPr>
                <w:rFonts w:cs="Calibri"/>
                <w:color w:val="000000"/>
                <w:sz w:val="20"/>
                <w:szCs w:val="20"/>
              </w:rPr>
              <w:t>.</w:t>
            </w:r>
          </w:p>
        </w:tc>
        <w:tc>
          <w:tcPr>
            <w:tcW w:w="1843" w:type="dxa"/>
          </w:tcPr>
          <w:p w14:paraId="032B02B9" w14:textId="77777777" w:rsidR="00AD78F1" w:rsidRPr="00AD78F1" w:rsidRDefault="00AD78F1" w:rsidP="00185C19">
            <w:pPr>
              <w:autoSpaceDE w:val="0"/>
              <w:autoSpaceDN w:val="0"/>
              <w:adjustRightInd w:val="0"/>
              <w:spacing w:before="60" w:after="60"/>
              <w:rPr>
                <w:rFonts w:cs="Calibri"/>
                <w:color w:val="000000"/>
                <w:sz w:val="20"/>
                <w:szCs w:val="20"/>
              </w:rPr>
            </w:pPr>
            <w:r w:rsidRPr="00AD78F1">
              <w:rPr>
                <w:rFonts w:cs="Calibri"/>
                <w:color w:val="000000"/>
                <w:sz w:val="20"/>
                <w:szCs w:val="20"/>
              </w:rPr>
              <w:t xml:space="preserve">Fee: $796.05 </w:t>
            </w:r>
          </w:p>
          <w:p w14:paraId="57ACF680" w14:textId="77777777" w:rsidR="00AD78F1" w:rsidRPr="00AD78F1" w:rsidRDefault="00AD78F1" w:rsidP="00185C19">
            <w:pPr>
              <w:autoSpaceDE w:val="0"/>
              <w:autoSpaceDN w:val="0"/>
              <w:adjustRightInd w:val="0"/>
              <w:spacing w:before="60" w:after="60"/>
              <w:rPr>
                <w:rFonts w:cs="Calibri"/>
                <w:color w:val="000000"/>
                <w:sz w:val="20"/>
                <w:szCs w:val="20"/>
              </w:rPr>
            </w:pPr>
            <w:r w:rsidRPr="00AD78F1">
              <w:rPr>
                <w:rFonts w:cs="Calibri"/>
                <w:color w:val="000000"/>
                <w:sz w:val="20"/>
                <w:szCs w:val="20"/>
              </w:rPr>
              <w:t xml:space="preserve">Benefit: </w:t>
            </w:r>
          </w:p>
          <w:p w14:paraId="53E172EB" w14:textId="3ADD5259" w:rsidR="00FF5C77" w:rsidRPr="00AD78F1" w:rsidRDefault="00AD78F1" w:rsidP="00185C19">
            <w:pPr>
              <w:autoSpaceDE w:val="0"/>
              <w:autoSpaceDN w:val="0"/>
              <w:adjustRightInd w:val="0"/>
              <w:spacing w:before="60" w:after="60"/>
              <w:rPr>
                <w:rFonts w:cs="Calibri"/>
                <w:color w:val="000000"/>
                <w:sz w:val="20"/>
                <w:szCs w:val="20"/>
              </w:rPr>
            </w:pPr>
            <w:r w:rsidRPr="00AD78F1">
              <w:rPr>
                <w:rFonts w:cs="Calibri"/>
                <w:color w:val="000000"/>
                <w:sz w:val="20"/>
                <w:szCs w:val="20"/>
              </w:rPr>
              <w:t>75% = $597.05</w:t>
            </w:r>
          </w:p>
        </w:tc>
      </w:tr>
      <w:tr w:rsidR="00FF5C77" w:rsidRPr="00AD78F1" w:rsidDel="00EE2BBB" w14:paraId="62EB7C32" w14:textId="77777777" w:rsidTr="00CB28D1">
        <w:trPr>
          <w:trHeight w:val="552"/>
          <w:tblHeader/>
        </w:trPr>
        <w:tc>
          <w:tcPr>
            <w:tcW w:w="969" w:type="dxa"/>
          </w:tcPr>
          <w:p w14:paraId="539376F8" w14:textId="77777777" w:rsidR="00AD78F1" w:rsidRPr="00AD78F1" w:rsidRDefault="00AD78F1" w:rsidP="00AD78F1">
            <w:pPr>
              <w:autoSpaceDE w:val="0"/>
              <w:autoSpaceDN w:val="0"/>
              <w:adjustRightInd w:val="0"/>
              <w:spacing w:before="60" w:after="60"/>
              <w:rPr>
                <w:rFonts w:cs="Calibri"/>
                <w:color w:val="000000"/>
                <w:sz w:val="20"/>
                <w:szCs w:val="20"/>
              </w:rPr>
            </w:pPr>
            <w:r w:rsidRPr="00AD78F1">
              <w:rPr>
                <w:rFonts w:cs="Calibri"/>
                <w:color w:val="000000"/>
                <w:sz w:val="20"/>
                <w:szCs w:val="20"/>
              </w:rPr>
              <w:t xml:space="preserve">41703 </w:t>
            </w:r>
          </w:p>
          <w:p w14:paraId="1064C086" w14:textId="77777777" w:rsidR="00FF5C77" w:rsidRPr="00AD78F1" w:rsidRDefault="00FF5C77" w:rsidP="00185C19">
            <w:pPr>
              <w:autoSpaceDE w:val="0"/>
              <w:autoSpaceDN w:val="0"/>
              <w:adjustRightInd w:val="0"/>
              <w:spacing w:before="60" w:after="60"/>
              <w:rPr>
                <w:rFonts w:cs="Calibri"/>
                <w:color w:val="000000"/>
                <w:sz w:val="20"/>
                <w:szCs w:val="20"/>
              </w:rPr>
            </w:pPr>
          </w:p>
        </w:tc>
        <w:tc>
          <w:tcPr>
            <w:tcW w:w="6114" w:type="dxa"/>
          </w:tcPr>
          <w:p w14:paraId="043AA0E3" w14:textId="5F0CFAC5" w:rsidR="00FF5C77" w:rsidRPr="00AD78F1" w:rsidRDefault="00FF5C77" w:rsidP="00FF5C77">
            <w:pPr>
              <w:autoSpaceDE w:val="0"/>
              <w:autoSpaceDN w:val="0"/>
              <w:adjustRightInd w:val="0"/>
              <w:spacing w:before="60" w:after="60"/>
              <w:rPr>
                <w:rFonts w:cs="Calibri"/>
                <w:color w:val="000000"/>
                <w:sz w:val="20"/>
                <w:szCs w:val="20"/>
              </w:rPr>
            </w:pPr>
            <w:r w:rsidRPr="00AD78F1">
              <w:rPr>
                <w:rFonts w:cs="Calibri"/>
                <w:color w:val="000000"/>
                <w:sz w:val="20"/>
                <w:szCs w:val="20"/>
              </w:rPr>
              <w:t>Functional sinus surgery, complete dissection of all 5 sinuses and creation of single sinus cavity, unilateral, other than a service associated with a service to which item 41662, 41698, 41702, 41705, 41710, 41734, 41737, 41752 or 41764 applies on the same side</w:t>
            </w:r>
            <w:r w:rsidR="003C1AA3">
              <w:rPr>
                <w:rFonts w:cs="Calibri"/>
                <w:color w:val="000000"/>
                <w:sz w:val="20"/>
                <w:szCs w:val="20"/>
              </w:rPr>
              <w:t>.</w:t>
            </w:r>
          </w:p>
        </w:tc>
        <w:tc>
          <w:tcPr>
            <w:tcW w:w="1843" w:type="dxa"/>
          </w:tcPr>
          <w:p w14:paraId="4859E104" w14:textId="77777777" w:rsidR="00AD78F1" w:rsidRPr="00AD78F1" w:rsidRDefault="00AD78F1" w:rsidP="00185C19">
            <w:pPr>
              <w:autoSpaceDE w:val="0"/>
              <w:autoSpaceDN w:val="0"/>
              <w:adjustRightInd w:val="0"/>
              <w:spacing w:before="60" w:after="60"/>
              <w:rPr>
                <w:rFonts w:cs="Calibri"/>
                <w:color w:val="000000"/>
                <w:sz w:val="20"/>
                <w:szCs w:val="20"/>
              </w:rPr>
            </w:pPr>
            <w:r w:rsidRPr="00AD78F1">
              <w:rPr>
                <w:rFonts w:cs="Calibri"/>
                <w:color w:val="000000"/>
                <w:sz w:val="20"/>
                <w:szCs w:val="20"/>
              </w:rPr>
              <w:t>Fee: $1,176.85 </w:t>
            </w:r>
          </w:p>
          <w:p w14:paraId="3CE08661" w14:textId="77777777" w:rsidR="00AD78F1" w:rsidRPr="00AD78F1" w:rsidRDefault="00AD78F1" w:rsidP="00185C19">
            <w:pPr>
              <w:autoSpaceDE w:val="0"/>
              <w:autoSpaceDN w:val="0"/>
              <w:adjustRightInd w:val="0"/>
              <w:spacing w:before="60" w:after="60"/>
              <w:rPr>
                <w:rFonts w:cs="Calibri"/>
                <w:color w:val="000000"/>
                <w:sz w:val="20"/>
                <w:szCs w:val="20"/>
              </w:rPr>
            </w:pPr>
            <w:r w:rsidRPr="00AD78F1">
              <w:rPr>
                <w:rFonts w:cs="Calibri"/>
                <w:color w:val="000000"/>
                <w:sz w:val="20"/>
                <w:szCs w:val="20"/>
              </w:rPr>
              <w:t>Benefit: </w:t>
            </w:r>
          </w:p>
          <w:p w14:paraId="583ACD86" w14:textId="42406E9E" w:rsidR="00FF5C77" w:rsidRPr="00AD78F1" w:rsidRDefault="00AD78F1" w:rsidP="00185C19">
            <w:pPr>
              <w:autoSpaceDE w:val="0"/>
              <w:autoSpaceDN w:val="0"/>
              <w:adjustRightInd w:val="0"/>
              <w:spacing w:before="60" w:after="60"/>
              <w:rPr>
                <w:rFonts w:cs="Calibri"/>
                <w:color w:val="000000"/>
                <w:sz w:val="20"/>
                <w:szCs w:val="20"/>
              </w:rPr>
            </w:pPr>
            <w:r w:rsidRPr="00AD78F1">
              <w:rPr>
                <w:rFonts w:cs="Calibri"/>
                <w:color w:val="000000"/>
                <w:sz w:val="20"/>
                <w:szCs w:val="20"/>
              </w:rPr>
              <w:t>75% = $882.65</w:t>
            </w:r>
          </w:p>
        </w:tc>
      </w:tr>
      <w:tr w:rsidR="00FF5C77" w:rsidRPr="00AD78F1" w:rsidDel="00EE2BBB" w14:paraId="24F21A72" w14:textId="77777777" w:rsidTr="00CB28D1">
        <w:trPr>
          <w:trHeight w:val="552"/>
          <w:tblHeader/>
        </w:trPr>
        <w:tc>
          <w:tcPr>
            <w:tcW w:w="969" w:type="dxa"/>
          </w:tcPr>
          <w:p w14:paraId="60B48AB7" w14:textId="77777777" w:rsidR="00AD78F1" w:rsidRPr="00AD78F1" w:rsidRDefault="00AD78F1" w:rsidP="00AD78F1">
            <w:pPr>
              <w:autoSpaceDE w:val="0"/>
              <w:autoSpaceDN w:val="0"/>
              <w:adjustRightInd w:val="0"/>
              <w:spacing w:before="60" w:after="60"/>
              <w:rPr>
                <w:rFonts w:cs="Calibri"/>
                <w:color w:val="000000"/>
                <w:sz w:val="20"/>
                <w:szCs w:val="20"/>
              </w:rPr>
            </w:pPr>
            <w:r w:rsidRPr="00AD78F1">
              <w:rPr>
                <w:rFonts w:cs="Calibri"/>
                <w:color w:val="000000"/>
                <w:sz w:val="20"/>
                <w:szCs w:val="20"/>
              </w:rPr>
              <w:t xml:space="preserve">41705 </w:t>
            </w:r>
          </w:p>
          <w:p w14:paraId="2F3B32BC" w14:textId="77777777" w:rsidR="00FF5C77" w:rsidRPr="00AD78F1" w:rsidRDefault="00FF5C77" w:rsidP="00185C19">
            <w:pPr>
              <w:autoSpaceDE w:val="0"/>
              <w:autoSpaceDN w:val="0"/>
              <w:adjustRightInd w:val="0"/>
              <w:spacing w:before="60" w:after="60"/>
              <w:rPr>
                <w:rFonts w:cs="Calibri"/>
                <w:color w:val="000000"/>
                <w:sz w:val="20"/>
                <w:szCs w:val="20"/>
              </w:rPr>
            </w:pPr>
          </w:p>
        </w:tc>
        <w:tc>
          <w:tcPr>
            <w:tcW w:w="6114" w:type="dxa"/>
          </w:tcPr>
          <w:p w14:paraId="0D1625CD" w14:textId="0FFD375E" w:rsidR="00FF5C77" w:rsidRPr="00AD78F1" w:rsidRDefault="00FF5C77" w:rsidP="00FF5C77">
            <w:pPr>
              <w:autoSpaceDE w:val="0"/>
              <w:autoSpaceDN w:val="0"/>
              <w:adjustRightInd w:val="0"/>
              <w:spacing w:before="60" w:after="60"/>
              <w:rPr>
                <w:rFonts w:cs="Calibri"/>
                <w:color w:val="000000"/>
                <w:sz w:val="20"/>
                <w:szCs w:val="20"/>
              </w:rPr>
            </w:pPr>
            <w:r w:rsidRPr="00AD78F1">
              <w:rPr>
                <w:rFonts w:cs="Calibri"/>
                <w:color w:val="000000"/>
                <w:sz w:val="20"/>
                <w:szCs w:val="20"/>
              </w:rPr>
              <w:t>Functional sinus surgery, complete dissection of all 5 sinuses to create a single sinus cavity, with extended drilling of frontal sinuses, unilateral, other than a service associated with a service to which item 41662, 41698, 41702, 41703, 41710, 41734, 41737, 41752 or 41764 applies on the same side</w:t>
            </w:r>
            <w:r w:rsidR="003C1AA3">
              <w:rPr>
                <w:rFonts w:cs="Calibri"/>
                <w:color w:val="000000"/>
                <w:sz w:val="20"/>
                <w:szCs w:val="20"/>
              </w:rPr>
              <w:t>.</w:t>
            </w:r>
          </w:p>
        </w:tc>
        <w:tc>
          <w:tcPr>
            <w:tcW w:w="1843" w:type="dxa"/>
          </w:tcPr>
          <w:p w14:paraId="127EE143" w14:textId="77777777" w:rsidR="00AD78F1" w:rsidRPr="00AD78F1" w:rsidRDefault="00AD78F1" w:rsidP="00185C19">
            <w:pPr>
              <w:autoSpaceDE w:val="0"/>
              <w:autoSpaceDN w:val="0"/>
              <w:adjustRightInd w:val="0"/>
              <w:spacing w:before="60" w:after="60"/>
              <w:rPr>
                <w:rFonts w:cs="Calibri"/>
                <w:color w:val="000000"/>
                <w:sz w:val="20"/>
                <w:szCs w:val="20"/>
              </w:rPr>
            </w:pPr>
            <w:r w:rsidRPr="00AD78F1">
              <w:rPr>
                <w:rFonts w:cs="Calibri"/>
                <w:color w:val="000000"/>
                <w:sz w:val="20"/>
                <w:szCs w:val="20"/>
              </w:rPr>
              <w:t>Fee: $1,914.90 </w:t>
            </w:r>
          </w:p>
          <w:p w14:paraId="0E3C7743" w14:textId="77777777" w:rsidR="00AD78F1" w:rsidRPr="00AD78F1" w:rsidRDefault="00AD78F1" w:rsidP="00185C19">
            <w:pPr>
              <w:autoSpaceDE w:val="0"/>
              <w:autoSpaceDN w:val="0"/>
              <w:adjustRightInd w:val="0"/>
              <w:spacing w:before="60" w:after="60"/>
              <w:rPr>
                <w:rFonts w:cs="Calibri"/>
                <w:color w:val="000000"/>
                <w:sz w:val="20"/>
                <w:szCs w:val="20"/>
              </w:rPr>
            </w:pPr>
            <w:r w:rsidRPr="00AD78F1">
              <w:rPr>
                <w:rFonts w:cs="Calibri"/>
                <w:color w:val="000000"/>
                <w:sz w:val="20"/>
                <w:szCs w:val="20"/>
              </w:rPr>
              <w:t>Benefit: </w:t>
            </w:r>
          </w:p>
          <w:p w14:paraId="25B4D23C" w14:textId="49D512BB" w:rsidR="00FF5C77" w:rsidRPr="00AD78F1" w:rsidRDefault="00AD78F1" w:rsidP="00185C19">
            <w:pPr>
              <w:autoSpaceDE w:val="0"/>
              <w:autoSpaceDN w:val="0"/>
              <w:adjustRightInd w:val="0"/>
              <w:spacing w:before="60" w:after="60"/>
              <w:rPr>
                <w:rFonts w:cs="Calibri"/>
                <w:color w:val="000000"/>
                <w:sz w:val="20"/>
                <w:szCs w:val="20"/>
              </w:rPr>
            </w:pPr>
            <w:r w:rsidRPr="00AD78F1">
              <w:rPr>
                <w:rFonts w:cs="Calibri"/>
                <w:color w:val="000000"/>
                <w:sz w:val="20"/>
                <w:szCs w:val="20"/>
              </w:rPr>
              <w:t>75% = $1,436.20</w:t>
            </w:r>
          </w:p>
        </w:tc>
      </w:tr>
    </w:tbl>
    <w:p w14:paraId="1AFA1485" w14:textId="65F7226A" w:rsidR="004C3186" w:rsidDel="00EE2BBB" w:rsidRDefault="004C3186" w:rsidP="00460C46">
      <w:pPr>
        <w:pStyle w:val="Heading3"/>
        <w:keepNext/>
      </w:pPr>
      <w:r w:rsidDel="00EE2BBB">
        <w:lastRenderedPageBreak/>
        <w:t>Restriction</w:t>
      </w:r>
    </w:p>
    <w:p w14:paraId="7B9142D8" w14:textId="6B63EF01" w:rsidR="00AA2C03" w:rsidRPr="00AA2C03" w:rsidRDefault="002B7DE6" w:rsidP="00246D24">
      <w:pPr>
        <w:tabs>
          <w:tab w:val="num" w:pos="720"/>
        </w:tabs>
      </w:pPr>
      <w:r w:rsidRPr="00246D24">
        <w:t>The PBS t</w:t>
      </w:r>
      <w:r w:rsidR="00AA2C03" w:rsidRPr="00AA2C03">
        <w:t>reatment criteria</w:t>
      </w:r>
      <w:r w:rsidRPr="00246D24">
        <w:t xml:space="preserve"> for </w:t>
      </w:r>
      <w:r w:rsidR="00B67550">
        <w:t xml:space="preserve">initial treatment with </w:t>
      </w:r>
      <w:r w:rsidRPr="00246D24">
        <w:t>mepolizumab states that the patient m</w:t>
      </w:r>
      <w:r w:rsidR="00AA2C03" w:rsidRPr="00AA2C03">
        <w:t>ust be treated by a medical practitioner who is either a: (</w:t>
      </w:r>
      <w:proofErr w:type="spellStart"/>
      <w:r w:rsidR="00AA2C03" w:rsidRPr="00AA2C03">
        <w:t>i</w:t>
      </w:r>
      <w:proofErr w:type="spellEnd"/>
      <w:r w:rsidR="00AA2C03" w:rsidRPr="00AA2C03">
        <w:t xml:space="preserve">) respiratory physician, (ii) clinical immunologist, (iii) allergist, (iv) ear nose and throat specialist (ENT), (v) general physician experienced in the management of patients with </w:t>
      </w:r>
      <w:proofErr w:type="spellStart"/>
      <w:r w:rsidR="00AA2C03" w:rsidRPr="00AA2C03">
        <w:t>CRSwNP</w:t>
      </w:r>
      <w:proofErr w:type="spellEnd"/>
      <w:r w:rsidR="00AA2C03" w:rsidRPr="00AA2C03">
        <w:t>.</w:t>
      </w:r>
    </w:p>
    <w:p w14:paraId="0EBE43D8" w14:textId="33903236" w:rsidR="00AA2C03" w:rsidRPr="00AA2C03" w:rsidRDefault="00B67550" w:rsidP="006C11F0">
      <w:r w:rsidRPr="00B67550">
        <w:rPr>
          <w:bCs/>
        </w:rPr>
        <w:t>There are seven c</w:t>
      </w:r>
      <w:r w:rsidR="00AA2C03" w:rsidRPr="00AA2C03">
        <w:rPr>
          <w:bCs/>
        </w:rPr>
        <w:t>linical criteria</w:t>
      </w:r>
      <w:r w:rsidRPr="00B67550">
        <w:rPr>
          <w:bCs/>
        </w:rPr>
        <w:t xml:space="preserve"> for the initial treatment of </w:t>
      </w:r>
      <w:r w:rsidRPr="00B67550">
        <w:t>mepolizumab</w:t>
      </w:r>
      <w:r>
        <w:t>, including that</w:t>
      </w:r>
      <w:r w:rsidR="006C11F0">
        <w:t xml:space="preserve"> the patient must have undergone surgery for the removal of nasal polyps; or the patient must have the written advice from at least two physicians of the </w:t>
      </w:r>
      <w:r w:rsidR="00EA1582">
        <w:t>above-mentioned</w:t>
      </w:r>
      <w:r w:rsidR="006C11F0">
        <w:t xml:space="preserve"> prescriber types demonstrating inappropriateness for surgery</w:t>
      </w:r>
      <w:r w:rsidR="0030260D">
        <w:t>.</w:t>
      </w:r>
    </w:p>
    <w:p w14:paraId="6FA3A8CB" w14:textId="04F32178" w:rsidR="00AA2C03" w:rsidRPr="00AA2C03" w:rsidRDefault="0030260D" w:rsidP="0030260D">
      <w:pPr>
        <w:tabs>
          <w:tab w:val="num" w:pos="720"/>
        </w:tabs>
      </w:pPr>
      <w:r w:rsidRPr="0030260D">
        <w:t>The PBS p</w:t>
      </w:r>
      <w:r w:rsidR="00AA2C03" w:rsidRPr="00AA2C03">
        <w:t>opulation criteria</w:t>
      </w:r>
      <w:r>
        <w:t xml:space="preserve"> states that the p</w:t>
      </w:r>
      <w:r w:rsidR="00AA2C03" w:rsidRPr="00AA2C03">
        <w:t>atient must be at least 18 years of age.</w:t>
      </w:r>
    </w:p>
    <w:p w14:paraId="22433632" w14:textId="4F5400F6" w:rsidR="006775F1" w:rsidRPr="006775F1" w:rsidDel="00EE2BBB" w:rsidRDefault="006775F1" w:rsidP="00246D24">
      <w:r w:rsidRPr="006775F1" w:rsidDel="00EE2BBB">
        <w:t xml:space="preserve">For </w:t>
      </w:r>
      <w:r w:rsidR="00835337" w:rsidDel="00EE2BBB">
        <w:t xml:space="preserve">details of the current PBS listing refer to the </w:t>
      </w:r>
      <w:hyperlink r:id="rId11" w:history="1">
        <w:r w:rsidR="00835337" w:rsidRPr="00645D51" w:rsidDel="00EE2BBB">
          <w:rPr>
            <w:rStyle w:val="Hyperlink"/>
          </w:rPr>
          <w:t>PBS website</w:t>
        </w:r>
      </w:hyperlink>
      <w:r w:rsidR="00835337" w:rsidDel="00EE2BBB">
        <w:rPr>
          <w:rStyle w:val="Hyperlink"/>
        </w:rPr>
        <w:t>.</w:t>
      </w:r>
    </w:p>
    <w:p w14:paraId="509ADFEB" w14:textId="201634E9" w:rsidR="009C35F2" w:rsidRDefault="009C35F2" w:rsidP="00CF5E22">
      <w:pPr>
        <w:pStyle w:val="Heading3"/>
      </w:pPr>
      <w:r w:rsidRPr="00675BB1" w:rsidDel="00EE2BBB">
        <w:t>Date of listing on PBS</w:t>
      </w:r>
    </w:p>
    <w:p w14:paraId="24837010" w14:textId="6DD37BF7" w:rsidR="00C351B2" w:rsidRDefault="00E526B8" w:rsidP="00317988">
      <w:pPr>
        <w:rPr>
          <w:highlight w:val="yellow"/>
        </w:rPr>
      </w:pPr>
      <w:r w:rsidRPr="00E526B8">
        <w:t xml:space="preserve">Mepolizumab was PBS listed for </w:t>
      </w:r>
      <w:proofErr w:type="spellStart"/>
      <w:r w:rsidRPr="00E526B8">
        <w:t>CRSwNP</w:t>
      </w:r>
      <w:proofErr w:type="spellEnd"/>
      <w:r>
        <w:t xml:space="preserve"> on </w:t>
      </w:r>
      <w:r w:rsidR="00244098" w:rsidRPr="00244098">
        <w:t>1 April 2023</w:t>
      </w:r>
      <w:r w:rsidR="00244098">
        <w:t>.</w:t>
      </w:r>
    </w:p>
    <w:p w14:paraId="39EF75ED" w14:textId="73256AB5" w:rsidR="00675BB1" w:rsidRDefault="00675BB1" w:rsidP="00CF5E22">
      <w:pPr>
        <w:pStyle w:val="Heading3"/>
      </w:pPr>
      <w:r w:rsidRPr="00675BB1" w:rsidDel="00EE2BBB">
        <w:t>Changes to listing</w:t>
      </w:r>
    </w:p>
    <w:p w14:paraId="1A14C91F" w14:textId="74B27EC3" w:rsidR="00AC11CC" w:rsidRDefault="00AC11CC" w:rsidP="009869C0">
      <w:r>
        <w:t>Mepolizuma</w:t>
      </w:r>
      <w:r w:rsidR="009869C0">
        <w:t xml:space="preserve">b was first listed </w:t>
      </w:r>
      <w:r w:rsidR="00C7745B">
        <w:t>on the PBS</w:t>
      </w:r>
      <w:r w:rsidR="00CC7A7D">
        <w:t xml:space="preserve"> </w:t>
      </w:r>
      <w:r w:rsidR="00E3696F" w:rsidRPr="00E3696F">
        <w:t>for severe eosinophilic asthma</w:t>
      </w:r>
      <w:r w:rsidR="00CD3C41">
        <w:t xml:space="preserve"> on 1</w:t>
      </w:r>
      <w:r w:rsidR="004F00B2">
        <w:t> </w:t>
      </w:r>
      <w:r w:rsidR="00CD3C41">
        <w:t>January 2017</w:t>
      </w:r>
      <w:r w:rsidR="004F00B2">
        <w:t xml:space="preserve">. The </w:t>
      </w:r>
      <w:r w:rsidR="004F00B2" w:rsidRPr="004F00B2">
        <w:t>PBS listing for severe eosinophilic asthma was altered to refer to the condition as uncontrolled severe asthma</w:t>
      </w:r>
      <w:r w:rsidR="004F00B2">
        <w:t xml:space="preserve"> on </w:t>
      </w:r>
      <w:r w:rsidR="004F00B2" w:rsidRPr="004F00B2">
        <w:t>1</w:t>
      </w:r>
      <w:r w:rsidR="004F00B2">
        <w:t> </w:t>
      </w:r>
      <w:r w:rsidR="004F00B2" w:rsidRPr="004F00B2">
        <w:t>July 2021</w:t>
      </w:r>
      <w:r w:rsidR="004F00B2">
        <w:t xml:space="preserve">. Mepolizumab </w:t>
      </w:r>
      <w:r w:rsidR="004F00B2" w:rsidRPr="00E526B8">
        <w:t xml:space="preserve">was PBS listed for </w:t>
      </w:r>
      <w:proofErr w:type="spellStart"/>
      <w:r w:rsidR="004F00B2" w:rsidRPr="00E526B8">
        <w:t>CRSwNP</w:t>
      </w:r>
      <w:proofErr w:type="spellEnd"/>
      <w:r w:rsidR="004F00B2">
        <w:t xml:space="preserve"> on </w:t>
      </w:r>
      <w:r w:rsidR="004F00B2" w:rsidRPr="00244098">
        <w:t>1</w:t>
      </w:r>
      <w:r w:rsidR="004F00B2">
        <w:t> </w:t>
      </w:r>
      <w:r w:rsidR="004F00B2" w:rsidRPr="00244098">
        <w:t>April 2023</w:t>
      </w:r>
      <w:r w:rsidR="004F00B2">
        <w:t>.</w:t>
      </w:r>
    </w:p>
    <w:p w14:paraId="64C94A85" w14:textId="3A629292" w:rsidR="00BF544D" w:rsidRPr="002F61CA" w:rsidDel="00EE2BBB" w:rsidRDefault="00BF544D" w:rsidP="00BF544D">
      <w:r w:rsidRPr="002F61CA" w:rsidDel="00EE2BBB">
        <w:t xml:space="preserve">Current PBS listing details are available from </w:t>
      </w:r>
      <w:r w:rsidDel="00EE2BBB">
        <w:t xml:space="preserve">the </w:t>
      </w:r>
      <w:hyperlink r:id="rId12" w:history="1">
        <w:r w:rsidRPr="00645D51" w:rsidDel="00EE2BBB">
          <w:rPr>
            <w:rStyle w:val="Hyperlink"/>
          </w:rPr>
          <w:t>PBS website</w:t>
        </w:r>
      </w:hyperlink>
      <w:r w:rsidDel="00EE2BBB">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25749F66" w14:textId="239CB991" w:rsidR="00B676E7" w:rsidRPr="00DD634D" w:rsidRDefault="00B676E7" w:rsidP="00A35800">
      <w:pPr>
        <w:rPr>
          <w:u w:val="single"/>
        </w:rPr>
      </w:pPr>
      <w:r w:rsidRPr="00DD634D">
        <w:rPr>
          <w:u w:val="single"/>
        </w:rPr>
        <w:t>November 2021</w:t>
      </w:r>
    </w:p>
    <w:p w14:paraId="45EC70EF" w14:textId="51013C0D" w:rsidR="00B676E7" w:rsidRDefault="008E077D" w:rsidP="00A35800">
      <w:r w:rsidRPr="00DD634D">
        <w:t xml:space="preserve">The PBAC </w:t>
      </w:r>
      <w:r w:rsidR="00DD634D" w:rsidRPr="00DD634D">
        <w:t xml:space="preserve">did not recommend mepolizumab for treatment of </w:t>
      </w:r>
      <w:proofErr w:type="spellStart"/>
      <w:r w:rsidR="00DD634D" w:rsidRPr="00DD634D">
        <w:t>CRSwNP</w:t>
      </w:r>
      <w:proofErr w:type="spellEnd"/>
      <w:r w:rsidR="00DD634D" w:rsidRPr="00DD634D">
        <w:t xml:space="preserve"> for patients who have received at least one previous surgery for the removal of </w:t>
      </w:r>
      <w:r w:rsidR="003C1AA3">
        <w:t>nasal polyps (</w:t>
      </w:r>
      <w:r w:rsidR="00DD634D" w:rsidRPr="00DD634D">
        <w:t>NP</w:t>
      </w:r>
      <w:r w:rsidR="003C1AA3">
        <w:t>)</w:t>
      </w:r>
      <w:r w:rsidR="00DD634D" w:rsidRPr="00DD634D">
        <w:t xml:space="preserve">. Overall, the PBAC considered the clinical claim of superior effectiveness compared SoC was reasonable in patients with </w:t>
      </w:r>
      <w:proofErr w:type="spellStart"/>
      <w:r w:rsidR="00DD634D" w:rsidRPr="00DD634D">
        <w:t>CRSwNP</w:t>
      </w:r>
      <w:proofErr w:type="spellEnd"/>
      <w:r w:rsidR="00DD634D" w:rsidRPr="00DD634D">
        <w:t>. The PBAC considered the revised base case proposed by ESC was appropriate and that the resulting revised ICER high and uncertain at the proposed price. The PBAC considered the financial estimates were highly uncertain and advised that a risk sharing arrangement (RSA) would be required if patients unsuitable for surgery were to be included.</w:t>
      </w:r>
    </w:p>
    <w:p w14:paraId="5FB7F67A" w14:textId="0437D383" w:rsidR="004D7187" w:rsidRPr="00DD634D" w:rsidRDefault="004D7187" w:rsidP="00A35800">
      <w:r w:rsidRPr="004D7187">
        <w:t>The PBAC agreed with DUSC that overall</w:t>
      </w:r>
      <w:r w:rsidR="00B61B32">
        <w:t>,</w:t>
      </w:r>
      <w:r w:rsidRPr="004D7187">
        <w:t xml:space="preserve"> the estimates presented in the submission were likely overestimated primarily due to the prevalence rates of </w:t>
      </w:r>
      <w:r w:rsidR="00DB0A3A" w:rsidRPr="00DB0A3A">
        <w:t>chronic rhinosinusitis</w:t>
      </w:r>
      <w:r w:rsidR="00DB0A3A">
        <w:t xml:space="preserve"> </w:t>
      </w:r>
      <w:r w:rsidRPr="004D7187">
        <w:t xml:space="preserve">and </w:t>
      </w:r>
      <w:proofErr w:type="spellStart"/>
      <w:r w:rsidRPr="004D7187">
        <w:t>CRSwNP</w:t>
      </w:r>
      <w:proofErr w:type="spellEnd"/>
      <w:r w:rsidRPr="004D7187">
        <w:t xml:space="preserve"> used in the submission along with the inclusion of a proportion of </w:t>
      </w:r>
      <w:proofErr w:type="spellStart"/>
      <w:r w:rsidRPr="004D7187">
        <w:t>CRSwNP</w:t>
      </w:r>
      <w:proofErr w:type="spellEnd"/>
      <w:r w:rsidRPr="004D7187">
        <w:t xml:space="preserve"> patients already prescribed a PBS-listed biologic for severe asthma. The PBAC considered the initial and continuing uptake rates were underestimated and agreed with DUSC that that this was particularly evident for patients unsuitable for surgery</w:t>
      </w:r>
      <w:r>
        <w:t>.</w:t>
      </w:r>
    </w:p>
    <w:p w14:paraId="39196C4E" w14:textId="634912CD" w:rsidR="00B676E7" w:rsidRDefault="00E66D0B" w:rsidP="00A35800">
      <w:pPr>
        <w:rPr>
          <w:highlight w:val="yellow"/>
        </w:rPr>
      </w:pPr>
      <w:r>
        <w:lastRenderedPageBreak/>
        <w:t xml:space="preserve">For further details refer to </w:t>
      </w:r>
      <w:r w:rsidRPr="00F65F0D">
        <w:t xml:space="preserve">the </w:t>
      </w:r>
      <w:hyperlink r:id="rId13" w:history="1">
        <w:r w:rsidRPr="00F12BA5">
          <w:rPr>
            <w:rStyle w:val="Hyperlink"/>
          </w:rPr>
          <w:t>Public Summary Document</w:t>
        </w:r>
      </w:hyperlink>
      <w:r>
        <w:t xml:space="preserve"> </w:t>
      </w:r>
      <w:r w:rsidRPr="00F65F0D">
        <w:t xml:space="preserve">from the </w:t>
      </w:r>
      <w:r w:rsidR="00F12BA5">
        <w:t xml:space="preserve">November 2021 </w:t>
      </w:r>
      <w:r>
        <w:t>PBAC meeting.</w:t>
      </w:r>
    </w:p>
    <w:p w14:paraId="4162C99A" w14:textId="57C5D211" w:rsidR="00B676E7" w:rsidRPr="009673DB" w:rsidRDefault="00E66D0B" w:rsidP="00A35800">
      <w:pPr>
        <w:rPr>
          <w:u w:val="single"/>
        </w:rPr>
      </w:pPr>
      <w:r w:rsidRPr="009673DB">
        <w:rPr>
          <w:u w:val="single"/>
        </w:rPr>
        <w:t>November 2022</w:t>
      </w:r>
    </w:p>
    <w:p w14:paraId="248DFD3F" w14:textId="4BA7146D" w:rsidR="00485046" w:rsidRDefault="00485046" w:rsidP="00A35800">
      <w:r w:rsidRPr="00485046">
        <w:t xml:space="preserve">The PBAC recommended the Authority Required listing of mepolizumab for the treatment of </w:t>
      </w:r>
      <w:proofErr w:type="spellStart"/>
      <w:r w:rsidRPr="00485046">
        <w:t>CRSwNP</w:t>
      </w:r>
      <w:proofErr w:type="spellEnd"/>
      <w:r w:rsidRPr="00485046">
        <w:t>, on the basis that it should be available only under special arrangements under Section 100 (Highly Specialised Drugs Program).</w:t>
      </w:r>
    </w:p>
    <w:p w14:paraId="6D157D58" w14:textId="7AAD48C1" w:rsidR="00B7091C" w:rsidRDefault="009673DB" w:rsidP="00A35800">
      <w:r w:rsidRPr="009673DB">
        <w:t xml:space="preserve">The resubmission used an epidemiological approach to estimate the utilisation and financial impact of listing mepolizumab on the PBS for </w:t>
      </w:r>
      <w:proofErr w:type="spellStart"/>
      <w:r w:rsidRPr="006060D9">
        <w:t>CRSwNP</w:t>
      </w:r>
      <w:proofErr w:type="spellEnd"/>
      <w:r w:rsidRPr="006060D9">
        <w:t xml:space="preserve">. A summary of the key assumptions used to calculate the financial estimates is presented in </w:t>
      </w:r>
      <w:r w:rsidRPr="00613672">
        <w:t xml:space="preserve">Table </w:t>
      </w:r>
      <w:r w:rsidR="006060D9" w:rsidRPr="006060D9">
        <w:t>3</w:t>
      </w:r>
      <w:r w:rsidRPr="006060D9">
        <w:t>.</w:t>
      </w:r>
    </w:p>
    <w:p w14:paraId="2E9DCCD5" w14:textId="64CD1CB5" w:rsidR="009673DB" w:rsidRPr="009673DB" w:rsidRDefault="00603698" w:rsidP="00A35800">
      <w:r w:rsidRPr="00603698">
        <w:t xml:space="preserve">The PBAC considered the resubmission financial estimates addressed November 2021 PBAC meeting concerns raised by DUSC regarding prevalence rates of chronic rhinosinusitis and </w:t>
      </w:r>
      <w:proofErr w:type="spellStart"/>
      <w:r w:rsidRPr="00603698">
        <w:t>CRSwNP</w:t>
      </w:r>
      <w:proofErr w:type="spellEnd"/>
      <w:r w:rsidRPr="00603698">
        <w:t xml:space="preserve"> used in the submission along with the inclusion of a proportion of </w:t>
      </w:r>
      <w:proofErr w:type="spellStart"/>
      <w:r w:rsidRPr="00603698">
        <w:t>CRSwNP</w:t>
      </w:r>
      <w:proofErr w:type="spellEnd"/>
      <w:r w:rsidRPr="00603698">
        <w:t xml:space="preserve"> patients already prescribed a PBS-listed biologic for severe asthma (paragraph 7.8, mepolizumab PSD, November 2021 PBAC meeting). The PBAC considered the approach taken by the resubmission to estimate the total number of eligible patients was appropriate. However, the PBAC expressed concern regarding the approach taken to determining the total number of patients electing treatment and subsequent estimates. Noting the estimated total eligible patients to be appropriate, the PBAC advised that the financial estimates be revised to include a 48% uptake rate applied across Year 1 to Year 6 with an average of 9.6 </w:t>
      </w:r>
      <w:r w:rsidR="00D02FF5" w:rsidRPr="00D21094">
        <w:rPr>
          <w:rFonts w:cstheme="minorHAnsi"/>
        </w:rPr>
        <w:t>prescriptions</w:t>
      </w:r>
      <w:r w:rsidRPr="00603698">
        <w:t xml:space="preserve"> per patient treated. The PBAC noted that grandfathered patients were accounted for in the </w:t>
      </w:r>
      <w:proofErr w:type="gramStart"/>
      <w:r w:rsidRPr="00603698">
        <w:t>prevalence based</w:t>
      </w:r>
      <w:proofErr w:type="gramEnd"/>
      <w:r w:rsidRPr="00603698">
        <w:t xml:space="preserve"> approach used to determine the financial estimates.</w:t>
      </w:r>
    </w:p>
    <w:p w14:paraId="7BECC583" w14:textId="50CF3FB4" w:rsidR="00B676E7" w:rsidRDefault="00E66D0B" w:rsidP="00A35800">
      <w:pPr>
        <w:rPr>
          <w:highlight w:val="yellow"/>
        </w:rPr>
      </w:pPr>
      <w:r>
        <w:t xml:space="preserve">For further details refer to </w:t>
      </w:r>
      <w:r w:rsidRPr="00F65F0D">
        <w:t xml:space="preserve">the </w:t>
      </w:r>
      <w:hyperlink r:id="rId14" w:history="1">
        <w:r w:rsidRPr="009E009C">
          <w:rPr>
            <w:rStyle w:val="Hyperlink"/>
          </w:rPr>
          <w:t>Public Summary Document</w:t>
        </w:r>
      </w:hyperlink>
      <w:r w:rsidRPr="00F65F0D">
        <w:t xml:space="preserve"> from the </w:t>
      </w:r>
      <w:r w:rsidR="009E009C">
        <w:t>November 2022</w:t>
      </w:r>
      <w:r>
        <w:t xml:space="preserve"> PBAC meeting.</w:t>
      </w:r>
    </w:p>
    <w:p w14:paraId="72C2CA24" w14:textId="4A28B89A" w:rsidR="000F2F51" w:rsidRDefault="00ED633B" w:rsidP="00AC7A6F">
      <w:pPr>
        <w:pStyle w:val="Heading2"/>
        <w:keepNext/>
      </w:pPr>
      <w:r>
        <w:t>A</w:t>
      </w:r>
      <w:r w:rsidR="000F2F51">
        <w:t xml:space="preserve">pproach </w:t>
      </w:r>
      <w:r>
        <w:t xml:space="preserve">taken to </w:t>
      </w:r>
      <w:r w:rsidR="000F2F51">
        <w:t>estimat</w:t>
      </w:r>
      <w:r>
        <w:t>e</w:t>
      </w:r>
      <w:r w:rsidR="000F2F51">
        <w:t xml:space="preserve"> utilisation</w:t>
      </w:r>
    </w:p>
    <w:p w14:paraId="0786A644" w14:textId="5DB1EF26" w:rsidR="00ED633B" w:rsidRPr="004716B5" w:rsidRDefault="00DC26BE" w:rsidP="00A35800">
      <w:r w:rsidRPr="004716B5">
        <w:t xml:space="preserve">The November 2022 submission used an epidemiological model to estimate the use of mepolizumab for </w:t>
      </w:r>
      <w:proofErr w:type="spellStart"/>
      <w:r w:rsidRPr="004716B5">
        <w:t>CRSwNP</w:t>
      </w:r>
      <w:proofErr w:type="spellEnd"/>
      <w:r w:rsidRPr="004716B5">
        <w:t>.</w:t>
      </w:r>
    </w:p>
    <w:p w14:paraId="06C0D437" w14:textId="2BD32AB1" w:rsidR="004716B5" w:rsidRDefault="002B1CAB" w:rsidP="005A0821">
      <w:pPr>
        <w:pStyle w:val="Tabletitle"/>
      </w:pPr>
      <w:r>
        <w:t xml:space="preserve">Table </w:t>
      </w:r>
      <w:r w:rsidR="006060D9">
        <w:t>3</w:t>
      </w:r>
      <w:r>
        <w:t xml:space="preserve">: </w:t>
      </w:r>
      <w:r w:rsidR="005A0821" w:rsidRPr="005A0821">
        <w:t>Key inputs for financial estimates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2268"/>
        <w:gridCol w:w="2268"/>
      </w:tblGrid>
      <w:tr w:rsidR="009E40AF" w:rsidRPr="009E40AF" w14:paraId="54AD6FF4" w14:textId="77777777" w:rsidTr="003760D9">
        <w:trPr>
          <w:trHeight w:val="276"/>
          <w:tblHeader/>
        </w:trPr>
        <w:tc>
          <w:tcPr>
            <w:tcW w:w="4248" w:type="dxa"/>
            <w:shd w:val="clear" w:color="auto" w:fill="BFBFBF" w:themeFill="background1" w:themeFillShade="BF"/>
            <w:vAlign w:val="bottom"/>
            <w:hideMark/>
          </w:tcPr>
          <w:p w14:paraId="6AD741FF" w14:textId="77777777" w:rsidR="009E40AF" w:rsidRPr="009E40AF" w:rsidRDefault="009E40AF" w:rsidP="009E40AF">
            <w:pPr>
              <w:spacing w:after="0"/>
              <w:rPr>
                <w:rFonts w:eastAsia="Times New Roman" w:cstheme="minorHAnsi"/>
                <w:b/>
                <w:bCs/>
                <w:color w:val="000000"/>
                <w:sz w:val="20"/>
                <w:szCs w:val="20"/>
              </w:rPr>
            </w:pPr>
            <w:r w:rsidRPr="009E40AF">
              <w:rPr>
                <w:rFonts w:eastAsia="Times New Roman" w:cstheme="minorHAnsi"/>
                <w:b/>
                <w:bCs/>
                <w:color w:val="000000"/>
                <w:sz w:val="20"/>
                <w:szCs w:val="20"/>
              </w:rPr>
              <w:t>Assumption</w:t>
            </w:r>
          </w:p>
        </w:tc>
        <w:tc>
          <w:tcPr>
            <w:tcW w:w="2268" w:type="dxa"/>
            <w:shd w:val="clear" w:color="auto" w:fill="BFBFBF" w:themeFill="background1" w:themeFillShade="BF"/>
            <w:noWrap/>
            <w:vAlign w:val="bottom"/>
            <w:hideMark/>
          </w:tcPr>
          <w:p w14:paraId="5F0BC899" w14:textId="42313A1A" w:rsidR="009E40AF" w:rsidRPr="009E40AF" w:rsidRDefault="009E40AF" w:rsidP="009E40AF">
            <w:pPr>
              <w:spacing w:after="0"/>
              <w:rPr>
                <w:rFonts w:eastAsia="Times New Roman" w:cstheme="minorHAnsi"/>
                <w:b/>
                <w:bCs/>
                <w:color w:val="000000"/>
                <w:sz w:val="20"/>
                <w:szCs w:val="20"/>
              </w:rPr>
            </w:pPr>
            <w:r w:rsidRPr="009E40AF">
              <w:rPr>
                <w:rFonts w:eastAsia="Times New Roman" w:cstheme="minorHAnsi"/>
                <w:b/>
                <w:bCs/>
                <w:color w:val="000000"/>
                <w:sz w:val="20"/>
                <w:szCs w:val="20"/>
              </w:rPr>
              <w:t>November 202</w:t>
            </w:r>
            <w:r w:rsidR="00E802C9">
              <w:rPr>
                <w:rFonts w:eastAsia="Times New Roman" w:cstheme="minorHAnsi"/>
                <w:b/>
                <w:bCs/>
                <w:color w:val="000000"/>
                <w:sz w:val="20"/>
                <w:szCs w:val="20"/>
              </w:rPr>
              <w:t>1</w:t>
            </w:r>
          </w:p>
        </w:tc>
        <w:tc>
          <w:tcPr>
            <w:tcW w:w="2268" w:type="dxa"/>
            <w:shd w:val="clear" w:color="auto" w:fill="BFBFBF" w:themeFill="background1" w:themeFillShade="BF"/>
            <w:noWrap/>
            <w:vAlign w:val="bottom"/>
            <w:hideMark/>
          </w:tcPr>
          <w:p w14:paraId="621B8440" w14:textId="77777777" w:rsidR="009E40AF" w:rsidRPr="009E40AF" w:rsidRDefault="009E40AF" w:rsidP="009E40AF">
            <w:pPr>
              <w:spacing w:after="0"/>
              <w:rPr>
                <w:rFonts w:eastAsia="Times New Roman" w:cstheme="minorHAnsi"/>
                <w:b/>
                <w:bCs/>
                <w:color w:val="000000"/>
                <w:sz w:val="20"/>
                <w:szCs w:val="20"/>
              </w:rPr>
            </w:pPr>
            <w:r w:rsidRPr="009E40AF">
              <w:rPr>
                <w:rFonts w:eastAsia="Times New Roman" w:cstheme="minorHAnsi"/>
                <w:b/>
                <w:bCs/>
                <w:color w:val="000000"/>
                <w:sz w:val="20"/>
                <w:szCs w:val="20"/>
              </w:rPr>
              <w:t>November 2022</w:t>
            </w:r>
          </w:p>
        </w:tc>
      </w:tr>
      <w:tr w:rsidR="009E40AF" w:rsidRPr="009E40AF" w14:paraId="1D0A13FB" w14:textId="77777777" w:rsidTr="002A4441">
        <w:trPr>
          <w:trHeight w:val="276"/>
        </w:trPr>
        <w:tc>
          <w:tcPr>
            <w:tcW w:w="4248" w:type="dxa"/>
            <w:vAlign w:val="bottom"/>
            <w:hideMark/>
          </w:tcPr>
          <w:p w14:paraId="1CACC247" w14:textId="77777777"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t xml:space="preserve">Prevalence of </w:t>
            </w:r>
            <w:proofErr w:type="spellStart"/>
            <w:r w:rsidRPr="009E40AF">
              <w:rPr>
                <w:rFonts w:eastAsia="Times New Roman" w:cstheme="minorHAnsi"/>
                <w:color w:val="000000"/>
                <w:sz w:val="20"/>
                <w:szCs w:val="20"/>
              </w:rPr>
              <w:t>CRSwNP</w:t>
            </w:r>
            <w:proofErr w:type="spellEnd"/>
          </w:p>
        </w:tc>
        <w:tc>
          <w:tcPr>
            <w:tcW w:w="2268" w:type="dxa"/>
            <w:noWrap/>
            <w:vAlign w:val="bottom"/>
            <w:hideMark/>
          </w:tcPr>
          <w:p w14:paraId="2AA5E115" w14:textId="77777777" w:rsidR="009E40AF" w:rsidRPr="009E40AF" w:rsidRDefault="009E40AF" w:rsidP="009E40AF">
            <w:pPr>
              <w:spacing w:after="0"/>
              <w:jc w:val="right"/>
              <w:rPr>
                <w:rFonts w:eastAsia="Times New Roman" w:cstheme="minorHAnsi"/>
                <w:color w:val="000000"/>
                <w:sz w:val="20"/>
                <w:szCs w:val="20"/>
              </w:rPr>
            </w:pPr>
            <w:r w:rsidRPr="009E40AF">
              <w:rPr>
                <w:rFonts w:eastAsia="Times New Roman" w:cstheme="minorHAnsi"/>
                <w:color w:val="000000"/>
                <w:sz w:val="20"/>
                <w:szCs w:val="20"/>
              </w:rPr>
              <w:t>3%</w:t>
            </w:r>
          </w:p>
        </w:tc>
        <w:tc>
          <w:tcPr>
            <w:tcW w:w="2268" w:type="dxa"/>
            <w:noWrap/>
            <w:vAlign w:val="bottom"/>
            <w:hideMark/>
          </w:tcPr>
          <w:p w14:paraId="38B89A74" w14:textId="77777777" w:rsidR="009E40AF" w:rsidRPr="009E40AF" w:rsidRDefault="009E40AF" w:rsidP="009E40AF">
            <w:pPr>
              <w:spacing w:after="0"/>
              <w:jc w:val="right"/>
              <w:rPr>
                <w:rFonts w:eastAsia="Times New Roman" w:cstheme="minorHAnsi"/>
                <w:color w:val="000000"/>
                <w:sz w:val="20"/>
                <w:szCs w:val="20"/>
              </w:rPr>
            </w:pPr>
            <w:r w:rsidRPr="009E40AF">
              <w:rPr>
                <w:rFonts w:eastAsia="Times New Roman" w:cstheme="minorHAnsi"/>
                <w:color w:val="000000"/>
                <w:sz w:val="20"/>
                <w:szCs w:val="20"/>
              </w:rPr>
              <w:t>0.51%</w:t>
            </w:r>
          </w:p>
        </w:tc>
      </w:tr>
      <w:tr w:rsidR="009E40AF" w:rsidRPr="009E40AF" w14:paraId="36FFE893" w14:textId="77777777" w:rsidTr="002A4441">
        <w:trPr>
          <w:trHeight w:val="276"/>
        </w:trPr>
        <w:tc>
          <w:tcPr>
            <w:tcW w:w="4248" w:type="dxa"/>
            <w:vAlign w:val="bottom"/>
            <w:hideMark/>
          </w:tcPr>
          <w:p w14:paraId="26AD54BC" w14:textId="5D5866DA"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t xml:space="preserve">Proportion with baseline </w:t>
            </w:r>
            <w:r w:rsidR="005C3932" w:rsidRPr="005C3932">
              <w:rPr>
                <w:rFonts w:eastAsia="Times New Roman" w:cstheme="minorHAnsi"/>
                <w:color w:val="000000"/>
                <w:sz w:val="20"/>
                <w:szCs w:val="20"/>
              </w:rPr>
              <w:t xml:space="preserve">blood eosinophil count </w:t>
            </w:r>
            <w:r w:rsidR="005C3932">
              <w:rPr>
                <w:rFonts w:eastAsia="Times New Roman" w:cstheme="minorHAnsi"/>
                <w:color w:val="000000"/>
                <w:sz w:val="20"/>
                <w:szCs w:val="20"/>
              </w:rPr>
              <w:t>(</w:t>
            </w:r>
            <w:r w:rsidRPr="009E40AF">
              <w:rPr>
                <w:rFonts w:eastAsia="Times New Roman" w:cstheme="minorHAnsi"/>
                <w:color w:val="000000"/>
                <w:sz w:val="20"/>
                <w:szCs w:val="20"/>
              </w:rPr>
              <w:t>BEC</w:t>
            </w:r>
            <w:r w:rsidR="005C3932">
              <w:rPr>
                <w:rFonts w:eastAsia="Times New Roman" w:cstheme="minorHAnsi"/>
                <w:color w:val="000000"/>
                <w:sz w:val="20"/>
                <w:szCs w:val="20"/>
              </w:rPr>
              <w:t>)</w:t>
            </w:r>
          </w:p>
        </w:tc>
        <w:tc>
          <w:tcPr>
            <w:tcW w:w="2268" w:type="dxa"/>
            <w:noWrap/>
            <w:vAlign w:val="bottom"/>
            <w:hideMark/>
          </w:tcPr>
          <w:p w14:paraId="62986DE3" w14:textId="77777777"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t>91% (baseline BEC ≥150 cells/µL)</w:t>
            </w:r>
          </w:p>
        </w:tc>
        <w:tc>
          <w:tcPr>
            <w:tcW w:w="2268" w:type="dxa"/>
            <w:noWrap/>
            <w:vAlign w:val="bottom"/>
            <w:hideMark/>
          </w:tcPr>
          <w:p w14:paraId="0CBC8325" w14:textId="77777777"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t>68.3% (baseline BEC ≥300 cells/µL)</w:t>
            </w:r>
          </w:p>
        </w:tc>
      </w:tr>
      <w:tr w:rsidR="009E40AF" w:rsidRPr="009E40AF" w14:paraId="2394FB6F" w14:textId="77777777" w:rsidTr="002A4441">
        <w:trPr>
          <w:trHeight w:val="276"/>
        </w:trPr>
        <w:tc>
          <w:tcPr>
            <w:tcW w:w="4248" w:type="dxa"/>
            <w:vAlign w:val="bottom"/>
            <w:hideMark/>
          </w:tcPr>
          <w:p w14:paraId="128A29D8" w14:textId="77777777"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t xml:space="preserve">Proportion who </w:t>
            </w:r>
            <w:proofErr w:type="gramStart"/>
            <w:r w:rsidRPr="009E40AF">
              <w:rPr>
                <w:rFonts w:eastAsia="Times New Roman" w:cstheme="minorHAnsi"/>
                <w:color w:val="000000"/>
                <w:sz w:val="20"/>
                <w:szCs w:val="20"/>
              </w:rPr>
              <w:t>see</w:t>
            </w:r>
            <w:proofErr w:type="gramEnd"/>
            <w:r w:rsidRPr="009E40AF">
              <w:rPr>
                <w:rFonts w:eastAsia="Times New Roman" w:cstheme="minorHAnsi"/>
                <w:color w:val="000000"/>
                <w:sz w:val="20"/>
                <w:szCs w:val="20"/>
              </w:rPr>
              <w:t xml:space="preserve"> a specialist</w:t>
            </w:r>
          </w:p>
        </w:tc>
        <w:tc>
          <w:tcPr>
            <w:tcW w:w="2268" w:type="dxa"/>
            <w:noWrap/>
            <w:vAlign w:val="bottom"/>
            <w:hideMark/>
          </w:tcPr>
          <w:p w14:paraId="59740029" w14:textId="77777777" w:rsidR="009E40AF" w:rsidRPr="009E40AF" w:rsidRDefault="009E40AF" w:rsidP="009E40AF">
            <w:pPr>
              <w:spacing w:after="0"/>
              <w:jc w:val="right"/>
              <w:rPr>
                <w:rFonts w:eastAsia="Times New Roman" w:cstheme="minorHAnsi"/>
                <w:color w:val="000000"/>
                <w:sz w:val="20"/>
                <w:szCs w:val="20"/>
              </w:rPr>
            </w:pPr>
            <w:r w:rsidRPr="009E40AF">
              <w:rPr>
                <w:rFonts w:eastAsia="Times New Roman" w:cstheme="minorHAnsi"/>
                <w:color w:val="000000"/>
                <w:sz w:val="20"/>
                <w:szCs w:val="20"/>
              </w:rPr>
              <w:t>35%</w:t>
            </w:r>
          </w:p>
        </w:tc>
        <w:tc>
          <w:tcPr>
            <w:tcW w:w="2268" w:type="dxa"/>
            <w:noWrap/>
            <w:vAlign w:val="bottom"/>
            <w:hideMark/>
          </w:tcPr>
          <w:p w14:paraId="523703AE" w14:textId="77777777" w:rsidR="009E40AF" w:rsidRPr="009E40AF" w:rsidRDefault="009E40AF" w:rsidP="009E40AF">
            <w:pPr>
              <w:spacing w:after="0"/>
              <w:jc w:val="right"/>
              <w:rPr>
                <w:rFonts w:eastAsia="Times New Roman" w:cstheme="minorHAnsi"/>
                <w:color w:val="000000"/>
                <w:sz w:val="20"/>
                <w:szCs w:val="20"/>
              </w:rPr>
            </w:pPr>
          </w:p>
        </w:tc>
      </w:tr>
      <w:tr w:rsidR="009E40AF" w:rsidRPr="009E40AF" w14:paraId="677D18E0" w14:textId="77777777" w:rsidTr="002A4441">
        <w:trPr>
          <w:trHeight w:val="278"/>
        </w:trPr>
        <w:tc>
          <w:tcPr>
            <w:tcW w:w="4248" w:type="dxa"/>
            <w:vAlign w:val="bottom"/>
            <w:hideMark/>
          </w:tcPr>
          <w:p w14:paraId="257EA745" w14:textId="77777777"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t>Proportion requiring (first) NP surgery</w:t>
            </w:r>
          </w:p>
        </w:tc>
        <w:tc>
          <w:tcPr>
            <w:tcW w:w="2268" w:type="dxa"/>
            <w:noWrap/>
            <w:vAlign w:val="bottom"/>
            <w:hideMark/>
          </w:tcPr>
          <w:p w14:paraId="06E3C2A9" w14:textId="77777777" w:rsidR="009E40AF" w:rsidRPr="009E40AF" w:rsidRDefault="009E40AF" w:rsidP="009E40AF">
            <w:pPr>
              <w:spacing w:after="0"/>
              <w:jc w:val="right"/>
              <w:rPr>
                <w:rFonts w:eastAsia="Times New Roman" w:cstheme="minorHAnsi"/>
                <w:color w:val="000000"/>
                <w:sz w:val="20"/>
                <w:szCs w:val="20"/>
              </w:rPr>
            </w:pPr>
            <w:r w:rsidRPr="009E40AF">
              <w:rPr>
                <w:rFonts w:eastAsia="Times New Roman" w:cstheme="minorHAnsi"/>
                <w:color w:val="000000"/>
                <w:sz w:val="20"/>
                <w:szCs w:val="20"/>
              </w:rPr>
              <w:t>61%</w:t>
            </w:r>
          </w:p>
        </w:tc>
        <w:tc>
          <w:tcPr>
            <w:tcW w:w="2268" w:type="dxa"/>
            <w:noWrap/>
            <w:vAlign w:val="bottom"/>
            <w:hideMark/>
          </w:tcPr>
          <w:p w14:paraId="6AAF7089" w14:textId="77777777" w:rsidR="009E40AF" w:rsidRPr="009E40AF" w:rsidRDefault="009E40AF" w:rsidP="009E40AF">
            <w:pPr>
              <w:spacing w:after="0"/>
              <w:jc w:val="right"/>
              <w:rPr>
                <w:rFonts w:eastAsia="Times New Roman" w:cstheme="minorHAnsi"/>
                <w:color w:val="000000"/>
                <w:sz w:val="20"/>
                <w:szCs w:val="20"/>
              </w:rPr>
            </w:pPr>
            <w:r w:rsidRPr="009E40AF">
              <w:rPr>
                <w:rFonts w:eastAsia="Times New Roman" w:cstheme="minorHAnsi"/>
                <w:color w:val="000000"/>
                <w:sz w:val="20"/>
                <w:szCs w:val="20"/>
              </w:rPr>
              <w:t>47%</w:t>
            </w:r>
          </w:p>
        </w:tc>
      </w:tr>
      <w:tr w:rsidR="009E40AF" w:rsidRPr="009E40AF" w14:paraId="13F70DDA" w14:textId="77777777" w:rsidTr="002A4441">
        <w:trPr>
          <w:trHeight w:val="276"/>
        </w:trPr>
        <w:tc>
          <w:tcPr>
            <w:tcW w:w="4248" w:type="dxa"/>
            <w:vAlign w:val="bottom"/>
            <w:hideMark/>
          </w:tcPr>
          <w:p w14:paraId="453032CD" w14:textId="77777777"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t>Proportion suitable for surgery</w:t>
            </w:r>
          </w:p>
        </w:tc>
        <w:tc>
          <w:tcPr>
            <w:tcW w:w="2268" w:type="dxa"/>
            <w:noWrap/>
            <w:vAlign w:val="bottom"/>
            <w:hideMark/>
          </w:tcPr>
          <w:p w14:paraId="6519ABC0" w14:textId="77777777" w:rsidR="009E40AF" w:rsidRPr="009E40AF" w:rsidRDefault="009E40AF" w:rsidP="009E40AF">
            <w:pPr>
              <w:spacing w:after="0"/>
              <w:jc w:val="right"/>
              <w:rPr>
                <w:rFonts w:eastAsia="Times New Roman" w:cstheme="minorHAnsi"/>
                <w:color w:val="000000"/>
                <w:sz w:val="20"/>
                <w:szCs w:val="20"/>
              </w:rPr>
            </w:pPr>
            <w:r w:rsidRPr="009E40AF">
              <w:rPr>
                <w:rFonts w:eastAsia="Times New Roman" w:cstheme="minorHAnsi"/>
                <w:color w:val="000000"/>
                <w:sz w:val="20"/>
                <w:szCs w:val="20"/>
              </w:rPr>
              <w:t>93%</w:t>
            </w:r>
          </w:p>
        </w:tc>
        <w:tc>
          <w:tcPr>
            <w:tcW w:w="2268" w:type="dxa"/>
            <w:vAlign w:val="bottom"/>
            <w:hideMark/>
          </w:tcPr>
          <w:p w14:paraId="24DED751" w14:textId="77777777" w:rsidR="009E40AF" w:rsidRPr="009E40AF" w:rsidRDefault="009E40AF" w:rsidP="009E40AF">
            <w:pPr>
              <w:spacing w:after="0"/>
              <w:jc w:val="right"/>
              <w:rPr>
                <w:rFonts w:eastAsia="Times New Roman" w:cstheme="minorHAnsi"/>
                <w:color w:val="000000"/>
                <w:sz w:val="20"/>
                <w:szCs w:val="20"/>
              </w:rPr>
            </w:pPr>
            <w:r w:rsidRPr="009E40AF">
              <w:rPr>
                <w:rFonts w:eastAsia="Times New Roman" w:cstheme="minorHAnsi"/>
                <w:color w:val="000000"/>
                <w:sz w:val="20"/>
                <w:szCs w:val="20"/>
              </w:rPr>
              <w:t>93%</w:t>
            </w:r>
          </w:p>
        </w:tc>
      </w:tr>
      <w:tr w:rsidR="009E40AF" w:rsidRPr="009E40AF" w14:paraId="48FD89FF" w14:textId="77777777" w:rsidTr="002A4441">
        <w:trPr>
          <w:trHeight w:val="552"/>
        </w:trPr>
        <w:tc>
          <w:tcPr>
            <w:tcW w:w="4248" w:type="dxa"/>
            <w:vAlign w:val="bottom"/>
            <w:hideMark/>
          </w:tcPr>
          <w:p w14:paraId="07DB2C5B" w14:textId="77777777"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t>Proportion who experiences NP regrowth post-surgical removal</w:t>
            </w:r>
          </w:p>
        </w:tc>
        <w:tc>
          <w:tcPr>
            <w:tcW w:w="2268" w:type="dxa"/>
            <w:noWrap/>
            <w:vAlign w:val="bottom"/>
            <w:hideMark/>
          </w:tcPr>
          <w:p w14:paraId="7E414F75" w14:textId="77777777" w:rsidR="009E40AF" w:rsidRPr="009E40AF" w:rsidRDefault="009E40AF" w:rsidP="009E40AF">
            <w:pPr>
              <w:spacing w:after="0"/>
              <w:jc w:val="right"/>
              <w:rPr>
                <w:rFonts w:eastAsia="Times New Roman" w:cstheme="minorHAnsi"/>
                <w:color w:val="000000"/>
                <w:sz w:val="20"/>
                <w:szCs w:val="20"/>
              </w:rPr>
            </w:pPr>
            <w:r w:rsidRPr="009E40AF">
              <w:rPr>
                <w:rFonts w:eastAsia="Times New Roman" w:cstheme="minorHAnsi"/>
                <w:color w:val="000000"/>
                <w:sz w:val="20"/>
                <w:szCs w:val="20"/>
              </w:rPr>
              <w:t>61%</w:t>
            </w:r>
          </w:p>
        </w:tc>
        <w:tc>
          <w:tcPr>
            <w:tcW w:w="2268" w:type="dxa"/>
            <w:noWrap/>
            <w:vAlign w:val="bottom"/>
            <w:hideMark/>
          </w:tcPr>
          <w:p w14:paraId="2A9248BF" w14:textId="77777777" w:rsidR="009E40AF" w:rsidRPr="009E40AF" w:rsidRDefault="009E40AF" w:rsidP="009E40AF">
            <w:pPr>
              <w:spacing w:after="0"/>
              <w:jc w:val="right"/>
              <w:rPr>
                <w:rFonts w:eastAsia="Times New Roman" w:cstheme="minorHAnsi"/>
                <w:color w:val="000000"/>
                <w:sz w:val="20"/>
                <w:szCs w:val="20"/>
              </w:rPr>
            </w:pPr>
            <w:r w:rsidRPr="009E40AF">
              <w:rPr>
                <w:rFonts w:eastAsia="Times New Roman" w:cstheme="minorHAnsi"/>
                <w:color w:val="000000"/>
                <w:sz w:val="20"/>
                <w:szCs w:val="20"/>
              </w:rPr>
              <w:t>21%</w:t>
            </w:r>
          </w:p>
        </w:tc>
      </w:tr>
      <w:tr w:rsidR="009E40AF" w:rsidRPr="009E40AF" w14:paraId="70BE78A8" w14:textId="77777777" w:rsidTr="002A4441">
        <w:trPr>
          <w:trHeight w:val="552"/>
        </w:trPr>
        <w:tc>
          <w:tcPr>
            <w:tcW w:w="4248" w:type="dxa"/>
            <w:vAlign w:val="bottom"/>
            <w:hideMark/>
          </w:tcPr>
          <w:p w14:paraId="41A3E7D5" w14:textId="77777777"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t>Proportion with prior surgery who have a high level of symptoms</w:t>
            </w:r>
          </w:p>
        </w:tc>
        <w:tc>
          <w:tcPr>
            <w:tcW w:w="2268" w:type="dxa"/>
            <w:noWrap/>
            <w:vAlign w:val="bottom"/>
            <w:hideMark/>
          </w:tcPr>
          <w:p w14:paraId="4801BB4F" w14:textId="77777777" w:rsidR="009E40AF" w:rsidRPr="009E40AF" w:rsidRDefault="009E40AF" w:rsidP="009E40AF">
            <w:pPr>
              <w:spacing w:after="0"/>
              <w:jc w:val="right"/>
              <w:rPr>
                <w:rFonts w:eastAsia="Times New Roman" w:cstheme="minorHAnsi"/>
                <w:color w:val="000000"/>
                <w:sz w:val="20"/>
                <w:szCs w:val="20"/>
              </w:rPr>
            </w:pPr>
            <w:r w:rsidRPr="009E40AF">
              <w:rPr>
                <w:rFonts w:eastAsia="Times New Roman" w:cstheme="minorHAnsi"/>
                <w:color w:val="000000"/>
                <w:sz w:val="20"/>
                <w:szCs w:val="20"/>
              </w:rPr>
              <w:t>45%</w:t>
            </w:r>
          </w:p>
        </w:tc>
        <w:tc>
          <w:tcPr>
            <w:tcW w:w="2268" w:type="dxa"/>
            <w:noWrap/>
            <w:vAlign w:val="bottom"/>
            <w:hideMark/>
          </w:tcPr>
          <w:p w14:paraId="057B92E1" w14:textId="77777777"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t>-</w:t>
            </w:r>
          </w:p>
        </w:tc>
      </w:tr>
      <w:tr w:rsidR="009E40AF" w:rsidRPr="009E40AF" w14:paraId="6841D492" w14:textId="77777777" w:rsidTr="002A4441">
        <w:trPr>
          <w:trHeight w:val="803"/>
        </w:trPr>
        <w:tc>
          <w:tcPr>
            <w:tcW w:w="4248" w:type="dxa"/>
            <w:vAlign w:val="bottom"/>
            <w:hideMark/>
          </w:tcPr>
          <w:p w14:paraId="5627CAB4" w14:textId="77777777"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lastRenderedPageBreak/>
              <w:t xml:space="preserve">Proportion of </w:t>
            </w:r>
            <w:proofErr w:type="spellStart"/>
            <w:r w:rsidRPr="009E40AF">
              <w:rPr>
                <w:rFonts w:eastAsia="Times New Roman" w:cstheme="minorHAnsi"/>
                <w:color w:val="000000"/>
                <w:sz w:val="20"/>
                <w:szCs w:val="20"/>
              </w:rPr>
              <w:t>CRSwNP</w:t>
            </w:r>
            <w:proofErr w:type="spellEnd"/>
            <w:r w:rsidRPr="009E40AF">
              <w:rPr>
                <w:rFonts w:eastAsia="Times New Roman" w:cstheme="minorHAnsi"/>
                <w:color w:val="000000"/>
                <w:sz w:val="20"/>
                <w:szCs w:val="20"/>
              </w:rPr>
              <w:t xml:space="preserve"> patients who are already prescribed another PBS-listed biologic for severe asthma </w:t>
            </w:r>
          </w:p>
        </w:tc>
        <w:tc>
          <w:tcPr>
            <w:tcW w:w="2268" w:type="dxa"/>
            <w:noWrap/>
            <w:vAlign w:val="bottom"/>
            <w:hideMark/>
          </w:tcPr>
          <w:p w14:paraId="4F983707" w14:textId="77777777" w:rsidR="009E40AF" w:rsidRPr="009E40AF" w:rsidRDefault="009E40AF" w:rsidP="009E40AF">
            <w:pPr>
              <w:spacing w:after="0"/>
              <w:rPr>
                <w:rFonts w:eastAsia="Times New Roman" w:cstheme="minorHAnsi"/>
                <w:color w:val="000000"/>
                <w:sz w:val="20"/>
                <w:szCs w:val="20"/>
              </w:rPr>
            </w:pPr>
          </w:p>
        </w:tc>
        <w:tc>
          <w:tcPr>
            <w:tcW w:w="2268" w:type="dxa"/>
            <w:noWrap/>
            <w:vAlign w:val="bottom"/>
            <w:hideMark/>
          </w:tcPr>
          <w:p w14:paraId="1D83E701" w14:textId="77777777" w:rsidR="009E40AF" w:rsidRPr="009E40AF" w:rsidRDefault="009E40AF" w:rsidP="009E40AF">
            <w:pPr>
              <w:spacing w:after="0"/>
              <w:jc w:val="right"/>
              <w:rPr>
                <w:rFonts w:eastAsia="Times New Roman" w:cstheme="minorHAnsi"/>
                <w:color w:val="000000"/>
                <w:sz w:val="20"/>
                <w:szCs w:val="20"/>
              </w:rPr>
            </w:pPr>
            <w:r w:rsidRPr="009E40AF">
              <w:rPr>
                <w:rFonts w:eastAsia="Times New Roman" w:cstheme="minorHAnsi"/>
                <w:color w:val="000000"/>
                <w:sz w:val="20"/>
                <w:szCs w:val="20"/>
              </w:rPr>
              <w:t>10.78%</w:t>
            </w:r>
          </w:p>
        </w:tc>
      </w:tr>
      <w:tr w:rsidR="009E40AF" w:rsidRPr="009E40AF" w14:paraId="52892EB7" w14:textId="77777777" w:rsidTr="002A4441">
        <w:trPr>
          <w:trHeight w:val="276"/>
        </w:trPr>
        <w:tc>
          <w:tcPr>
            <w:tcW w:w="4248" w:type="dxa"/>
            <w:vAlign w:val="bottom"/>
            <w:hideMark/>
          </w:tcPr>
          <w:p w14:paraId="4084E29F" w14:textId="77777777"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t>Grandfathered patients</w:t>
            </w:r>
          </w:p>
        </w:tc>
        <w:tc>
          <w:tcPr>
            <w:tcW w:w="2268" w:type="dxa"/>
            <w:noWrap/>
            <w:vAlign w:val="bottom"/>
            <w:hideMark/>
          </w:tcPr>
          <w:p w14:paraId="44F6B1B9" w14:textId="77777777"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t>90 additional patients per year</w:t>
            </w:r>
          </w:p>
        </w:tc>
        <w:tc>
          <w:tcPr>
            <w:tcW w:w="2268" w:type="dxa"/>
            <w:noWrap/>
            <w:vAlign w:val="bottom"/>
            <w:hideMark/>
          </w:tcPr>
          <w:p w14:paraId="470CD661" w14:textId="77777777"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t>Included in the calculation of the prevalent population</w:t>
            </w:r>
          </w:p>
        </w:tc>
      </w:tr>
      <w:tr w:rsidR="009E40AF" w:rsidRPr="009E40AF" w14:paraId="7EE05DDF" w14:textId="77777777" w:rsidTr="002A4441">
        <w:trPr>
          <w:trHeight w:val="276"/>
        </w:trPr>
        <w:tc>
          <w:tcPr>
            <w:tcW w:w="4248" w:type="dxa"/>
            <w:vAlign w:val="bottom"/>
            <w:hideMark/>
          </w:tcPr>
          <w:p w14:paraId="712C3F61" w14:textId="77777777"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t>Uptake rate for initial patients</w:t>
            </w:r>
          </w:p>
        </w:tc>
        <w:tc>
          <w:tcPr>
            <w:tcW w:w="2268" w:type="dxa"/>
            <w:noWrap/>
            <w:vAlign w:val="bottom"/>
            <w:hideMark/>
          </w:tcPr>
          <w:p w14:paraId="49886F96" w14:textId="08B28780" w:rsidR="009E40AF" w:rsidRPr="009E40AF" w:rsidRDefault="009E40AF" w:rsidP="009E40AF">
            <w:pPr>
              <w:spacing w:after="0"/>
              <w:rPr>
                <w:rFonts w:eastAsia="Times New Roman" w:cstheme="minorHAnsi"/>
                <w:color w:val="000000"/>
                <w:sz w:val="20"/>
                <w:szCs w:val="20"/>
              </w:rPr>
            </w:pPr>
            <w:r>
              <w:rPr>
                <w:rFonts w:eastAsia="Times New Roman" w:cstheme="minorHAnsi"/>
                <w:color w:val="000000"/>
                <w:sz w:val="20"/>
                <w:szCs w:val="20"/>
              </w:rPr>
              <w:t xml:space="preserve">Year 1: </w:t>
            </w:r>
            <w:r w:rsidRPr="009E40AF">
              <w:rPr>
                <w:rFonts w:eastAsia="Times New Roman" w:cstheme="minorHAnsi"/>
                <w:color w:val="000000"/>
                <w:sz w:val="20"/>
                <w:szCs w:val="20"/>
              </w:rPr>
              <w:t xml:space="preserve">5% to </w:t>
            </w:r>
            <w:r>
              <w:rPr>
                <w:rFonts w:eastAsia="Times New Roman" w:cstheme="minorHAnsi"/>
                <w:color w:val="000000"/>
                <w:sz w:val="20"/>
                <w:szCs w:val="20"/>
              </w:rPr>
              <w:br/>
            </w:r>
            <w:r w:rsidRPr="009E40AF">
              <w:rPr>
                <w:rFonts w:eastAsia="Times New Roman" w:cstheme="minorHAnsi"/>
                <w:color w:val="000000"/>
                <w:sz w:val="20"/>
                <w:szCs w:val="20"/>
              </w:rPr>
              <w:t>Year 6</w:t>
            </w:r>
            <w:r>
              <w:rPr>
                <w:rFonts w:eastAsia="Times New Roman" w:cstheme="minorHAnsi"/>
                <w:color w:val="000000"/>
                <w:sz w:val="20"/>
                <w:szCs w:val="20"/>
              </w:rPr>
              <w:t xml:space="preserve">: </w:t>
            </w:r>
            <w:r w:rsidRPr="009E40AF">
              <w:rPr>
                <w:rFonts w:eastAsia="Times New Roman" w:cstheme="minorHAnsi"/>
                <w:color w:val="000000"/>
                <w:sz w:val="20"/>
                <w:szCs w:val="20"/>
              </w:rPr>
              <w:t xml:space="preserve">3.5% </w:t>
            </w:r>
          </w:p>
        </w:tc>
        <w:tc>
          <w:tcPr>
            <w:tcW w:w="2268" w:type="dxa"/>
            <w:noWrap/>
            <w:vAlign w:val="bottom"/>
            <w:hideMark/>
          </w:tcPr>
          <w:p w14:paraId="122DB75E" w14:textId="4D6CE72D" w:rsidR="009E40AF" w:rsidRPr="00613672" w:rsidRDefault="009E40AF" w:rsidP="009E40AF">
            <w:pPr>
              <w:spacing w:after="0"/>
              <w:rPr>
                <w:rFonts w:eastAsia="Times New Roman" w:cstheme="minorHAnsi"/>
                <w:color w:val="000000"/>
                <w:sz w:val="20"/>
                <w:szCs w:val="20"/>
                <w:vertAlign w:val="superscript"/>
              </w:rPr>
            </w:pPr>
            <w:r w:rsidRPr="009E40AF">
              <w:rPr>
                <w:rFonts w:eastAsia="Times New Roman" w:cstheme="minorHAnsi"/>
                <w:color w:val="000000"/>
                <w:sz w:val="20"/>
                <w:szCs w:val="20"/>
              </w:rPr>
              <w:t xml:space="preserve">Year 1: 48% to </w:t>
            </w:r>
            <w:r>
              <w:rPr>
                <w:rFonts w:eastAsia="Times New Roman" w:cstheme="minorHAnsi"/>
                <w:color w:val="000000"/>
                <w:sz w:val="20"/>
                <w:szCs w:val="20"/>
              </w:rPr>
              <w:br/>
            </w:r>
            <w:r w:rsidRPr="009E40AF">
              <w:rPr>
                <w:rFonts w:eastAsia="Times New Roman" w:cstheme="minorHAnsi"/>
                <w:color w:val="000000"/>
                <w:sz w:val="20"/>
                <w:szCs w:val="20"/>
              </w:rPr>
              <w:t>Year 6: 68%</w:t>
            </w:r>
            <w:r w:rsidR="004925CE">
              <w:rPr>
                <w:rFonts w:eastAsia="Times New Roman" w:cstheme="minorHAnsi"/>
                <w:color w:val="000000"/>
                <w:sz w:val="20"/>
                <w:szCs w:val="20"/>
                <w:vertAlign w:val="superscript"/>
              </w:rPr>
              <w:t>a</w:t>
            </w:r>
          </w:p>
        </w:tc>
      </w:tr>
      <w:tr w:rsidR="009E40AF" w:rsidRPr="009E40AF" w14:paraId="7D0AAE0F" w14:textId="77777777" w:rsidTr="002A4441">
        <w:trPr>
          <w:trHeight w:val="276"/>
        </w:trPr>
        <w:tc>
          <w:tcPr>
            <w:tcW w:w="4248" w:type="dxa"/>
            <w:vAlign w:val="bottom"/>
            <w:hideMark/>
          </w:tcPr>
          <w:p w14:paraId="007E3438" w14:textId="77777777"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t xml:space="preserve">Uptake rate for continuing patients </w:t>
            </w:r>
          </w:p>
        </w:tc>
        <w:tc>
          <w:tcPr>
            <w:tcW w:w="2268" w:type="dxa"/>
            <w:noWrap/>
            <w:vAlign w:val="bottom"/>
            <w:hideMark/>
          </w:tcPr>
          <w:p w14:paraId="04A5F3BB" w14:textId="04C06FFA"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t>Year 1</w:t>
            </w:r>
            <w:r>
              <w:rPr>
                <w:rFonts w:eastAsia="Times New Roman" w:cstheme="minorHAnsi"/>
                <w:color w:val="000000"/>
                <w:sz w:val="20"/>
                <w:szCs w:val="20"/>
              </w:rPr>
              <w:t>:</w:t>
            </w:r>
            <w:r w:rsidRPr="009E40AF">
              <w:rPr>
                <w:rFonts w:eastAsia="Times New Roman" w:cstheme="minorHAnsi"/>
                <w:color w:val="000000"/>
                <w:sz w:val="20"/>
                <w:szCs w:val="20"/>
              </w:rPr>
              <w:t xml:space="preserve"> 3.5% to </w:t>
            </w:r>
            <w:r>
              <w:rPr>
                <w:rFonts w:eastAsia="Times New Roman" w:cstheme="minorHAnsi"/>
                <w:color w:val="000000"/>
                <w:sz w:val="20"/>
                <w:szCs w:val="20"/>
              </w:rPr>
              <w:br/>
            </w:r>
            <w:r w:rsidRPr="009E40AF">
              <w:rPr>
                <w:rFonts w:eastAsia="Times New Roman" w:cstheme="minorHAnsi"/>
                <w:color w:val="000000"/>
                <w:sz w:val="20"/>
                <w:szCs w:val="20"/>
              </w:rPr>
              <w:t>Year 6</w:t>
            </w:r>
            <w:r>
              <w:rPr>
                <w:rFonts w:eastAsia="Times New Roman" w:cstheme="minorHAnsi"/>
                <w:color w:val="000000"/>
                <w:sz w:val="20"/>
                <w:szCs w:val="20"/>
              </w:rPr>
              <w:t xml:space="preserve">: </w:t>
            </w:r>
            <w:r w:rsidRPr="009E40AF">
              <w:rPr>
                <w:rFonts w:eastAsia="Times New Roman" w:cstheme="minorHAnsi"/>
                <w:color w:val="000000"/>
                <w:sz w:val="20"/>
                <w:szCs w:val="20"/>
              </w:rPr>
              <w:t xml:space="preserve">2.45% </w:t>
            </w:r>
          </w:p>
        </w:tc>
        <w:tc>
          <w:tcPr>
            <w:tcW w:w="2268" w:type="dxa"/>
            <w:noWrap/>
            <w:vAlign w:val="bottom"/>
            <w:hideMark/>
          </w:tcPr>
          <w:p w14:paraId="6D8406ED" w14:textId="120C8113" w:rsidR="009E40AF" w:rsidRPr="009E40AF" w:rsidRDefault="009E40AF" w:rsidP="009E40AF">
            <w:pPr>
              <w:spacing w:after="0"/>
              <w:rPr>
                <w:rFonts w:eastAsia="Times New Roman" w:cstheme="minorHAnsi"/>
                <w:color w:val="000000"/>
                <w:sz w:val="20"/>
                <w:szCs w:val="20"/>
              </w:rPr>
            </w:pPr>
            <w:r w:rsidRPr="009E40AF">
              <w:rPr>
                <w:rFonts w:eastAsia="Times New Roman" w:cstheme="minorHAnsi"/>
                <w:color w:val="000000"/>
                <w:sz w:val="20"/>
                <w:szCs w:val="20"/>
              </w:rPr>
              <w:t xml:space="preserve">Year 1: 34.85% to </w:t>
            </w:r>
            <w:r>
              <w:rPr>
                <w:rFonts w:eastAsia="Times New Roman" w:cstheme="minorHAnsi"/>
                <w:color w:val="000000"/>
                <w:sz w:val="20"/>
                <w:szCs w:val="20"/>
              </w:rPr>
              <w:br/>
            </w:r>
            <w:r w:rsidRPr="009E40AF">
              <w:rPr>
                <w:rFonts w:eastAsia="Times New Roman" w:cstheme="minorHAnsi"/>
                <w:color w:val="000000"/>
                <w:sz w:val="20"/>
                <w:szCs w:val="20"/>
              </w:rPr>
              <w:t>Year 6: 49.37%</w:t>
            </w:r>
          </w:p>
        </w:tc>
      </w:tr>
    </w:tbl>
    <w:p w14:paraId="634D9C78" w14:textId="0DD88DC8" w:rsidR="004716B5" w:rsidRDefault="009E40AF" w:rsidP="009E40AF">
      <w:pPr>
        <w:pStyle w:val="Notes"/>
      </w:pPr>
      <w:r>
        <w:t xml:space="preserve">Source: </w:t>
      </w:r>
      <w:r w:rsidR="002A4441">
        <w:t xml:space="preserve">Table 16, </w:t>
      </w:r>
      <w:r w:rsidR="002A4441" w:rsidRPr="002A4441">
        <w:t>mepolizumab PSD, November 2021 PBAC meeting</w:t>
      </w:r>
      <w:r w:rsidR="002A4441">
        <w:t xml:space="preserve">; Table 17, </w:t>
      </w:r>
      <w:r w:rsidR="002A4441" w:rsidRPr="002A4441">
        <w:t>mepolizumab PSD, November 202</w:t>
      </w:r>
      <w:r w:rsidR="002A4441">
        <w:t>2</w:t>
      </w:r>
      <w:r w:rsidR="002A4441" w:rsidRPr="002A4441">
        <w:t xml:space="preserve"> PBAC meeting</w:t>
      </w:r>
      <w:r w:rsidR="004925CE">
        <w:br/>
        <w:t>a: T</w:t>
      </w:r>
      <w:r w:rsidR="004925CE" w:rsidRPr="004925CE">
        <w:t>he PBAC advised that the financial estimates be revised to include a 48% uptake rate applied across Year 1 to Year 6</w:t>
      </w:r>
    </w:p>
    <w:p w14:paraId="0312FFEC" w14:textId="5C6A9662" w:rsidR="00E677DD" w:rsidRPr="005E22C2" w:rsidRDefault="00E677DD" w:rsidP="00CF5E22">
      <w:pPr>
        <w:pStyle w:val="Heading1"/>
      </w:pPr>
      <w:r w:rsidRPr="005E22C2">
        <w:t>Method</w:t>
      </w:r>
      <w:r w:rsidR="001B5D37" w:rsidRPr="005E22C2">
        <w:t>s</w:t>
      </w:r>
    </w:p>
    <w:p w14:paraId="6D8C9BF9" w14:textId="2F4E2A2F" w:rsidR="006804E0" w:rsidRDefault="006804E0" w:rsidP="00524D13">
      <w:r w:rsidRPr="006804E0">
        <w:t>Data extracted from the PBS claims database maintained by the Department of Health</w:t>
      </w:r>
      <w:r w:rsidR="008179E7">
        <w:t xml:space="preserve">, </w:t>
      </w:r>
      <w:r w:rsidR="00667A58">
        <w:t xml:space="preserve">Disability and </w:t>
      </w:r>
      <w:r w:rsidR="008179E7">
        <w:t xml:space="preserve">Ageing </w:t>
      </w:r>
      <w:r w:rsidRPr="006804E0">
        <w:t xml:space="preserve">and processed by Services Australia were used for the analyses. Prescription data were extracted from </w:t>
      </w:r>
      <w:r w:rsidR="00E802C9">
        <w:t>1 April 2023</w:t>
      </w:r>
      <w:r w:rsidRPr="006804E0">
        <w:t xml:space="preserve"> up to and including </w:t>
      </w:r>
      <w:r w:rsidR="00E802C9">
        <w:t>30 September 2025</w:t>
      </w:r>
      <w:r w:rsidRPr="006804E0">
        <w:t xml:space="preserve">. </w:t>
      </w:r>
      <w:r w:rsidR="00E802C9">
        <w:t>Authority approvals data were extracted from 1 April 2021</w:t>
      </w:r>
      <w:r w:rsidR="00E802C9" w:rsidRPr="006804E0">
        <w:t xml:space="preserve"> up to and including </w:t>
      </w:r>
      <w:r w:rsidR="00E802C9">
        <w:t xml:space="preserve">30 September 2025. Data were extracted on </w:t>
      </w:r>
      <w:r w:rsidR="00721DF5">
        <w:t>2 December 2025.</w:t>
      </w:r>
    </w:p>
    <w:p w14:paraId="35C63942" w14:textId="77777777" w:rsidR="003607BE" w:rsidRDefault="003607BE" w:rsidP="003607BE">
      <w:r w:rsidRPr="006804E0">
        <w:t>As this analysis uses date of supply prescription data, there may be small differences compared with publicly available Services Australia Medicare date of processing data.</w:t>
      </w:r>
      <w:r>
        <w:rPr>
          <w:rStyle w:val="FootnoteReference"/>
        </w:rPr>
        <w:footnoteReference w:id="5"/>
      </w:r>
      <w:r>
        <w:t xml:space="preserve"> </w:t>
      </w:r>
    </w:p>
    <w:p w14:paraId="6C08912D" w14:textId="5D8F5CE2" w:rsidR="003607BE" w:rsidRDefault="003607BE" w:rsidP="00524D13">
      <w:r>
        <w:t xml:space="preserve">Data of the number of </w:t>
      </w:r>
      <w:r w:rsidR="00A020E2">
        <w:t xml:space="preserve">services for the item numbers </w:t>
      </w:r>
      <w:r w:rsidR="00A020E2" w:rsidRPr="002242A2">
        <w:t>41662</w:t>
      </w:r>
      <w:r w:rsidR="00A020E2">
        <w:t xml:space="preserve">, </w:t>
      </w:r>
      <w:r w:rsidR="00A020E2" w:rsidRPr="002242A2">
        <w:t>41668</w:t>
      </w:r>
      <w:r w:rsidR="00A020E2">
        <w:t xml:space="preserve">, </w:t>
      </w:r>
      <w:r w:rsidR="00A020E2" w:rsidRPr="002242A2">
        <w:t>41702</w:t>
      </w:r>
      <w:r w:rsidR="00A020E2">
        <w:t xml:space="preserve">, </w:t>
      </w:r>
      <w:r w:rsidR="00A020E2" w:rsidRPr="002242A2">
        <w:t>41703</w:t>
      </w:r>
      <w:r w:rsidR="00A020E2">
        <w:t xml:space="preserve">, </w:t>
      </w:r>
      <w:r w:rsidR="00A020E2" w:rsidRPr="002242A2">
        <w:t>41705</w:t>
      </w:r>
      <w:r w:rsidR="00A020E2">
        <w:t xml:space="preserve">, </w:t>
      </w:r>
      <w:r w:rsidR="00A020E2" w:rsidRPr="002242A2">
        <w:t>41710</w:t>
      </w:r>
      <w:r w:rsidR="00A020E2">
        <w:t xml:space="preserve">, </w:t>
      </w:r>
      <w:r w:rsidR="00A020E2" w:rsidRPr="002242A2">
        <w:t>41734</w:t>
      </w:r>
      <w:r w:rsidR="00A020E2">
        <w:t xml:space="preserve">, </w:t>
      </w:r>
      <w:r w:rsidR="00A020E2" w:rsidRPr="002242A2">
        <w:t>41752</w:t>
      </w:r>
      <w:r w:rsidR="00A020E2">
        <w:t xml:space="preserve"> and </w:t>
      </w:r>
      <w:r w:rsidR="00A020E2" w:rsidRPr="002242A2">
        <w:t>41737</w:t>
      </w:r>
      <w:r>
        <w:t xml:space="preserve"> </w:t>
      </w:r>
      <w:r w:rsidR="00A020E2">
        <w:t xml:space="preserve">(surgeries </w:t>
      </w:r>
      <w:r>
        <w:t>related to nasal polyps</w:t>
      </w:r>
      <w:r w:rsidR="00A020E2">
        <w:t>)</w:t>
      </w:r>
      <w:r>
        <w:t xml:space="preserve"> was downloaded from </w:t>
      </w:r>
      <w:r w:rsidR="00B61B32" w:rsidRPr="006804E0">
        <w:t>Services Australia</w:t>
      </w:r>
      <w:r w:rsidR="00B61B32">
        <w:rPr>
          <w:rStyle w:val="FootnoteReference"/>
        </w:rPr>
        <w:footnoteReference w:id="6"/>
      </w:r>
      <w:r w:rsidR="00B61B32">
        <w:t xml:space="preserve"> </w:t>
      </w:r>
      <w:r>
        <w:t>from January 2016 to October 2025 on 15 December 2025.</w:t>
      </w:r>
      <w:r w:rsidR="00A020E2">
        <w:t xml:space="preserve"> </w:t>
      </w:r>
      <w:r w:rsidR="00B61B32">
        <w:t xml:space="preserve">Where statistics are requested for an old item number, </w:t>
      </w:r>
      <w:r w:rsidR="00182565">
        <w:t>services for the old number are</w:t>
      </w:r>
      <w:r w:rsidR="00B61B32">
        <w:t xml:space="preserve"> mapped to </w:t>
      </w:r>
      <w:r w:rsidR="00182565">
        <w:t>the</w:t>
      </w:r>
      <w:r w:rsidR="00B61B32">
        <w:t xml:space="preserve"> current item number and presented as this in the report.</w:t>
      </w:r>
      <w:r w:rsidR="00A020E2">
        <w:t xml:space="preserve"> </w:t>
      </w:r>
    </w:p>
    <w:p w14:paraId="305EBFC4" w14:textId="77777777" w:rsidR="00721DF5" w:rsidRDefault="00721DF5" w:rsidP="00721DF5">
      <w:pPr>
        <w:pStyle w:val="Heading3"/>
        <w:keepNext/>
      </w:pPr>
      <w:r w:rsidRPr="00721DF5">
        <w:t xml:space="preserve">Patient level analysis </w:t>
      </w:r>
    </w:p>
    <w:p w14:paraId="6BDA2274" w14:textId="7EF1E00F" w:rsidR="00721DF5" w:rsidRDefault="00721DF5" w:rsidP="006A63F2">
      <w:pPr>
        <w:rPr>
          <w:rFonts w:eastAsia="Calibri" w:cs="Times New Roman"/>
        </w:rPr>
      </w:pPr>
      <w:r w:rsidRPr="00721DF5">
        <w:rPr>
          <w:rFonts w:eastAsia="Calibri" w:cs="Times New Roman"/>
        </w:rPr>
        <w:t>The number of incident patients, prevalent patients, and prescription</w:t>
      </w:r>
      <w:r>
        <w:rPr>
          <w:rFonts w:eastAsia="Calibri" w:cs="Times New Roman"/>
        </w:rPr>
        <w:t>s</w:t>
      </w:r>
      <w:r w:rsidRPr="00721DF5">
        <w:rPr>
          <w:rFonts w:eastAsia="Calibri" w:cs="Times New Roman"/>
        </w:rPr>
        <w:t xml:space="preserve"> </w:t>
      </w:r>
      <w:r>
        <w:rPr>
          <w:rFonts w:eastAsia="Calibri" w:cs="Times New Roman"/>
        </w:rPr>
        <w:t>supplied</w:t>
      </w:r>
      <w:r w:rsidRPr="00721DF5">
        <w:rPr>
          <w:rFonts w:eastAsia="Calibri" w:cs="Times New Roman"/>
        </w:rPr>
        <w:t xml:space="preserve"> was determined by counting the number of people supplied at least one PBS prescription using person specific numbers (non-identifying) in the data for the specified time periods. Patient initiation was defined as the date of supply of the first PBS or RPBS prescription. PBS prescription data also contains age and gender information. Patient age was derived as the age at first supply. This information was used to perform a breakdown of incident patients by age and gender.</w:t>
      </w:r>
    </w:p>
    <w:p w14:paraId="6FD59CA8" w14:textId="7C0C4EAA" w:rsidR="00B61B32" w:rsidRDefault="00B61B32" w:rsidP="006A63F2">
      <w:pPr>
        <w:rPr>
          <w:rFonts w:eastAsia="Calibri" w:cs="Times New Roman"/>
        </w:rPr>
      </w:pPr>
      <w:r>
        <w:rPr>
          <w:rFonts w:eastAsia="Calibri" w:cs="Times New Roman"/>
        </w:rPr>
        <w:lastRenderedPageBreak/>
        <w:t xml:space="preserve">The State or Territory of the patient was determined from the </w:t>
      </w:r>
      <w:r w:rsidR="00D02FF5">
        <w:rPr>
          <w:rFonts w:eastAsia="Calibri" w:cs="Times New Roman"/>
        </w:rPr>
        <w:t xml:space="preserve">patient’s residential postcode, and these data were standardised using the estimated Australian population </w:t>
      </w:r>
      <w:r w:rsidR="00E95ABB">
        <w:rPr>
          <w:rFonts w:eastAsia="Calibri" w:cs="Times New Roman"/>
        </w:rPr>
        <w:t>on</w:t>
      </w:r>
      <w:r w:rsidR="00D02FF5">
        <w:rPr>
          <w:rFonts w:eastAsia="Calibri" w:cs="Times New Roman"/>
        </w:rPr>
        <w:t xml:space="preserve"> 31 March 2025.</w:t>
      </w:r>
      <w:r w:rsidR="00D02FF5">
        <w:rPr>
          <w:rStyle w:val="FootnoteReference"/>
          <w:rFonts w:eastAsia="Calibri" w:cs="Times New Roman"/>
        </w:rPr>
        <w:footnoteReference w:id="7"/>
      </w:r>
    </w:p>
    <w:p w14:paraId="0E6F22B7" w14:textId="77777777" w:rsidR="00D02FF5" w:rsidRDefault="00D02FF5" w:rsidP="008E4504">
      <w:pPr>
        <w:pStyle w:val="Heading3"/>
        <w:keepNext/>
      </w:pPr>
      <w:r w:rsidRPr="00D02FF5">
        <w:t xml:space="preserve">Treatment duration analysis </w:t>
      </w:r>
    </w:p>
    <w:p w14:paraId="62F8361E" w14:textId="10CCE691" w:rsidR="00D02FF5" w:rsidRDefault="00D02FF5" w:rsidP="00613672">
      <w:r w:rsidRPr="00D02FF5">
        <w:t>Kaplan-Meier analysis was undertaken to analyse the time on treatment</w:t>
      </w:r>
      <w:r>
        <w:t xml:space="preserve"> of </w:t>
      </w:r>
      <w:proofErr w:type="gramStart"/>
      <w:r>
        <w:t>mepolizumab,</w:t>
      </w:r>
      <w:proofErr w:type="gramEnd"/>
      <w:r w:rsidRPr="00D02FF5">
        <w:t xml:space="preserve"> </w:t>
      </w:r>
      <w:r>
        <w:t>however t</w:t>
      </w:r>
      <w:r w:rsidRPr="00F37786">
        <w:t xml:space="preserve">he data </w:t>
      </w:r>
      <w:r>
        <w:t>were</w:t>
      </w:r>
      <w:r w:rsidRPr="00F37786">
        <w:t xml:space="preserve"> too immature to fully analyse the </w:t>
      </w:r>
      <w:r>
        <w:t>length of treatment</w:t>
      </w:r>
      <w:r w:rsidRPr="00F37786">
        <w:t>, with the median time on therapy not being reached at analysis end date.</w:t>
      </w:r>
    </w:p>
    <w:p w14:paraId="4EE3C683" w14:textId="6989B52C" w:rsidR="00721DF5" w:rsidRDefault="00721DF5" w:rsidP="008E4504">
      <w:pPr>
        <w:pStyle w:val="Heading3"/>
        <w:keepNext/>
      </w:pPr>
      <w:r w:rsidRPr="00721DF5">
        <w:t xml:space="preserve">Predicted versus actual analysis </w:t>
      </w:r>
    </w:p>
    <w:p w14:paraId="0BE9D51F" w14:textId="7BCB3A22" w:rsidR="00AC5054" w:rsidRPr="000226B3" w:rsidRDefault="00721DF5" w:rsidP="00A35800">
      <w:pPr>
        <w:rPr>
          <w:rFonts w:eastAsia="Calibri" w:cs="Times New Roman"/>
        </w:rPr>
      </w:pPr>
      <w:r w:rsidRPr="00721DF5">
        <w:rPr>
          <w:rFonts w:eastAsia="Calibri" w:cs="Times New Roman"/>
        </w:rPr>
        <w:t xml:space="preserve">Predicted versus actual analysis of the number of patients treated, and prescriptions dispensed. The differences in actual compared to predicted utilisation was determined using the following calculation: Difference (%) = ((Actual – Predicted)/Predicted) </w:t>
      </w:r>
      <w:r>
        <w:rPr>
          <w:rFonts w:eastAsia="Calibri" w:cstheme="minorHAnsi"/>
        </w:rPr>
        <w:t>×</w:t>
      </w:r>
      <w:r w:rsidRPr="00721DF5">
        <w:rPr>
          <w:rFonts w:eastAsia="Calibri" w:cs="Times New Roman"/>
        </w:rPr>
        <w:t xml:space="preserve"> 100.</w:t>
      </w:r>
    </w:p>
    <w:p w14:paraId="4F91A98A" w14:textId="00180E30" w:rsidR="00C714D0" w:rsidRPr="005E22C2" w:rsidRDefault="00C714D0" w:rsidP="00CF5E22">
      <w:pPr>
        <w:pStyle w:val="Heading1"/>
      </w:pPr>
      <w:r w:rsidRPr="005E22C2">
        <w:t>Results</w:t>
      </w:r>
    </w:p>
    <w:p w14:paraId="271F022A" w14:textId="5FEB285C" w:rsidR="00D674F5" w:rsidRDefault="00E95ABB" w:rsidP="00D674F5">
      <w:pPr>
        <w:pStyle w:val="Heading2"/>
      </w:pPr>
      <w:r>
        <w:t xml:space="preserve">Data </w:t>
      </w:r>
      <w:r w:rsidR="00D674F5">
        <w:t xml:space="preserve">Quality </w:t>
      </w:r>
    </w:p>
    <w:p w14:paraId="22E23E87" w14:textId="5B783E97" w:rsidR="00CC6576" w:rsidRDefault="00CC6576" w:rsidP="00CC6576">
      <w:pPr>
        <w:pStyle w:val="Tabletitle"/>
      </w:pPr>
      <w:r>
        <w:t xml:space="preserve">Table </w:t>
      </w:r>
      <w:r w:rsidR="006060D9">
        <w:t>4</w:t>
      </w:r>
      <w:r>
        <w:t>: Comparison of PBS item and Authority codes</w:t>
      </w:r>
    </w:p>
    <w:tbl>
      <w:tblPr>
        <w:tblStyle w:val="TableGrid"/>
        <w:tblW w:w="0" w:type="auto"/>
        <w:tblLook w:val="04A0" w:firstRow="1" w:lastRow="0" w:firstColumn="1" w:lastColumn="0" w:noHBand="0" w:noVBand="1"/>
      </w:tblPr>
      <w:tblGrid>
        <w:gridCol w:w="1838"/>
        <w:gridCol w:w="2635"/>
        <w:gridCol w:w="1192"/>
        <w:gridCol w:w="2127"/>
      </w:tblGrid>
      <w:tr w:rsidR="00CC6576" w:rsidRPr="00CC6576" w14:paraId="4A80D764" w14:textId="77777777" w:rsidTr="00CC6576">
        <w:tc>
          <w:tcPr>
            <w:tcW w:w="1838" w:type="dxa"/>
            <w:shd w:val="clear" w:color="auto" w:fill="BFBFBF" w:themeFill="background1" w:themeFillShade="BF"/>
          </w:tcPr>
          <w:p w14:paraId="65CC46FE" w14:textId="60EDAA0E" w:rsidR="00CC6576" w:rsidRPr="00CC6576" w:rsidRDefault="00CC6576" w:rsidP="00CC6576">
            <w:pPr>
              <w:rPr>
                <w:b/>
                <w:bCs/>
                <w:sz w:val="20"/>
                <w:szCs w:val="20"/>
              </w:rPr>
            </w:pPr>
            <w:r w:rsidRPr="00CC6576">
              <w:rPr>
                <w:b/>
                <w:bCs/>
                <w:sz w:val="20"/>
                <w:szCs w:val="20"/>
              </w:rPr>
              <w:t>PBS item restriction</w:t>
            </w:r>
          </w:p>
        </w:tc>
        <w:tc>
          <w:tcPr>
            <w:tcW w:w="2635" w:type="dxa"/>
            <w:shd w:val="clear" w:color="auto" w:fill="BFBFBF" w:themeFill="background1" w:themeFillShade="BF"/>
          </w:tcPr>
          <w:p w14:paraId="68CC73E9" w14:textId="18A1B9CC" w:rsidR="00CC6576" w:rsidRPr="00CC6576" w:rsidRDefault="00CC6576" w:rsidP="00CC6576">
            <w:pPr>
              <w:rPr>
                <w:b/>
                <w:bCs/>
                <w:sz w:val="20"/>
                <w:szCs w:val="20"/>
              </w:rPr>
            </w:pPr>
            <w:r w:rsidRPr="00CC6576">
              <w:rPr>
                <w:b/>
                <w:bCs/>
                <w:sz w:val="20"/>
                <w:szCs w:val="20"/>
              </w:rPr>
              <w:t>Authority code restriction</w:t>
            </w:r>
          </w:p>
        </w:tc>
        <w:tc>
          <w:tcPr>
            <w:tcW w:w="1192" w:type="dxa"/>
            <w:shd w:val="clear" w:color="auto" w:fill="BFBFBF" w:themeFill="background1" w:themeFillShade="BF"/>
          </w:tcPr>
          <w:p w14:paraId="0687923B" w14:textId="0F61915E" w:rsidR="00CC6576" w:rsidRPr="00CC6576" w:rsidRDefault="00CC6576" w:rsidP="00CC6576">
            <w:pPr>
              <w:rPr>
                <w:b/>
                <w:bCs/>
                <w:sz w:val="20"/>
                <w:szCs w:val="20"/>
              </w:rPr>
            </w:pPr>
            <w:r w:rsidRPr="00CC6576">
              <w:rPr>
                <w:b/>
                <w:bCs/>
                <w:sz w:val="20"/>
                <w:szCs w:val="20"/>
              </w:rPr>
              <w:t>Count</w:t>
            </w:r>
          </w:p>
        </w:tc>
        <w:tc>
          <w:tcPr>
            <w:tcW w:w="2127" w:type="dxa"/>
            <w:shd w:val="clear" w:color="auto" w:fill="BFBFBF" w:themeFill="background1" w:themeFillShade="BF"/>
          </w:tcPr>
          <w:p w14:paraId="1A019A15" w14:textId="2D1276DA" w:rsidR="00CC6576" w:rsidRPr="00CC6576" w:rsidRDefault="00CC6576" w:rsidP="00CC6576">
            <w:pPr>
              <w:rPr>
                <w:b/>
                <w:bCs/>
                <w:sz w:val="20"/>
                <w:szCs w:val="20"/>
              </w:rPr>
            </w:pPr>
            <w:r w:rsidRPr="00CC6576">
              <w:rPr>
                <w:b/>
                <w:bCs/>
                <w:sz w:val="20"/>
                <w:szCs w:val="20"/>
              </w:rPr>
              <w:t>Percent</w:t>
            </w:r>
          </w:p>
        </w:tc>
      </w:tr>
      <w:tr w:rsidR="00CC6576" w:rsidRPr="00CC6576" w14:paraId="318F3FA2" w14:textId="77777777" w:rsidTr="00CC6576">
        <w:tc>
          <w:tcPr>
            <w:tcW w:w="1838" w:type="dxa"/>
          </w:tcPr>
          <w:p w14:paraId="078F66CB" w14:textId="38664969" w:rsidR="00CC6576" w:rsidRPr="00CC6576" w:rsidRDefault="00CC6576" w:rsidP="00CC6576">
            <w:pPr>
              <w:rPr>
                <w:sz w:val="20"/>
                <w:szCs w:val="20"/>
              </w:rPr>
            </w:pPr>
            <w:r w:rsidRPr="00CC6576">
              <w:rPr>
                <w:sz w:val="20"/>
                <w:szCs w:val="20"/>
              </w:rPr>
              <w:t>Asthma</w:t>
            </w:r>
          </w:p>
        </w:tc>
        <w:tc>
          <w:tcPr>
            <w:tcW w:w="2635" w:type="dxa"/>
          </w:tcPr>
          <w:p w14:paraId="23672AFA" w14:textId="471B0E2C" w:rsidR="00CC6576" w:rsidRPr="00CC6576" w:rsidRDefault="00CC6576" w:rsidP="00CC6576">
            <w:pPr>
              <w:rPr>
                <w:sz w:val="20"/>
                <w:szCs w:val="20"/>
              </w:rPr>
            </w:pPr>
            <w:proofErr w:type="spellStart"/>
            <w:r w:rsidRPr="00CC6576">
              <w:rPr>
                <w:sz w:val="20"/>
                <w:szCs w:val="20"/>
              </w:rPr>
              <w:t>CRSwNP</w:t>
            </w:r>
            <w:proofErr w:type="spellEnd"/>
          </w:p>
        </w:tc>
        <w:tc>
          <w:tcPr>
            <w:tcW w:w="1192" w:type="dxa"/>
          </w:tcPr>
          <w:p w14:paraId="47E87942" w14:textId="3EE7F5FD" w:rsidR="00CC6576" w:rsidRPr="00CC6576" w:rsidRDefault="00CC6576" w:rsidP="00CC6576">
            <w:pPr>
              <w:jc w:val="right"/>
              <w:rPr>
                <w:sz w:val="20"/>
                <w:szCs w:val="20"/>
              </w:rPr>
            </w:pPr>
            <w:r w:rsidRPr="00CC6576">
              <w:rPr>
                <w:sz w:val="20"/>
                <w:szCs w:val="20"/>
              </w:rPr>
              <w:t>3</w:t>
            </w:r>
            <w:r>
              <w:rPr>
                <w:sz w:val="20"/>
                <w:szCs w:val="20"/>
              </w:rPr>
              <w:t>,</w:t>
            </w:r>
            <w:r w:rsidRPr="00CC6576">
              <w:rPr>
                <w:sz w:val="20"/>
                <w:szCs w:val="20"/>
              </w:rPr>
              <w:t>352</w:t>
            </w:r>
          </w:p>
        </w:tc>
        <w:tc>
          <w:tcPr>
            <w:tcW w:w="2127" w:type="dxa"/>
          </w:tcPr>
          <w:p w14:paraId="3C80BAE9" w14:textId="12040D6F" w:rsidR="00CC6576" w:rsidRPr="00CC6576" w:rsidRDefault="00CC6576" w:rsidP="00CC6576">
            <w:pPr>
              <w:jc w:val="right"/>
              <w:rPr>
                <w:sz w:val="20"/>
                <w:szCs w:val="20"/>
              </w:rPr>
            </w:pPr>
            <w:r w:rsidRPr="00CC6576">
              <w:rPr>
                <w:sz w:val="20"/>
                <w:szCs w:val="20"/>
              </w:rPr>
              <w:t>3%</w:t>
            </w:r>
          </w:p>
        </w:tc>
      </w:tr>
      <w:tr w:rsidR="00CC6576" w:rsidRPr="00CC6576" w14:paraId="349CADA8" w14:textId="77777777" w:rsidTr="00CC6576">
        <w:tc>
          <w:tcPr>
            <w:tcW w:w="1838" w:type="dxa"/>
          </w:tcPr>
          <w:p w14:paraId="4BD40745" w14:textId="40841000" w:rsidR="00CC6576" w:rsidRPr="00CC6576" w:rsidRDefault="00CC6576" w:rsidP="00CC6576">
            <w:pPr>
              <w:rPr>
                <w:sz w:val="20"/>
                <w:szCs w:val="20"/>
              </w:rPr>
            </w:pPr>
            <w:r w:rsidRPr="00CC6576">
              <w:rPr>
                <w:sz w:val="20"/>
                <w:szCs w:val="20"/>
              </w:rPr>
              <w:t>Asthma</w:t>
            </w:r>
          </w:p>
        </w:tc>
        <w:tc>
          <w:tcPr>
            <w:tcW w:w="2635" w:type="dxa"/>
          </w:tcPr>
          <w:p w14:paraId="2027CA25" w14:textId="25669E14" w:rsidR="00CC6576" w:rsidRPr="00CC6576" w:rsidRDefault="00CC6576" w:rsidP="00CC6576">
            <w:pPr>
              <w:rPr>
                <w:sz w:val="20"/>
                <w:szCs w:val="20"/>
              </w:rPr>
            </w:pPr>
            <w:r w:rsidRPr="00CC6576">
              <w:rPr>
                <w:sz w:val="20"/>
                <w:szCs w:val="20"/>
              </w:rPr>
              <w:t>Uncontrolled severe asthma</w:t>
            </w:r>
          </w:p>
        </w:tc>
        <w:tc>
          <w:tcPr>
            <w:tcW w:w="1192" w:type="dxa"/>
          </w:tcPr>
          <w:p w14:paraId="3182AC62" w14:textId="63D4CCC4" w:rsidR="00CC6576" w:rsidRPr="00CC6576" w:rsidRDefault="00CC6576" w:rsidP="00CC6576">
            <w:pPr>
              <w:jc w:val="right"/>
              <w:rPr>
                <w:sz w:val="20"/>
                <w:szCs w:val="20"/>
              </w:rPr>
            </w:pPr>
            <w:r w:rsidRPr="00CC6576">
              <w:rPr>
                <w:sz w:val="20"/>
                <w:szCs w:val="20"/>
              </w:rPr>
              <w:t>78</w:t>
            </w:r>
            <w:r>
              <w:rPr>
                <w:sz w:val="20"/>
                <w:szCs w:val="20"/>
              </w:rPr>
              <w:t>,</w:t>
            </w:r>
            <w:r w:rsidRPr="00CC6576">
              <w:rPr>
                <w:sz w:val="20"/>
                <w:szCs w:val="20"/>
              </w:rPr>
              <w:t>662</w:t>
            </w:r>
          </w:p>
        </w:tc>
        <w:tc>
          <w:tcPr>
            <w:tcW w:w="2127" w:type="dxa"/>
          </w:tcPr>
          <w:p w14:paraId="7D1BF541" w14:textId="480DB0D9" w:rsidR="00CC6576" w:rsidRPr="00CC6576" w:rsidRDefault="00CC6576" w:rsidP="00CC6576">
            <w:pPr>
              <w:jc w:val="right"/>
              <w:rPr>
                <w:sz w:val="20"/>
                <w:szCs w:val="20"/>
              </w:rPr>
            </w:pPr>
            <w:r w:rsidRPr="00CC6576">
              <w:rPr>
                <w:sz w:val="20"/>
                <w:szCs w:val="20"/>
              </w:rPr>
              <w:t>69%</w:t>
            </w:r>
          </w:p>
        </w:tc>
      </w:tr>
      <w:tr w:rsidR="00CC6576" w:rsidRPr="00CC6576" w14:paraId="17FCC171" w14:textId="77777777" w:rsidTr="00CC6576">
        <w:tc>
          <w:tcPr>
            <w:tcW w:w="1838" w:type="dxa"/>
          </w:tcPr>
          <w:p w14:paraId="79BEE75C" w14:textId="504654F7" w:rsidR="00CC6576" w:rsidRPr="00CC6576" w:rsidRDefault="00CC6576" w:rsidP="00CC6576">
            <w:pPr>
              <w:rPr>
                <w:sz w:val="20"/>
                <w:szCs w:val="20"/>
              </w:rPr>
            </w:pPr>
            <w:r w:rsidRPr="00CC6576">
              <w:rPr>
                <w:sz w:val="20"/>
                <w:szCs w:val="20"/>
              </w:rPr>
              <w:t>Asthma</w:t>
            </w:r>
          </w:p>
        </w:tc>
        <w:tc>
          <w:tcPr>
            <w:tcW w:w="2635" w:type="dxa"/>
          </w:tcPr>
          <w:p w14:paraId="2BBEB2C1" w14:textId="3536634B" w:rsidR="00CC6576" w:rsidRPr="00CC6576" w:rsidRDefault="00CC6576" w:rsidP="00CC6576">
            <w:pPr>
              <w:rPr>
                <w:sz w:val="20"/>
                <w:szCs w:val="20"/>
              </w:rPr>
            </w:pPr>
            <w:r w:rsidRPr="00CC6576">
              <w:rPr>
                <w:sz w:val="20"/>
                <w:szCs w:val="20"/>
              </w:rPr>
              <w:t>Not available</w:t>
            </w:r>
          </w:p>
        </w:tc>
        <w:tc>
          <w:tcPr>
            <w:tcW w:w="1192" w:type="dxa"/>
          </w:tcPr>
          <w:p w14:paraId="4DDC532E" w14:textId="6328F990" w:rsidR="00CC6576" w:rsidRPr="00CC6576" w:rsidRDefault="00CC6576" w:rsidP="00CC6576">
            <w:pPr>
              <w:jc w:val="right"/>
              <w:rPr>
                <w:sz w:val="20"/>
                <w:szCs w:val="20"/>
              </w:rPr>
            </w:pPr>
            <w:r w:rsidRPr="00CC6576">
              <w:rPr>
                <w:sz w:val="20"/>
                <w:szCs w:val="20"/>
              </w:rPr>
              <w:t>359</w:t>
            </w:r>
          </w:p>
        </w:tc>
        <w:tc>
          <w:tcPr>
            <w:tcW w:w="2127" w:type="dxa"/>
          </w:tcPr>
          <w:p w14:paraId="186FE6FA" w14:textId="16B17942" w:rsidR="00CC6576" w:rsidRPr="00CC6576" w:rsidRDefault="00CC6576" w:rsidP="00CC6576">
            <w:pPr>
              <w:jc w:val="right"/>
              <w:rPr>
                <w:sz w:val="20"/>
                <w:szCs w:val="20"/>
              </w:rPr>
            </w:pPr>
            <w:r w:rsidRPr="00CC6576">
              <w:rPr>
                <w:sz w:val="20"/>
                <w:szCs w:val="20"/>
              </w:rPr>
              <w:t>0</w:t>
            </w:r>
            <w:r>
              <w:rPr>
                <w:sz w:val="20"/>
                <w:szCs w:val="20"/>
              </w:rPr>
              <w:t>.3</w:t>
            </w:r>
            <w:r w:rsidRPr="00CC6576">
              <w:rPr>
                <w:sz w:val="20"/>
                <w:szCs w:val="20"/>
              </w:rPr>
              <w:t>%</w:t>
            </w:r>
          </w:p>
        </w:tc>
      </w:tr>
      <w:tr w:rsidR="00CC6576" w:rsidRPr="00CC6576" w14:paraId="3A0E45F3" w14:textId="77777777" w:rsidTr="00CC6576">
        <w:tc>
          <w:tcPr>
            <w:tcW w:w="1838" w:type="dxa"/>
          </w:tcPr>
          <w:p w14:paraId="5695BD81" w14:textId="6BA8681E" w:rsidR="00CC6576" w:rsidRPr="00CC6576" w:rsidRDefault="00CC6576" w:rsidP="00CC6576">
            <w:pPr>
              <w:rPr>
                <w:sz w:val="20"/>
                <w:szCs w:val="20"/>
              </w:rPr>
            </w:pPr>
            <w:proofErr w:type="spellStart"/>
            <w:r w:rsidRPr="00CC6576">
              <w:rPr>
                <w:sz w:val="20"/>
                <w:szCs w:val="20"/>
              </w:rPr>
              <w:t>CRSwNP</w:t>
            </w:r>
            <w:proofErr w:type="spellEnd"/>
          </w:p>
        </w:tc>
        <w:tc>
          <w:tcPr>
            <w:tcW w:w="2635" w:type="dxa"/>
          </w:tcPr>
          <w:p w14:paraId="4993D335" w14:textId="36AF2562" w:rsidR="00CC6576" w:rsidRPr="00CC6576" w:rsidRDefault="00CC6576" w:rsidP="00CC6576">
            <w:pPr>
              <w:rPr>
                <w:sz w:val="20"/>
                <w:szCs w:val="20"/>
              </w:rPr>
            </w:pPr>
            <w:proofErr w:type="spellStart"/>
            <w:r w:rsidRPr="00CC6576">
              <w:rPr>
                <w:sz w:val="20"/>
                <w:szCs w:val="20"/>
              </w:rPr>
              <w:t>CRSwNP</w:t>
            </w:r>
            <w:proofErr w:type="spellEnd"/>
          </w:p>
        </w:tc>
        <w:tc>
          <w:tcPr>
            <w:tcW w:w="1192" w:type="dxa"/>
          </w:tcPr>
          <w:p w14:paraId="471A6DD2" w14:textId="6FD309EC" w:rsidR="00CC6576" w:rsidRPr="00CC6576" w:rsidRDefault="00CC6576" w:rsidP="00CC6576">
            <w:pPr>
              <w:jc w:val="right"/>
              <w:rPr>
                <w:sz w:val="20"/>
                <w:szCs w:val="20"/>
              </w:rPr>
            </w:pPr>
            <w:r w:rsidRPr="00CC6576">
              <w:rPr>
                <w:sz w:val="20"/>
                <w:szCs w:val="20"/>
              </w:rPr>
              <w:t>28</w:t>
            </w:r>
            <w:r>
              <w:rPr>
                <w:sz w:val="20"/>
                <w:szCs w:val="20"/>
              </w:rPr>
              <w:t>,</w:t>
            </w:r>
            <w:r w:rsidRPr="00CC6576">
              <w:rPr>
                <w:sz w:val="20"/>
                <w:szCs w:val="20"/>
              </w:rPr>
              <w:t>275</w:t>
            </w:r>
          </w:p>
        </w:tc>
        <w:tc>
          <w:tcPr>
            <w:tcW w:w="2127" w:type="dxa"/>
          </w:tcPr>
          <w:p w14:paraId="5BF3FBC3" w14:textId="63944F5C" w:rsidR="00CC6576" w:rsidRPr="00CC6576" w:rsidRDefault="00CC6576" w:rsidP="00CC6576">
            <w:pPr>
              <w:jc w:val="right"/>
              <w:rPr>
                <w:sz w:val="20"/>
                <w:szCs w:val="20"/>
              </w:rPr>
            </w:pPr>
            <w:r w:rsidRPr="00CC6576">
              <w:rPr>
                <w:sz w:val="20"/>
                <w:szCs w:val="20"/>
              </w:rPr>
              <w:t>25%</w:t>
            </w:r>
          </w:p>
        </w:tc>
      </w:tr>
      <w:tr w:rsidR="00CC6576" w:rsidRPr="00CC6576" w14:paraId="05D370C3" w14:textId="77777777" w:rsidTr="00CC6576">
        <w:tc>
          <w:tcPr>
            <w:tcW w:w="1838" w:type="dxa"/>
          </w:tcPr>
          <w:p w14:paraId="509E5A83" w14:textId="4BB55DC1" w:rsidR="00CC6576" w:rsidRPr="00CC6576" w:rsidRDefault="00CC6576" w:rsidP="00CC6576">
            <w:pPr>
              <w:rPr>
                <w:sz w:val="20"/>
                <w:szCs w:val="20"/>
              </w:rPr>
            </w:pPr>
            <w:proofErr w:type="spellStart"/>
            <w:r w:rsidRPr="00CC6576">
              <w:rPr>
                <w:sz w:val="20"/>
                <w:szCs w:val="20"/>
              </w:rPr>
              <w:t>CRSwNP</w:t>
            </w:r>
            <w:proofErr w:type="spellEnd"/>
          </w:p>
        </w:tc>
        <w:tc>
          <w:tcPr>
            <w:tcW w:w="2635" w:type="dxa"/>
          </w:tcPr>
          <w:p w14:paraId="66032842" w14:textId="07DA8D15" w:rsidR="00CC6576" w:rsidRPr="00CC6576" w:rsidRDefault="00CC6576" w:rsidP="00CC6576">
            <w:pPr>
              <w:rPr>
                <w:sz w:val="20"/>
                <w:szCs w:val="20"/>
              </w:rPr>
            </w:pPr>
            <w:r w:rsidRPr="00CC6576">
              <w:rPr>
                <w:sz w:val="20"/>
                <w:szCs w:val="20"/>
              </w:rPr>
              <w:t>Uncontrolled severe asthma</w:t>
            </w:r>
          </w:p>
        </w:tc>
        <w:tc>
          <w:tcPr>
            <w:tcW w:w="1192" w:type="dxa"/>
          </w:tcPr>
          <w:p w14:paraId="222C4F8F" w14:textId="0E30990D" w:rsidR="00CC6576" w:rsidRPr="00CC6576" w:rsidRDefault="00CC6576" w:rsidP="00CC6576">
            <w:pPr>
              <w:jc w:val="right"/>
              <w:rPr>
                <w:sz w:val="20"/>
                <w:szCs w:val="20"/>
              </w:rPr>
            </w:pPr>
            <w:r w:rsidRPr="00CC6576">
              <w:rPr>
                <w:sz w:val="20"/>
                <w:szCs w:val="20"/>
              </w:rPr>
              <w:t>3</w:t>
            </w:r>
            <w:r>
              <w:rPr>
                <w:sz w:val="20"/>
                <w:szCs w:val="20"/>
              </w:rPr>
              <w:t>,</w:t>
            </w:r>
            <w:r w:rsidRPr="00CC6576">
              <w:rPr>
                <w:sz w:val="20"/>
                <w:szCs w:val="20"/>
              </w:rPr>
              <w:t>820</w:t>
            </w:r>
          </w:p>
        </w:tc>
        <w:tc>
          <w:tcPr>
            <w:tcW w:w="2127" w:type="dxa"/>
          </w:tcPr>
          <w:p w14:paraId="18F4E3CA" w14:textId="03249730" w:rsidR="00CC6576" w:rsidRPr="00CC6576" w:rsidRDefault="00CC6576" w:rsidP="00CC6576">
            <w:pPr>
              <w:jc w:val="right"/>
              <w:rPr>
                <w:sz w:val="20"/>
                <w:szCs w:val="20"/>
              </w:rPr>
            </w:pPr>
            <w:r w:rsidRPr="00CC6576">
              <w:rPr>
                <w:sz w:val="20"/>
                <w:szCs w:val="20"/>
              </w:rPr>
              <w:t>3%</w:t>
            </w:r>
          </w:p>
        </w:tc>
      </w:tr>
      <w:tr w:rsidR="00CC6576" w:rsidRPr="00CC6576" w14:paraId="5093368E" w14:textId="77777777" w:rsidTr="00CC6576">
        <w:tc>
          <w:tcPr>
            <w:tcW w:w="1838" w:type="dxa"/>
          </w:tcPr>
          <w:p w14:paraId="1B999B0B" w14:textId="2DC8D14C" w:rsidR="00CC6576" w:rsidRPr="00CC6576" w:rsidRDefault="00CC6576" w:rsidP="00CC6576">
            <w:pPr>
              <w:rPr>
                <w:sz w:val="20"/>
                <w:szCs w:val="20"/>
              </w:rPr>
            </w:pPr>
            <w:proofErr w:type="spellStart"/>
            <w:r w:rsidRPr="00CC6576">
              <w:rPr>
                <w:sz w:val="20"/>
                <w:szCs w:val="20"/>
              </w:rPr>
              <w:t>CRSwNP</w:t>
            </w:r>
            <w:proofErr w:type="spellEnd"/>
          </w:p>
        </w:tc>
        <w:tc>
          <w:tcPr>
            <w:tcW w:w="2635" w:type="dxa"/>
          </w:tcPr>
          <w:p w14:paraId="6EDDC34B" w14:textId="0C1227AF" w:rsidR="00CC6576" w:rsidRPr="00CC6576" w:rsidRDefault="00CC6576" w:rsidP="00CC6576">
            <w:pPr>
              <w:rPr>
                <w:sz w:val="20"/>
                <w:szCs w:val="20"/>
              </w:rPr>
            </w:pPr>
            <w:r w:rsidRPr="00CC6576">
              <w:rPr>
                <w:sz w:val="20"/>
                <w:szCs w:val="20"/>
              </w:rPr>
              <w:t>Not available</w:t>
            </w:r>
          </w:p>
        </w:tc>
        <w:tc>
          <w:tcPr>
            <w:tcW w:w="1192" w:type="dxa"/>
          </w:tcPr>
          <w:p w14:paraId="4C9A0D54" w14:textId="4713F19D" w:rsidR="00CC6576" w:rsidRPr="00CC6576" w:rsidRDefault="00CC6576" w:rsidP="00CC6576">
            <w:pPr>
              <w:jc w:val="right"/>
              <w:rPr>
                <w:sz w:val="20"/>
                <w:szCs w:val="20"/>
              </w:rPr>
            </w:pPr>
            <w:r w:rsidRPr="00CC6576">
              <w:rPr>
                <w:sz w:val="20"/>
                <w:szCs w:val="20"/>
              </w:rPr>
              <w:t>318</w:t>
            </w:r>
          </w:p>
        </w:tc>
        <w:tc>
          <w:tcPr>
            <w:tcW w:w="2127" w:type="dxa"/>
          </w:tcPr>
          <w:p w14:paraId="4CFE3DBC" w14:textId="6CD15FA5" w:rsidR="00CC6576" w:rsidRPr="00CC6576" w:rsidRDefault="00CC6576" w:rsidP="00CC6576">
            <w:pPr>
              <w:jc w:val="right"/>
              <w:rPr>
                <w:sz w:val="20"/>
                <w:szCs w:val="20"/>
              </w:rPr>
            </w:pPr>
            <w:r w:rsidRPr="00CC6576">
              <w:rPr>
                <w:sz w:val="20"/>
                <w:szCs w:val="20"/>
              </w:rPr>
              <w:t>0</w:t>
            </w:r>
            <w:r>
              <w:rPr>
                <w:sz w:val="20"/>
                <w:szCs w:val="20"/>
              </w:rPr>
              <w:t>.3</w:t>
            </w:r>
            <w:r w:rsidRPr="00CC6576">
              <w:rPr>
                <w:sz w:val="20"/>
                <w:szCs w:val="20"/>
              </w:rPr>
              <w:t>%</w:t>
            </w:r>
          </w:p>
        </w:tc>
      </w:tr>
    </w:tbl>
    <w:p w14:paraId="58E74014" w14:textId="77777777" w:rsidR="00CC6576" w:rsidRDefault="00CC6576" w:rsidP="00CC6576"/>
    <w:p w14:paraId="12559373" w14:textId="2F0619A6" w:rsidR="00D674F5" w:rsidRPr="00D21094" w:rsidRDefault="00D21094" w:rsidP="001F7111">
      <w:pPr>
        <w:pStyle w:val="Tabletitle"/>
        <w:rPr>
          <w:rFonts w:cstheme="minorHAnsi"/>
        </w:rPr>
      </w:pPr>
      <w:r w:rsidRPr="00D21094">
        <w:rPr>
          <w:rFonts w:cstheme="minorHAnsi"/>
        </w:rPr>
        <w:t xml:space="preserve">Table </w:t>
      </w:r>
      <w:r w:rsidR="006060D9">
        <w:rPr>
          <w:rFonts w:cstheme="minorHAnsi"/>
        </w:rPr>
        <w:t>5</w:t>
      </w:r>
      <w:r w:rsidRPr="00D21094">
        <w:rPr>
          <w:rFonts w:cstheme="minorHAnsi"/>
        </w:rPr>
        <w:t>: Indication sequence using Authority codes</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559"/>
        <w:gridCol w:w="1418"/>
      </w:tblGrid>
      <w:tr w:rsidR="00D21094" w:rsidRPr="00D21094" w14:paraId="7B17FC21" w14:textId="77777777" w:rsidTr="00D21094">
        <w:trPr>
          <w:trHeight w:val="264"/>
        </w:trPr>
        <w:tc>
          <w:tcPr>
            <w:tcW w:w="4106" w:type="dxa"/>
            <w:shd w:val="clear" w:color="auto" w:fill="BFBFBF" w:themeFill="background1" w:themeFillShade="BF"/>
            <w:noWrap/>
            <w:vAlign w:val="bottom"/>
            <w:hideMark/>
          </w:tcPr>
          <w:p w14:paraId="366BEFC5" w14:textId="6D8B4063" w:rsidR="00D21094" w:rsidRPr="00D21094" w:rsidRDefault="00D21094" w:rsidP="00D21094">
            <w:pPr>
              <w:spacing w:after="0"/>
              <w:rPr>
                <w:rFonts w:eastAsia="Times New Roman" w:cstheme="minorHAnsi"/>
                <w:b/>
                <w:bCs/>
                <w:color w:val="000000"/>
                <w:sz w:val="20"/>
                <w:szCs w:val="20"/>
              </w:rPr>
            </w:pPr>
            <w:r w:rsidRPr="00D21094">
              <w:rPr>
                <w:rFonts w:eastAsia="Times New Roman" w:cstheme="minorHAnsi"/>
                <w:b/>
                <w:bCs/>
                <w:color w:val="000000"/>
                <w:sz w:val="20"/>
                <w:szCs w:val="20"/>
              </w:rPr>
              <w:t>Indication sequence using Authority code</w:t>
            </w:r>
          </w:p>
        </w:tc>
        <w:tc>
          <w:tcPr>
            <w:tcW w:w="1559" w:type="dxa"/>
            <w:shd w:val="clear" w:color="auto" w:fill="BFBFBF" w:themeFill="background1" w:themeFillShade="BF"/>
            <w:noWrap/>
            <w:vAlign w:val="bottom"/>
            <w:hideMark/>
          </w:tcPr>
          <w:p w14:paraId="0DCB1A07" w14:textId="77777777" w:rsidR="00D21094" w:rsidRPr="00D21094" w:rsidRDefault="00D21094" w:rsidP="00D21094">
            <w:pPr>
              <w:spacing w:after="0"/>
              <w:rPr>
                <w:rFonts w:eastAsia="Times New Roman" w:cstheme="minorHAnsi"/>
                <w:b/>
                <w:bCs/>
                <w:color w:val="000000"/>
                <w:sz w:val="20"/>
                <w:szCs w:val="20"/>
              </w:rPr>
            </w:pPr>
            <w:r w:rsidRPr="00D21094">
              <w:rPr>
                <w:rFonts w:eastAsia="Times New Roman" w:cstheme="minorHAnsi"/>
                <w:b/>
                <w:bCs/>
                <w:color w:val="000000"/>
                <w:sz w:val="20"/>
                <w:szCs w:val="20"/>
              </w:rPr>
              <w:t>Patient count</w:t>
            </w:r>
          </w:p>
        </w:tc>
        <w:tc>
          <w:tcPr>
            <w:tcW w:w="1418" w:type="dxa"/>
            <w:shd w:val="clear" w:color="auto" w:fill="BFBFBF" w:themeFill="background1" w:themeFillShade="BF"/>
            <w:vAlign w:val="bottom"/>
          </w:tcPr>
          <w:p w14:paraId="65DA19AD" w14:textId="3E1D9FE4" w:rsidR="00D21094" w:rsidRPr="00D21094" w:rsidRDefault="00D21094" w:rsidP="00D21094">
            <w:pPr>
              <w:spacing w:after="0"/>
              <w:rPr>
                <w:rFonts w:eastAsia="Times New Roman" w:cstheme="minorHAnsi"/>
                <w:b/>
                <w:bCs/>
                <w:color w:val="000000"/>
                <w:sz w:val="20"/>
                <w:szCs w:val="20"/>
              </w:rPr>
            </w:pPr>
            <w:r>
              <w:rPr>
                <w:rFonts w:eastAsia="Times New Roman" w:cstheme="minorHAnsi"/>
                <w:b/>
                <w:bCs/>
                <w:color w:val="000000"/>
                <w:sz w:val="20"/>
                <w:szCs w:val="20"/>
              </w:rPr>
              <w:t>Percentage</w:t>
            </w:r>
          </w:p>
        </w:tc>
      </w:tr>
      <w:tr w:rsidR="00D21094" w:rsidRPr="00D21094" w14:paraId="2A852A34" w14:textId="77777777" w:rsidTr="00D21094">
        <w:trPr>
          <w:trHeight w:val="264"/>
        </w:trPr>
        <w:tc>
          <w:tcPr>
            <w:tcW w:w="4106" w:type="dxa"/>
            <w:noWrap/>
            <w:vAlign w:val="bottom"/>
            <w:hideMark/>
          </w:tcPr>
          <w:p w14:paraId="6230689C" w14:textId="77777777" w:rsidR="00D21094" w:rsidRPr="00D21094" w:rsidRDefault="00D21094" w:rsidP="00D21094">
            <w:pPr>
              <w:spacing w:after="0"/>
              <w:rPr>
                <w:rFonts w:eastAsia="Times New Roman" w:cstheme="minorHAnsi"/>
                <w:color w:val="000000"/>
                <w:sz w:val="20"/>
                <w:szCs w:val="20"/>
              </w:rPr>
            </w:pPr>
            <w:r w:rsidRPr="00D21094">
              <w:rPr>
                <w:rFonts w:eastAsia="Times New Roman" w:cstheme="minorHAnsi"/>
                <w:color w:val="000000"/>
                <w:sz w:val="20"/>
                <w:szCs w:val="20"/>
              </w:rPr>
              <w:t>NA</w:t>
            </w:r>
          </w:p>
        </w:tc>
        <w:tc>
          <w:tcPr>
            <w:tcW w:w="1559" w:type="dxa"/>
            <w:noWrap/>
            <w:vAlign w:val="bottom"/>
            <w:hideMark/>
          </w:tcPr>
          <w:p w14:paraId="762A14CA" w14:textId="77777777" w:rsidR="00D21094" w:rsidRPr="00D21094" w:rsidRDefault="00D21094" w:rsidP="00D21094">
            <w:pPr>
              <w:spacing w:after="0"/>
              <w:jc w:val="right"/>
              <w:rPr>
                <w:rFonts w:eastAsia="Times New Roman" w:cstheme="minorHAnsi"/>
                <w:color w:val="000000"/>
                <w:sz w:val="20"/>
                <w:szCs w:val="20"/>
              </w:rPr>
            </w:pPr>
            <w:r w:rsidRPr="00D21094">
              <w:rPr>
                <w:rFonts w:eastAsia="Times New Roman" w:cstheme="minorHAnsi"/>
                <w:color w:val="000000"/>
                <w:sz w:val="20"/>
                <w:szCs w:val="20"/>
              </w:rPr>
              <w:t>60</w:t>
            </w:r>
          </w:p>
        </w:tc>
        <w:tc>
          <w:tcPr>
            <w:tcW w:w="1418" w:type="dxa"/>
            <w:noWrap/>
            <w:vAlign w:val="bottom"/>
            <w:hideMark/>
          </w:tcPr>
          <w:p w14:paraId="476C8DB5" w14:textId="77777777" w:rsidR="00D21094" w:rsidRPr="00D21094" w:rsidRDefault="00D21094" w:rsidP="00D21094">
            <w:pPr>
              <w:spacing w:after="0"/>
              <w:jc w:val="right"/>
              <w:rPr>
                <w:rFonts w:eastAsia="Times New Roman" w:cstheme="minorHAnsi"/>
                <w:color w:val="000000"/>
                <w:sz w:val="20"/>
                <w:szCs w:val="20"/>
              </w:rPr>
            </w:pPr>
            <w:r w:rsidRPr="00D21094">
              <w:rPr>
                <w:rFonts w:eastAsia="Times New Roman" w:cstheme="minorHAnsi"/>
                <w:color w:val="000000"/>
                <w:sz w:val="20"/>
                <w:szCs w:val="20"/>
              </w:rPr>
              <w:t>1%</w:t>
            </w:r>
          </w:p>
        </w:tc>
      </w:tr>
      <w:tr w:rsidR="00D21094" w:rsidRPr="00D21094" w14:paraId="670F8B76" w14:textId="77777777" w:rsidTr="00D21094">
        <w:trPr>
          <w:trHeight w:val="264"/>
        </w:trPr>
        <w:tc>
          <w:tcPr>
            <w:tcW w:w="4106" w:type="dxa"/>
            <w:noWrap/>
            <w:vAlign w:val="bottom"/>
            <w:hideMark/>
          </w:tcPr>
          <w:p w14:paraId="51B0D160" w14:textId="77777777" w:rsidR="00D21094" w:rsidRPr="00D21094" w:rsidRDefault="00D21094" w:rsidP="00D21094">
            <w:pPr>
              <w:spacing w:after="0"/>
              <w:rPr>
                <w:rFonts w:eastAsia="Times New Roman" w:cstheme="minorHAnsi"/>
                <w:color w:val="000000"/>
                <w:sz w:val="20"/>
                <w:szCs w:val="20"/>
              </w:rPr>
            </w:pPr>
            <w:r w:rsidRPr="00D21094">
              <w:rPr>
                <w:rFonts w:eastAsia="Times New Roman" w:cstheme="minorHAnsi"/>
                <w:color w:val="000000"/>
                <w:sz w:val="20"/>
                <w:szCs w:val="20"/>
              </w:rPr>
              <w:t>Asthma</w:t>
            </w:r>
          </w:p>
        </w:tc>
        <w:tc>
          <w:tcPr>
            <w:tcW w:w="1559" w:type="dxa"/>
            <w:noWrap/>
            <w:vAlign w:val="bottom"/>
            <w:hideMark/>
          </w:tcPr>
          <w:p w14:paraId="075D2A78" w14:textId="27A3258A" w:rsidR="00D21094" w:rsidRPr="00D21094" w:rsidRDefault="00D21094" w:rsidP="00D21094">
            <w:pPr>
              <w:spacing w:after="0"/>
              <w:jc w:val="right"/>
              <w:rPr>
                <w:rFonts w:eastAsia="Times New Roman" w:cstheme="minorHAnsi"/>
                <w:color w:val="000000"/>
                <w:sz w:val="20"/>
                <w:szCs w:val="20"/>
              </w:rPr>
            </w:pPr>
            <w:r w:rsidRPr="00D21094">
              <w:rPr>
                <w:rFonts w:eastAsia="Times New Roman" w:cstheme="minorHAnsi"/>
                <w:color w:val="000000"/>
                <w:sz w:val="20"/>
                <w:szCs w:val="20"/>
              </w:rPr>
              <w:t>4</w:t>
            </w:r>
            <w:r>
              <w:rPr>
                <w:rFonts w:eastAsia="Times New Roman" w:cstheme="minorHAnsi"/>
                <w:color w:val="000000"/>
                <w:sz w:val="20"/>
                <w:szCs w:val="20"/>
              </w:rPr>
              <w:t>,</w:t>
            </w:r>
            <w:r w:rsidRPr="00D21094">
              <w:rPr>
                <w:rFonts w:eastAsia="Times New Roman" w:cstheme="minorHAnsi"/>
                <w:color w:val="000000"/>
                <w:sz w:val="20"/>
                <w:szCs w:val="20"/>
              </w:rPr>
              <w:t>581</w:t>
            </w:r>
          </w:p>
        </w:tc>
        <w:tc>
          <w:tcPr>
            <w:tcW w:w="1418" w:type="dxa"/>
            <w:noWrap/>
            <w:vAlign w:val="bottom"/>
            <w:hideMark/>
          </w:tcPr>
          <w:p w14:paraId="1C32E1DD" w14:textId="77777777" w:rsidR="00D21094" w:rsidRPr="00D21094" w:rsidRDefault="00D21094" w:rsidP="00D21094">
            <w:pPr>
              <w:spacing w:after="0"/>
              <w:jc w:val="right"/>
              <w:rPr>
                <w:rFonts w:eastAsia="Times New Roman" w:cstheme="minorHAnsi"/>
                <w:color w:val="000000"/>
                <w:sz w:val="20"/>
                <w:szCs w:val="20"/>
              </w:rPr>
            </w:pPr>
            <w:r w:rsidRPr="00D21094">
              <w:rPr>
                <w:rFonts w:eastAsia="Times New Roman" w:cstheme="minorHAnsi"/>
                <w:color w:val="000000"/>
                <w:sz w:val="20"/>
                <w:szCs w:val="20"/>
              </w:rPr>
              <w:t>64%</w:t>
            </w:r>
          </w:p>
        </w:tc>
      </w:tr>
      <w:tr w:rsidR="00D21094" w:rsidRPr="00D21094" w14:paraId="64B34CA9" w14:textId="77777777" w:rsidTr="00D21094">
        <w:trPr>
          <w:trHeight w:val="264"/>
        </w:trPr>
        <w:tc>
          <w:tcPr>
            <w:tcW w:w="4106" w:type="dxa"/>
            <w:noWrap/>
            <w:vAlign w:val="bottom"/>
            <w:hideMark/>
          </w:tcPr>
          <w:p w14:paraId="5A662633" w14:textId="77777777" w:rsidR="00D21094" w:rsidRPr="00D21094" w:rsidRDefault="00D21094" w:rsidP="00D21094">
            <w:pPr>
              <w:spacing w:after="0"/>
              <w:rPr>
                <w:rFonts w:eastAsia="Times New Roman" w:cstheme="minorHAnsi"/>
                <w:color w:val="000000"/>
                <w:sz w:val="20"/>
                <w:szCs w:val="20"/>
              </w:rPr>
            </w:pPr>
            <w:r w:rsidRPr="00D21094">
              <w:rPr>
                <w:rFonts w:eastAsia="Times New Roman" w:cstheme="minorHAnsi"/>
                <w:color w:val="000000"/>
                <w:sz w:val="20"/>
                <w:szCs w:val="20"/>
              </w:rPr>
              <w:t>Asthma&gt;</w:t>
            </w:r>
            <w:proofErr w:type="spellStart"/>
            <w:r w:rsidRPr="00D21094">
              <w:rPr>
                <w:rFonts w:eastAsia="Times New Roman" w:cstheme="minorHAnsi"/>
                <w:color w:val="000000"/>
                <w:sz w:val="20"/>
                <w:szCs w:val="20"/>
              </w:rPr>
              <w:t>CRSwNP</w:t>
            </w:r>
            <w:proofErr w:type="spellEnd"/>
          </w:p>
        </w:tc>
        <w:tc>
          <w:tcPr>
            <w:tcW w:w="1559" w:type="dxa"/>
            <w:noWrap/>
            <w:vAlign w:val="bottom"/>
            <w:hideMark/>
          </w:tcPr>
          <w:p w14:paraId="1BD467CB" w14:textId="7C28D0F2" w:rsidR="00D21094" w:rsidRPr="00D21094" w:rsidRDefault="0042044B" w:rsidP="00D21094">
            <w:pPr>
              <w:spacing w:after="0"/>
              <w:jc w:val="right"/>
              <w:rPr>
                <w:rFonts w:eastAsia="Times New Roman" w:cstheme="minorHAnsi"/>
                <w:color w:val="000000"/>
                <w:sz w:val="20"/>
                <w:szCs w:val="20"/>
              </w:rPr>
            </w:pPr>
            <w:r>
              <w:rPr>
                <w:rFonts w:eastAsia="Times New Roman" w:cstheme="minorHAnsi"/>
                <w:color w:val="000000"/>
                <w:sz w:val="20"/>
                <w:szCs w:val="20"/>
              </w:rPr>
              <w:t>&lt;5</w:t>
            </w:r>
          </w:p>
        </w:tc>
        <w:tc>
          <w:tcPr>
            <w:tcW w:w="1418" w:type="dxa"/>
            <w:noWrap/>
            <w:vAlign w:val="bottom"/>
            <w:hideMark/>
          </w:tcPr>
          <w:p w14:paraId="3E9E947D" w14:textId="77777777" w:rsidR="00D21094" w:rsidRPr="00D21094" w:rsidRDefault="00D21094" w:rsidP="00D21094">
            <w:pPr>
              <w:spacing w:after="0"/>
              <w:jc w:val="right"/>
              <w:rPr>
                <w:rFonts w:eastAsia="Times New Roman" w:cstheme="minorHAnsi"/>
                <w:color w:val="000000"/>
                <w:sz w:val="20"/>
                <w:szCs w:val="20"/>
              </w:rPr>
            </w:pPr>
            <w:r w:rsidRPr="00D21094">
              <w:rPr>
                <w:rFonts w:eastAsia="Times New Roman" w:cstheme="minorHAnsi"/>
                <w:color w:val="000000"/>
                <w:sz w:val="20"/>
                <w:szCs w:val="20"/>
              </w:rPr>
              <w:t>0%</w:t>
            </w:r>
          </w:p>
        </w:tc>
      </w:tr>
      <w:tr w:rsidR="00D21094" w:rsidRPr="00D21094" w14:paraId="6E1B95F4" w14:textId="77777777" w:rsidTr="00D21094">
        <w:trPr>
          <w:trHeight w:val="264"/>
        </w:trPr>
        <w:tc>
          <w:tcPr>
            <w:tcW w:w="4106" w:type="dxa"/>
            <w:noWrap/>
            <w:vAlign w:val="bottom"/>
            <w:hideMark/>
          </w:tcPr>
          <w:p w14:paraId="4D90D3A6" w14:textId="77777777" w:rsidR="00D21094" w:rsidRPr="00D21094" w:rsidRDefault="00D21094" w:rsidP="00D21094">
            <w:pPr>
              <w:spacing w:after="0"/>
              <w:rPr>
                <w:rFonts w:eastAsia="Times New Roman" w:cstheme="minorHAnsi"/>
                <w:color w:val="000000"/>
                <w:sz w:val="20"/>
                <w:szCs w:val="20"/>
              </w:rPr>
            </w:pPr>
            <w:proofErr w:type="spellStart"/>
            <w:r w:rsidRPr="00D21094">
              <w:rPr>
                <w:rFonts w:eastAsia="Times New Roman" w:cstheme="minorHAnsi"/>
                <w:color w:val="000000"/>
                <w:sz w:val="20"/>
                <w:szCs w:val="20"/>
              </w:rPr>
              <w:t>CRSwNP</w:t>
            </w:r>
            <w:proofErr w:type="spellEnd"/>
          </w:p>
        </w:tc>
        <w:tc>
          <w:tcPr>
            <w:tcW w:w="1559" w:type="dxa"/>
            <w:noWrap/>
            <w:vAlign w:val="bottom"/>
            <w:hideMark/>
          </w:tcPr>
          <w:p w14:paraId="4814627E" w14:textId="38E3EA23" w:rsidR="00D21094" w:rsidRPr="00D21094" w:rsidRDefault="00D21094" w:rsidP="00D21094">
            <w:pPr>
              <w:spacing w:after="0"/>
              <w:jc w:val="right"/>
              <w:rPr>
                <w:rFonts w:eastAsia="Times New Roman" w:cstheme="minorHAnsi"/>
                <w:color w:val="000000"/>
                <w:sz w:val="20"/>
                <w:szCs w:val="20"/>
              </w:rPr>
            </w:pPr>
            <w:r w:rsidRPr="00D21094">
              <w:rPr>
                <w:rFonts w:eastAsia="Times New Roman" w:cstheme="minorHAnsi"/>
                <w:color w:val="000000"/>
                <w:sz w:val="20"/>
                <w:szCs w:val="20"/>
              </w:rPr>
              <w:t>2</w:t>
            </w:r>
            <w:r>
              <w:rPr>
                <w:rFonts w:eastAsia="Times New Roman" w:cstheme="minorHAnsi"/>
                <w:color w:val="000000"/>
                <w:sz w:val="20"/>
                <w:szCs w:val="20"/>
              </w:rPr>
              <w:t>,</w:t>
            </w:r>
            <w:r w:rsidRPr="00D21094">
              <w:rPr>
                <w:rFonts w:eastAsia="Times New Roman" w:cstheme="minorHAnsi"/>
                <w:color w:val="000000"/>
                <w:sz w:val="20"/>
                <w:szCs w:val="20"/>
              </w:rPr>
              <w:t>470</w:t>
            </w:r>
          </w:p>
        </w:tc>
        <w:tc>
          <w:tcPr>
            <w:tcW w:w="1418" w:type="dxa"/>
            <w:noWrap/>
            <w:vAlign w:val="bottom"/>
            <w:hideMark/>
          </w:tcPr>
          <w:p w14:paraId="511357C9" w14:textId="77777777" w:rsidR="00D21094" w:rsidRPr="00D21094" w:rsidRDefault="00D21094" w:rsidP="00D21094">
            <w:pPr>
              <w:spacing w:after="0"/>
              <w:jc w:val="right"/>
              <w:rPr>
                <w:rFonts w:eastAsia="Times New Roman" w:cstheme="minorHAnsi"/>
                <w:color w:val="000000"/>
                <w:sz w:val="20"/>
                <w:szCs w:val="20"/>
              </w:rPr>
            </w:pPr>
            <w:r w:rsidRPr="00D21094">
              <w:rPr>
                <w:rFonts w:eastAsia="Times New Roman" w:cstheme="minorHAnsi"/>
                <w:color w:val="000000"/>
                <w:sz w:val="20"/>
                <w:szCs w:val="20"/>
              </w:rPr>
              <w:t>35%</w:t>
            </w:r>
          </w:p>
        </w:tc>
      </w:tr>
      <w:tr w:rsidR="00D21094" w:rsidRPr="00D21094" w14:paraId="3CF9EB6C" w14:textId="77777777" w:rsidTr="00D21094">
        <w:trPr>
          <w:trHeight w:val="264"/>
        </w:trPr>
        <w:tc>
          <w:tcPr>
            <w:tcW w:w="4106" w:type="dxa"/>
            <w:noWrap/>
            <w:vAlign w:val="bottom"/>
            <w:hideMark/>
          </w:tcPr>
          <w:p w14:paraId="3354ACF9" w14:textId="77777777" w:rsidR="00D21094" w:rsidRPr="00D21094" w:rsidRDefault="00D21094" w:rsidP="00D21094">
            <w:pPr>
              <w:spacing w:after="0"/>
              <w:rPr>
                <w:rFonts w:eastAsia="Times New Roman" w:cstheme="minorHAnsi"/>
                <w:color w:val="000000"/>
                <w:sz w:val="20"/>
                <w:szCs w:val="20"/>
              </w:rPr>
            </w:pPr>
            <w:proofErr w:type="spellStart"/>
            <w:r w:rsidRPr="00D21094">
              <w:rPr>
                <w:rFonts w:eastAsia="Times New Roman" w:cstheme="minorHAnsi"/>
                <w:color w:val="000000"/>
                <w:sz w:val="20"/>
                <w:szCs w:val="20"/>
              </w:rPr>
              <w:t>CRSwNP</w:t>
            </w:r>
            <w:proofErr w:type="spellEnd"/>
            <w:r w:rsidRPr="00D21094">
              <w:rPr>
                <w:rFonts w:eastAsia="Times New Roman" w:cstheme="minorHAnsi"/>
                <w:color w:val="000000"/>
                <w:sz w:val="20"/>
                <w:szCs w:val="20"/>
              </w:rPr>
              <w:t>&gt;Asthma</w:t>
            </w:r>
          </w:p>
        </w:tc>
        <w:tc>
          <w:tcPr>
            <w:tcW w:w="1559" w:type="dxa"/>
            <w:noWrap/>
            <w:vAlign w:val="bottom"/>
            <w:hideMark/>
          </w:tcPr>
          <w:p w14:paraId="527CA5B2" w14:textId="77777777" w:rsidR="00D21094" w:rsidRPr="00D21094" w:rsidRDefault="00D21094" w:rsidP="00D21094">
            <w:pPr>
              <w:spacing w:after="0"/>
              <w:jc w:val="right"/>
              <w:rPr>
                <w:rFonts w:eastAsia="Times New Roman" w:cstheme="minorHAnsi"/>
                <w:color w:val="000000"/>
                <w:sz w:val="20"/>
                <w:szCs w:val="20"/>
              </w:rPr>
            </w:pPr>
            <w:r w:rsidRPr="00D21094">
              <w:rPr>
                <w:rFonts w:eastAsia="Times New Roman" w:cstheme="minorHAnsi"/>
                <w:color w:val="000000"/>
                <w:sz w:val="20"/>
                <w:szCs w:val="20"/>
              </w:rPr>
              <w:t>6</w:t>
            </w:r>
          </w:p>
        </w:tc>
        <w:tc>
          <w:tcPr>
            <w:tcW w:w="1418" w:type="dxa"/>
            <w:noWrap/>
            <w:vAlign w:val="bottom"/>
            <w:hideMark/>
          </w:tcPr>
          <w:p w14:paraId="12ED8452" w14:textId="77777777" w:rsidR="00D21094" w:rsidRPr="00D21094" w:rsidRDefault="00D21094" w:rsidP="00D21094">
            <w:pPr>
              <w:spacing w:after="0"/>
              <w:jc w:val="right"/>
              <w:rPr>
                <w:rFonts w:eastAsia="Times New Roman" w:cstheme="minorHAnsi"/>
                <w:color w:val="000000"/>
                <w:sz w:val="20"/>
                <w:szCs w:val="20"/>
              </w:rPr>
            </w:pPr>
            <w:r w:rsidRPr="00D21094">
              <w:rPr>
                <w:rFonts w:eastAsia="Times New Roman" w:cstheme="minorHAnsi"/>
                <w:color w:val="000000"/>
                <w:sz w:val="20"/>
                <w:szCs w:val="20"/>
              </w:rPr>
              <w:t>0%</w:t>
            </w:r>
          </w:p>
        </w:tc>
      </w:tr>
      <w:tr w:rsidR="00D21094" w:rsidRPr="00D21094" w14:paraId="1DF30496" w14:textId="77777777" w:rsidTr="00D21094">
        <w:trPr>
          <w:trHeight w:val="264"/>
        </w:trPr>
        <w:tc>
          <w:tcPr>
            <w:tcW w:w="4106" w:type="dxa"/>
            <w:noWrap/>
            <w:vAlign w:val="bottom"/>
            <w:hideMark/>
          </w:tcPr>
          <w:p w14:paraId="5AC95976" w14:textId="77777777" w:rsidR="00D21094" w:rsidRPr="00D21094" w:rsidRDefault="00D21094" w:rsidP="00D21094">
            <w:pPr>
              <w:spacing w:after="0"/>
              <w:rPr>
                <w:rFonts w:eastAsia="Times New Roman" w:cstheme="minorHAnsi"/>
                <w:color w:val="000000"/>
                <w:sz w:val="20"/>
                <w:szCs w:val="20"/>
              </w:rPr>
            </w:pPr>
            <w:proofErr w:type="spellStart"/>
            <w:r w:rsidRPr="00D21094">
              <w:rPr>
                <w:rFonts w:eastAsia="Times New Roman" w:cstheme="minorHAnsi"/>
                <w:color w:val="000000"/>
                <w:sz w:val="20"/>
                <w:szCs w:val="20"/>
              </w:rPr>
              <w:t>CRSwNP</w:t>
            </w:r>
            <w:proofErr w:type="spellEnd"/>
            <w:r w:rsidRPr="00D21094">
              <w:rPr>
                <w:rFonts w:eastAsia="Times New Roman" w:cstheme="minorHAnsi"/>
                <w:color w:val="000000"/>
                <w:sz w:val="20"/>
                <w:szCs w:val="20"/>
              </w:rPr>
              <w:t>&gt;Asthma&gt;</w:t>
            </w:r>
            <w:proofErr w:type="spellStart"/>
            <w:r w:rsidRPr="00D21094">
              <w:rPr>
                <w:rFonts w:eastAsia="Times New Roman" w:cstheme="minorHAnsi"/>
                <w:color w:val="000000"/>
                <w:sz w:val="20"/>
                <w:szCs w:val="20"/>
              </w:rPr>
              <w:t>CRSwNP</w:t>
            </w:r>
            <w:proofErr w:type="spellEnd"/>
          </w:p>
        </w:tc>
        <w:tc>
          <w:tcPr>
            <w:tcW w:w="1559" w:type="dxa"/>
            <w:noWrap/>
            <w:vAlign w:val="bottom"/>
            <w:hideMark/>
          </w:tcPr>
          <w:p w14:paraId="7979EBCA" w14:textId="346A2A62" w:rsidR="00D21094" w:rsidRPr="00D21094" w:rsidRDefault="0042044B" w:rsidP="00D21094">
            <w:pPr>
              <w:spacing w:after="0"/>
              <w:jc w:val="right"/>
              <w:rPr>
                <w:rFonts w:eastAsia="Times New Roman" w:cstheme="minorHAnsi"/>
                <w:color w:val="000000"/>
                <w:sz w:val="20"/>
                <w:szCs w:val="20"/>
              </w:rPr>
            </w:pPr>
            <w:r>
              <w:rPr>
                <w:rFonts w:eastAsia="Times New Roman" w:cstheme="minorHAnsi"/>
                <w:color w:val="000000"/>
                <w:sz w:val="20"/>
                <w:szCs w:val="20"/>
              </w:rPr>
              <w:t>&lt;5</w:t>
            </w:r>
          </w:p>
        </w:tc>
        <w:tc>
          <w:tcPr>
            <w:tcW w:w="1418" w:type="dxa"/>
            <w:noWrap/>
            <w:vAlign w:val="bottom"/>
            <w:hideMark/>
          </w:tcPr>
          <w:p w14:paraId="5557A21D" w14:textId="77777777" w:rsidR="00D21094" w:rsidRPr="00D21094" w:rsidRDefault="00D21094" w:rsidP="00D21094">
            <w:pPr>
              <w:spacing w:after="0"/>
              <w:jc w:val="right"/>
              <w:rPr>
                <w:rFonts w:eastAsia="Times New Roman" w:cstheme="minorHAnsi"/>
                <w:color w:val="000000"/>
                <w:sz w:val="20"/>
                <w:szCs w:val="20"/>
              </w:rPr>
            </w:pPr>
            <w:r w:rsidRPr="00D21094">
              <w:rPr>
                <w:rFonts w:eastAsia="Times New Roman" w:cstheme="minorHAnsi"/>
                <w:color w:val="000000"/>
                <w:sz w:val="20"/>
                <w:szCs w:val="20"/>
              </w:rPr>
              <w:t>0%</w:t>
            </w:r>
          </w:p>
        </w:tc>
      </w:tr>
      <w:tr w:rsidR="00D21094" w:rsidRPr="00D21094" w14:paraId="68648AB2" w14:textId="77777777" w:rsidTr="00D21094">
        <w:trPr>
          <w:trHeight w:val="264"/>
        </w:trPr>
        <w:tc>
          <w:tcPr>
            <w:tcW w:w="4106" w:type="dxa"/>
            <w:noWrap/>
            <w:vAlign w:val="bottom"/>
            <w:hideMark/>
          </w:tcPr>
          <w:p w14:paraId="0F039E00" w14:textId="637784F5" w:rsidR="00D21094" w:rsidRPr="00D21094" w:rsidRDefault="000C7F82" w:rsidP="00613672">
            <w:pPr>
              <w:spacing w:after="0"/>
              <w:rPr>
                <w:rFonts w:eastAsia="Times New Roman" w:cstheme="minorHAnsi"/>
                <w:color w:val="000000"/>
                <w:sz w:val="20"/>
                <w:szCs w:val="20"/>
              </w:rPr>
            </w:pPr>
            <w:r>
              <w:rPr>
                <w:rFonts w:eastAsia="Times New Roman" w:cstheme="minorHAnsi"/>
                <w:color w:val="000000"/>
                <w:sz w:val="20"/>
                <w:szCs w:val="20"/>
              </w:rPr>
              <w:t>Total number of patients</w:t>
            </w:r>
          </w:p>
        </w:tc>
        <w:tc>
          <w:tcPr>
            <w:tcW w:w="1559" w:type="dxa"/>
            <w:noWrap/>
            <w:vAlign w:val="bottom"/>
            <w:hideMark/>
          </w:tcPr>
          <w:p w14:paraId="18D11F9F" w14:textId="1A9A13BD" w:rsidR="00D21094" w:rsidRPr="00D21094" w:rsidRDefault="00D21094" w:rsidP="00D21094">
            <w:pPr>
              <w:spacing w:after="0"/>
              <w:jc w:val="right"/>
              <w:rPr>
                <w:rFonts w:eastAsia="Times New Roman" w:cstheme="minorHAnsi"/>
                <w:color w:val="000000"/>
                <w:sz w:val="20"/>
                <w:szCs w:val="20"/>
              </w:rPr>
            </w:pPr>
            <w:r w:rsidRPr="00D21094">
              <w:rPr>
                <w:rFonts w:eastAsia="Times New Roman" w:cstheme="minorHAnsi"/>
                <w:color w:val="000000"/>
                <w:sz w:val="20"/>
                <w:szCs w:val="20"/>
              </w:rPr>
              <w:t>7</w:t>
            </w:r>
            <w:r>
              <w:rPr>
                <w:rFonts w:eastAsia="Times New Roman" w:cstheme="minorHAnsi"/>
                <w:color w:val="000000"/>
                <w:sz w:val="20"/>
                <w:szCs w:val="20"/>
              </w:rPr>
              <w:t>,</w:t>
            </w:r>
            <w:r w:rsidRPr="00D21094">
              <w:rPr>
                <w:rFonts w:eastAsia="Times New Roman" w:cstheme="minorHAnsi"/>
                <w:color w:val="000000"/>
                <w:sz w:val="20"/>
                <w:szCs w:val="20"/>
              </w:rPr>
              <w:t>122</w:t>
            </w:r>
          </w:p>
        </w:tc>
        <w:tc>
          <w:tcPr>
            <w:tcW w:w="1418" w:type="dxa"/>
            <w:noWrap/>
            <w:vAlign w:val="bottom"/>
            <w:hideMark/>
          </w:tcPr>
          <w:p w14:paraId="29B6E464" w14:textId="77777777" w:rsidR="00D21094" w:rsidRPr="00D21094" w:rsidRDefault="00D21094" w:rsidP="00D21094">
            <w:pPr>
              <w:spacing w:after="0"/>
              <w:jc w:val="right"/>
              <w:rPr>
                <w:rFonts w:eastAsia="Times New Roman" w:cstheme="minorHAnsi"/>
                <w:color w:val="000000"/>
                <w:sz w:val="20"/>
                <w:szCs w:val="20"/>
              </w:rPr>
            </w:pPr>
          </w:p>
        </w:tc>
      </w:tr>
    </w:tbl>
    <w:p w14:paraId="0349CE09" w14:textId="1812B346" w:rsidR="00D21094" w:rsidRPr="00D21094" w:rsidRDefault="00D21094" w:rsidP="00613672">
      <w:pPr>
        <w:pStyle w:val="Tabletitle"/>
        <w:keepNext/>
        <w:rPr>
          <w:rFonts w:cstheme="minorHAnsi"/>
        </w:rPr>
      </w:pPr>
      <w:r w:rsidRPr="00D21094">
        <w:rPr>
          <w:rFonts w:cstheme="minorHAnsi"/>
        </w:rPr>
        <w:lastRenderedPageBreak/>
        <w:t xml:space="preserve">Table </w:t>
      </w:r>
      <w:r w:rsidR="006060D9">
        <w:rPr>
          <w:rFonts w:cstheme="minorHAnsi"/>
        </w:rPr>
        <w:t>6</w:t>
      </w:r>
      <w:r w:rsidRPr="00D21094">
        <w:rPr>
          <w:rFonts w:cstheme="minorHAnsi"/>
        </w:rPr>
        <w:t xml:space="preserve">: Indication sequence using PBS item codes </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559"/>
        <w:gridCol w:w="1418"/>
      </w:tblGrid>
      <w:tr w:rsidR="00D21094" w:rsidRPr="00D21094" w14:paraId="6DD695FD" w14:textId="77777777" w:rsidTr="00D21094">
        <w:trPr>
          <w:trHeight w:val="264"/>
        </w:trPr>
        <w:tc>
          <w:tcPr>
            <w:tcW w:w="4106" w:type="dxa"/>
            <w:shd w:val="clear" w:color="auto" w:fill="BFBFBF" w:themeFill="background1" w:themeFillShade="BF"/>
            <w:noWrap/>
            <w:vAlign w:val="bottom"/>
            <w:hideMark/>
          </w:tcPr>
          <w:p w14:paraId="04B10B43" w14:textId="77777777" w:rsidR="00D21094" w:rsidRPr="00D21094" w:rsidRDefault="00D21094" w:rsidP="00613672">
            <w:pPr>
              <w:keepNext/>
              <w:spacing w:after="0"/>
              <w:rPr>
                <w:rFonts w:eastAsia="Times New Roman" w:cstheme="minorHAnsi"/>
                <w:b/>
                <w:bCs/>
                <w:color w:val="000000"/>
                <w:sz w:val="20"/>
                <w:szCs w:val="20"/>
              </w:rPr>
            </w:pPr>
            <w:r w:rsidRPr="00D21094">
              <w:rPr>
                <w:rFonts w:eastAsia="Times New Roman" w:cstheme="minorHAnsi"/>
                <w:b/>
                <w:bCs/>
                <w:color w:val="000000"/>
                <w:sz w:val="20"/>
                <w:szCs w:val="20"/>
              </w:rPr>
              <w:t>Indication sequence using PBS item code</w:t>
            </w:r>
          </w:p>
        </w:tc>
        <w:tc>
          <w:tcPr>
            <w:tcW w:w="1559" w:type="dxa"/>
            <w:shd w:val="clear" w:color="auto" w:fill="BFBFBF" w:themeFill="background1" w:themeFillShade="BF"/>
            <w:noWrap/>
            <w:vAlign w:val="bottom"/>
            <w:hideMark/>
          </w:tcPr>
          <w:p w14:paraId="25FEA749" w14:textId="77777777" w:rsidR="00D21094" w:rsidRPr="00D21094" w:rsidRDefault="00D21094" w:rsidP="00613672">
            <w:pPr>
              <w:keepNext/>
              <w:spacing w:after="0"/>
              <w:rPr>
                <w:rFonts w:eastAsia="Times New Roman" w:cstheme="minorHAnsi"/>
                <w:b/>
                <w:bCs/>
                <w:color w:val="000000"/>
                <w:sz w:val="20"/>
                <w:szCs w:val="20"/>
              </w:rPr>
            </w:pPr>
            <w:r w:rsidRPr="00D21094">
              <w:rPr>
                <w:rFonts w:eastAsia="Times New Roman" w:cstheme="minorHAnsi"/>
                <w:b/>
                <w:bCs/>
                <w:color w:val="000000"/>
                <w:sz w:val="20"/>
                <w:szCs w:val="20"/>
              </w:rPr>
              <w:t>Patient counts</w:t>
            </w:r>
          </w:p>
        </w:tc>
        <w:tc>
          <w:tcPr>
            <w:tcW w:w="1418" w:type="dxa"/>
            <w:shd w:val="clear" w:color="auto" w:fill="BFBFBF" w:themeFill="background1" w:themeFillShade="BF"/>
            <w:vAlign w:val="bottom"/>
          </w:tcPr>
          <w:p w14:paraId="1709CBA7" w14:textId="3C258F1B" w:rsidR="00D21094" w:rsidRPr="00D21094" w:rsidRDefault="00D21094" w:rsidP="00613672">
            <w:pPr>
              <w:keepNext/>
              <w:spacing w:after="0"/>
              <w:rPr>
                <w:rFonts w:eastAsia="Times New Roman" w:cstheme="minorHAnsi"/>
                <w:b/>
                <w:bCs/>
                <w:color w:val="000000"/>
                <w:sz w:val="20"/>
                <w:szCs w:val="20"/>
              </w:rPr>
            </w:pPr>
            <w:r>
              <w:rPr>
                <w:rFonts w:eastAsia="Times New Roman" w:cstheme="minorHAnsi"/>
                <w:b/>
                <w:bCs/>
                <w:color w:val="000000"/>
                <w:sz w:val="20"/>
                <w:szCs w:val="20"/>
              </w:rPr>
              <w:t>Percentage</w:t>
            </w:r>
          </w:p>
        </w:tc>
      </w:tr>
      <w:tr w:rsidR="00D21094" w:rsidRPr="00D21094" w14:paraId="2C7567DC" w14:textId="77777777" w:rsidTr="00D21094">
        <w:trPr>
          <w:trHeight w:val="264"/>
        </w:trPr>
        <w:tc>
          <w:tcPr>
            <w:tcW w:w="4106" w:type="dxa"/>
            <w:noWrap/>
            <w:vAlign w:val="bottom"/>
            <w:hideMark/>
          </w:tcPr>
          <w:p w14:paraId="5C450052" w14:textId="77777777" w:rsidR="00D21094" w:rsidRPr="00D21094" w:rsidRDefault="00D21094" w:rsidP="00613672">
            <w:pPr>
              <w:keepNext/>
              <w:spacing w:after="0"/>
              <w:rPr>
                <w:rFonts w:eastAsia="Times New Roman" w:cstheme="minorHAnsi"/>
                <w:color w:val="000000"/>
                <w:sz w:val="20"/>
                <w:szCs w:val="20"/>
              </w:rPr>
            </w:pPr>
            <w:r w:rsidRPr="00D21094">
              <w:rPr>
                <w:rFonts w:eastAsia="Times New Roman" w:cstheme="minorHAnsi"/>
                <w:color w:val="000000"/>
                <w:sz w:val="20"/>
                <w:szCs w:val="20"/>
              </w:rPr>
              <w:t>Asthma</w:t>
            </w:r>
          </w:p>
        </w:tc>
        <w:tc>
          <w:tcPr>
            <w:tcW w:w="1559" w:type="dxa"/>
            <w:noWrap/>
            <w:vAlign w:val="bottom"/>
            <w:hideMark/>
          </w:tcPr>
          <w:p w14:paraId="5E2A3BE7" w14:textId="23F3F70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3</w:t>
            </w:r>
            <w:r>
              <w:rPr>
                <w:rFonts w:eastAsia="Times New Roman" w:cstheme="minorHAnsi"/>
                <w:color w:val="000000"/>
                <w:sz w:val="20"/>
                <w:szCs w:val="20"/>
              </w:rPr>
              <w:t>,</w:t>
            </w:r>
            <w:r w:rsidRPr="00D21094">
              <w:rPr>
                <w:rFonts w:eastAsia="Times New Roman" w:cstheme="minorHAnsi"/>
                <w:color w:val="000000"/>
                <w:sz w:val="20"/>
                <w:szCs w:val="20"/>
              </w:rPr>
              <w:t>958</w:t>
            </w:r>
          </w:p>
        </w:tc>
        <w:tc>
          <w:tcPr>
            <w:tcW w:w="1418" w:type="dxa"/>
            <w:noWrap/>
            <w:vAlign w:val="bottom"/>
            <w:hideMark/>
          </w:tcPr>
          <w:p w14:paraId="1548FF43"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56%</w:t>
            </w:r>
          </w:p>
        </w:tc>
      </w:tr>
      <w:tr w:rsidR="00D21094" w:rsidRPr="00D21094" w14:paraId="2FCB8503" w14:textId="77777777" w:rsidTr="00D21094">
        <w:trPr>
          <w:trHeight w:val="264"/>
        </w:trPr>
        <w:tc>
          <w:tcPr>
            <w:tcW w:w="4106" w:type="dxa"/>
            <w:noWrap/>
            <w:vAlign w:val="bottom"/>
            <w:hideMark/>
          </w:tcPr>
          <w:p w14:paraId="2F1E3771" w14:textId="77777777" w:rsidR="00D21094" w:rsidRPr="00D21094" w:rsidRDefault="00D21094" w:rsidP="00613672">
            <w:pPr>
              <w:keepNext/>
              <w:spacing w:after="0"/>
              <w:rPr>
                <w:rFonts w:eastAsia="Times New Roman" w:cstheme="minorHAnsi"/>
                <w:color w:val="000000"/>
                <w:sz w:val="20"/>
                <w:szCs w:val="20"/>
              </w:rPr>
            </w:pPr>
            <w:r w:rsidRPr="00D21094">
              <w:rPr>
                <w:rFonts w:eastAsia="Times New Roman" w:cstheme="minorHAnsi"/>
                <w:color w:val="000000"/>
                <w:sz w:val="20"/>
                <w:szCs w:val="20"/>
              </w:rPr>
              <w:t>Asthma&gt;</w:t>
            </w:r>
            <w:proofErr w:type="spellStart"/>
            <w:r w:rsidRPr="00D21094">
              <w:rPr>
                <w:rFonts w:eastAsia="Times New Roman" w:cstheme="minorHAnsi"/>
                <w:color w:val="000000"/>
                <w:sz w:val="20"/>
                <w:szCs w:val="20"/>
              </w:rPr>
              <w:t>CRSwNP</w:t>
            </w:r>
            <w:proofErr w:type="spellEnd"/>
          </w:p>
        </w:tc>
        <w:tc>
          <w:tcPr>
            <w:tcW w:w="1559" w:type="dxa"/>
            <w:noWrap/>
            <w:vAlign w:val="bottom"/>
            <w:hideMark/>
          </w:tcPr>
          <w:p w14:paraId="3541BFB2"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245</w:t>
            </w:r>
          </w:p>
        </w:tc>
        <w:tc>
          <w:tcPr>
            <w:tcW w:w="1418" w:type="dxa"/>
            <w:noWrap/>
            <w:vAlign w:val="bottom"/>
            <w:hideMark/>
          </w:tcPr>
          <w:p w14:paraId="3663DABE"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3%</w:t>
            </w:r>
          </w:p>
        </w:tc>
      </w:tr>
      <w:tr w:rsidR="00D21094" w:rsidRPr="00D21094" w14:paraId="57526103" w14:textId="77777777" w:rsidTr="00D21094">
        <w:trPr>
          <w:trHeight w:val="264"/>
        </w:trPr>
        <w:tc>
          <w:tcPr>
            <w:tcW w:w="4106" w:type="dxa"/>
            <w:noWrap/>
            <w:vAlign w:val="bottom"/>
            <w:hideMark/>
          </w:tcPr>
          <w:p w14:paraId="2DBAA3B3" w14:textId="77777777" w:rsidR="00D21094" w:rsidRPr="00D21094" w:rsidRDefault="00D21094" w:rsidP="00613672">
            <w:pPr>
              <w:keepNext/>
              <w:spacing w:after="0"/>
              <w:rPr>
                <w:rFonts w:eastAsia="Times New Roman" w:cstheme="minorHAnsi"/>
                <w:color w:val="000000"/>
                <w:sz w:val="20"/>
                <w:szCs w:val="20"/>
              </w:rPr>
            </w:pPr>
            <w:r w:rsidRPr="00D21094">
              <w:rPr>
                <w:rFonts w:eastAsia="Times New Roman" w:cstheme="minorHAnsi"/>
                <w:color w:val="000000"/>
                <w:sz w:val="20"/>
                <w:szCs w:val="20"/>
              </w:rPr>
              <w:t>Asthma&gt;</w:t>
            </w:r>
            <w:proofErr w:type="spellStart"/>
            <w:r w:rsidRPr="00D21094">
              <w:rPr>
                <w:rFonts w:eastAsia="Times New Roman" w:cstheme="minorHAnsi"/>
                <w:color w:val="000000"/>
                <w:sz w:val="20"/>
                <w:szCs w:val="20"/>
              </w:rPr>
              <w:t>CRSwNP</w:t>
            </w:r>
            <w:proofErr w:type="spellEnd"/>
            <w:r w:rsidRPr="00D21094">
              <w:rPr>
                <w:rFonts w:eastAsia="Times New Roman" w:cstheme="minorHAnsi"/>
                <w:color w:val="000000"/>
                <w:sz w:val="20"/>
                <w:szCs w:val="20"/>
              </w:rPr>
              <w:t>&gt;Asthma</w:t>
            </w:r>
          </w:p>
        </w:tc>
        <w:tc>
          <w:tcPr>
            <w:tcW w:w="1559" w:type="dxa"/>
            <w:noWrap/>
            <w:vAlign w:val="bottom"/>
            <w:hideMark/>
          </w:tcPr>
          <w:p w14:paraId="6C26DB2C"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384</w:t>
            </w:r>
          </w:p>
        </w:tc>
        <w:tc>
          <w:tcPr>
            <w:tcW w:w="1418" w:type="dxa"/>
            <w:noWrap/>
            <w:vAlign w:val="bottom"/>
            <w:hideMark/>
          </w:tcPr>
          <w:p w14:paraId="29B31C53"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5%</w:t>
            </w:r>
          </w:p>
        </w:tc>
      </w:tr>
      <w:tr w:rsidR="00D21094" w:rsidRPr="00D21094" w14:paraId="66F445BF" w14:textId="77777777" w:rsidTr="00D21094">
        <w:trPr>
          <w:trHeight w:val="264"/>
        </w:trPr>
        <w:tc>
          <w:tcPr>
            <w:tcW w:w="4106" w:type="dxa"/>
            <w:noWrap/>
            <w:vAlign w:val="bottom"/>
            <w:hideMark/>
          </w:tcPr>
          <w:p w14:paraId="0E608729" w14:textId="77777777" w:rsidR="00D21094" w:rsidRPr="00D21094" w:rsidRDefault="00D21094" w:rsidP="00613672">
            <w:pPr>
              <w:keepNext/>
              <w:spacing w:after="0"/>
              <w:rPr>
                <w:rFonts w:eastAsia="Times New Roman" w:cstheme="minorHAnsi"/>
                <w:color w:val="000000"/>
                <w:sz w:val="20"/>
                <w:szCs w:val="20"/>
              </w:rPr>
            </w:pPr>
            <w:r w:rsidRPr="00D21094">
              <w:rPr>
                <w:rFonts w:eastAsia="Times New Roman" w:cstheme="minorHAnsi"/>
                <w:color w:val="000000"/>
                <w:sz w:val="20"/>
                <w:szCs w:val="20"/>
              </w:rPr>
              <w:t>Asthma&gt;</w:t>
            </w:r>
            <w:proofErr w:type="spellStart"/>
            <w:r w:rsidRPr="00D21094">
              <w:rPr>
                <w:rFonts w:eastAsia="Times New Roman" w:cstheme="minorHAnsi"/>
                <w:color w:val="000000"/>
                <w:sz w:val="20"/>
                <w:szCs w:val="20"/>
              </w:rPr>
              <w:t>CRSwNP</w:t>
            </w:r>
            <w:proofErr w:type="spellEnd"/>
            <w:r w:rsidRPr="00D21094">
              <w:rPr>
                <w:rFonts w:eastAsia="Times New Roman" w:cstheme="minorHAnsi"/>
                <w:color w:val="000000"/>
                <w:sz w:val="20"/>
                <w:szCs w:val="20"/>
              </w:rPr>
              <w:t>&gt;Asthma&gt;</w:t>
            </w:r>
            <w:proofErr w:type="spellStart"/>
            <w:r w:rsidRPr="00D21094">
              <w:rPr>
                <w:rFonts w:eastAsia="Times New Roman" w:cstheme="minorHAnsi"/>
                <w:color w:val="000000"/>
                <w:sz w:val="20"/>
                <w:szCs w:val="20"/>
              </w:rPr>
              <w:t>CRSwNP</w:t>
            </w:r>
            <w:proofErr w:type="spellEnd"/>
          </w:p>
        </w:tc>
        <w:tc>
          <w:tcPr>
            <w:tcW w:w="1559" w:type="dxa"/>
            <w:noWrap/>
            <w:vAlign w:val="bottom"/>
            <w:hideMark/>
          </w:tcPr>
          <w:p w14:paraId="282DE5EB"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60</w:t>
            </w:r>
          </w:p>
        </w:tc>
        <w:tc>
          <w:tcPr>
            <w:tcW w:w="1418" w:type="dxa"/>
            <w:noWrap/>
            <w:vAlign w:val="bottom"/>
            <w:hideMark/>
          </w:tcPr>
          <w:p w14:paraId="03DA40CA"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1%</w:t>
            </w:r>
          </w:p>
        </w:tc>
      </w:tr>
      <w:tr w:rsidR="00D21094" w:rsidRPr="00D21094" w14:paraId="0E27F1C7" w14:textId="77777777" w:rsidTr="00D21094">
        <w:trPr>
          <w:trHeight w:val="264"/>
        </w:trPr>
        <w:tc>
          <w:tcPr>
            <w:tcW w:w="4106" w:type="dxa"/>
            <w:noWrap/>
            <w:vAlign w:val="bottom"/>
            <w:hideMark/>
          </w:tcPr>
          <w:p w14:paraId="44248B5A" w14:textId="77777777" w:rsidR="00D21094" w:rsidRPr="00D21094" w:rsidRDefault="00D21094" w:rsidP="00613672">
            <w:pPr>
              <w:keepNext/>
              <w:spacing w:after="0"/>
              <w:rPr>
                <w:rFonts w:eastAsia="Times New Roman" w:cstheme="minorHAnsi"/>
                <w:color w:val="000000"/>
                <w:sz w:val="20"/>
                <w:szCs w:val="20"/>
              </w:rPr>
            </w:pPr>
            <w:r w:rsidRPr="00D21094">
              <w:rPr>
                <w:rFonts w:eastAsia="Times New Roman" w:cstheme="minorHAnsi"/>
                <w:color w:val="000000"/>
                <w:sz w:val="20"/>
                <w:szCs w:val="20"/>
              </w:rPr>
              <w:t>Asthma with four or more changes</w:t>
            </w:r>
          </w:p>
        </w:tc>
        <w:tc>
          <w:tcPr>
            <w:tcW w:w="1559" w:type="dxa"/>
            <w:noWrap/>
            <w:vAlign w:val="bottom"/>
            <w:hideMark/>
          </w:tcPr>
          <w:p w14:paraId="4902C2CD"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107</w:t>
            </w:r>
          </w:p>
        </w:tc>
        <w:tc>
          <w:tcPr>
            <w:tcW w:w="1418" w:type="dxa"/>
            <w:noWrap/>
            <w:vAlign w:val="bottom"/>
            <w:hideMark/>
          </w:tcPr>
          <w:p w14:paraId="09F81AC7"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2%</w:t>
            </w:r>
          </w:p>
        </w:tc>
      </w:tr>
      <w:tr w:rsidR="00D21094" w:rsidRPr="00D21094" w14:paraId="04828C04" w14:textId="77777777" w:rsidTr="00D21094">
        <w:trPr>
          <w:trHeight w:val="264"/>
        </w:trPr>
        <w:tc>
          <w:tcPr>
            <w:tcW w:w="4106" w:type="dxa"/>
            <w:noWrap/>
            <w:vAlign w:val="bottom"/>
            <w:hideMark/>
          </w:tcPr>
          <w:p w14:paraId="2D731C96" w14:textId="77777777" w:rsidR="00D21094" w:rsidRPr="00D21094" w:rsidRDefault="00D21094" w:rsidP="00613672">
            <w:pPr>
              <w:keepNext/>
              <w:spacing w:after="0"/>
              <w:rPr>
                <w:rFonts w:eastAsia="Times New Roman" w:cstheme="minorHAnsi"/>
                <w:color w:val="000000"/>
                <w:sz w:val="20"/>
                <w:szCs w:val="20"/>
              </w:rPr>
            </w:pPr>
            <w:proofErr w:type="spellStart"/>
            <w:r w:rsidRPr="00D21094">
              <w:rPr>
                <w:rFonts w:eastAsia="Times New Roman" w:cstheme="minorHAnsi"/>
                <w:color w:val="000000"/>
                <w:sz w:val="20"/>
                <w:szCs w:val="20"/>
              </w:rPr>
              <w:t>CRSwNP</w:t>
            </w:r>
            <w:proofErr w:type="spellEnd"/>
          </w:p>
        </w:tc>
        <w:tc>
          <w:tcPr>
            <w:tcW w:w="1559" w:type="dxa"/>
            <w:noWrap/>
            <w:vAlign w:val="bottom"/>
            <w:hideMark/>
          </w:tcPr>
          <w:p w14:paraId="341C704C" w14:textId="61589850"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1</w:t>
            </w:r>
            <w:r>
              <w:rPr>
                <w:rFonts w:eastAsia="Times New Roman" w:cstheme="minorHAnsi"/>
                <w:color w:val="000000"/>
                <w:sz w:val="20"/>
                <w:szCs w:val="20"/>
              </w:rPr>
              <w:t>,</w:t>
            </w:r>
            <w:r w:rsidRPr="00D21094">
              <w:rPr>
                <w:rFonts w:eastAsia="Times New Roman" w:cstheme="minorHAnsi"/>
                <w:color w:val="000000"/>
                <w:sz w:val="20"/>
                <w:szCs w:val="20"/>
              </w:rPr>
              <w:t>929</w:t>
            </w:r>
          </w:p>
        </w:tc>
        <w:tc>
          <w:tcPr>
            <w:tcW w:w="1418" w:type="dxa"/>
            <w:noWrap/>
            <w:vAlign w:val="bottom"/>
            <w:hideMark/>
          </w:tcPr>
          <w:p w14:paraId="420CEA3A"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27%</w:t>
            </w:r>
          </w:p>
        </w:tc>
      </w:tr>
      <w:tr w:rsidR="00D21094" w:rsidRPr="00D21094" w14:paraId="6FB0FF7D" w14:textId="77777777" w:rsidTr="00D21094">
        <w:trPr>
          <w:trHeight w:val="264"/>
        </w:trPr>
        <w:tc>
          <w:tcPr>
            <w:tcW w:w="4106" w:type="dxa"/>
            <w:noWrap/>
            <w:vAlign w:val="bottom"/>
            <w:hideMark/>
          </w:tcPr>
          <w:p w14:paraId="1F4219DF" w14:textId="77777777" w:rsidR="00D21094" w:rsidRPr="00D21094" w:rsidRDefault="00D21094" w:rsidP="00613672">
            <w:pPr>
              <w:keepNext/>
              <w:spacing w:after="0"/>
              <w:rPr>
                <w:rFonts w:eastAsia="Times New Roman" w:cstheme="minorHAnsi"/>
                <w:color w:val="000000"/>
                <w:sz w:val="20"/>
                <w:szCs w:val="20"/>
              </w:rPr>
            </w:pPr>
            <w:proofErr w:type="spellStart"/>
            <w:r w:rsidRPr="00D21094">
              <w:rPr>
                <w:rFonts w:eastAsia="Times New Roman" w:cstheme="minorHAnsi"/>
                <w:color w:val="000000"/>
                <w:sz w:val="20"/>
                <w:szCs w:val="20"/>
              </w:rPr>
              <w:t>CRSwNP</w:t>
            </w:r>
            <w:proofErr w:type="spellEnd"/>
            <w:r w:rsidRPr="00D21094">
              <w:rPr>
                <w:rFonts w:eastAsia="Times New Roman" w:cstheme="minorHAnsi"/>
                <w:color w:val="000000"/>
                <w:sz w:val="20"/>
                <w:szCs w:val="20"/>
              </w:rPr>
              <w:t>&gt;Asthma</w:t>
            </w:r>
          </w:p>
        </w:tc>
        <w:tc>
          <w:tcPr>
            <w:tcW w:w="1559" w:type="dxa"/>
            <w:noWrap/>
            <w:vAlign w:val="bottom"/>
            <w:hideMark/>
          </w:tcPr>
          <w:p w14:paraId="45E73E21"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211</w:t>
            </w:r>
          </w:p>
        </w:tc>
        <w:tc>
          <w:tcPr>
            <w:tcW w:w="1418" w:type="dxa"/>
            <w:noWrap/>
            <w:vAlign w:val="bottom"/>
            <w:hideMark/>
          </w:tcPr>
          <w:p w14:paraId="534741B8"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3%</w:t>
            </w:r>
          </w:p>
        </w:tc>
      </w:tr>
      <w:tr w:rsidR="00D21094" w:rsidRPr="00D21094" w14:paraId="573FE909" w14:textId="77777777" w:rsidTr="00D21094">
        <w:trPr>
          <w:trHeight w:val="264"/>
        </w:trPr>
        <w:tc>
          <w:tcPr>
            <w:tcW w:w="4106" w:type="dxa"/>
            <w:noWrap/>
            <w:vAlign w:val="bottom"/>
            <w:hideMark/>
          </w:tcPr>
          <w:p w14:paraId="744661D5" w14:textId="77777777" w:rsidR="00D21094" w:rsidRPr="00D21094" w:rsidRDefault="00D21094" w:rsidP="00613672">
            <w:pPr>
              <w:keepNext/>
              <w:spacing w:after="0"/>
              <w:rPr>
                <w:rFonts w:eastAsia="Times New Roman" w:cstheme="minorHAnsi"/>
                <w:color w:val="000000"/>
                <w:sz w:val="20"/>
                <w:szCs w:val="20"/>
              </w:rPr>
            </w:pPr>
            <w:proofErr w:type="spellStart"/>
            <w:r w:rsidRPr="00D21094">
              <w:rPr>
                <w:rFonts w:eastAsia="Times New Roman" w:cstheme="minorHAnsi"/>
                <w:color w:val="000000"/>
                <w:sz w:val="20"/>
                <w:szCs w:val="20"/>
              </w:rPr>
              <w:t>CRSwNP</w:t>
            </w:r>
            <w:proofErr w:type="spellEnd"/>
            <w:r w:rsidRPr="00D21094">
              <w:rPr>
                <w:rFonts w:eastAsia="Times New Roman" w:cstheme="minorHAnsi"/>
                <w:color w:val="000000"/>
                <w:sz w:val="20"/>
                <w:szCs w:val="20"/>
              </w:rPr>
              <w:t>&gt;Asthma&gt;</w:t>
            </w:r>
            <w:proofErr w:type="spellStart"/>
            <w:r w:rsidRPr="00D21094">
              <w:rPr>
                <w:rFonts w:eastAsia="Times New Roman" w:cstheme="minorHAnsi"/>
                <w:color w:val="000000"/>
                <w:sz w:val="20"/>
                <w:szCs w:val="20"/>
              </w:rPr>
              <w:t>CRSwNP</w:t>
            </w:r>
            <w:proofErr w:type="spellEnd"/>
          </w:p>
        </w:tc>
        <w:tc>
          <w:tcPr>
            <w:tcW w:w="1559" w:type="dxa"/>
            <w:noWrap/>
            <w:vAlign w:val="bottom"/>
            <w:hideMark/>
          </w:tcPr>
          <w:p w14:paraId="4B24194C"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164</w:t>
            </w:r>
          </w:p>
        </w:tc>
        <w:tc>
          <w:tcPr>
            <w:tcW w:w="1418" w:type="dxa"/>
            <w:noWrap/>
            <w:vAlign w:val="bottom"/>
            <w:hideMark/>
          </w:tcPr>
          <w:p w14:paraId="42EB4842"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2%</w:t>
            </w:r>
          </w:p>
        </w:tc>
      </w:tr>
      <w:tr w:rsidR="00D21094" w:rsidRPr="00D21094" w14:paraId="689A3231" w14:textId="77777777" w:rsidTr="00D21094">
        <w:trPr>
          <w:trHeight w:val="264"/>
        </w:trPr>
        <w:tc>
          <w:tcPr>
            <w:tcW w:w="4106" w:type="dxa"/>
            <w:noWrap/>
            <w:vAlign w:val="bottom"/>
            <w:hideMark/>
          </w:tcPr>
          <w:p w14:paraId="49DBEF09" w14:textId="77777777" w:rsidR="00D21094" w:rsidRPr="00D21094" w:rsidRDefault="00D21094" w:rsidP="00613672">
            <w:pPr>
              <w:keepNext/>
              <w:spacing w:after="0"/>
              <w:rPr>
                <w:rFonts w:eastAsia="Times New Roman" w:cstheme="minorHAnsi"/>
                <w:color w:val="000000"/>
                <w:sz w:val="20"/>
                <w:szCs w:val="20"/>
              </w:rPr>
            </w:pPr>
            <w:proofErr w:type="spellStart"/>
            <w:r w:rsidRPr="00D21094">
              <w:rPr>
                <w:rFonts w:eastAsia="Times New Roman" w:cstheme="minorHAnsi"/>
                <w:color w:val="000000"/>
                <w:sz w:val="20"/>
                <w:szCs w:val="20"/>
              </w:rPr>
              <w:t>CRSwNP</w:t>
            </w:r>
            <w:proofErr w:type="spellEnd"/>
            <w:r w:rsidRPr="00D21094">
              <w:rPr>
                <w:rFonts w:eastAsia="Times New Roman" w:cstheme="minorHAnsi"/>
                <w:color w:val="000000"/>
                <w:sz w:val="20"/>
                <w:szCs w:val="20"/>
              </w:rPr>
              <w:t>&gt;Asthma&gt;</w:t>
            </w:r>
            <w:proofErr w:type="spellStart"/>
            <w:r w:rsidRPr="00D21094">
              <w:rPr>
                <w:rFonts w:eastAsia="Times New Roman" w:cstheme="minorHAnsi"/>
                <w:color w:val="000000"/>
                <w:sz w:val="20"/>
                <w:szCs w:val="20"/>
              </w:rPr>
              <w:t>CRSwNP</w:t>
            </w:r>
            <w:proofErr w:type="spellEnd"/>
            <w:r w:rsidRPr="00D21094">
              <w:rPr>
                <w:rFonts w:eastAsia="Times New Roman" w:cstheme="minorHAnsi"/>
                <w:color w:val="000000"/>
                <w:sz w:val="20"/>
                <w:szCs w:val="20"/>
              </w:rPr>
              <w:t>&gt;Asthma</w:t>
            </w:r>
          </w:p>
        </w:tc>
        <w:tc>
          <w:tcPr>
            <w:tcW w:w="1559" w:type="dxa"/>
            <w:noWrap/>
            <w:vAlign w:val="bottom"/>
            <w:hideMark/>
          </w:tcPr>
          <w:p w14:paraId="156E1446"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34</w:t>
            </w:r>
          </w:p>
        </w:tc>
        <w:tc>
          <w:tcPr>
            <w:tcW w:w="1418" w:type="dxa"/>
            <w:noWrap/>
            <w:vAlign w:val="bottom"/>
            <w:hideMark/>
          </w:tcPr>
          <w:p w14:paraId="3B0C7967"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0%</w:t>
            </w:r>
          </w:p>
        </w:tc>
      </w:tr>
      <w:tr w:rsidR="00D21094" w:rsidRPr="00D21094" w14:paraId="03663E2D" w14:textId="77777777" w:rsidTr="00D21094">
        <w:trPr>
          <w:trHeight w:val="264"/>
        </w:trPr>
        <w:tc>
          <w:tcPr>
            <w:tcW w:w="4106" w:type="dxa"/>
            <w:noWrap/>
            <w:vAlign w:val="bottom"/>
            <w:hideMark/>
          </w:tcPr>
          <w:p w14:paraId="7E847077" w14:textId="77777777" w:rsidR="00D21094" w:rsidRPr="00D21094" w:rsidRDefault="00D21094" w:rsidP="00613672">
            <w:pPr>
              <w:keepNext/>
              <w:spacing w:after="0"/>
              <w:rPr>
                <w:rFonts w:eastAsia="Times New Roman" w:cstheme="minorHAnsi"/>
                <w:color w:val="000000"/>
                <w:sz w:val="20"/>
                <w:szCs w:val="20"/>
              </w:rPr>
            </w:pPr>
            <w:proofErr w:type="spellStart"/>
            <w:r w:rsidRPr="00D21094">
              <w:rPr>
                <w:rFonts w:eastAsia="Times New Roman" w:cstheme="minorHAnsi"/>
                <w:color w:val="000000"/>
                <w:sz w:val="20"/>
                <w:szCs w:val="20"/>
              </w:rPr>
              <w:t>CRSwNP</w:t>
            </w:r>
            <w:proofErr w:type="spellEnd"/>
            <w:r w:rsidRPr="00D21094">
              <w:rPr>
                <w:rFonts w:eastAsia="Times New Roman" w:cstheme="minorHAnsi"/>
                <w:color w:val="000000"/>
                <w:sz w:val="20"/>
                <w:szCs w:val="20"/>
              </w:rPr>
              <w:t xml:space="preserve"> with four or more changes</w:t>
            </w:r>
          </w:p>
        </w:tc>
        <w:tc>
          <w:tcPr>
            <w:tcW w:w="1559" w:type="dxa"/>
            <w:noWrap/>
            <w:vAlign w:val="bottom"/>
            <w:hideMark/>
          </w:tcPr>
          <w:p w14:paraId="39DB904C"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30</w:t>
            </w:r>
          </w:p>
        </w:tc>
        <w:tc>
          <w:tcPr>
            <w:tcW w:w="1418" w:type="dxa"/>
            <w:noWrap/>
            <w:vAlign w:val="bottom"/>
            <w:hideMark/>
          </w:tcPr>
          <w:p w14:paraId="373B923F" w14:textId="77777777" w:rsidR="00D21094" w:rsidRPr="00D21094" w:rsidRDefault="00D21094" w:rsidP="00613672">
            <w:pPr>
              <w:keepNext/>
              <w:spacing w:after="0"/>
              <w:jc w:val="right"/>
              <w:rPr>
                <w:rFonts w:eastAsia="Times New Roman" w:cstheme="minorHAnsi"/>
                <w:color w:val="000000"/>
                <w:sz w:val="20"/>
                <w:szCs w:val="20"/>
              </w:rPr>
            </w:pPr>
            <w:r w:rsidRPr="00D21094">
              <w:rPr>
                <w:rFonts w:eastAsia="Times New Roman" w:cstheme="minorHAnsi"/>
                <w:color w:val="000000"/>
                <w:sz w:val="20"/>
                <w:szCs w:val="20"/>
              </w:rPr>
              <w:t>0%</w:t>
            </w:r>
          </w:p>
        </w:tc>
      </w:tr>
      <w:tr w:rsidR="00D21094" w:rsidRPr="00D21094" w14:paraId="2C19167C" w14:textId="77777777" w:rsidTr="00D21094">
        <w:trPr>
          <w:trHeight w:val="264"/>
        </w:trPr>
        <w:tc>
          <w:tcPr>
            <w:tcW w:w="4106" w:type="dxa"/>
            <w:noWrap/>
            <w:vAlign w:val="bottom"/>
            <w:hideMark/>
          </w:tcPr>
          <w:p w14:paraId="046BFC2C" w14:textId="0BA85051" w:rsidR="00D21094" w:rsidRPr="00D21094" w:rsidRDefault="000C7F82" w:rsidP="00613672">
            <w:pPr>
              <w:spacing w:after="0"/>
              <w:rPr>
                <w:rFonts w:eastAsia="Times New Roman" w:cstheme="minorHAnsi"/>
                <w:color w:val="000000"/>
                <w:sz w:val="20"/>
                <w:szCs w:val="20"/>
              </w:rPr>
            </w:pPr>
            <w:r>
              <w:rPr>
                <w:rFonts w:eastAsia="Times New Roman" w:cstheme="minorHAnsi"/>
                <w:color w:val="000000"/>
                <w:sz w:val="20"/>
                <w:szCs w:val="20"/>
              </w:rPr>
              <w:t>Total number of patients</w:t>
            </w:r>
          </w:p>
        </w:tc>
        <w:tc>
          <w:tcPr>
            <w:tcW w:w="1559" w:type="dxa"/>
            <w:noWrap/>
            <w:vAlign w:val="bottom"/>
            <w:hideMark/>
          </w:tcPr>
          <w:p w14:paraId="3DB5E3D3" w14:textId="1ED82DED" w:rsidR="00D21094" w:rsidRPr="00D21094" w:rsidRDefault="00D21094" w:rsidP="00D21094">
            <w:pPr>
              <w:spacing w:after="0"/>
              <w:jc w:val="right"/>
              <w:rPr>
                <w:rFonts w:eastAsia="Times New Roman" w:cstheme="minorHAnsi"/>
                <w:color w:val="000000"/>
                <w:sz w:val="20"/>
                <w:szCs w:val="20"/>
              </w:rPr>
            </w:pPr>
            <w:r w:rsidRPr="00D21094">
              <w:rPr>
                <w:rFonts w:eastAsia="Times New Roman" w:cstheme="minorHAnsi"/>
                <w:color w:val="000000"/>
                <w:sz w:val="20"/>
                <w:szCs w:val="20"/>
              </w:rPr>
              <w:t>7</w:t>
            </w:r>
            <w:r>
              <w:rPr>
                <w:rFonts w:eastAsia="Times New Roman" w:cstheme="minorHAnsi"/>
                <w:color w:val="000000"/>
                <w:sz w:val="20"/>
                <w:szCs w:val="20"/>
              </w:rPr>
              <w:t>,</w:t>
            </w:r>
            <w:r w:rsidRPr="00D21094">
              <w:rPr>
                <w:rFonts w:eastAsia="Times New Roman" w:cstheme="minorHAnsi"/>
                <w:color w:val="000000"/>
                <w:sz w:val="20"/>
                <w:szCs w:val="20"/>
              </w:rPr>
              <w:t>122</w:t>
            </w:r>
          </w:p>
        </w:tc>
        <w:tc>
          <w:tcPr>
            <w:tcW w:w="1418" w:type="dxa"/>
            <w:noWrap/>
            <w:vAlign w:val="bottom"/>
            <w:hideMark/>
          </w:tcPr>
          <w:p w14:paraId="05F1E634" w14:textId="77777777" w:rsidR="00D21094" w:rsidRPr="00D21094" w:rsidRDefault="00D21094" w:rsidP="00D21094">
            <w:pPr>
              <w:spacing w:after="0"/>
              <w:jc w:val="right"/>
              <w:rPr>
                <w:rFonts w:eastAsia="Times New Roman" w:cstheme="minorHAnsi"/>
                <w:color w:val="000000"/>
                <w:sz w:val="20"/>
                <w:szCs w:val="20"/>
              </w:rPr>
            </w:pPr>
          </w:p>
        </w:tc>
      </w:tr>
    </w:tbl>
    <w:p w14:paraId="62F79D19" w14:textId="77777777" w:rsidR="00D21094" w:rsidRDefault="00D21094" w:rsidP="00D21094">
      <w:pPr>
        <w:rPr>
          <w:rFonts w:cstheme="minorHAnsi"/>
        </w:rPr>
      </w:pPr>
    </w:p>
    <w:p w14:paraId="77E73525" w14:textId="0E091967" w:rsidR="00D21094" w:rsidRDefault="00D21094" w:rsidP="00D21094">
      <w:pPr>
        <w:rPr>
          <w:rFonts w:eastAsia="Times New Roman" w:cstheme="minorHAnsi"/>
          <w:color w:val="000000"/>
        </w:rPr>
      </w:pPr>
      <w:r w:rsidRPr="00D21094">
        <w:rPr>
          <w:rFonts w:cstheme="minorHAnsi"/>
        </w:rPr>
        <w:t xml:space="preserve">Table </w:t>
      </w:r>
      <w:r w:rsidR="006060D9">
        <w:rPr>
          <w:rFonts w:cstheme="minorHAnsi"/>
        </w:rPr>
        <w:t>4</w:t>
      </w:r>
      <w:r w:rsidR="006060D9" w:rsidRPr="00D21094">
        <w:rPr>
          <w:rFonts w:cstheme="minorHAnsi"/>
        </w:rPr>
        <w:t xml:space="preserve"> </w:t>
      </w:r>
      <w:r w:rsidRPr="00D21094">
        <w:rPr>
          <w:rFonts w:cstheme="minorHAnsi"/>
        </w:rPr>
        <w:t xml:space="preserve">shows that 93% of prescriptions had matching PBS item codes and Authority codes. Tables </w:t>
      </w:r>
      <w:r w:rsidR="006060D9">
        <w:rPr>
          <w:rFonts w:cstheme="minorHAnsi"/>
        </w:rPr>
        <w:t>5</w:t>
      </w:r>
      <w:r w:rsidRPr="00D21094">
        <w:rPr>
          <w:rFonts w:cstheme="minorHAnsi"/>
        </w:rPr>
        <w:t xml:space="preserve"> and </w:t>
      </w:r>
      <w:r w:rsidR="006060D9">
        <w:rPr>
          <w:rFonts w:cstheme="minorHAnsi"/>
        </w:rPr>
        <w:t>6</w:t>
      </w:r>
      <w:r w:rsidRPr="00D21094">
        <w:rPr>
          <w:rFonts w:cstheme="minorHAnsi"/>
        </w:rPr>
        <w:t xml:space="preserve"> show that using Authority codes 99% of patients were only supplied under one restriction, </w:t>
      </w:r>
      <w:r w:rsidR="000A3A18">
        <w:rPr>
          <w:rFonts w:cstheme="minorHAnsi"/>
        </w:rPr>
        <w:t>and using</w:t>
      </w:r>
      <w:r w:rsidRPr="00D21094">
        <w:rPr>
          <w:rFonts w:cstheme="minorHAnsi"/>
        </w:rPr>
        <w:t xml:space="preserve"> PBS item codes 83% of patients were only supplied under one restriction. </w:t>
      </w:r>
      <w:r w:rsidR="00410EF8" w:rsidRPr="00410EF8">
        <w:rPr>
          <w:rFonts w:eastAsia="Times New Roman" w:cstheme="minorHAnsi"/>
          <w:color w:val="000000"/>
        </w:rPr>
        <w:t xml:space="preserve">In 2024 there were 354 more </w:t>
      </w:r>
      <w:r w:rsidR="00D02FF5" w:rsidRPr="00D21094">
        <w:rPr>
          <w:rFonts w:cstheme="minorHAnsi"/>
        </w:rPr>
        <w:t xml:space="preserve">prescriptions </w:t>
      </w:r>
      <w:r w:rsidR="00410EF8" w:rsidRPr="00410EF8">
        <w:rPr>
          <w:rFonts w:eastAsia="Times New Roman" w:cstheme="minorHAnsi"/>
          <w:color w:val="000000"/>
        </w:rPr>
        <w:t xml:space="preserve">supplied for </w:t>
      </w:r>
      <w:proofErr w:type="spellStart"/>
      <w:r w:rsidR="00410EF8" w:rsidRPr="00410EF8">
        <w:rPr>
          <w:rFonts w:eastAsia="Times New Roman" w:cstheme="minorHAnsi"/>
          <w:color w:val="000000"/>
        </w:rPr>
        <w:t>C</w:t>
      </w:r>
      <w:r w:rsidR="00535572">
        <w:rPr>
          <w:rFonts w:eastAsia="Times New Roman" w:cstheme="minorHAnsi"/>
          <w:color w:val="000000"/>
        </w:rPr>
        <w:t>R</w:t>
      </w:r>
      <w:r w:rsidR="00410EF8" w:rsidRPr="00410EF8">
        <w:rPr>
          <w:rFonts w:eastAsia="Times New Roman" w:cstheme="minorHAnsi"/>
          <w:color w:val="000000"/>
        </w:rPr>
        <w:t>SwNP</w:t>
      </w:r>
      <w:proofErr w:type="spellEnd"/>
      <w:r w:rsidR="00410EF8" w:rsidRPr="00410EF8">
        <w:rPr>
          <w:rFonts w:eastAsia="Times New Roman" w:cstheme="minorHAnsi"/>
          <w:color w:val="000000"/>
        </w:rPr>
        <w:t xml:space="preserve"> under PBS item codes</w:t>
      </w:r>
      <w:r w:rsidR="00410EF8">
        <w:rPr>
          <w:rFonts w:eastAsia="Times New Roman" w:cstheme="minorHAnsi"/>
          <w:color w:val="000000"/>
        </w:rPr>
        <w:t xml:space="preserve"> than </w:t>
      </w:r>
      <w:r w:rsidR="00410EF8" w:rsidRPr="00D21094">
        <w:rPr>
          <w:rFonts w:eastAsia="Times New Roman" w:cstheme="minorHAnsi"/>
          <w:color w:val="000000"/>
        </w:rPr>
        <w:t>Authority code</w:t>
      </w:r>
      <w:r w:rsidR="00410EF8">
        <w:rPr>
          <w:rFonts w:eastAsia="Times New Roman" w:cstheme="minorHAnsi"/>
          <w:color w:val="000000"/>
        </w:rPr>
        <w:t>s</w:t>
      </w:r>
      <w:r w:rsidR="00410EF8" w:rsidRPr="00410EF8">
        <w:rPr>
          <w:rFonts w:eastAsia="Times New Roman" w:cstheme="minorHAnsi"/>
          <w:color w:val="000000"/>
        </w:rPr>
        <w:t xml:space="preserve">, </w:t>
      </w:r>
      <w:r w:rsidR="00410EF8">
        <w:rPr>
          <w:rFonts w:eastAsia="Times New Roman" w:cstheme="minorHAnsi"/>
          <w:color w:val="000000"/>
        </w:rPr>
        <w:t>however</w:t>
      </w:r>
      <w:r w:rsidR="00410EF8" w:rsidRPr="00410EF8">
        <w:rPr>
          <w:rFonts w:eastAsia="Times New Roman" w:cstheme="minorHAnsi"/>
          <w:color w:val="000000"/>
        </w:rPr>
        <w:t xml:space="preserve"> in 2025</w:t>
      </w:r>
      <w:r w:rsidR="00410EF8">
        <w:rPr>
          <w:rFonts w:eastAsia="Times New Roman" w:cstheme="minorHAnsi"/>
          <w:color w:val="000000"/>
        </w:rPr>
        <w:t xml:space="preserve"> (January to September)</w:t>
      </w:r>
      <w:r w:rsidR="00410EF8" w:rsidRPr="00410EF8">
        <w:rPr>
          <w:rFonts w:eastAsia="Times New Roman" w:cstheme="minorHAnsi"/>
          <w:color w:val="000000"/>
        </w:rPr>
        <w:t xml:space="preserve"> there were 310 fewer </w:t>
      </w:r>
      <w:r w:rsidR="00D02FF5" w:rsidRPr="00D21094">
        <w:rPr>
          <w:rFonts w:cstheme="minorHAnsi"/>
        </w:rPr>
        <w:t xml:space="preserve">prescriptions </w:t>
      </w:r>
      <w:r w:rsidR="00410EF8" w:rsidRPr="00410EF8">
        <w:rPr>
          <w:rFonts w:eastAsia="Times New Roman" w:cstheme="minorHAnsi"/>
          <w:color w:val="000000"/>
        </w:rPr>
        <w:t xml:space="preserve">supplied for </w:t>
      </w:r>
      <w:proofErr w:type="spellStart"/>
      <w:r w:rsidR="00410EF8" w:rsidRPr="00410EF8">
        <w:rPr>
          <w:rFonts w:eastAsia="Times New Roman" w:cstheme="minorHAnsi"/>
          <w:color w:val="000000"/>
        </w:rPr>
        <w:t>C</w:t>
      </w:r>
      <w:r w:rsidR="00535572">
        <w:rPr>
          <w:rFonts w:eastAsia="Times New Roman" w:cstheme="minorHAnsi"/>
          <w:color w:val="000000"/>
        </w:rPr>
        <w:t>R</w:t>
      </w:r>
      <w:r w:rsidR="00410EF8" w:rsidRPr="00410EF8">
        <w:rPr>
          <w:rFonts w:eastAsia="Times New Roman" w:cstheme="minorHAnsi"/>
          <w:color w:val="000000"/>
        </w:rPr>
        <w:t>SwNP</w:t>
      </w:r>
      <w:proofErr w:type="spellEnd"/>
      <w:r w:rsidR="00410EF8" w:rsidRPr="00410EF8">
        <w:rPr>
          <w:rFonts w:eastAsia="Times New Roman" w:cstheme="minorHAnsi"/>
          <w:color w:val="000000"/>
        </w:rPr>
        <w:t xml:space="preserve"> under PBS item codes </w:t>
      </w:r>
      <w:r w:rsidR="00410EF8">
        <w:rPr>
          <w:rFonts w:eastAsia="Times New Roman" w:cstheme="minorHAnsi"/>
          <w:color w:val="000000"/>
        </w:rPr>
        <w:t xml:space="preserve">than </w:t>
      </w:r>
      <w:r w:rsidR="00410EF8" w:rsidRPr="00D21094">
        <w:rPr>
          <w:rFonts w:eastAsia="Times New Roman" w:cstheme="minorHAnsi"/>
          <w:color w:val="000000"/>
        </w:rPr>
        <w:t>Authority code</w:t>
      </w:r>
      <w:r w:rsidR="00410EF8">
        <w:rPr>
          <w:rFonts w:eastAsia="Times New Roman" w:cstheme="minorHAnsi"/>
          <w:color w:val="000000"/>
        </w:rPr>
        <w:t xml:space="preserve">s. </w:t>
      </w:r>
      <w:r w:rsidRPr="00D21094">
        <w:rPr>
          <w:rFonts w:cstheme="minorHAnsi"/>
        </w:rPr>
        <w:t xml:space="preserve">For </w:t>
      </w:r>
      <w:r w:rsidR="00D02FF5">
        <w:rPr>
          <w:rFonts w:cstheme="minorHAnsi"/>
        </w:rPr>
        <w:t>the</w:t>
      </w:r>
      <w:r w:rsidR="00D02FF5" w:rsidRPr="00D21094">
        <w:rPr>
          <w:rFonts w:cstheme="minorHAnsi"/>
        </w:rPr>
        <w:t xml:space="preserve"> </w:t>
      </w:r>
      <w:r w:rsidRPr="00D21094">
        <w:rPr>
          <w:rFonts w:cstheme="minorHAnsi"/>
        </w:rPr>
        <w:t>analyses</w:t>
      </w:r>
      <w:r w:rsidR="00D02FF5">
        <w:rPr>
          <w:rFonts w:cstheme="minorHAnsi"/>
        </w:rPr>
        <w:t xml:space="preserve"> presented in this report,</w:t>
      </w:r>
      <w:r w:rsidRPr="00D21094">
        <w:rPr>
          <w:rFonts w:cstheme="minorHAnsi"/>
        </w:rPr>
        <w:t xml:space="preserve"> prescriptions with an Authority code for </w:t>
      </w:r>
      <w:proofErr w:type="spellStart"/>
      <w:r w:rsidRPr="00D21094">
        <w:rPr>
          <w:rFonts w:eastAsia="Times New Roman" w:cstheme="minorHAnsi"/>
          <w:color w:val="000000"/>
        </w:rPr>
        <w:t>CRSwNP</w:t>
      </w:r>
      <w:proofErr w:type="spellEnd"/>
      <w:r w:rsidRPr="00D21094">
        <w:rPr>
          <w:rFonts w:eastAsia="Times New Roman" w:cstheme="minorHAnsi"/>
          <w:color w:val="000000"/>
        </w:rPr>
        <w:t xml:space="preserve">, or where a prescription was supplied using a PBS item code for </w:t>
      </w:r>
      <w:proofErr w:type="spellStart"/>
      <w:r w:rsidRPr="00D21094">
        <w:rPr>
          <w:rFonts w:eastAsia="Times New Roman" w:cstheme="minorHAnsi"/>
          <w:color w:val="000000"/>
        </w:rPr>
        <w:t>CRSwNP</w:t>
      </w:r>
      <w:proofErr w:type="spellEnd"/>
      <w:r w:rsidRPr="00D21094">
        <w:rPr>
          <w:rFonts w:eastAsia="Times New Roman" w:cstheme="minorHAnsi"/>
          <w:color w:val="000000"/>
        </w:rPr>
        <w:t xml:space="preserve"> without a matching Authority code, were used.</w:t>
      </w:r>
    </w:p>
    <w:p w14:paraId="75945504" w14:textId="7315F35F" w:rsidR="00410EF8" w:rsidRDefault="00410EF8" w:rsidP="00D21094">
      <w:pPr>
        <w:rPr>
          <w:rFonts w:eastAsia="Times New Roman" w:cstheme="minorHAnsi"/>
          <w:color w:val="000000"/>
        </w:rPr>
      </w:pPr>
    </w:p>
    <w:p w14:paraId="2221FF19" w14:textId="78D80570" w:rsidR="00736041" w:rsidRPr="005E22C2" w:rsidRDefault="001B5D37" w:rsidP="00613672">
      <w:pPr>
        <w:pStyle w:val="Heading2"/>
        <w:keepNext/>
      </w:pPr>
      <w:r w:rsidRPr="005E22C2">
        <w:lastRenderedPageBreak/>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Pr="005E22C2" w:rsidRDefault="00736041" w:rsidP="00613672">
      <w:pPr>
        <w:pStyle w:val="Heading3"/>
        <w:keepNext/>
      </w:pPr>
      <w:r w:rsidRPr="005E22C2">
        <w:t>Overall utilisation</w:t>
      </w:r>
    </w:p>
    <w:p w14:paraId="4B41AE17" w14:textId="0DCDAEC0" w:rsidR="00DB5401" w:rsidRDefault="00DB5401" w:rsidP="00A35800">
      <w:pPr>
        <w:rPr>
          <w:highlight w:val="yellow"/>
        </w:rPr>
      </w:pPr>
      <w:r>
        <w:rPr>
          <w:noProof/>
        </w:rPr>
        <w:drawing>
          <wp:inline distT="0" distB="0" distL="0" distR="0" wp14:anchorId="26B5A6E9" wp14:editId="52B34397">
            <wp:extent cx="5631180" cy="3928110"/>
            <wp:effectExtent l="0" t="0" r="7620" b="15240"/>
            <wp:docPr id="477898705" name="Chart 1" descr="Patients and prescriptions for mepolizumab for CRSwNP by quarter of supply, initiating patients around 200 to 300 a month and treated patients and prescriptions increasing over time with the most recent number of treated patients 2,036 in the third quarter of 2025 and number of prescriptions 5,594.">
              <a:extLst xmlns:a="http://schemas.openxmlformats.org/drawingml/2006/main">
                <a:ext uri="{FF2B5EF4-FFF2-40B4-BE49-F238E27FC236}">
                  <a16:creationId xmlns:a16="http://schemas.microsoft.com/office/drawing/2014/main" id="{0B8EAB51-C8F5-70BC-CAE3-08B3618EC0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F5B6057" w14:textId="0E204F20" w:rsidR="00DB5401" w:rsidRPr="00DB5401" w:rsidRDefault="00DB5401" w:rsidP="00DB5401">
      <w:pPr>
        <w:pStyle w:val="Figuretitle"/>
      </w:pPr>
      <w:r w:rsidRPr="00DB5401">
        <w:t xml:space="preserve">Figure </w:t>
      </w:r>
      <w:r w:rsidR="006060D9">
        <w:t>1</w:t>
      </w:r>
      <w:r w:rsidRPr="00DB5401">
        <w:t xml:space="preserve">: Patients and prescriptions for mepolizumab for </w:t>
      </w:r>
      <w:proofErr w:type="spellStart"/>
      <w:r w:rsidRPr="00DB5401">
        <w:t>CRSwNP</w:t>
      </w:r>
      <w:proofErr w:type="spellEnd"/>
    </w:p>
    <w:p w14:paraId="65CD14CE" w14:textId="77777777" w:rsidR="00C80B4F" w:rsidRDefault="00C80B4F" w:rsidP="00A35800">
      <w:pPr>
        <w:rPr>
          <w:highlight w:val="yellow"/>
        </w:rPr>
      </w:pPr>
    </w:p>
    <w:p w14:paraId="71EE9BC8" w14:textId="1350A129" w:rsidR="00342DF1" w:rsidRDefault="00BC31D1" w:rsidP="00A35800">
      <w:r w:rsidRPr="00E74587">
        <w:t xml:space="preserve">The number of initiating patients has been </w:t>
      </w:r>
      <w:proofErr w:type="gramStart"/>
      <w:r w:rsidRPr="00E74587">
        <w:t>fairly stable</w:t>
      </w:r>
      <w:proofErr w:type="gramEnd"/>
      <w:r w:rsidRPr="00E74587">
        <w:t>, between 200 to 300 each quarter, since listing.</w:t>
      </w:r>
      <w:r w:rsidR="0042044B">
        <w:t xml:space="preserve"> </w:t>
      </w:r>
      <w:r w:rsidR="0042044B" w:rsidRPr="00455143">
        <w:t xml:space="preserve">It </w:t>
      </w:r>
      <w:r w:rsidR="0042044B">
        <w:t xml:space="preserve">does not </w:t>
      </w:r>
      <w:r w:rsidR="0042044B" w:rsidRPr="00455143">
        <w:t xml:space="preserve">appear that </w:t>
      </w:r>
      <w:r w:rsidR="0042044B">
        <w:t>there was a large group of patients waiting for the PBS</w:t>
      </w:r>
      <w:r w:rsidR="0042044B" w:rsidRPr="00455143">
        <w:t xml:space="preserve"> listing of mepolizumab for </w:t>
      </w:r>
      <w:proofErr w:type="spellStart"/>
      <w:r w:rsidR="0042044B" w:rsidRPr="00455143">
        <w:t>CRSwNP</w:t>
      </w:r>
      <w:proofErr w:type="spellEnd"/>
      <w:r w:rsidR="0042044B" w:rsidRPr="00455143">
        <w:t>.</w:t>
      </w:r>
      <w:r w:rsidR="0042044B">
        <w:t xml:space="preserve"> The number of treated patients and supplied prescriptions have not stabilised. This suggests patients are remaining on treatment after initiation.    </w:t>
      </w:r>
      <w:r w:rsidR="0042044B" w:rsidRPr="00E74587">
        <w:t xml:space="preserve"> </w:t>
      </w:r>
    </w:p>
    <w:p w14:paraId="21902F2E" w14:textId="14A159EF" w:rsidR="00F37786" w:rsidRDefault="00F37786" w:rsidP="00A35800">
      <w:r>
        <w:t xml:space="preserve">An analysis of the length of treatment was </w:t>
      </w:r>
      <w:proofErr w:type="gramStart"/>
      <w:r>
        <w:t>attempted,</w:t>
      </w:r>
      <w:proofErr w:type="gramEnd"/>
      <w:r>
        <w:t xml:space="preserve"> however t</w:t>
      </w:r>
      <w:r w:rsidRPr="00F37786">
        <w:t xml:space="preserve">he data </w:t>
      </w:r>
      <w:r>
        <w:t>were</w:t>
      </w:r>
      <w:r w:rsidRPr="00F37786">
        <w:t xml:space="preserve"> too immature to fully analyse the </w:t>
      </w:r>
      <w:r>
        <w:t>length of treatment of mepolizumab</w:t>
      </w:r>
      <w:r w:rsidRPr="00F37786">
        <w:t>, with the median time on therapy not being reached at analysis end date</w:t>
      </w:r>
      <w:r w:rsidRPr="000C7F82">
        <w:t>. Of the 2,</w:t>
      </w:r>
      <w:r w:rsidR="000C7F82" w:rsidRPr="000C7F82">
        <w:t xml:space="preserve">509 </w:t>
      </w:r>
      <w:r w:rsidRPr="000C7F82">
        <w:t>patients who</w:t>
      </w:r>
      <w:r w:rsidRPr="00F37786">
        <w:t xml:space="preserve"> have initiated treatment with </w:t>
      </w:r>
      <w:r>
        <w:t>mepolizumab</w:t>
      </w:r>
      <w:r w:rsidRPr="00F37786">
        <w:t xml:space="preserve">, </w:t>
      </w:r>
      <w:r w:rsidR="00182565">
        <w:t>2,025</w:t>
      </w:r>
      <w:r>
        <w:t xml:space="preserve"> (</w:t>
      </w:r>
      <w:r w:rsidR="00182565">
        <w:t>80.71</w:t>
      </w:r>
      <w:r>
        <w:t>%)</w:t>
      </w:r>
      <w:r w:rsidRPr="00F37786">
        <w:t xml:space="preserve"> were</w:t>
      </w:r>
      <w:r>
        <w:t xml:space="preserve"> </w:t>
      </w:r>
      <w:r w:rsidRPr="00F37786">
        <w:t>identified as continuing treatment at</w:t>
      </w:r>
      <w:r>
        <w:t xml:space="preserve"> the end of the data collection. </w:t>
      </w:r>
    </w:p>
    <w:p w14:paraId="4F985D6D" w14:textId="77777777" w:rsidR="00F37786" w:rsidRDefault="00F37786" w:rsidP="00A35800"/>
    <w:p w14:paraId="49021D47" w14:textId="7BCDA8E3" w:rsidR="003009F2" w:rsidRDefault="003009F2" w:rsidP="00A35800">
      <w:pPr>
        <w:rPr>
          <w:highlight w:val="yellow"/>
        </w:rPr>
      </w:pPr>
      <w:r>
        <w:rPr>
          <w:noProof/>
        </w:rPr>
        <w:lastRenderedPageBreak/>
        <w:drawing>
          <wp:inline distT="0" distB="0" distL="0" distR="0" wp14:anchorId="1BD50733" wp14:editId="7F3ABC98">
            <wp:extent cx="4907280" cy="3162300"/>
            <wp:effectExtent l="0" t="0" r="7620" b="0"/>
            <wp:docPr id="368271208" name="Chart 1" descr="Time between supplies of mepolizumab for CRSwNP peaks at 28 days between prescriptions.">
              <a:extLst xmlns:a="http://schemas.openxmlformats.org/drawingml/2006/main">
                <a:ext uri="{FF2B5EF4-FFF2-40B4-BE49-F238E27FC236}">
                  <a16:creationId xmlns:a16="http://schemas.microsoft.com/office/drawing/2014/main" id="{4C9B5A34-7E4E-8D9E-6BAD-6F4B20F4F1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6D29224" w14:textId="0D03E032" w:rsidR="003009F2" w:rsidRPr="00DB5401" w:rsidRDefault="003009F2" w:rsidP="003009F2">
      <w:pPr>
        <w:pStyle w:val="Figuretitle"/>
      </w:pPr>
      <w:r w:rsidRPr="00DB5401">
        <w:t>Figure</w:t>
      </w:r>
      <w:r w:rsidR="006060D9">
        <w:t xml:space="preserve"> 2</w:t>
      </w:r>
      <w:r w:rsidRPr="00DB5401">
        <w:t xml:space="preserve">: </w:t>
      </w:r>
      <w:r>
        <w:t>Time between supplies of</w:t>
      </w:r>
      <w:r w:rsidRPr="00DB5401">
        <w:t xml:space="preserve"> mepolizumab for </w:t>
      </w:r>
      <w:proofErr w:type="spellStart"/>
      <w:r w:rsidRPr="00DB5401">
        <w:t>CRSwNP</w:t>
      </w:r>
      <w:proofErr w:type="spellEnd"/>
    </w:p>
    <w:p w14:paraId="2B517CCB" w14:textId="77777777" w:rsidR="003009F2" w:rsidRDefault="003009F2" w:rsidP="00A35800">
      <w:pPr>
        <w:rPr>
          <w:highlight w:val="yellow"/>
        </w:rPr>
      </w:pPr>
    </w:p>
    <w:p w14:paraId="11C23117" w14:textId="39CB5921" w:rsidR="00342DF1" w:rsidRPr="00E74587" w:rsidRDefault="00342DF1" w:rsidP="00A35800">
      <w:r w:rsidRPr="0038049B">
        <w:t xml:space="preserve">The recommended dosage of mepolizumab is one 100 mg subcutaneous injection once every 28 days. An analysis of the time </w:t>
      </w:r>
      <w:r w:rsidRPr="00E74587">
        <w:t xml:space="preserve">between supplies of mepolizumab </w:t>
      </w:r>
      <w:r w:rsidRPr="0038049B">
        <w:t xml:space="preserve">(Figure </w:t>
      </w:r>
      <w:r w:rsidR="006060D9">
        <w:t>2</w:t>
      </w:r>
      <w:r w:rsidRPr="0038049B">
        <w:t xml:space="preserve">) shows that </w:t>
      </w:r>
      <w:proofErr w:type="gramStart"/>
      <w:r w:rsidRPr="0038049B">
        <w:t>the majority of</w:t>
      </w:r>
      <w:proofErr w:type="gramEnd"/>
      <w:r w:rsidRPr="0038049B">
        <w:t xml:space="preserve"> </w:t>
      </w:r>
      <w:r w:rsidR="0038049B">
        <w:t>prescriptions were</w:t>
      </w:r>
      <w:r w:rsidRPr="0038049B">
        <w:t xml:space="preserve"> supplied </w:t>
      </w:r>
      <w:r w:rsidRPr="00E74587">
        <w:t xml:space="preserve">at approximately 28 days, although there was a slight increment at 21 days. </w:t>
      </w:r>
      <w:r w:rsidR="0038049B" w:rsidRPr="00827DEA">
        <w:t xml:space="preserve">The mean and median time between supplies </w:t>
      </w:r>
      <w:r w:rsidR="0038049B" w:rsidRPr="0038049B">
        <w:t xml:space="preserve">of mepolizumab for </w:t>
      </w:r>
      <w:proofErr w:type="spellStart"/>
      <w:r w:rsidR="0038049B" w:rsidRPr="0038049B">
        <w:t>CRSwNP</w:t>
      </w:r>
      <w:proofErr w:type="spellEnd"/>
      <w:r w:rsidR="0038049B" w:rsidRPr="0038049B">
        <w:t xml:space="preserve"> were 31.7 and 29.0 </w:t>
      </w:r>
      <w:r w:rsidR="008C3DC9">
        <w:t xml:space="preserve">days </w:t>
      </w:r>
      <w:r w:rsidR="0038049B" w:rsidRPr="0038049B">
        <w:t xml:space="preserve">respectively. </w:t>
      </w:r>
      <w:r w:rsidR="009F33D5">
        <w:t xml:space="preserve">Additionally, </w:t>
      </w:r>
      <w:r w:rsidR="000650A8">
        <w:t xml:space="preserve">all prescriptions were supplied with a </w:t>
      </w:r>
      <w:r w:rsidR="009F33D5">
        <w:t>quantit</w:t>
      </w:r>
      <w:r w:rsidR="000650A8">
        <w:t>y</w:t>
      </w:r>
      <w:r w:rsidR="009F33D5">
        <w:t xml:space="preserve"> of one. </w:t>
      </w:r>
      <w:r w:rsidRPr="00E74587">
        <w:t xml:space="preserve">This suggests </w:t>
      </w:r>
      <w:r w:rsidR="009F33D5">
        <w:t xml:space="preserve">the supply of mepolizumab appears to </w:t>
      </w:r>
      <w:r w:rsidR="00306782">
        <w:t>be in accordance with the</w:t>
      </w:r>
      <w:r w:rsidR="009F33D5">
        <w:t xml:space="preserve"> recommended </w:t>
      </w:r>
      <w:r w:rsidRPr="00E74587">
        <w:t xml:space="preserve">dosage of mepolizumab for </w:t>
      </w:r>
      <w:proofErr w:type="spellStart"/>
      <w:r w:rsidRPr="00E74587">
        <w:t>CRSwNP</w:t>
      </w:r>
      <w:proofErr w:type="spellEnd"/>
      <w:r w:rsidRPr="00E74587">
        <w:t>.</w:t>
      </w:r>
    </w:p>
    <w:p w14:paraId="6BAC4CA0" w14:textId="0188990F" w:rsidR="00DB5401" w:rsidRDefault="00A020E2" w:rsidP="00A35800">
      <w:pPr>
        <w:rPr>
          <w:highlight w:val="yellow"/>
        </w:rPr>
      </w:pPr>
      <w:r>
        <w:rPr>
          <w:noProof/>
        </w:rPr>
        <w:lastRenderedPageBreak/>
        <w:drawing>
          <wp:inline distT="0" distB="0" distL="0" distR="0" wp14:anchorId="70647856" wp14:editId="5DE411EE">
            <wp:extent cx="5687695" cy="4764405"/>
            <wp:effectExtent l="0" t="0" r="8255" b="17145"/>
            <wp:docPr id="88403772" name="Chart 1" descr="Number of services related to surgeries for nasal polyps decreased in the first quarter of 2023 and then remained stable.">
              <a:extLst xmlns:a="http://schemas.openxmlformats.org/drawingml/2006/main">
                <a:ext uri="{FF2B5EF4-FFF2-40B4-BE49-F238E27FC236}">
                  <a16:creationId xmlns:a16="http://schemas.microsoft.com/office/drawing/2014/main" id="{C75B75CD-FE32-DF95-AB40-019C1CFFD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BF0E5A6" w14:textId="0196B8C3" w:rsidR="00A020E2" w:rsidRPr="00342DF1" w:rsidRDefault="00A020E2" w:rsidP="00342DF1">
      <w:pPr>
        <w:pStyle w:val="Figuretitle"/>
      </w:pPr>
      <w:r w:rsidRPr="00342DF1">
        <w:t xml:space="preserve">Figure </w:t>
      </w:r>
      <w:r w:rsidR="006060D9">
        <w:t>3</w:t>
      </w:r>
      <w:r w:rsidRPr="00342DF1">
        <w:t>: Number of services related to surgeries for nasal polyps</w:t>
      </w:r>
    </w:p>
    <w:p w14:paraId="484F5A03" w14:textId="77777777" w:rsidR="00342DF1" w:rsidRPr="00342DF1" w:rsidRDefault="00342DF1" w:rsidP="00A35800"/>
    <w:p w14:paraId="531D8ED3" w14:textId="7CDF07CC" w:rsidR="00A020E2" w:rsidRPr="00342DF1" w:rsidRDefault="00342DF1" w:rsidP="00A35800">
      <w:r w:rsidRPr="00342DF1">
        <w:t xml:space="preserve">The MBS data of the number of services related to surgeries for nasal polyps </w:t>
      </w:r>
      <w:r w:rsidR="008C3DC9">
        <w:t xml:space="preserve">(Figure 3) </w:t>
      </w:r>
      <w:r w:rsidRPr="00342DF1">
        <w:t>shows a d</w:t>
      </w:r>
      <w:r w:rsidR="00A020E2" w:rsidRPr="00342DF1">
        <w:t xml:space="preserve">ecrease in the </w:t>
      </w:r>
      <w:r w:rsidRPr="00342DF1">
        <w:t xml:space="preserve">number of services processed in the </w:t>
      </w:r>
      <w:r w:rsidR="00A020E2" w:rsidRPr="00342DF1">
        <w:t>second quarter of 2020</w:t>
      </w:r>
      <w:r w:rsidRPr="00342DF1">
        <w:t>, there were 7,559 services processed in the second quarter of 2020 compared to 13,665 in the first quarter. This was likely</w:t>
      </w:r>
      <w:r w:rsidR="00A020E2" w:rsidRPr="00342DF1">
        <w:t xml:space="preserve"> due to </w:t>
      </w:r>
      <w:r w:rsidRPr="00342DF1">
        <w:t>a temporary reduction in the number of surgeries due to the COVID-19 pandemic.</w:t>
      </w:r>
    </w:p>
    <w:p w14:paraId="27E27957" w14:textId="12653CEF" w:rsidR="00FF5C77" w:rsidRPr="00342DF1" w:rsidRDefault="00D81B0C" w:rsidP="00A35800">
      <w:r>
        <w:t>The</w:t>
      </w:r>
      <w:r w:rsidR="00342DF1" w:rsidRPr="00342DF1">
        <w:t xml:space="preserve"> reduction in the number of services related to surgeries for nasal polyps from 2023</w:t>
      </w:r>
      <w:r w:rsidR="00CF1501">
        <w:t xml:space="preserve"> was likely due to administrative changes related to </w:t>
      </w:r>
      <w:r w:rsidR="00342DF1" w:rsidRPr="00342DF1">
        <w:t>n</w:t>
      </w:r>
      <w:r w:rsidR="00FF5C77" w:rsidRPr="00342DF1">
        <w:t>ew item codes</w:t>
      </w:r>
      <w:r w:rsidR="00F249CE" w:rsidRPr="00342DF1">
        <w:t xml:space="preserve"> </w:t>
      </w:r>
      <w:r w:rsidR="00342DF1" w:rsidRPr="00342DF1">
        <w:t>(</w:t>
      </w:r>
      <w:r w:rsidR="00F249CE" w:rsidRPr="00342DF1">
        <w:t>41702, 71703 and 41705</w:t>
      </w:r>
      <w:r w:rsidR="00342DF1" w:rsidRPr="00342DF1">
        <w:t>)</w:t>
      </w:r>
      <w:r w:rsidR="00F249CE" w:rsidRPr="00342DF1">
        <w:t xml:space="preserve"> </w:t>
      </w:r>
      <w:r w:rsidR="00CF1501">
        <w:t>being</w:t>
      </w:r>
      <w:r w:rsidR="00CF1501" w:rsidRPr="00342DF1">
        <w:t xml:space="preserve"> </w:t>
      </w:r>
      <w:r w:rsidR="00F249CE" w:rsidRPr="00342DF1">
        <w:t>listed</w:t>
      </w:r>
      <w:r w:rsidR="00FF5C77" w:rsidRPr="00342DF1">
        <w:t xml:space="preserve"> </w:t>
      </w:r>
      <w:r w:rsidR="00F249CE" w:rsidRPr="00342DF1">
        <w:t xml:space="preserve">on the MBS </w:t>
      </w:r>
      <w:r w:rsidR="00FF5C77" w:rsidRPr="00342DF1">
        <w:t xml:space="preserve">in the first quarter of 2023. </w:t>
      </w:r>
      <w:r w:rsidR="00A67E9C">
        <w:t>The</w:t>
      </w:r>
      <w:r w:rsidR="00A67E9C" w:rsidRPr="00CE7853">
        <w:t xml:space="preserve"> administrative changes were made to address several issues, including inappropriate </w:t>
      </w:r>
      <w:r w:rsidR="0082758E">
        <w:t>claiming</w:t>
      </w:r>
      <w:r w:rsidR="00A67E9C" w:rsidRPr="00CE7853">
        <w:t xml:space="preserve"> of multiple similar or identical items. </w:t>
      </w:r>
    </w:p>
    <w:p w14:paraId="3AD75343" w14:textId="77777777" w:rsidR="00A020E2" w:rsidRDefault="00A020E2" w:rsidP="00A35800">
      <w:pPr>
        <w:rPr>
          <w:highlight w:val="yellow"/>
        </w:rPr>
      </w:pPr>
    </w:p>
    <w:p w14:paraId="09F9D349" w14:textId="7427B89F" w:rsidR="00736041" w:rsidRPr="005E22C2" w:rsidRDefault="00736041" w:rsidP="00DB5401">
      <w:pPr>
        <w:pStyle w:val="Heading3"/>
        <w:keepNext/>
      </w:pPr>
      <w:r w:rsidRPr="005E22C2">
        <w:lastRenderedPageBreak/>
        <w:t>Utilisation by relevant sub-populations/regions</w:t>
      </w:r>
      <w:r w:rsidR="001B5D37" w:rsidRPr="005E22C2">
        <w:t xml:space="preserve"> or patient level analysis</w:t>
      </w:r>
    </w:p>
    <w:p w14:paraId="1B01F4D7" w14:textId="77777777" w:rsidR="00DB5401" w:rsidRDefault="00DB5401" w:rsidP="00DB5401">
      <w:pPr>
        <w:rPr>
          <w:highlight w:val="yellow"/>
        </w:rPr>
      </w:pPr>
      <w:r>
        <w:rPr>
          <w:noProof/>
        </w:rPr>
        <w:drawing>
          <wp:inline distT="0" distB="0" distL="0" distR="0" wp14:anchorId="6C749932" wp14:editId="637AEF51">
            <wp:extent cx="5532120" cy="3303270"/>
            <wp:effectExtent l="0" t="0" r="11430" b="11430"/>
            <wp:docPr id="1838400599" name="Chart 1" descr="Age and gender of initiating patients for mepolizumab for CRSwNP peaks at 55 to 59 for female patients at 50 to 55 for male patients.">
              <a:extLst xmlns:a="http://schemas.openxmlformats.org/drawingml/2006/main">
                <a:ext uri="{FF2B5EF4-FFF2-40B4-BE49-F238E27FC236}">
                  <a16:creationId xmlns:a16="http://schemas.microsoft.com/office/drawing/2014/main" id="{9950F03C-5C8C-9217-022C-65EF31173B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51A8C83" w14:textId="0E3ABED9" w:rsidR="00DB5401" w:rsidRPr="00DB5401" w:rsidRDefault="00DB5401" w:rsidP="00DB5401">
      <w:pPr>
        <w:pStyle w:val="Figuretitle"/>
      </w:pPr>
      <w:r w:rsidRPr="00DB5401">
        <w:t xml:space="preserve">Figure </w:t>
      </w:r>
      <w:r w:rsidR="006060D9">
        <w:t>4</w:t>
      </w:r>
      <w:r w:rsidRPr="00DB5401">
        <w:t xml:space="preserve">: </w:t>
      </w:r>
      <w:r>
        <w:t>Age and gender of initiating patients</w:t>
      </w:r>
      <w:r w:rsidRPr="00DB5401">
        <w:t xml:space="preserve"> for mepolizumab for </w:t>
      </w:r>
      <w:proofErr w:type="spellStart"/>
      <w:r w:rsidRPr="00DB5401">
        <w:t>CRSwNP</w:t>
      </w:r>
      <w:proofErr w:type="spellEnd"/>
    </w:p>
    <w:p w14:paraId="568D3E1A" w14:textId="77777777" w:rsidR="00DB5401" w:rsidRDefault="00DB5401" w:rsidP="00DB5401">
      <w:pPr>
        <w:rPr>
          <w:highlight w:val="yellow"/>
        </w:rPr>
      </w:pPr>
    </w:p>
    <w:p w14:paraId="03945459" w14:textId="44931AFF" w:rsidR="00DB5401" w:rsidRPr="00E74587" w:rsidRDefault="0038049B" w:rsidP="00DB5401">
      <w:r>
        <w:t xml:space="preserve">Of the patients who </w:t>
      </w:r>
      <w:r w:rsidR="00C2649E">
        <w:t>initiated</w:t>
      </w:r>
      <w:r w:rsidR="00BC31D1" w:rsidRPr="00E74587">
        <w:t xml:space="preserve"> </w:t>
      </w:r>
      <w:r w:rsidR="00BC31D1" w:rsidRPr="00BC31D1">
        <w:t xml:space="preserve">mepolizumab for </w:t>
      </w:r>
      <w:proofErr w:type="spellStart"/>
      <w:r w:rsidR="00BC31D1" w:rsidRPr="00BC31D1">
        <w:t>CRSwNP</w:t>
      </w:r>
      <w:proofErr w:type="spellEnd"/>
      <w:r w:rsidR="008C3DC9">
        <w:t xml:space="preserve"> (Figure 4)</w:t>
      </w:r>
      <w:r>
        <w:t>, 57% were male and 43% were female</w:t>
      </w:r>
      <w:r w:rsidR="00BC31D1" w:rsidRPr="00E74587">
        <w:t xml:space="preserve">. </w:t>
      </w:r>
      <w:r w:rsidR="00BC31D1">
        <w:t xml:space="preserve">The </w:t>
      </w:r>
      <w:r>
        <w:t>m</w:t>
      </w:r>
      <w:r w:rsidR="00DB5401" w:rsidRPr="00E74587">
        <w:t xml:space="preserve">ean and median age of initiating patients were 52.8 and 53.0 respectively. </w:t>
      </w:r>
      <w:r w:rsidR="00BC31D1">
        <w:t>The m</w:t>
      </w:r>
      <w:r w:rsidR="00DB5401" w:rsidRPr="00E74587">
        <w:t xml:space="preserve">ean age of female initiating patients was 52.4, </w:t>
      </w:r>
      <w:r w:rsidR="00BC31D1">
        <w:t xml:space="preserve">and the </w:t>
      </w:r>
      <w:r w:rsidR="00DB5401" w:rsidRPr="00E74587">
        <w:t>mean age of male initiating patients was 53.1.</w:t>
      </w:r>
      <w:r w:rsidR="0051655F">
        <w:t xml:space="preserve"> There was a small number of patients (&lt;5) who were under the age of 18 at initiation.</w:t>
      </w:r>
    </w:p>
    <w:p w14:paraId="09224B53" w14:textId="5A5EB361" w:rsidR="00721DF5" w:rsidRDefault="00F249CE" w:rsidP="00A35800">
      <w:pPr>
        <w:rPr>
          <w:highlight w:val="yellow"/>
        </w:rPr>
      </w:pPr>
      <w:r>
        <w:rPr>
          <w:noProof/>
        </w:rPr>
        <w:lastRenderedPageBreak/>
        <w:drawing>
          <wp:inline distT="0" distB="0" distL="0" distR="0" wp14:anchorId="7E146893" wp14:editId="4C3D7199">
            <wp:extent cx="5687695" cy="3493135"/>
            <wp:effectExtent l="0" t="0" r="8255" b="12065"/>
            <wp:docPr id="517609912" name="Chart 1" descr="The number of prescriptions supplied that were prescribed GPs have increased over time. More than 80% of prescriptions were prescribed by ENT, respiratory and sleep medicine and immunology and allergy specialists.">
              <a:extLst xmlns:a="http://schemas.openxmlformats.org/drawingml/2006/main">
                <a:ext uri="{FF2B5EF4-FFF2-40B4-BE49-F238E27FC236}">
                  <a16:creationId xmlns:a16="http://schemas.microsoft.com/office/drawing/2014/main" id="{69DBF612-C73C-B946-5905-266C1FD1A5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FF03C2D" w14:textId="004356F5" w:rsidR="00F249CE" w:rsidRPr="00BC31D1" w:rsidRDefault="00F249CE" w:rsidP="00BC31D1">
      <w:pPr>
        <w:pStyle w:val="Figuretitle"/>
      </w:pPr>
      <w:r w:rsidRPr="00BC31D1">
        <w:t xml:space="preserve">Figure </w:t>
      </w:r>
      <w:r w:rsidR="006060D9">
        <w:t>5</w:t>
      </w:r>
      <w:r w:rsidRPr="00BC31D1">
        <w:t>: Prescriptions over time by prescriber type</w:t>
      </w:r>
    </w:p>
    <w:p w14:paraId="1DC133B7" w14:textId="77777777" w:rsidR="00647380" w:rsidRPr="00BC31D1" w:rsidRDefault="00647380" w:rsidP="00A35800"/>
    <w:p w14:paraId="78AE67AB" w14:textId="44041017" w:rsidR="00647380" w:rsidRPr="00BC31D1" w:rsidRDefault="0051655F" w:rsidP="0051655F">
      <w:r>
        <w:t>Specialties of prescribers</w:t>
      </w:r>
      <w:r w:rsidR="00CD2565">
        <w:t xml:space="preserve"> included in the ‘Other’ category included </w:t>
      </w:r>
      <w:r>
        <w:t>Internal Medicine, Paediatric Medicine,</w:t>
      </w:r>
      <w:r w:rsidRPr="00BC31D1">
        <w:t xml:space="preserve"> </w:t>
      </w:r>
      <w:r>
        <w:t xml:space="preserve">Pathology and Intensive Care. </w:t>
      </w:r>
      <w:r w:rsidR="00647380" w:rsidRPr="00BC31D1">
        <w:t xml:space="preserve">It appears that over time the number of supplied prescriptions which were prescribed by </w:t>
      </w:r>
      <w:r w:rsidR="00BC31D1">
        <w:t>‘</w:t>
      </w:r>
      <w:r w:rsidR="00647380" w:rsidRPr="00BC31D1">
        <w:t>Other</w:t>
      </w:r>
      <w:r w:rsidR="00BC31D1">
        <w:t>’</w:t>
      </w:r>
      <w:r w:rsidR="00647380" w:rsidRPr="00BC31D1">
        <w:t xml:space="preserve"> or </w:t>
      </w:r>
      <w:r w:rsidR="00BC31D1">
        <w:t>‘</w:t>
      </w:r>
      <w:r w:rsidR="00647380" w:rsidRPr="00BC31D1">
        <w:t>Not found</w:t>
      </w:r>
      <w:r w:rsidR="00BC31D1">
        <w:t>’</w:t>
      </w:r>
      <w:r w:rsidR="00647380" w:rsidRPr="00BC31D1">
        <w:t xml:space="preserve"> prescribers has remained </w:t>
      </w:r>
      <w:proofErr w:type="gramStart"/>
      <w:r w:rsidR="00647380" w:rsidRPr="00BC31D1">
        <w:t>fairly low</w:t>
      </w:r>
      <w:proofErr w:type="gramEnd"/>
      <w:r w:rsidR="00647380" w:rsidRPr="00BC31D1">
        <w:t xml:space="preserve"> at approximately 10-15%</w:t>
      </w:r>
      <w:r w:rsidR="00BC31D1">
        <w:t xml:space="preserve">. The </w:t>
      </w:r>
      <w:r w:rsidR="0038049B">
        <w:t>amount</w:t>
      </w:r>
      <w:r w:rsidR="00BC31D1">
        <w:t xml:space="preserve"> of GP prescribing appears to </w:t>
      </w:r>
      <w:r w:rsidR="0038049B">
        <w:t>have</w:t>
      </w:r>
      <w:r w:rsidR="00BC31D1">
        <w:t xml:space="preserve"> slightly increas</w:t>
      </w:r>
      <w:r w:rsidR="0038049B">
        <w:t>ed</w:t>
      </w:r>
      <w:r w:rsidR="00BC31D1">
        <w:t xml:space="preserve"> over time, which </w:t>
      </w:r>
      <w:r w:rsidR="0038049B">
        <w:t>wa</w:t>
      </w:r>
      <w:r w:rsidR="00BC31D1">
        <w:t xml:space="preserve">s reasonable as the list of </w:t>
      </w:r>
      <w:r w:rsidR="00BC31D1" w:rsidRPr="00BC31D1">
        <w:t>medical practitioner</w:t>
      </w:r>
      <w:r w:rsidR="00BC31D1">
        <w:t xml:space="preserve">s allowed to prescribe mepolizumab for </w:t>
      </w:r>
      <w:proofErr w:type="spellStart"/>
      <w:r w:rsidR="00BC31D1">
        <w:t>CRSwNP</w:t>
      </w:r>
      <w:proofErr w:type="spellEnd"/>
      <w:r w:rsidR="00BC31D1">
        <w:t xml:space="preserve"> under the PBS restriction includes ‘</w:t>
      </w:r>
      <w:r w:rsidR="00BC31D1" w:rsidRPr="00BC31D1">
        <w:t xml:space="preserve">general physician experienced in the management of patients with </w:t>
      </w:r>
      <w:proofErr w:type="spellStart"/>
      <w:r w:rsidR="00BC31D1" w:rsidRPr="00BC31D1">
        <w:t>CRSwNP</w:t>
      </w:r>
      <w:proofErr w:type="spellEnd"/>
      <w:r w:rsidR="00BC31D1">
        <w:t xml:space="preserve">’. </w:t>
      </w:r>
      <w:r w:rsidR="00647380" w:rsidRPr="00BC31D1">
        <w:t xml:space="preserve"> </w:t>
      </w:r>
    </w:p>
    <w:p w14:paraId="01F79E78" w14:textId="1162620E" w:rsidR="00F249CE" w:rsidRDefault="00F249CE" w:rsidP="00A35800">
      <w:pPr>
        <w:rPr>
          <w:highlight w:val="yellow"/>
        </w:rPr>
      </w:pPr>
      <w:r>
        <w:rPr>
          <w:noProof/>
        </w:rPr>
        <w:lastRenderedPageBreak/>
        <w:drawing>
          <wp:inline distT="0" distB="0" distL="0" distR="0" wp14:anchorId="065866CA" wp14:editId="7B2E6432">
            <wp:extent cx="5687695" cy="3352165"/>
            <wp:effectExtent l="0" t="0" r="8255" b="635"/>
            <wp:docPr id="1392817811" name="Chart 1" descr="Number of initiating patients by State or Territory of residence. Number of initiating patients was highest in NSW and lowest in NT. Standardised number was highest in SA and lowest in ACT.">
              <a:extLst xmlns:a="http://schemas.openxmlformats.org/drawingml/2006/main">
                <a:ext uri="{FF2B5EF4-FFF2-40B4-BE49-F238E27FC236}">
                  <a16:creationId xmlns:a16="http://schemas.microsoft.com/office/drawing/2014/main" id="{5B16FD1C-26FE-63B7-BFC8-1A4D670133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DF42556" w14:textId="326BB691" w:rsidR="000472BE" w:rsidRPr="00E74587" w:rsidRDefault="00F249CE" w:rsidP="00E74587">
      <w:pPr>
        <w:pStyle w:val="Figuretitle"/>
      </w:pPr>
      <w:r w:rsidRPr="00E74587">
        <w:t xml:space="preserve">Figure </w:t>
      </w:r>
      <w:r w:rsidR="006060D9">
        <w:t>6</w:t>
      </w:r>
      <w:r w:rsidRPr="00E74587">
        <w:t>: Number of initiating patients by State or Territory of residence</w:t>
      </w:r>
    </w:p>
    <w:p w14:paraId="15FF2F1F" w14:textId="77777777" w:rsidR="00F249CE" w:rsidRDefault="00F249CE" w:rsidP="00A35800">
      <w:pPr>
        <w:rPr>
          <w:highlight w:val="yellow"/>
        </w:rPr>
      </w:pPr>
    </w:p>
    <w:p w14:paraId="5FB12706" w14:textId="0C44152C" w:rsidR="00F249CE" w:rsidRDefault="00F249CE" w:rsidP="00A35800">
      <w:pPr>
        <w:rPr>
          <w:highlight w:val="yellow"/>
        </w:rPr>
      </w:pPr>
      <w:r>
        <w:rPr>
          <w:noProof/>
        </w:rPr>
        <w:drawing>
          <wp:inline distT="0" distB="0" distL="0" distR="0" wp14:anchorId="2AECE771" wp14:editId="05EC1B35">
            <wp:extent cx="5687695" cy="3352165"/>
            <wp:effectExtent l="0" t="0" r="8255" b="635"/>
            <wp:docPr id="1583002386" name="Chart 1" descr="Number of prescriptions by State or Territory of residence. Number of prescriptions was highest in NSW and lowest in NT. Standardised number was highest in SA and lowest in ACT.">
              <a:extLst xmlns:a="http://schemas.openxmlformats.org/drawingml/2006/main">
                <a:ext uri="{FF2B5EF4-FFF2-40B4-BE49-F238E27FC236}">
                  <a16:creationId xmlns:a16="http://schemas.microsoft.com/office/drawing/2014/main" id="{9C8C2F74-6D63-4A02-BF8D-AEF26E4339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CC3348" w14:textId="3934E762" w:rsidR="00F249CE" w:rsidRPr="00BC31D1" w:rsidRDefault="00F249CE" w:rsidP="00BC31D1">
      <w:pPr>
        <w:pStyle w:val="Figuretitle"/>
      </w:pPr>
      <w:r w:rsidRPr="00BC31D1">
        <w:t xml:space="preserve">Figure </w:t>
      </w:r>
      <w:r w:rsidR="006060D9">
        <w:t>7</w:t>
      </w:r>
      <w:r w:rsidRPr="00BC31D1">
        <w:t>: Prescriptions by State or Territory of residence</w:t>
      </w:r>
    </w:p>
    <w:p w14:paraId="1ABF34EB" w14:textId="77777777" w:rsidR="00BC31D1" w:rsidRDefault="00BC31D1" w:rsidP="00A35800"/>
    <w:p w14:paraId="631D0786" w14:textId="1F4EFAF0" w:rsidR="00F249CE" w:rsidRPr="00BC31D1" w:rsidRDefault="00BC31D1" w:rsidP="00A35800">
      <w:r w:rsidRPr="00BC31D1">
        <w:t>The number of initiating patients and the number of supplied prescriptions were both highest in NSW, however the State with the highest use per population was SA, followed by QLD and WA.</w:t>
      </w:r>
    </w:p>
    <w:p w14:paraId="5F22B4D8" w14:textId="319090EA" w:rsidR="00736041" w:rsidRPr="005E22C2" w:rsidRDefault="00D151EB" w:rsidP="00F73113">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3DCE7B1D" w14:textId="51F6C7CD" w:rsidR="000C7D8B" w:rsidRDefault="005D32E2" w:rsidP="005D32E2">
      <w:pPr>
        <w:pStyle w:val="Tabletitle"/>
      </w:pPr>
      <w:r>
        <w:t xml:space="preserve">Table </w:t>
      </w:r>
      <w:r w:rsidR="006060D9">
        <w:t>7</w:t>
      </w:r>
      <w:r>
        <w:t xml:space="preserve">: Analysis </w:t>
      </w:r>
      <w:r w:rsidRPr="005E22C2">
        <w:t xml:space="preserve">of </w:t>
      </w:r>
      <w:r>
        <w:t>a</w:t>
      </w:r>
      <w:r w:rsidRPr="005E22C2">
        <w:t xml:space="preserve">ctual versus </w:t>
      </w:r>
      <w:r>
        <w:t>p</w:t>
      </w:r>
      <w:r w:rsidRPr="005E22C2">
        <w:t xml:space="preserve">redicted </w:t>
      </w:r>
      <w:r>
        <w:t>u</w:t>
      </w:r>
      <w:r w:rsidRPr="005E22C2">
        <w:t>tilisation</w:t>
      </w:r>
      <w:r>
        <w:t xml:space="preserve"> of mepolizumab for </w:t>
      </w:r>
      <w:proofErr w:type="spellStart"/>
      <w:r w:rsidR="00DB5401" w:rsidRPr="00DB5401">
        <w:t>CRSwNP</w:t>
      </w:r>
      <w:proofErr w:type="spellEnd"/>
    </w:p>
    <w:tbl>
      <w:tblPr>
        <w:tblW w:w="8926" w:type="dxa"/>
        <w:tblLayout w:type="fixed"/>
        <w:tblLook w:val="04A0" w:firstRow="1" w:lastRow="0" w:firstColumn="1" w:lastColumn="0" w:noHBand="0" w:noVBand="1"/>
      </w:tblPr>
      <w:tblGrid>
        <w:gridCol w:w="1274"/>
        <w:gridCol w:w="1065"/>
        <w:gridCol w:w="2195"/>
        <w:gridCol w:w="2196"/>
        <w:gridCol w:w="2196"/>
      </w:tblGrid>
      <w:tr w:rsidR="005D32E2" w:rsidRPr="005D32E2" w14:paraId="0C7BA09C" w14:textId="77777777" w:rsidTr="005D32E2">
        <w:trPr>
          <w:trHeight w:val="276"/>
        </w:trPr>
        <w:tc>
          <w:tcPr>
            <w:tcW w:w="127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441D2CC" w14:textId="77777777" w:rsidR="005D32E2" w:rsidRPr="005D32E2" w:rsidRDefault="005D32E2" w:rsidP="005D32E2">
            <w:pPr>
              <w:spacing w:after="0"/>
              <w:rPr>
                <w:rFonts w:ascii="Calibri" w:eastAsia="Times New Roman" w:hAnsi="Calibri" w:cs="Calibri"/>
                <w:b/>
                <w:bCs/>
                <w:color w:val="000000"/>
                <w:sz w:val="20"/>
                <w:szCs w:val="20"/>
              </w:rPr>
            </w:pPr>
            <w:r w:rsidRPr="005D32E2">
              <w:rPr>
                <w:rFonts w:ascii="Calibri" w:eastAsia="Times New Roman" w:hAnsi="Calibri" w:cs="Calibri"/>
                <w:b/>
                <w:bCs/>
                <w:color w:val="000000"/>
                <w:sz w:val="20"/>
                <w:szCs w:val="20"/>
              </w:rPr>
              <w:t> </w:t>
            </w:r>
          </w:p>
        </w:tc>
        <w:tc>
          <w:tcPr>
            <w:tcW w:w="106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C408552" w14:textId="77777777" w:rsidR="005D32E2" w:rsidRPr="005D32E2" w:rsidRDefault="005D32E2" w:rsidP="005D32E2">
            <w:pPr>
              <w:spacing w:after="0"/>
              <w:rPr>
                <w:rFonts w:ascii="Calibri" w:eastAsia="Times New Roman" w:hAnsi="Calibri" w:cs="Calibri"/>
                <w:b/>
                <w:bCs/>
                <w:color w:val="000000"/>
                <w:sz w:val="20"/>
                <w:szCs w:val="20"/>
              </w:rPr>
            </w:pPr>
            <w:r w:rsidRPr="005D32E2">
              <w:rPr>
                <w:rFonts w:ascii="Calibri" w:eastAsia="Times New Roman" w:hAnsi="Calibri" w:cs="Calibri"/>
                <w:b/>
                <w:bCs/>
                <w:color w:val="000000"/>
                <w:sz w:val="20"/>
                <w:szCs w:val="20"/>
              </w:rPr>
              <w:t> </w:t>
            </w:r>
          </w:p>
        </w:tc>
        <w:tc>
          <w:tcPr>
            <w:tcW w:w="219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224CC29" w14:textId="77777777" w:rsidR="005D32E2" w:rsidRDefault="005D32E2" w:rsidP="005D32E2">
            <w:pPr>
              <w:spacing w:after="0"/>
              <w:rPr>
                <w:rFonts w:ascii="Calibri" w:eastAsia="Times New Roman" w:hAnsi="Calibri" w:cs="Calibri"/>
                <w:b/>
                <w:bCs/>
                <w:color w:val="000000"/>
                <w:sz w:val="20"/>
                <w:szCs w:val="20"/>
              </w:rPr>
            </w:pPr>
            <w:r w:rsidRPr="005D32E2">
              <w:rPr>
                <w:rFonts w:ascii="Calibri" w:eastAsia="Times New Roman" w:hAnsi="Calibri" w:cs="Calibri"/>
                <w:b/>
                <w:bCs/>
                <w:color w:val="000000"/>
                <w:sz w:val="20"/>
                <w:szCs w:val="20"/>
              </w:rPr>
              <w:t>Year 1</w:t>
            </w:r>
          </w:p>
          <w:p w14:paraId="124770E3" w14:textId="6528051A" w:rsidR="005D32E2" w:rsidRPr="005D32E2" w:rsidRDefault="005D32E2" w:rsidP="005D32E2">
            <w:pPr>
              <w:spacing w:after="0"/>
              <w:rPr>
                <w:rFonts w:ascii="Calibri" w:eastAsia="Times New Roman" w:hAnsi="Calibri" w:cs="Calibri"/>
                <w:b/>
                <w:bCs/>
                <w:color w:val="000000"/>
                <w:sz w:val="20"/>
                <w:szCs w:val="20"/>
              </w:rPr>
            </w:pPr>
            <w:r>
              <w:rPr>
                <w:rFonts w:ascii="Calibri" w:eastAsia="Times New Roman" w:hAnsi="Calibri" w:cs="Calibri"/>
                <w:b/>
                <w:bCs/>
                <w:color w:val="000000"/>
                <w:sz w:val="20"/>
                <w:szCs w:val="20"/>
              </w:rPr>
              <w:t>(Apr 2023-Mar 2024)</w:t>
            </w:r>
          </w:p>
        </w:tc>
        <w:tc>
          <w:tcPr>
            <w:tcW w:w="2196"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9C25CA0" w14:textId="0A83F570" w:rsidR="005D32E2" w:rsidRPr="005D32E2" w:rsidRDefault="005D32E2" w:rsidP="005D32E2">
            <w:pPr>
              <w:spacing w:after="0"/>
              <w:rPr>
                <w:rFonts w:ascii="Calibri" w:eastAsia="Times New Roman" w:hAnsi="Calibri" w:cs="Calibri"/>
                <w:b/>
                <w:bCs/>
                <w:color w:val="000000"/>
                <w:sz w:val="20"/>
                <w:szCs w:val="20"/>
              </w:rPr>
            </w:pPr>
            <w:r w:rsidRPr="005D32E2">
              <w:rPr>
                <w:rFonts w:ascii="Calibri" w:eastAsia="Times New Roman" w:hAnsi="Calibri" w:cs="Calibri"/>
                <w:b/>
                <w:bCs/>
                <w:color w:val="000000"/>
                <w:sz w:val="20"/>
                <w:szCs w:val="20"/>
              </w:rPr>
              <w:t>Year 2</w:t>
            </w:r>
            <w:r>
              <w:rPr>
                <w:rFonts w:ascii="Calibri" w:eastAsia="Times New Roman" w:hAnsi="Calibri" w:cs="Calibri"/>
                <w:b/>
                <w:bCs/>
                <w:color w:val="000000"/>
                <w:sz w:val="20"/>
                <w:szCs w:val="20"/>
              </w:rPr>
              <w:t xml:space="preserve"> </w:t>
            </w:r>
            <w:r>
              <w:rPr>
                <w:rFonts w:ascii="Calibri" w:eastAsia="Times New Roman" w:hAnsi="Calibri" w:cs="Calibri"/>
                <w:b/>
                <w:bCs/>
                <w:color w:val="000000"/>
                <w:sz w:val="20"/>
                <w:szCs w:val="20"/>
              </w:rPr>
              <w:br/>
              <w:t>(Apr 2024-Mar 2025)</w:t>
            </w:r>
          </w:p>
        </w:tc>
        <w:tc>
          <w:tcPr>
            <w:tcW w:w="2196"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0684DC1" w14:textId="6612497B" w:rsidR="005D32E2" w:rsidRPr="005D32E2" w:rsidRDefault="005D32E2" w:rsidP="005D32E2">
            <w:pPr>
              <w:spacing w:after="0"/>
              <w:rPr>
                <w:rFonts w:ascii="Calibri" w:eastAsia="Times New Roman" w:hAnsi="Calibri" w:cs="Calibri"/>
                <w:b/>
                <w:bCs/>
                <w:color w:val="000000"/>
                <w:sz w:val="20"/>
                <w:szCs w:val="20"/>
              </w:rPr>
            </w:pPr>
            <w:r w:rsidRPr="005D32E2">
              <w:rPr>
                <w:rFonts w:ascii="Calibri" w:eastAsia="Times New Roman" w:hAnsi="Calibri" w:cs="Calibri"/>
                <w:b/>
                <w:bCs/>
                <w:color w:val="000000"/>
                <w:sz w:val="20"/>
                <w:szCs w:val="20"/>
              </w:rPr>
              <w:t>Year 3</w:t>
            </w:r>
            <w:r>
              <w:rPr>
                <w:rFonts w:ascii="Calibri" w:eastAsia="Times New Roman" w:hAnsi="Calibri" w:cs="Calibri"/>
                <w:b/>
                <w:bCs/>
                <w:color w:val="000000"/>
                <w:sz w:val="20"/>
                <w:szCs w:val="20"/>
              </w:rPr>
              <w:t>*</w:t>
            </w:r>
            <w:r>
              <w:rPr>
                <w:rFonts w:ascii="Calibri" w:eastAsia="Times New Roman" w:hAnsi="Calibri" w:cs="Calibri"/>
                <w:b/>
                <w:bCs/>
                <w:color w:val="000000"/>
                <w:sz w:val="20"/>
                <w:szCs w:val="20"/>
              </w:rPr>
              <w:br/>
              <w:t>(Apr 2025 -Mar 2026)</w:t>
            </w:r>
          </w:p>
        </w:tc>
      </w:tr>
      <w:tr w:rsidR="009F33D5" w:rsidRPr="005D32E2" w14:paraId="5BFEEF84" w14:textId="77777777" w:rsidTr="00E33F36">
        <w:trPr>
          <w:trHeight w:val="276"/>
        </w:trPr>
        <w:tc>
          <w:tcPr>
            <w:tcW w:w="1274" w:type="dxa"/>
            <w:vMerge w:val="restart"/>
            <w:tcBorders>
              <w:top w:val="nil"/>
              <w:left w:val="single" w:sz="4" w:space="0" w:color="auto"/>
              <w:right w:val="single" w:sz="4" w:space="0" w:color="auto"/>
            </w:tcBorders>
            <w:noWrap/>
            <w:vAlign w:val="bottom"/>
            <w:hideMark/>
          </w:tcPr>
          <w:p w14:paraId="7347216C" w14:textId="77777777" w:rsidR="009F33D5" w:rsidRPr="005D32E2" w:rsidRDefault="009F33D5" w:rsidP="005D32E2">
            <w:pPr>
              <w:spacing w:after="0"/>
              <w:rPr>
                <w:rFonts w:ascii="Calibri" w:eastAsia="Times New Roman" w:hAnsi="Calibri" w:cs="Calibri"/>
                <w:color w:val="000000"/>
                <w:sz w:val="20"/>
                <w:szCs w:val="20"/>
              </w:rPr>
            </w:pPr>
            <w:r w:rsidRPr="005D32E2">
              <w:rPr>
                <w:rFonts w:ascii="Calibri" w:eastAsia="Times New Roman" w:hAnsi="Calibri" w:cs="Calibri"/>
                <w:color w:val="000000"/>
                <w:sz w:val="20"/>
                <w:szCs w:val="20"/>
              </w:rPr>
              <w:t>Patients</w:t>
            </w:r>
          </w:p>
          <w:p w14:paraId="0ADA1C68" w14:textId="77777777" w:rsidR="009F33D5" w:rsidRPr="005D32E2" w:rsidRDefault="009F33D5" w:rsidP="005D32E2">
            <w:pPr>
              <w:spacing w:after="0"/>
              <w:rPr>
                <w:rFonts w:ascii="Calibri" w:eastAsia="Times New Roman" w:hAnsi="Calibri" w:cs="Calibri"/>
                <w:color w:val="000000"/>
                <w:sz w:val="20"/>
                <w:szCs w:val="20"/>
              </w:rPr>
            </w:pPr>
            <w:r w:rsidRPr="005D32E2">
              <w:rPr>
                <w:rFonts w:ascii="Calibri" w:eastAsia="Times New Roman" w:hAnsi="Calibri" w:cs="Calibri"/>
                <w:color w:val="000000"/>
                <w:sz w:val="20"/>
                <w:szCs w:val="20"/>
              </w:rPr>
              <w:t> </w:t>
            </w:r>
          </w:p>
          <w:p w14:paraId="7DCD3CB0" w14:textId="6C80721C" w:rsidR="009F33D5" w:rsidRPr="005D32E2" w:rsidRDefault="009F33D5" w:rsidP="005D32E2">
            <w:pPr>
              <w:spacing w:after="0"/>
              <w:rPr>
                <w:rFonts w:ascii="Calibri" w:eastAsia="Times New Roman" w:hAnsi="Calibri" w:cs="Calibri"/>
                <w:color w:val="000000"/>
                <w:sz w:val="20"/>
                <w:szCs w:val="20"/>
              </w:rPr>
            </w:pPr>
            <w:r w:rsidRPr="005D32E2">
              <w:rPr>
                <w:rFonts w:ascii="Calibri" w:eastAsia="Times New Roman" w:hAnsi="Calibri" w:cs="Calibri"/>
                <w:color w:val="000000"/>
                <w:sz w:val="20"/>
                <w:szCs w:val="20"/>
              </w:rPr>
              <w:t> </w:t>
            </w:r>
          </w:p>
        </w:tc>
        <w:tc>
          <w:tcPr>
            <w:tcW w:w="1065" w:type="dxa"/>
            <w:tcBorders>
              <w:top w:val="nil"/>
              <w:left w:val="nil"/>
              <w:bottom w:val="single" w:sz="4" w:space="0" w:color="auto"/>
              <w:right w:val="single" w:sz="4" w:space="0" w:color="auto"/>
            </w:tcBorders>
            <w:noWrap/>
            <w:vAlign w:val="bottom"/>
            <w:hideMark/>
          </w:tcPr>
          <w:p w14:paraId="459E18BC" w14:textId="77777777" w:rsidR="009F33D5" w:rsidRPr="005D32E2" w:rsidRDefault="009F33D5" w:rsidP="005D32E2">
            <w:pPr>
              <w:spacing w:after="0"/>
              <w:rPr>
                <w:rFonts w:ascii="Calibri" w:eastAsia="Times New Roman" w:hAnsi="Calibri" w:cs="Calibri"/>
                <w:color w:val="000000"/>
                <w:sz w:val="20"/>
                <w:szCs w:val="20"/>
              </w:rPr>
            </w:pPr>
            <w:r w:rsidRPr="005D32E2">
              <w:rPr>
                <w:rFonts w:ascii="Calibri" w:eastAsia="Times New Roman" w:hAnsi="Calibri" w:cs="Calibri"/>
                <w:color w:val="000000"/>
                <w:sz w:val="20"/>
                <w:szCs w:val="20"/>
              </w:rPr>
              <w:t>Predicted</w:t>
            </w:r>
          </w:p>
        </w:tc>
        <w:tc>
          <w:tcPr>
            <w:tcW w:w="2195" w:type="dxa"/>
            <w:tcBorders>
              <w:top w:val="nil"/>
              <w:left w:val="nil"/>
              <w:bottom w:val="single" w:sz="4" w:space="0" w:color="auto"/>
              <w:right w:val="single" w:sz="4" w:space="0" w:color="auto"/>
            </w:tcBorders>
            <w:noWrap/>
            <w:vAlign w:val="bottom"/>
            <w:hideMark/>
          </w:tcPr>
          <w:p w14:paraId="5D27B43E" w14:textId="4FE57873" w:rsidR="009F33D5" w:rsidRPr="005D32E2" w:rsidRDefault="00221B0E" w:rsidP="005D32E2">
            <w:pPr>
              <w:spacing w:after="0"/>
              <w:jc w:val="right"/>
              <w:rPr>
                <w:rFonts w:ascii="Calibri" w:eastAsia="Times New Roman" w:hAnsi="Calibri" w:cs="Calibri"/>
                <w:color w:val="000000"/>
                <w:sz w:val="20"/>
                <w:szCs w:val="20"/>
              </w:rPr>
            </w:pPr>
            <w:r w:rsidRPr="00221B0E">
              <w:rPr>
                <w:rFonts w:ascii="Calibri" w:eastAsia="Times New Roman" w:hAnsi="Calibri" w:cs="Calibri"/>
                <w:color w:val="000000"/>
                <w:sz w:val="20"/>
                <w:szCs w:val="20"/>
                <w:highlight w:val="black"/>
              </w:rPr>
              <w:t>xxx</w:t>
            </w:r>
            <w:r w:rsidR="00151803">
              <w:rPr>
                <w:rFonts w:ascii="Calibri" w:eastAsia="Times New Roman" w:hAnsi="Calibri" w:cs="Calibri"/>
                <w:color w:val="000000"/>
                <w:sz w:val="20"/>
                <w:szCs w:val="20"/>
                <w:vertAlign w:val="superscript"/>
              </w:rPr>
              <w:t>1</w:t>
            </w:r>
          </w:p>
        </w:tc>
        <w:tc>
          <w:tcPr>
            <w:tcW w:w="2196" w:type="dxa"/>
            <w:tcBorders>
              <w:top w:val="nil"/>
              <w:left w:val="nil"/>
              <w:bottom w:val="single" w:sz="4" w:space="0" w:color="auto"/>
              <w:right w:val="single" w:sz="4" w:space="0" w:color="auto"/>
            </w:tcBorders>
            <w:noWrap/>
            <w:vAlign w:val="bottom"/>
            <w:hideMark/>
          </w:tcPr>
          <w:p w14:paraId="573AA775" w14:textId="1C06F4A3" w:rsidR="009F33D5" w:rsidRPr="005D32E2" w:rsidRDefault="00221B0E" w:rsidP="005D32E2">
            <w:pPr>
              <w:spacing w:after="0"/>
              <w:jc w:val="right"/>
              <w:rPr>
                <w:rFonts w:ascii="Calibri" w:eastAsia="Times New Roman" w:hAnsi="Calibri" w:cs="Calibri"/>
                <w:color w:val="000000"/>
                <w:sz w:val="20"/>
                <w:szCs w:val="20"/>
              </w:rPr>
            </w:pPr>
            <w:r w:rsidRPr="00221B0E">
              <w:rPr>
                <w:rFonts w:ascii="Calibri" w:eastAsia="Times New Roman" w:hAnsi="Calibri" w:cs="Calibri"/>
                <w:color w:val="000000"/>
                <w:sz w:val="20"/>
                <w:szCs w:val="20"/>
                <w:highlight w:val="black"/>
              </w:rPr>
              <w:t xml:space="preserve"> xxx</w:t>
            </w:r>
            <w:r w:rsidR="00151803">
              <w:rPr>
                <w:rFonts w:ascii="Calibri" w:eastAsia="Times New Roman" w:hAnsi="Calibri" w:cs="Calibri"/>
                <w:color w:val="000000"/>
                <w:sz w:val="20"/>
                <w:szCs w:val="20"/>
                <w:vertAlign w:val="superscript"/>
              </w:rPr>
              <w:t>1</w:t>
            </w:r>
          </w:p>
        </w:tc>
        <w:tc>
          <w:tcPr>
            <w:tcW w:w="2196" w:type="dxa"/>
            <w:tcBorders>
              <w:top w:val="nil"/>
              <w:left w:val="nil"/>
              <w:bottom w:val="single" w:sz="4" w:space="0" w:color="auto"/>
              <w:right w:val="single" w:sz="4" w:space="0" w:color="auto"/>
            </w:tcBorders>
            <w:noWrap/>
            <w:vAlign w:val="bottom"/>
            <w:hideMark/>
          </w:tcPr>
          <w:p w14:paraId="003713CA" w14:textId="2D2DE73F" w:rsidR="009F33D5" w:rsidRPr="005D32E2" w:rsidRDefault="00221B0E" w:rsidP="005D32E2">
            <w:pPr>
              <w:spacing w:after="0"/>
              <w:jc w:val="right"/>
              <w:rPr>
                <w:rFonts w:ascii="Calibri" w:eastAsia="Times New Roman" w:hAnsi="Calibri" w:cs="Calibri"/>
                <w:color w:val="000000"/>
                <w:sz w:val="20"/>
                <w:szCs w:val="20"/>
              </w:rPr>
            </w:pPr>
            <w:r w:rsidRPr="00221B0E">
              <w:rPr>
                <w:rFonts w:ascii="Calibri" w:eastAsia="Times New Roman" w:hAnsi="Calibri" w:cs="Calibri"/>
                <w:color w:val="000000"/>
                <w:sz w:val="20"/>
                <w:szCs w:val="20"/>
                <w:highlight w:val="black"/>
              </w:rPr>
              <w:t>xxx</w:t>
            </w:r>
            <w:r w:rsidR="00151803">
              <w:rPr>
                <w:rFonts w:ascii="Calibri" w:eastAsia="Times New Roman" w:hAnsi="Calibri" w:cs="Calibri"/>
                <w:color w:val="000000"/>
                <w:sz w:val="20"/>
                <w:szCs w:val="20"/>
                <w:vertAlign w:val="superscript"/>
              </w:rPr>
              <w:t>1</w:t>
            </w:r>
          </w:p>
        </w:tc>
      </w:tr>
      <w:tr w:rsidR="009F33D5" w:rsidRPr="005D32E2" w14:paraId="4F780BEF" w14:textId="77777777" w:rsidTr="00E33F36">
        <w:trPr>
          <w:trHeight w:val="276"/>
        </w:trPr>
        <w:tc>
          <w:tcPr>
            <w:tcW w:w="1274" w:type="dxa"/>
            <w:vMerge/>
            <w:tcBorders>
              <w:left w:val="single" w:sz="4" w:space="0" w:color="auto"/>
              <w:right w:val="single" w:sz="4" w:space="0" w:color="auto"/>
            </w:tcBorders>
            <w:noWrap/>
            <w:vAlign w:val="bottom"/>
            <w:hideMark/>
          </w:tcPr>
          <w:p w14:paraId="5E379191" w14:textId="60352E89" w:rsidR="009F33D5" w:rsidRPr="005D32E2" w:rsidRDefault="009F33D5" w:rsidP="005D32E2">
            <w:pPr>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noWrap/>
            <w:vAlign w:val="bottom"/>
            <w:hideMark/>
          </w:tcPr>
          <w:p w14:paraId="14D83E25" w14:textId="77777777" w:rsidR="009F33D5" w:rsidRPr="005D32E2" w:rsidRDefault="009F33D5" w:rsidP="005D32E2">
            <w:pPr>
              <w:spacing w:after="0"/>
              <w:rPr>
                <w:rFonts w:ascii="Calibri" w:eastAsia="Times New Roman" w:hAnsi="Calibri" w:cs="Calibri"/>
                <w:color w:val="000000"/>
                <w:sz w:val="20"/>
                <w:szCs w:val="20"/>
              </w:rPr>
            </w:pPr>
            <w:r w:rsidRPr="005D32E2">
              <w:rPr>
                <w:rFonts w:ascii="Calibri" w:eastAsia="Times New Roman" w:hAnsi="Calibri" w:cs="Calibri"/>
                <w:color w:val="000000"/>
                <w:sz w:val="20"/>
                <w:szCs w:val="20"/>
              </w:rPr>
              <w:t>Actual</w:t>
            </w:r>
          </w:p>
        </w:tc>
        <w:tc>
          <w:tcPr>
            <w:tcW w:w="2195" w:type="dxa"/>
            <w:tcBorders>
              <w:top w:val="nil"/>
              <w:left w:val="nil"/>
              <w:bottom w:val="single" w:sz="4" w:space="0" w:color="auto"/>
              <w:right w:val="single" w:sz="4" w:space="0" w:color="auto"/>
            </w:tcBorders>
            <w:noWrap/>
            <w:vAlign w:val="bottom"/>
            <w:hideMark/>
          </w:tcPr>
          <w:p w14:paraId="46D4DC72" w14:textId="77777777" w:rsidR="009F33D5" w:rsidRPr="005D32E2" w:rsidRDefault="009F33D5" w:rsidP="005D32E2">
            <w:pPr>
              <w:spacing w:after="0"/>
              <w:jc w:val="right"/>
              <w:rPr>
                <w:rFonts w:ascii="Calibri" w:eastAsia="Times New Roman" w:hAnsi="Calibri" w:cs="Calibri"/>
                <w:color w:val="000000"/>
                <w:sz w:val="20"/>
                <w:szCs w:val="20"/>
              </w:rPr>
            </w:pPr>
            <w:r w:rsidRPr="005D32E2">
              <w:rPr>
                <w:rFonts w:ascii="Calibri" w:eastAsia="Times New Roman" w:hAnsi="Calibri" w:cs="Calibri"/>
                <w:color w:val="000000"/>
                <w:sz w:val="20"/>
                <w:szCs w:val="20"/>
              </w:rPr>
              <w:t>997</w:t>
            </w:r>
          </w:p>
        </w:tc>
        <w:tc>
          <w:tcPr>
            <w:tcW w:w="2196" w:type="dxa"/>
            <w:tcBorders>
              <w:top w:val="nil"/>
              <w:left w:val="nil"/>
              <w:bottom w:val="single" w:sz="4" w:space="0" w:color="auto"/>
              <w:right w:val="single" w:sz="4" w:space="0" w:color="auto"/>
            </w:tcBorders>
            <w:noWrap/>
            <w:vAlign w:val="bottom"/>
            <w:hideMark/>
          </w:tcPr>
          <w:p w14:paraId="6F19D46F" w14:textId="78854D8A" w:rsidR="009F33D5" w:rsidRPr="005D32E2" w:rsidRDefault="009F33D5" w:rsidP="005D32E2">
            <w:pPr>
              <w:spacing w:after="0"/>
              <w:jc w:val="right"/>
              <w:rPr>
                <w:rFonts w:ascii="Calibri" w:eastAsia="Times New Roman" w:hAnsi="Calibri" w:cs="Calibri"/>
                <w:color w:val="000000"/>
                <w:sz w:val="20"/>
                <w:szCs w:val="20"/>
              </w:rPr>
            </w:pPr>
            <w:r w:rsidRPr="005D32E2">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5D32E2">
              <w:rPr>
                <w:rFonts w:ascii="Calibri" w:eastAsia="Times New Roman" w:hAnsi="Calibri" w:cs="Calibri"/>
                <w:color w:val="000000"/>
                <w:sz w:val="20"/>
                <w:szCs w:val="20"/>
              </w:rPr>
              <w:t>906</w:t>
            </w:r>
          </w:p>
        </w:tc>
        <w:tc>
          <w:tcPr>
            <w:tcW w:w="2196" w:type="dxa"/>
            <w:tcBorders>
              <w:top w:val="nil"/>
              <w:left w:val="nil"/>
              <w:bottom w:val="single" w:sz="4" w:space="0" w:color="auto"/>
              <w:right w:val="single" w:sz="4" w:space="0" w:color="auto"/>
            </w:tcBorders>
            <w:noWrap/>
            <w:vAlign w:val="bottom"/>
            <w:hideMark/>
          </w:tcPr>
          <w:p w14:paraId="4CF78A0E" w14:textId="0677FAD1" w:rsidR="009F33D5" w:rsidRPr="005D32E2" w:rsidRDefault="009F33D5" w:rsidP="005D32E2">
            <w:pPr>
              <w:spacing w:after="0"/>
              <w:jc w:val="right"/>
              <w:rPr>
                <w:rFonts w:ascii="Calibri" w:eastAsia="Times New Roman" w:hAnsi="Calibri" w:cs="Calibri"/>
                <w:color w:val="000000"/>
                <w:sz w:val="20"/>
                <w:szCs w:val="20"/>
              </w:rPr>
            </w:pPr>
            <w:r w:rsidRPr="005D32E2">
              <w:rPr>
                <w:rFonts w:ascii="Calibri" w:eastAsia="Times New Roman" w:hAnsi="Calibri" w:cs="Calibri"/>
                <w:color w:val="000000"/>
                <w:sz w:val="20"/>
                <w:szCs w:val="20"/>
              </w:rPr>
              <w:t>2</w:t>
            </w:r>
            <w:r>
              <w:rPr>
                <w:rFonts w:ascii="Calibri" w:eastAsia="Times New Roman" w:hAnsi="Calibri" w:cs="Calibri"/>
                <w:color w:val="000000"/>
                <w:sz w:val="20"/>
                <w:szCs w:val="20"/>
              </w:rPr>
              <w:t>,</w:t>
            </w:r>
            <w:r w:rsidRPr="005D32E2">
              <w:rPr>
                <w:rFonts w:ascii="Calibri" w:eastAsia="Times New Roman" w:hAnsi="Calibri" w:cs="Calibri"/>
                <w:color w:val="000000"/>
                <w:sz w:val="20"/>
                <w:szCs w:val="20"/>
              </w:rPr>
              <w:t>149</w:t>
            </w:r>
          </w:p>
        </w:tc>
      </w:tr>
      <w:tr w:rsidR="009F33D5" w:rsidRPr="005D32E2" w14:paraId="08F490DC" w14:textId="77777777" w:rsidTr="00613672">
        <w:trPr>
          <w:trHeight w:val="276"/>
        </w:trPr>
        <w:tc>
          <w:tcPr>
            <w:tcW w:w="1274" w:type="dxa"/>
            <w:vMerge/>
            <w:tcBorders>
              <w:left w:val="single" w:sz="4" w:space="0" w:color="auto"/>
              <w:bottom w:val="single" w:sz="4" w:space="0" w:color="auto"/>
              <w:right w:val="single" w:sz="4" w:space="0" w:color="auto"/>
            </w:tcBorders>
            <w:noWrap/>
            <w:vAlign w:val="bottom"/>
            <w:hideMark/>
          </w:tcPr>
          <w:p w14:paraId="4B6EA94A" w14:textId="7F895436" w:rsidR="009F33D5" w:rsidRPr="005D32E2" w:rsidRDefault="009F33D5" w:rsidP="005D32E2">
            <w:pPr>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noWrap/>
            <w:vAlign w:val="bottom"/>
            <w:hideMark/>
          </w:tcPr>
          <w:p w14:paraId="6F615113" w14:textId="77777777" w:rsidR="009F33D5" w:rsidRPr="005D32E2" w:rsidRDefault="009F33D5" w:rsidP="005D32E2">
            <w:pPr>
              <w:spacing w:after="0"/>
              <w:rPr>
                <w:rFonts w:ascii="Calibri" w:eastAsia="Times New Roman" w:hAnsi="Calibri" w:cs="Calibri"/>
                <w:color w:val="000000"/>
                <w:sz w:val="20"/>
                <w:szCs w:val="20"/>
              </w:rPr>
            </w:pPr>
            <w:r w:rsidRPr="005D32E2">
              <w:rPr>
                <w:rFonts w:ascii="Calibri" w:eastAsia="Times New Roman" w:hAnsi="Calibri" w:cs="Calibri"/>
                <w:color w:val="000000"/>
                <w:sz w:val="20"/>
                <w:szCs w:val="20"/>
              </w:rPr>
              <w:t>Difference</w:t>
            </w:r>
          </w:p>
        </w:tc>
        <w:tc>
          <w:tcPr>
            <w:tcW w:w="2195" w:type="dxa"/>
            <w:tcBorders>
              <w:top w:val="nil"/>
              <w:left w:val="nil"/>
              <w:bottom w:val="single" w:sz="4" w:space="0" w:color="auto"/>
              <w:right w:val="single" w:sz="4" w:space="0" w:color="auto"/>
            </w:tcBorders>
            <w:noWrap/>
            <w:vAlign w:val="bottom"/>
            <w:hideMark/>
          </w:tcPr>
          <w:p w14:paraId="037033E7" w14:textId="52A289F7" w:rsidR="009F33D5" w:rsidRPr="005D32E2" w:rsidRDefault="0032314B" w:rsidP="005D32E2">
            <w:pPr>
              <w:spacing w:after="0"/>
              <w:jc w:val="right"/>
              <w:rPr>
                <w:rFonts w:ascii="Calibri" w:eastAsia="Times New Roman" w:hAnsi="Calibri" w:cs="Calibri"/>
                <w:color w:val="000000"/>
                <w:sz w:val="20"/>
                <w:szCs w:val="20"/>
              </w:rPr>
            </w:pPr>
            <w:r w:rsidRPr="0032314B">
              <w:rPr>
                <w:rFonts w:ascii="Calibri" w:eastAsia="Times New Roman" w:hAnsi="Calibri" w:cs="Calibri"/>
                <w:color w:val="000000"/>
                <w:sz w:val="20"/>
                <w:szCs w:val="20"/>
                <w:highlight w:val="black"/>
              </w:rPr>
              <w:t>xxx</w:t>
            </w:r>
          </w:p>
        </w:tc>
        <w:tc>
          <w:tcPr>
            <w:tcW w:w="2196" w:type="dxa"/>
            <w:tcBorders>
              <w:top w:val="nil"/>
              <w:left w:val="nil"/>
              <w:bottom w:val="single" w:sz="4" w:space="0" w:color="auto"/>
              <w:right w:val="single" w:sz="4" w:space="0" w:color="auto"/>
            </w:tcBorders>
            <w:noWrap/>
            <w:vAlign w:val="bottom"/>
            <w:hideMark/>
          </w:tcPr>
          <w:p w14:paraId="0283CAE9" w14:textId="75D3AF6B" w:rsidR="009F33D5" w:rsidRPr="005D32E2" w:rsidRDefault="0032314B" w:rsidP="005D32E2">
            <w:pPr>
              <w:spacing w:after="0"/>
              <w:jc w:val="right"/>
              <w:rPr>
                <w:rFonts w:ascii="Calibri" w:eastAsia="Times New Roman" w:hAnsi="Calibri" w:cs="Calibri"/>
                <w:color w:val="000000"/>
                <w:sz w:val="20"/>
                <w:szCs w:val="20"/>
              </w:rPr>
            </w:pPr>
            <w:proofErr w:type="spellStart"/>
            <w:r w:rsidRPr="0032314B">
              <w:rPr>
                <w:rFonts w:ascii="Calibri" w:eastAsia="Times New Roman" w:hAnsi="Calibri" w:cs="Calibri"/>
                <w:color w:val="000000"/>
                <w:sz w:val="20"/>
                <w:szCs w:val="20"/>
                <w:highlight w:val="black"/>
              </w:rPr>
              <w:t>Xxx</w:t>
            </w:r>
            <w:proofErr w:type="spellEnd"/>
          </w:p>
        </w:tc>
        <w:tc>
          <w:tcPr>
            <w:tcW w:w="2196" w:type="dxa"/>
            <w:tcBorders>
              <w:top w:val="nil"/>
              <w:left w:val="nil"/>
              <w:bottom w:val="single" w:sz="4" w:space="0" w:color="auto"/>
              <w:right w:val="single" w:sz="4" w:space="0" w:color="auto"/>
            </w:tcBorders>
            <w:noWrap/>
            <w:vAlign w:val="bottom"/>
            <w:hideMark/>
          </w:tcPr>
          <w:p w14:paraId="150C03A5" w14:textId="78DBB8CA" w:rsidR="009F33D5" w:rsidRPr="005D32E2" w:rsidRDefault="0032314B" w:rsidP="005D32E2">
            <w:pPr>
              <w:spacing w:after="0"/>
              <w:jc w:val="right"/>
              <w:rPr>
                <w:rFonts w:ascii="Calibri" w:eastAsia="Times New Roman" w:hAnsi="Calibri" w:cs="Calibri"/>
                <w:color w:val="000000"/>
                <w:sz w:val="20"/>
                <w:szCs w:val="20"/>
              </w:rPr>
            </w:pPr>
            <w:proofErr w:type="spellStart"/>
            <w:r w:rsidRPr="0032314B">
              <w:rPr>
                <w:rFonts w:ascii="Calibri" w:eastAsia="Times New Roman" w:hAnsi="Calibri" w:cs="Calibri"/>
                <w:color w:val="000000"/>
                <w:sz w:val="20"/>
                <w:szCs w:val="20"/>
                <w:highlight w:val="black"/>
              </w:rPr>
              <w:t>Xxx</w:t>
            </w:r>
            <w:proofErr w:type="spellEnd"/>
          </w:p>
        </w:tc>
      </w:tr>
      <w:tr w:rsidR="005974FF" w:rsidRPr="005D32E2" w14:paraId="3EE12689" w14:textId="77777777" w:rsidTr="00235432">
        <w:trPr>
          <w:trHeight w:val="276"/>
        </w:trPr>
        <w:tc>
          <w:tcPr>
            <w:tcW w:w="1274" w:type="dxa"/>
            <w:vMerge w:val="restart"/>
            <w:tcBorders>
              <w:top w:val="single" w:sz="4" w:space="0" w:color="auto"/>
              <w:left w:val="single" w:sz="4" w:space="0" w:color="auto"/>
              <w:right w:val="single" w:sz="4" w:space="0" w:color="auto"/>
            </w:tcBorders>
            <w:noWrap/>
            <w:vAlign w:val="bottom"/>
          </w:tcPr>
          <w:p w14:paraId="4495CD9A" w14:textId="77777777" w:rsidR="005974FF" w:rsidRPr="005D32E2" w:rsidRDefault="005974FF" w:rsidP="005974FF">
            <w:pPr>
              <w:spacing w:after="0"/>
              <w:rPr>
                <w:rFonts w:ascii="Calibri" w:eastAsia="Times New Roman" w:hAnsi="Calibri" w:cs="Calibri"/>
                <w:color w:val="000000"/>
                <w:sz w:val="20"/>
                <w:szCs w:val="20"/>
              </w:rPr>
            </w:pPr>
            <w:r w:rsidRPr="005D32E2">
              <w:rPr>
                <w:rFonts w:ascii="Calibri" w:eastAsia="Times New Roman" w:hAnsi="Calibri" w:cs="Calibri"/>
                <w:color w:val="000000"/>
                <w:sz w:val="20"/>
                <w:szCs w:val="20"/>
              </w:rPr>
              <w:t>Prescriptions</w:t>
            </w:r>
          </w:p>
          <w:p w14:paraId="41FD6596" w14:textId="77777777" w:rsidR="005974FF" w:rsidRPr="005D32E2" w:rsidRDefault="005974FF" w:rsidP="005974FF">
            <w:pPr>
              <w:spacing w:after="0"/>
              <w:rPr>
                <w:rFonts w:ascii="Calibri" w:eastAsia="Times New Roman" w:hAnsi="Calibri" w:cs="Calibri"/>
                <w:color w:val="000000"/>
                <w:sz w:val="20"/>
                <w:szCs w:val="20"/>
              </w:rPr>
            </w:pPr>
            <w:r w:rsidRPr="005D32E2">
              <w:rPr>
                <w:rFonts w:ascii="Calibri" w:eastAsia="Times New Roman" w:hAnsi="Calibri" w:cs="Calibri"/>
                <w:color w:val="000000"/>
                <w:sz w:val="20"/>
                <w:szCs w:val="20"/>
              </w:rPr>
              <w:t> </w:t>
            </w:r>
          </w:p>
          <w:p w14:paraId="5178C05B" w14:textId="312F00C3" w:rsidR="005974FF" w:rsidRPr="005D32E2" w:rsidRDefault="005974FF" w:rsidP="005974FF">
            <w:pPr>
              <w:spacing w:after="0"/>
              <w:rPr>
                <w:rFonts w:ascii="Calibri" w:eastAsia="Times New Roman" w:hAnsi="Calibri" w:cs="Calibri"/>
                <w:color w:val="000000"/>
                <w:sz w:val="20"/>
                <w:szCs w:val="20"/>
              </w:rPr>
            </w:pPr>
            <w:r w:rsidRPr="005D32E2">
              <w:rPr>
                <w:rFonts w:ascii="Calibri" w:eastAsia="Times New Roman" w:hAnsi="Calibri" w:cs="Calibri"/>
                <w:color w:val="000000"/>
                <w:sz w:val="20"/>
                <w:szCs w:val="20"/>
              </w:rPr>
              <w:t> </w:t>
            </w:r>
          </w:p>
        </w:tc>
        <w:tc>
          <w:tcPr>
            <w:tcW w:w="1065" w:type="dxa"/>
            <w:tcBorders>
              <w:top w:val="single" w:sz="4" w:space="0" w:color="auto"/>
              <w:left w:val="nil"/>
              <w:bottom w:val="single" w:sz="4" w:space="0" w:color="auto"/>
              <w:right w:val="single" w:sz="4" w:space="0" w:color="auto"/>
            </w:tcBorders>
            <w:noWrap/>
            <w:vAlign w:val="bottom"/>
          </w:tcPr>
          <w:p w14:paraId="2078376E" w14:textId="733D0770" w:rsidR="005974FF" w:rsidRPr="005D32E2" w:rsidRDefault="005974FF" w:rsidP="005974FF">
            <w:pPr>
              <w:spacing w:after="0"/>
              <w:rPr>
                <w:rFonts w:ascii="Calibri" w:eastAsia="Times New Roman" w:hAnsi="Calibri" w:cs="Calibri"/>
                <w:color w:val="000000"/>
                <w:sz w:val="20"/>
                <w:szCs w:val="20"/>
              </w:rPr>
            </w:pPr>
            <w:r w:rsidRPr="005D32E2">
              <w:rPr>
                <w:rFonts w:ascii="Calibri" w:eastAsia="Times New Roman" w:hAnsi="Calibri" w:cs="Calibri"/>
                <w:color w:val="000000"/>
                <w:sz w:val="20"/>
                <w:szCs w:val="20"/>
              </w:rPr>
              <w:t>Predicted</w:t>
            </w:r>
          </w:p>
        </w:tc>
        <w:tc>
          <w:tcPr>
            <w:tcW w:w="2195" w:type="dxa"/>
            <w:tcBorders>
              <w:top w:val="single" w:sz="4" w:space="0" w:color="auto"/>
              <w:left w:val="nil"/>
              <w:bottom w:val="single" w:sz="4" w:space="0" w:color="auto"/>
              <w:right w:val="single" w:sz="4" w:space="0" w:color="auto"/>
            </w:tcBorders>
            <w:noWrap/>
            <w:vAlign w:val="bottom"/>
          </w:tcPr>
          <w:p w14:paraId="3EF33EAB" w14:textId="407C3A71" w:rsidR="005974FF" w:rsidRPr="0032314B" w:rsidRDefault="00221B0E" w:rsidP="005974FF">
            <w:pPr>
              <w:spacing w:after="0"/>
              <w:jc w:val="right"/>
              <w:rPr>
                <w:rFonts w:ascii="Calibri" w:eastAsia="Times New Roman" w:hAnsi="Calibri" w:cs="Calibri"/>
                <w:color w:val="000000"/>
                <w:sz w:val="20"/>
                <w:szCs w:val="20"/>
                <w:vertAlign w:val="superscript"/>
              </w:rPr>
            </w:pPr>
            <w:r w:rsidRPr="0032314B">
              <w:rPr>
                <w:rFonts w:ascii="Calibri" w:eastAsia="Times New Roman" w:hAnsi="Calibri" w:cs="Calibri"/>
                <w:color w:val="000000"/>
                <w:sz w:val="20"/>
                <w:szCs w:val="20"/>
                <w:highlight w:val="black"/>
              </w:rPr>
              <w:t>xxx</w:t>
            </w:r>
            <w:r w:rsidR="00151803">
              <w:rPr>
                <w:rFonts w:ascii="Calibri" w:eastAsia="Times New Roman" w:hAnsi="Calibri" w:cs="Calibri"/>
                <w:color w:val="000000"/>
                <w:sz w:val="20"/>
                <w:szCs w:val="20"/>
                <w:vertAlign w:val="superscript"/>
              </w:rPr>
              <w:t>2</w:t>
            </w:r>
          </w:p>
        </w:tc>
        <w:tc>
          <w:tcPr>
            <w:tcW w:w="2196" w:type="dxa"/>
            <w:tcBorders>
              <w:top w:val="single" w:sz="4" w:space="0" w:color="auto"/>
              <w:left w:val="nil"/>
              <w:bottom w:val="single" w:sz="4" w:space="0" w:color="auto"/>
              <w:right w:val="single" w:sz="4" w:space="0" w:color="auto"/>
            </w:tcBorders>
            <w:noWrap/>
            <w:vAlign w:val="bottom"/>
          </w:tcPr>
          <w:p w14:paraId="14B7F972" w14:textId="646B425F" w:rsidR="005974FF" w:rsidRPr="005D32E2" w:rsidRDefault="0032314B" w:rsidP="005974FF">
            <w:pPr>
              <w:spacing w:after="0"/>
              <w:jc w:val="right"/>
              <w:rPr>
                <w:rFonts w:ascii="Calibri" w:eastAsia="Times New Roman" w:hAnsi="Calibri" w:cs="Calibri"/>
                <w:color w:val="000000"/>
                <w:sz w:val="20"/>
                <w:szCs w:val="20"/>
              </w:rPr>
            </w:pPr>
            <w:r w:rsidRPr="0032314B">
              <w:rPr>
                <w:rFonts w:ascii="Calibri" w:eastAsia="Times New Roman" w:hAnsi="Calibri" w:cs="Calibri"/>
                <w:color w:val="000000"/>
                <w:sz w:val="20"/>
                <w:szCs w:val="20"/>
                <w:highlight w:val="black"/>
              </w:rPr>
              <w:t>xxx</w:t>
            </w:r>
            <w:r w:rsidR="00151803">
              <w:rPr>
                <w:rFonts w:ascii="Calibri" w:eastAsia="Times New Roman" w:hAnsi="Calibri" w:cs="Calibri"/>
                <w:color w:val="000000"/>
                <w:sz w:val="20"/>
                <w:szCs w:val="20"/>
                <w:vertAlign w:val="superscript"/>
              </w:rPr>
              <w:t>2</w:t>
            </w:r>
          </w:p>
        </w:tc>
        <w:tc>
          <w:tcPr>
            <w:tcW w:w="2196" w:type="dxa"/>
            <w:tcBorders>
              <w:top w:val="single" w:sz="4" w:space="0" w:color="auto"/>
              <w:left w:val="nil"/>
              <w:bottom w:val="single" w:sz="4" w:space="0" w:color="auto"/>
              <w:right w:val="single" w:sz="4" w:space="0" w:color="auto"/>
            </w:tcBorders>
            <w:noWrap/>
            <w:vAlign w:val="bottom"/>
          </w:tcPr>
          <w:p w14:paraId="70E93D4A" w14:textId="73D654A4" w:rsidR="005974FF" w:rsidRPr="005D32E2" w:rsidRDefault="0032314B" w:rsidP="005974FF">
            <w:pPr>
              <w:spacing w:after="0"/>
              <w:jc w:val="right"/>
              <w:rPr>
                <w:rFonts w:ascii="Calibri" w:eastAsia="Times New Roman" w:hAnsi="Calibri" w:cs="Calibri"/>
                <w:color w:val="000000"/>
                <w:sz w:val="20"/>
                <w:szCs w:val="20"/>
              </w:rPr>
            </w:pPr>
            <w:r w:rsidRPr="0032314B">
              <w:rPr>
                <w:rFonts w:ascii="Calibri" w:eastAsia="Times New Roman" w:hAnsi="Calibri" w:cs="Calibri"/>
                <w:color w:val="000000"/>
                <w:sz w:val="20"/>
                <w:szCs w:val="20"/>
                <w:highlight w:val="black"/>
              </w:rPr>
              <w:t>xxx</w:t>
            </w:r>
            <w:r w:rsidR="00151803">
              <w:rPr>
                <w:rFonts w:ascii="Calibri" w:eastAsia="Times New Roman" w:hAnsi="Calibri" w:cs="Calibri"/>
                <w:color w:val="000000"/>
                <w:sz w:val="20"/>
                <w:szCs w:val="20"/>
                <w:vertAlign w:val="superscript"/>
              </w:rPr>
              <w:t>2</w:t>
            </w:r>
          </w:p>
        </w:tc>
      </w:tr>
      <w:tr w:rsidR="005974FF" w:rsidRPr="005D32E2" w14:paraId="1EA925D6" w14:textId="77777777" w:rsidTr="00235432">
        <w:trPr>
          <w:trHeight w:val="276"/>
        </w:trPr>
        <w:tc>
          <w:tcPr>
            <w:tcW w:w="1274" w:type="dxa"/>
            <w:vMerge/>
            <w:tcBorders>
              <w:left w:val="single" w:sz="4" w:space="0" w:color="auto"/>
              <w:right w:val="single" w:sz="4" w:space="0" w:color="auto"/>
            </w:tcBorders>
            <w:noWrap/>
            <w:vAlign w:val="bottom"/>
          </w:tcPr>
          <w:p w14:paraId="53255897" w14:textId="77777777" w:rsidR="005974FF" w:rsidRPr="005D32E2" w:rsidRDefault="005974FF" w:rsidP="005974FF">
            <w:pPr>
              <w:spacing w:after="0"/>
              <w:rPr>
                <w:rFonts w:ascii="Calibri" w:eastAsia="Times New Roman" w:hAnsi="Calibri" w:cs="Calibri"/>
                <w:color w:val="000000"/>
                <w:sz w:val="20"/>
                <w:szCs w:val="20"/>
              </w:rPr>
            </w:pPr>
          </w:p>
        </w:tc>
        <w:tc>
          <w:tcPr>
            <w:tcW w:w="1065" w:type="dxa"/>
            <w:tcBorders>
              <w:top w:val="single" w:sz="4" w:space="0" w:color="auto"/>
              <w:left w:val="nil"/>
              <w:bottom w:val="single" w:sz="4" w:space="0" w:color="auto"/>
              <w:right w:val="single" w:sz="4" w:space="0" w:color="auto"/>
            </w:tcBorders>
            <w:noWrap/>
            <w:vAlign w:val="bottom"/>
          </w:tcPr>
          <w:p w14:paraId="5AC46881" w14:textId="62365F67" w:rsidR="005974FF" w:rsidRPr="005D32E2" w:rsidRDefault="005974FF" w:rsidP="005974FF">
            <w:pPr>
              <w:spacing w:after="0"/>
              <w:rPr>
                <w:rFonts w:ascii="Calibri" w:eastAsia="Times New Roman" w:hAnsi="Calibri" w:cs="Calibri"/>
                <w:color w:val="000000"/>
                <w:sz w:val="20"/>
                <w:szCs w:val="20"/>
              </w:rPr>
            </w:pPr>
            <w:r w:rsidRPr="005D32E2">
              <w:rPr>
                <w:rFonts w:ascii="Calibri" w:eastAsia="Times New Roman" w:hAnsi="Calibri" w:cs="Calibri"/>
                <w:color w:val="000000"/>
                <w:sz w:val="20"/>
                <w:szCs w:val="20"/>
              </w:rPr>
              <w:t>Actual</w:t>
            </w:r>
          </w:p>
        </w:tc>
        <w:tc>
          <w:tcPr>
            <w:tcW w:w="2195" w:type="dxa"/>
            <w:tcBorders>
              <w:top w:val="single" w:sz="4" w:space="0" w:color="auto"/>
              <w:left w:val="nil"/>
              <w:bottom w:val="single" w:sz="4" w:space="0" w:color="auto"/>
              <w:right w:val="single" w:sz="4" w:space="0" w:color="auto"/>
            </w:tcBorders>
            <w:noWrap/>
            <w:vAlign w:val="bottom"/>
          </w:tcPr>
          <w:p w14:paraId="3BE9F9ED" w14:textId="5AF6D433" w:rsidR="005974FF" w:rsidRPr="005D32E2" w:rsidRDefault="005974FF" w:rsidP="005974FF">
            <w:pPr>
              <w:spacing w:after="0"/>
              <w:jc w:val="right"/>
              <w:rPr>
                <w:rFonts w:ascii="Calibri" w:eastAsia="Times New Roman" w:hAnsi="Calibri" w:cs="Calibri"/>
                <w:color w:val="000000"/>
                <w:sz w:val="20"/>
                <w:szCs w:val="20"/>
              </w:rPr>
            </w:pPr>
            <w:r w:rsidRPr="005D32E2">
              <w:rPr>
                <w:rFonts w:ascii="Calibri" w:eastAsia="Times New Roman" w:hAnsi="Calibri" w:cs="Calibri"/>
                <w:color w:val="000000"/>
                <w:sz w:val="20"/>
                <w:szCs w:val="20"/>
              </w:rPr>
              <w:t>5</w:t>
            </w:r>
            <w:r>
              <w:rPr>
                <w:rFonts w:ascii="Calibri" w:eastAsia="Times New Roman" w:hAnsi="Calibri" w:cs="Calibri"/>
                <w:color w:val="000000"/>
                <w:sz w:val="20"/>
                <w:szCs w:val="20"/>
              </w:rPr>
              <w:t>,</w:t>
            </w:r>
            <w:r w:rsidRPr="005D32E2">
              <w:rPr>
                <w:rFonts w:ascii="Calibri" w:eastAsia="Times New Roman" w:hAnsi="Calibri" w:cs="Calibri"/>
                <w:color w:val="000000"/>
                <w:sz w:val="20"/>
                <w:szCs w:val="20"/>
              </w:rPr>
              <w:t>858</w:t>
            </w:r>
          </w:p>
        </w:tc>
        <w:tc>
          <w:tcPr>
            <w:tcW w:w="2196" w:type="dxa"/>
            <w:tcBorders>
              <w:top w:val="single" w:sz="4" w:space="0" w:color="auto"/>
              <w:left w:val="nil"/>
              <w:bottom w:val="single" w:sz="4" w:space="0" w:color="auto"/>
              <w:right w:val="single" w:sz="4" w:space="0" w:color="auto"/>
            </w:tcBorders>
            <w:noWrap/>
            <w:vAlign w:val="bottom"/>
          </w:tcPr>
          <w:p w14:paraId="1A25C381" w14:textId="4A3783F1" w:rsidR="005974FF" w:rsidRPr="005D32E2" w:rsidRDefault="005974FF" w:rsidP="005974FF">
            <w:pPr>
              <w:spacing w:after="0"/>
              <w:jc w:val="right"/>
              <w:rPr>
                <w:rFonts w:ascii="Calibri" w:eastAsia="Times New Roman" w:hAnsi="Calibri" w:cs="Calibri"/>
                <w:color w:val="000000"/>
                <w:sz w:val="20"/>
                <w:szCs w:val="20"/>
              </w:rPr>
            </w:pPr>
            <w:r w:rsidRPr="005D32E2">
              <w:rPr>
                <w:rFonts w:ascii="Calibri" w:eastAsia="Times New Roman" w:hAnsi="Calibri" w:cs="Calibri"/>
                <w:color w:val="000000"/>
                <w:sz w:val="20"/>
                <w:szCs w:val="20"/>
              </w:rPr>
              <w:t>15</w:t>
            </w:r>
            <w:r>
              <w:rPr>
                <w:rFonts w:ascii="Calibri" w:eastAsia="Times New Roman" w:hAnsi="Calibri" w:cs="Calibri"/>
                <w:color w:val="000000"/>
                <w:sz w:val="20"/>
                <w:szCs w:val="20"/>
              </w:rPr>
              <w:t>,</w:t>
            </w:r>
            <w:r w:rsidRPr="005D32E2">
              <w:rPr>
                <w:rFonts w:ascii="Calibri" w:eastAsia="Times New Roman" w:hAnsi="Calibri" w:cs="Calibri"/>
                <w:color w:val="000000"/>
                <w:sz w:val="20"/>
                <w:szCs w:val="20"/>
              </w:rPr>
              <w:t>496</w:t>
            </w:r>
          </w:p>
        </w:tc>
        <w:tc>
          <w:tcPr>
            <w:tcW w:w="2196" w:type="dxa"/>
            <w:tcBorders>
              <w:top w:val="single" w:sz="4" w:space="0" w:color="auto"/>
              <w:left w:val="nil"/>
              <w:bottom w:val="single" w:sz="4" w:space="0" w:color="auto"/>
              <w:right w:val="single" w:sz="4" w:space="0" w:color="auto"/>
            </w:tcBorders>
            <w:noWrap/>
            <w:vAlign w:val="bottom"/>
          </w:tcPr>
          <w:p w14:paraId="35C9ED80" w14:textId="4ECD7F1B" w:rsidR="005974FF" w:rsidRPr="005D32E2" w:rsidRDefault="005974FF" w:rsidP="005974FF">
            <w:pPr>
              <w:spacing w:after="0"/>
              <w:jc w:val="right"/>
              <w:rPr>
                <w:rFonts w:ascii="Calibri" w:eastAsia="Times New Roman" w:hAnsi="Calibri" w:cs="Calibri"/>
                <w:color w:val="000000"/>
                <w:sz w:val="20"/>
                <w:szCs w:val="20"/>
              </w:rPr>
            </w:pPr>
            <w:r w:rsidRPr="005D32E2">
              <w:rPr>
                <w:rFonts w:ascii="Calibri" w:eastAsia="Times New Roman" w:hAnsi="Calibri" w:cs="Calibri"/>
                <w:color w:val="000000"/>
                <w:sz w:val="20"/>
                <w:szCs w:val="20"/>
              </w:rPr>
              <w:t>10</w:t>
            </w:r>
            <w:r>
              <w:rPr>
                <w:rFonts w:ascii="Calibri" w:eastAsia="Times New Roman" w:hAnsi="Calibri" w:cs="Calibri"/>
                <w:color w:val="000000"/>
                <w:sz w:val="20"/>
                <w:szCs w:val="20"/>
              </w:rPr>
              <w:t>,</w:t>
            </w:r>
            <w:r w:rsidRPr="005D32E2">
              <w:rPr>
                <w:rFonts w:ascii="Calibri" w:eastAsia="Times New Roman" w:hAnsi="Calibri" w:cs="Calibri"/>
                <w:color w:val="000000"/>
                <w:sz w:val="20"/>
                <w:szCs w:val="20"/>
              </w:rPr>
              <w:t>638</w:t>
            </w:r>
          </w:p>
        </w:tc>
      </w:tr>
      <w:tr w:rsidR="005974FF" w:rsidRPr="005D32E2" w14:paraId="1E2D1569" w14:textId="77777777" w:rsidTr="00235432">
        <w:trPr>
          <w:trHeight w:val="276"/>
        </w:trPr>
        <w:tc>
          <w:tcPr>
            <w:tcW w:w="1274" w:type="dxa"/>
            <w:vMerge/>
            <w:tcBorders>
              <w:left w:val="single" w:sz="4" w:space="0" w:color="auto"/>
              <w:bottom w:val="single" w:sz="4" w:space="0" w:color="auto"/>
              <w:right w:val="single" w:sz="4" w:space="0" w:color="auto"/>
            </w:tcBorders>
            <w:noWrap/>
            <w:vAlign w:val="bottom"/>
          </w:tcPr>
          <w:p w14:paraId="621FCE83" w14:textId="77777777" w:rsidR="005974FF" w:rsidRPr="005D32E2" w:rsidRDefault="005974FF" w:rsidP="005974FF">
            <w:pPr>
              <w:spacing w:after="0"/>
              <w:rPr>
                <w:rFonts w:ascii="Calibri" w:eastAsia="Times New Roman" w:hAnsi="Calibri" w:cs="Calibri"/>
                <w:color w:val="000000"/>
                <w:sz w:val="20"/>
                <w:szCs w:val="20"/>
              </w:rPr>
            </w:pPr>
          </w:p>
        </w:tc>
        <w:tc>
          <w:tcPr>
            <w:tcW w:w="1065" w:type="dxa"/>
            <w:tcBorders>
              <w:top w:val="single" w:sz="4" w:space="0" w:color="auto"/>
              <w:left w:val="nil"/>
              <w:bottom w:val="single" w:sz="4" w:space="0" w:color="auto"/>
              <w:right w:val="single" w:sz="4" w:space="0" w:color="auto"/>
            </w:tcBorders>
            <w:noWrap/>
            <w:vAlign w:val="bottom"/>
          </w:tcPr>
          <w:p w14:paraId="79426EDF" w14:textId="3C91FE62" w:rsidR="005974FF" w:rsidRPr="005D32E2" w:rsidRDefault="005974FF" w:rsidP="005974FF">
            <w:pPr>
              <w:spacing w:after="0"/>
              <w:rPr>
                <w:rFonts w:ascii="Calibri" w:eastAsia="Times New Roman" w:hAnsi="Calibri" w:cs="Calibri"/>
                <w:color w:val="000000"/>
                <w:sz w:val="20"/>
                <w:szCs w:val="20"/>
              </w:rPr>
            </w:pPr>
            <w:r w:rsidRPr="005D32E2">
              <w:rPr>
                <w:rFonts w:ascii="Calibri" w:eastAsia="Times New Roman" w:hAnsi="Calibri" w:cs="Calibri"/>
                <w:color w:val="000000"/>
                <w:sz w:val="20"/>
                <w:szCs w:val="20"/>
              </w:rPr>
              <w:t>Difference</w:t>
            </w:r>
          </w:p>
        </w:tc>
        <w:tc>
          <w:tcPr>
            <w:tcW w:w="2195" w:type="dxa"/>
            <w:tcBorders>
              <w:top w:val="single" w:sz="4" w:space="0" w:color="auto"/>
              <w:left w:val="nil"/>
              <w:bottom w:val="single" w:sz="4" w:space="0" w:color="auto"/>
              <w:right w:val="single" w:sz="4" w:space="0" w:color="auto"/>
            </w:tcBorders>
            <w:noWrap/>
            <w:vAlign w:val="bottom"/>
          </w:tcPr>
          <w:p w14:paraId="04A467D0" w14:textId="0D37F483" w:rsidR="005974FF" w:rsidRPr="005D32E2" w:rsidRDefault="0032314B" w:rsidP="005974FF">
            <w:pPr>
              <w:spacing w:after="0"/>
              <w:jc w:val="right"/>
              <w:rPr>
                <w:rFonts w:ascii="Calibri" w:eastAsia="Times New Roman" w:hAnsi="Calibri" w:cs="Calibri"/>
                <w:color w:val="000000"/>
                <w:sz w:val="20"/>
                <w:szCs w:val="20"/>
              </w:rPr>
            </w:pPr>
            <w:proofErr w:type="spellStart"/>
            <w:r w:rsidRPr="0032314B">
              <w:rPr>
                <w:rFonts w:ascii="Calibri" w:eastAsia="Times New Roman" w:hAnsi="Calibri" w:cs="Calibri"/>
                <w:color w:val="000000"/>
                <w:sz w:val="20"/>
                <w:szCs w:val="20"/>
                <w:highlight w:val="black"/>
              </w:rPr>
              <w:t>Xxx</w:t>
            </w:r>
            <w:proofErr w:type="spellEnd"/>
          </w:p>
        </w:tc>
        <w:tc>
          <w:tcPr>
            <w:tcW w:w="2196" w:type="dxa"/>
            <w:tcBorders>
              <w:top w:val="single" w:sz="4" w:space="0" w:color="auto"/>
              <w:left w:val="nil"/>
              <w:bottom w:val="single" w:sz="4" w:space="0" w:color="auto"/>
              <w:right w:val="single" w:sz="4" w:space="0" w:color="auto"/>
            </w:tcBorders>
            <w:noWrap/>
            <w:vAlign w:val="bottom"/>
          </w:tcPr>
          <w:p w14:paraId="322F4159" w14:textId="2C1615A3" w:rsidR="005974FF" w:rsidRPr="005D32E2" w:rsidRDefault="0032314B" w:rsidP="005974FF">
            <w:pPr>
              <w:spacing w:after="0"/>
              <w:jc w:val="right"/>
              <w:rPr>
                <w:rFonts w:ascii="Calibri" w:eastAsia="Times New Roman" w:hAnsi="Calibri" w:cs="Calibri"/>
                <w:color w:val="000000"/>
                <w:sz w:val="20"/>
                <w:szCs w:val="20"/>
              </w:rPr>
            </w:pPr>
            <w:proofErr w:type="spellStart"/>
            <w:r w:rsidRPr="0032314B">
              <w:rPr>
                <w:rFonts w:ascii="Calibri" w:eastAsia="Times New Roman" w:hAnsi="Calibri" w:cs="Calibri"/>
                <w:color w:val="000000"/>
                <w:sz w:val="20"/>
                <w:szCs w:val="20"/>
                <w:highlight w:val="black"/>
              </w:rPr>
              <w:t>Xxx</w:t>
            </w:r>
            <w:proofErr w:type="spellEnd"/>
          </w:p>
        </w:tc>
        <w:tc>
          <w:tcPr>
            <w:tcW w:w="2196" w:type="dxa"/>
            <w:tcBorders>
              <w:top w:val="single" w:sz="4" w:space="0" w:color="auto"/>
              <w:left w:val="nil"/>
              <w:bottom w:val="single" w:sz="4" w:space="0" w:color="auto"/>
              <w:right w:val="single" w:sz="4" w:space="0" w:color="auto"/>
            </w:tcBorders>
            <w:noWrap/>
            <w:vAlign w:val="bottom"/>
          </w:tcPr>
          <w:p w14:paraId="59EAC24E" w14:textId="214B850C" w:rsidR="005974FF" w:rsidRPr="005D32E2" w:rsidRDefault="0032314B" w:rsidP="005974FF">
            <w:pPr>
              <w:spacing w:after="0"/>
              <w:jc w:val="right"/>
              <w:rPr>
                <w:rFonts w:ascii="Calibri" w:eastAsia="Times New Roman" w:hAnsi="Calibri" w:cs="Calibri"/>
                <w:color w:val="000000"/>
                <w:sz w:val="20"/>
                <w:szCs w:val="20"/>
              </w:rPr>
            </w:pPr>
            <w:r w:rsidRPr="0032314B">
              <w:rPr>
                <w:rFonts w:ascii="Calibri" w:eastAsia="Times New Roman" w:hAnsi="Calibri" w:cs="Calibri"/>
                <w:color w:val="000000"/>
                <w:sz w:val="20"/>
                <w:szCs w:val="20"/>
                <w:highlight w:val="black"/>
              </w:rPr>
              <w:t>xxx</w:t>
            </w:r>
          </w:p>
        </w:tc>
      </w:tr>
      <w:tr w:rsidR="005974FF" w:rsidRPr="005D32E2" w14:paraId="68F8BC9C" w14:textId="77777777" w:rsidTr="00613672">
        <w:trPr>
          <w:trHeight w:val="276"/>
        </w:trPr>
        <w:tc>
          <w:tcPr>
            <w:tcW w:w="1274" w:type="dxa"/>
            <w:vMerge w:val="restart"/>
            <w:tcBorders>
              <w:top w:val="single" w:sz="4" w:space="0" w:color="auto"/>
              <w:left w:val="single" w:sz="4" w:space="0" w:color="auto"/>
              <w:bottom w:val="single" w:sz="4" w:space="0" w:color="auto"/>
              <w:right w:val="single" w:sz="4" w:space="0" w:color="auto"/>
            </w:tcBorders>
            <w:noWrap/>
            <w:vAlign w:val="bottom"/>
          </w:tcPr>
          <w:p w14:paraId="41BC3CE6" w14:textId="6443AA5F" w:rsidR="005974FF" w:rsidRPr="00613672" w:rsidRDefault="005974FF" w:rsidP="005974FF">
            <w:pPr>
              <w:spacing w:after="0"/>
              <w:rPr>
                <w:rFonts w:ascii="Calibri" w:eastAsia="Times New Roman" w:hAnsi="Calibri" w:cs="Calibri"/>
                <w:color w:val="000000"/>
                <w:sz w:val="20"/>
                <w:szCs w:val="20"/>
                <w:vertAlign w:val="superscript"/>
              </w:rPr>
            </w:pPr>
            <w:r>
              <w:rPr>
                <w:rFonts w:ascii="Calibri" w:hAnsi="Calibri" w:cs="Calibri"/>
                <w:color w:val="000000"/>
                <w:sz w:val="20"/>
                <w:szCs w:val="20"/>
              </w:rPr>
              <w:t xml:space="preserve">Prescriptions per </w:t>
            </w:r>
            <w:proofErr w:type="spellStart"/>
            <w:r>
              <w:rPr>
                <w:rFonts w:ascii="Calibri" w:hAnsi="Calibri" w:cs="Calibri"/>
                <w:color w:val="000000"/>
                <w:sz w:val="20"/>
                <w:szCs w:val="20"/>
              </w:rPr>
              <w:t>patient</w:t>
            </w:r>
            <w:r w:rsidR="00BC091F">
              <w:rPr>
                <w:rFonts w:ascii="Calibri" w:hAnsi="Calibri" w:cs="Calibri"/>
                <w:color w:val="000000"/>
                <w:sz w:val="20"/>
                <w:szCs w:val="20"/>
                <w:vertAlign w:val="superscript"/>
              </w:rPr>
              <w:t>a</w:t>
            </w:r>
            <w:proofErr w:type="spellEnd"/>
          </w:p>
          <w:p w14:paraId="29661014" w14:textId="7CAA987E" w:rsidR="005974FF" w:rsidRPr="005D32E2" w:rsidRDefault="005974FF" w:rsidP="005974FF">
            <w:pPr>
              <w:spacing w:after="0"/>
              <w:rPr>
                <w:rFonts w:ascii="Calibri" w:eastAsia="Times New Roman" w:hAnsi="Calibri" w:cs="Calibri"/>
                <w:color w:val="000000"/>
                <w:sz w:val="20"/>
                <w:szCs w:val="20"/>
              </w:rPr>
            </w:pPr>
          </w:p>
        </w:tc>
        <w:tc>
          <w:tcPr>
            <w:tcW w:w="1065" w:type="dxa"/>
            <w:tcBorders>
              <w:top w:val="single" w:sz="4" w:space="0" w:color="auto"/>
              <w:left w:val="nil"/>
              <w:bottom w:val="single" w:sz="4" w:space="0" w:color="auto"/>
              <w:right w:val="single" w:sz="4" w:space="0" w:color="auto"/>
            </w:tcBorders>
            <w:noWrap/>
            <w:vAlign w:val="bottom"/>
          </w:tcPr>
          <w:p w14:paraId="4B83A608" w14:textId="10A5AD88" w:rsidR="005974FF" w:rsidRPr="005D32E2" w:rsidRDefault="005974FF" w:rsidP="005974FF">
            <w:pPr>
              <w:spacing w:after="0"/>
              <w:rPr>
                <w:rFonts w:ascii="Calibri" w:eastAsia="Times New Roman" w:hAnsi="Calibri" w:cs="Calibri"/>
                <w:color w:val="000000"/>
                <w:sz w:val="20"/>
                <w:szCs w:val="20"/>
              </w:rPr>
            </w:pPr>
            <w:r>
              <w:rPr>
                <w:rFonts w:ascii="Calibri" w:hAnsi="Calibri" w:cs="Calibri"/>
                <w:color w:val="000000"/>
                <w:sz w:val="20"/>
                <w:szCs w:val="20"/>
              </w:rPr>
              <w:t>Predicted</w:t>
            </w:r>
          </w:p>
        </w:tc>
        <w:tc>
          <w:tcPr>
            <w:tcW w:w="2195" w:type="dxa"/>
            <w:tcBorders>
              <w:top w:val="single" w:sz="4" w:space="0" w:color="auto"/>
              <w:left w:val="nil"/>
              <w:bottom w:val="single" w:sz="4" w:space="0" w:color="auto"/>
              <w:right w:val="single" w:sz="4" w:space="0" w:color="auto"/>
            </w:tcBorders>
            <w:noWrap/>
            <w:vAlign w:val="bottom"/>
          </w:tcPr>
          <w:p w14:paraId="148567C9" w14:textId="3EFEFA66" w:rsidR="005974FF" w:rsidRPr="005D32E2" w:rsidRDefault="005974FF" w:rsidP="005974FF">
            <w:pPr>
              <w:spacing w:after="0"/>
              <w:jc w:val="right"/>
              <w:rPr>
                <w:rFonts w:ascii="Calibri" w:eastAsia="Times New Roman" w:hAnsi="Calibri" w:cs="Calibri"/>
                <w:color w:val="000000"/>
                <w:sz w:val="20"/>
                <w:szCs w:val="20"/>
              </w:rPr>
            </w:pPr>
            <w:r>
              <w:rPr>
                <w:rFonts w:ascii="Calibri" w:hAnsi="Calibri" w:cs="Calibri"/>
                <w:color w:val="000000"/>
                <w:sz w:val="20"/>
                <w:szCs w:val="20"/>
              </w:rPr>
              <w:t>9.6</w:t>
            </w:r>
          </w:p>
        </w:tc>
        <w:tc>
          <w:tcPr>
            <w:tcW w:w="2196" w:type="dxa"/>
            <w:tcBorders>
              <w:top w:val="single" w:sz="4" w:space="0" w:color="auto"/>
              <w:left w:val="nil"/>
              <w:bottom w:val="single" w:sz="4" w:space="0" w:color="auto"/>
              <w:right w:val="single" w:sz="4" w:space="0" w:color="auto"/>
            </w:tcBorders>
            <w:noWrap/>
            <w:vAlign w:val="bottom"/>
          </w:tcPr>
          <w:p w14:paraId="5CEB4C8E" w14:textId="56D8DEAD" w:rsidR="005974FF" w:rsidRPr="005D32E2" w:rsidRDefault="005974FF" w:rsidP="005974FF">
            <w:pPr>
              <w:spacing w:after="0"/>
              <w:jc w:val="right"/>
              <w:rPr>
                <w:rFonts w:ascii="Calibri" w:eastAsia="Times New Roman" w:hAnsi="Calibri" w:cs="Calibri"/>
                <w:color w:val="000000"/>
                <w:sz w:val="20"/>
                <w:szCs w:val="20"/>
              </w:rPr>
            </w:pPr>
            <w:r>
              <w:rPr>
                <w:rFonts w:ascii="Calibri" w:hAnsi="Calibri" w:cs="Calibri"/>
                <w:color w:val="000000"/>
                <w:sz w:val="20"/>
                <w:szCs w:val="20"/>
              </w:rPr>
              <w:t>9.6</w:t>
            </w:r>
          </w:p>
        </w:tc>
        <w:tc>
          <w:tcPr>
            <w:tcW w:w="2196" w:type="dxa"/>
            <w:tcBorders>
              <w:top w:val="single" w:sz="4" w:space="0" w:color="auto"/>
              <w:left w:val="nil"/>
              <w:bottom w:val="single" w:sz="4" w:space="0" w:color="auto"/>
              <w:right w:val="single" w:sz="4" w:space="0" w:color="auto"/>
            </w:tcBorders>
            <w:noWrap/>
            <w:vAlign w:val="bottom"/>
          </w:tcPr>
          <w:p w14:paraId="49E4C8D0" w14:textId="58E37D3F" w:rsidR="005974FF" w:rsidRPr="005D32E2" w:rsidRDefault="005974FF" w:rsidP="005974FF">
            <w:pPr>
              <w:spacing w:after="0"/>
              <w:jc w:val="right"/>
              <w:rPr>
                <w:rFonts w:ascii="Calibri" w:eastAsia="Times New Roman" w:hAnsi="Calibri" w:cs="Calibri"/>
                <w:color w:val="000000"/>
                <w:sz w:val="20"/>
                <w:szCs w:val="20"/>
              </w:rPr>
            </w:pPr>
            <w:r>
              <w:rPr>
                <w:rFonts w:ascii="Calibri" w:hAnsi="Calibri" w:cs="Calibri"/>
                <w:color w:val="000000"/>
                <w:sz w:val="20"/>
                <w:szCs w:val="20"/>
              </w:rPr>
              <w:t>9.6</w:t>
            </w:r>
          </w:p>
        </w:tc>
      </w:tr>
      <w:tr w:rsidR="005974FF" w:rsidRPr="005D32E2" w14:paraId="3CF706A9" w14:textId="77777777" w:rsidTr="00613672">
        <w:trPr>
          <w:trHeight w:val="276"/>
        </w:trPr>
        <w:tc>
          <w:tcPr>
            <w:tcW w:w="1274" w:type="dxa"/>
            <w:vMerge/>
            <w:tcBorders>
              <w:top w:val="single" w:sz="4" w:space="0" w:color="auto"/>
              <w:left w:val="single" w:sz="4" w:space="0" w:color="auto"/>
              <w:bottom w:val="single" w:sz="4" w:space="0" w:color="auto"/>
              <w:right w:val="single" w:sz="4" w:space="0" w:color="auto"/>
            </w:tcBorders>
            <w:noWrap/>
            <w:vAlign w:val="bottom"/>
          </w:tcPr>
          <w:p w14:paraId="29689FD7" w14:textId="1FD33F20" w:rsidR="005974FF" w:rsidRPr="005D32E2" w:rsidRDefault="005974FF" w:rsidP="005974FF">
            <w:pPr>
              <w:spacing w:after="0"/>
              <w:rPr>
                <w:rFonts w:ascii="Calibri" w:eastAsia="Times New Roman" w:hAnsi="Calibri" w:cs="Calibri"/>
                <w:color w:val="000000"/>
                <w:sz w:val="20"/>
                <w:szCs w:val="20"/>
              </w:rPr>
            </w:pPr>
          </w:p>
        </w:tc>
        <w:tc>
          <w:tcPr>
            <w:tcW w:w="1065" w:type="dxa"/>
            <w:tcBorders>
              <w:top w:val="single" w:sz="4" w:space="0" w:color="auto"/>
              <w:left w:val="nil"/>
              <w:bottom w:val="single" w:sz="4" w:space="0" w:color="auto"/>
              <w:right w:val="single" w:sz="4" w:space="0" w:color="auto"/>
            </w:tcBorders>
            <w:noWrap/>
            <w:vAlign w:val="bottom"/>
          </w:tcPr>
          <w:p w14:paraId="2DC8B58D" w14:textId="5994C6EF" w:rsidR="005974FF" w:rsidRPr="005D32E2" w:rsidRDefault="005974FF" w:rsidP="005974FF">
            <w:pPr>
              <w:spacing w:after="0"/>
              <w:rPr>
                <w:rFonts w:ascii="Calibri" w:eastAsia="Times New Roman" w:hAnsi="Calibri" w:cs="Calibri"/>
                <w:color w:val="000000"/>
                <w:sz w:val="20"/>
                <w:szCs w:val="20"/>
              </w:rPr>
            </w:pPr>
            <w:r>
              <w:rPr>
                <w:rFonts w:ascii="Calibri" w:hAnsi="Calibri" w:cs="Calibri"/>
                <w:color w:val="000000"/>
                <w:sz w:val="20"/>
                <w:szCs w:val="20"/>
              </w:rPr>
              <w:t>Actual</w:t>
            </w:r>
          </w:p>
        </w:tc>
        <w:tc>
          <w:tcPr>
            <w:tcW w:w="2195" w:type="dxa"/>
            <w:tcBorders>
              <w:top w:val="single" w:sz="4" w:space="0" w:color="auto"/>
              <w:left w:val="nil"/>
              <w:bottom w:val="single" w:sz="4" w:space="0" w:color="auto"/>
              <w:right w:val="single" w:sz="4" w:space="0" w:color="auto"/>
            </w:tcBorders>
            <w:noWrap/>
            <w:vAlign w:val="bottom"/>
          </w:tcPr>
          <w:p w14:paraId="07E9AFC7" w14:textId="3BA09644" w:rsidR="005974FF" w:rsidRPr="005D32E2" w:rsidRDefault="005974FF" w:rsidP="005974FF">
            <w:pPr>
              <w:spacing w:after="0"/>
              <w:jc w:val="right"/>
              <w:rPr>
                <w:rFonts w:ascii="Calibri" w:eastAsia="Times New Roman" w:hAnsi="Calibri" w:cs="Calibri"/>
                <w:color w:val="000000"/>
                <w:sz w:val="20"/>
                <w:szCs w:val="20"/>
              </w:rPr>
            </w:pPr>
            <w:r>
              <w:rPr>
                <w:rFonts w:ascii="Calibri" w:hAnsi="Calibri" w:cs="Calibri"/>
                <w:color w:val="000000"/>
                <w:sz w:val="20"/>
                <w:szCs w:val="20"/>
              </w:rPr>
              <w:t>5.9</w:t>
            </w:r>
          </w:p>
        </w:tc>
        <w:tc>
          <w:tcPr>
            <w:tcW w:w="2196" w:type="dxa"/>
            <w:tcBorders>
              <w:top w:val="single" w:sz="4" w:space="0" w:color="auto"/>
              <w:left w:val="nil"/>
              <w:bottom w:val="single" w:sz="4" w:space="0" w:color="auto"/>
              <w:right w:val="single" w:sz="4" w:space="0" w:color="auto"/>
            </w:tcBorders>
            <w:noWrap/>
            <w:vAlign w:val="bottom"/>
          </w:tcPr>
          <w:p w14:paraId="2B0918B2" w14:textId="1AB18792" w:rsidR="005974FF" w:rsidRPr="005D32E2" w:rsidRDefault="005974FF" w:rsidP="005974FF">
            <w:pPr>
              <w:spacing w:after="0"/>
              <w:jc w:val="right"/>
              <w:rPr>
                <w:rFonts w:ascii="Calibri" w:eastAsia="Times New Roman" w:hAnsi="Calibri" w:cs="Calibri"/>
                <w:color w:val="000000"/>
                <w:sz w:val="20"/>
                <w:szCs w:val="20"/>
              </w:rPr>
            </w:pPr>
            <w:r>
              <w:rPr>
                <w:rFonts w:ascii="Calibri" w:hAnsi="Calibri" w:cs="Calibri"/>
                <w:color w:val="000000"/>
                <w:sz w:val="20"/>
                <w:szCs w:val="20"/>
              </w:rPr>
              <w:t>8.1</w:t>
            </w:r>
          </w:p>
        </w:tc>
        <w:tc>
          <w:tcPr>
            <w:tcW w:w="2196" w:type="dxa"/>
            <w:tcBorders>
              <w:top w:val="single" w:sz="4" w:space="0" w:color="auto"/>
              <w:left w:val="nil"/>
              <w:bottom w:val="single" w:sz="4" w:space="0" w:color="auto"/>
              <w:right w:val="single" w:sz="4" w:space="0" w:color="auto"/>
            </w:tcBorders>
            <w:noWrap/>
            <w:vAlign w:val="bottom"/>
          </w:tcPr>
          <w:p w14:paraId="17052F5F" w14:textId="27AAAFDA" w:rsidR="005974FF" w:rsidRPr="005D32E2" w:rsidRDefault="005974FF" w:rsidP="005974FF">
            <w:pPr>
              <w:spacing w:after="0"/>
              <w:jc w:val="right"/>
              <w:rPr>
                <w:rFonts w:ascii="Calibri" w:eastAsia="Times New Roman" w:hAnsi="Calibri" w:cs="Calibri"/>
                <w:color w:val="000000"/>
                <w:sz w:val="20"/>
                <w:szCs w:val="20"/>
              </w:rPr>
            </w:pPr>
            <w:r>
              <w:rPr>
                <w:rFonts w:ascii="Calibri" w:hAnsi="Calibri" w:cs="Calibri"/>
                <w:color w:val="000000"/>
                <w:sz w:val="20"/>
                <w:szCs w:val="20"/>
              </w:rPr>
              <w:t>5</w:t>
            </w:r>
          </w:p>
        </w:tc>
      </w:tr>
      <w:tr w:rsidR="005974FF" w:rsidRPr="005D32E2" w14:paraId="11680AAC" w14:textId="77777777" w:rsidTr="00613672">
        <w:trPr>
          <w:trHeight w:val="276"/>
        </w:trPr>
        <w:tc>
          <w:tcPr>
            <w:tcW w:w="1274" w:type="dxa"/>
            <w:vMerge/>
            <w:tcBorders>
              <w:top w:val="single" w:sz="4" w:space="0" w:color="auto"/>
              <w:left w:val="single" w:sz="4" w:space="0" w:color="auto"/>
              <w:bottom w:val="single" w:sz="4" w:space="0" w:color="auto"/>
              <w:right w:val="single" w:sz="4" w:space="0" w:color="auto"/>
            </w:tcBorders>
            <w:noWrap/>
            <w:vAlign w:val="bottom"/>
          </w:tcPr>
          <w:p w14:paraId="6BC74F3E" w14:textId="6D778139" w:rsidR="005974FF" w:rsidRPr="005D32E2" w:rsidRDefault="005974FF" w:rsidP="005974FF">
            <w:pPr>
              <w:spacing w:after="0"/>
              <w:rPr>
                <w:rFonts w:ascii="Calibri" w:eastAsia="Times New Roman" w:hAnsi="Calibri" w:cs="Calibri"/>
                <w:color w:val="000000"/>
                <w:sz w:val="20"/>
                <w:szCs w:val="20"/>
              </w:rPr>
            </w:pPr>
          </w:p>
        </w:tc>
        <w:tc>
          <w:tcPr>
            <w:tcW w:w="1065" w:type="dxa"/>
            <w:tcBorders>
              <w:top w:val="single" w:sz="4" w:space="0" w:color="auto"/>
              <w:left w:val="nil"/>
              <w:bottom w:val="single" w:sz="4" w:space="0" w:color="auto"/>
              <w:right w:val="single" w:sz="4" w:space="0" w:color="auto"/>
            </w:tcBorders>
            <w:noWrap/>
            <w:vAlign w:val="bottom"/>
          </w:tcPr>
          <w:p w14:paraId="5837F329" w14:textId="60460C0D" w:rsidR="005974FF" w:rsidRPr="005D32E2" w:rsidRDefault="005974FF" w:rsidP="005974FF">
            <w:pPr>
              <w:spacing w:after="0"/>
              <w:rPr>
                <w:rFonts w:ascii="Calibri" w:eastAsia="Times New Roman" w:hAnsi="Calibri" w:cs="Calibri"/>
                <w:color w:val="000000"/>
                <w:sz w:val="20"/>
                <w:szCs w:val="20"/>
              </w:rPr>
            </w:pPr>
            <w:r>
              <w:rPr>
                <w:rFonts w:ascii="Calibri" w:hAnsi="Calibri" w:cs="Calibri"/>
                <w:color w:val="000000"/>
                <w:sz w:val="20"/>
                <w:szCs w:val="20"/>
              </w:rPr>
              <w:t>Difference</w:t>
            </w:r>
          </w:p>
        </w:tc>
        <w:tc>
          <w:tcPr>
            <w:tcW w:w="2195" w:type="dxa"/>
            <w:tcBorders>
              <w:top w:val="single" w:sz="4" w:space="0" w:color="auto"/>
              <w:left w:val="nil"/>
              <w:bottom w:val="single" w:sz="4" w:space="0" w:color="auto"/>
              <w:right w:val="single" w:sz="4" w:space="0" w:color="auto"/>
            </w:tcBorders>
            <w:noWrap/>
            <w:vAlign w:val="bottom"/>
          </w:tcPr>
          <w:p w14:paraId="75784CA0" w14:textId="7A494B8D" w:rsidR="005974FF" w:rsidRPr="005D32E2" w:rsidRDefault="005974FF" w:rsidP="005974FF">
            <w:pPr>
              <w:spacing w:after="0"/>
              <w:jc w:val="right"/>
              <w:rPr>
                <w:rFonts w:ascii="Calibri" w:eastAsia="Times New Roman" w:hAnsi="Calibri" w:cs="Calibri"/>
                <w:color w:val="000000"/>
                <w:sz w:val="20"/>
                <w:szCs w:val="20"/>
              </w:rPr>
            </w:pPr>
            <w:r>
              <w:rPr>
                <w:rFonts w:ascii="Calibri" w:hAnsi="Calibri" w:cs="Calibri"/>
                <w:color w:val="000000"/>
                <w:sz w:val="20"/>
                <w:szCs w:val="20"/>
              </w:rPr>
              <w:t>-39%</w:t>
            </w:r>
          </w:p>
        </w:tc>
        <w:tc>
          <w:tcPr>
            <w:tcW w:w="2196" w:type="dxa"/>
            <w:tcBorders>
              <w:top w:val="single" w:sz="4" w:space="0" w:color="auto"/>
              <w:left w:val="nil"/>
              <w:bottom w:val="single" w:sz="4" w:space="0" w:color="auto"/>
              <w:right w:val="single" w:sz="4" w:space="0" w:color="auto"/>
            </w:tcBorders>
            <w:noWrap/>
            <w:vAlign w:val="bottom"/>
          </w:tcPr>
          <w:p w14:paraId="23208313" w14:textId="68E45196" w:rsidR="005974FF" w:rsidRPr="005D32E2" w:rsidRDefault="005974FF" w:rsidP="005974FF">
            <w:pPr>
              <w:spacing w:after="0"/>
              <w:jc w:val="right"/>
              <w:rPr>
                <w:rFonts w:ascii="Calibri" w:eastAsia="Times New Roman" w:hAnsi="Calibri" w:cs="Calibri"/>
                <w:color w:val="000000"/>
                <w:sz w:val="20"/>
                <w:szCs w:val="20"/>
              </w:rPr>
            </w:pPr>
            <w:r>
              <w:rPr>
                <w:rFonts w:ascii="Calibri" w:hAnsi="Calibri" w:cs="Calibri"/>
                <w:color w:val="000000"/>
                <w:sz w:val="20"/>
                <w:szCs w:val="20"/>
              </w:rPr>
              <w:t>-16%</w:t>
            </w:r>
          </w:p>
        </w:tc>
        <w:tc>
          <w:tcPr>
            <w:tcW w:w="2196" w:type="dxa"/>
            <w:tcBorders>
              <w:top w:val="single" w:sz="4" w:space="0" w:color="auto"/>
              <w:left w:val="nil"/>
              <w:bottom w:val="single" w:sz="4" w:space="0" w:color="auto"/>
              <w:right w:val="single" w:sz="4" w:space="0" w:color="auto"/>
            </w:tcBorders>
            <w:noWrap/>
            <w:vAlign w:val="bottom"/>
          </w:tcPr>
          <w:p w14:paraId="31512793" w14:textId="1A1AE0F4" w:rsidR="005974FF" w:rsidRPr="005D32E2" w:rsidRDefault="005974FF" w:rsidP="005974FF">
            <w:pPr>
              <w:spacing w:after="0"/>
              <w:jc w:val="right"/>
              <w:rPr>
                <w:rFonts w:ascii="Calibri" w:eastAsia="Times New Roman" w:hAnsi="Calibri" w:cs="Calibri"/>
                <w:color w:val="000000"/>
                <w:sz w:val="20"/>
                <w:szCs w:val="20"/>
              </w:rPr>
            </w:pPr>
            <w:r>
              <w:rPr>
                <w:rFonts w:ascii="Calibri" w:hAnsi="Calibri" w:cs="Calibri"/>
                <w:color w:val="000000"/>
                <w:sz w:val="20"/>
                <w:szCs w:val="20"/>
              </w:rPr>
              <w:t>-48%</w:t>
            </w:r>
          </w:p>
        </w:tc>
      </w:tr>
    </w:tbl>
    <w:p w14:paraId="23F8FB26" w14:textId="19EB4BCC" w:rsidR="00324CBD" w:rsidRDefault="005D32E2" w:rsidP="005D32E2">
      <w:pPr>
        <w:pStyle w:val="Notes"/>
      </w:pPr>
      <w:r>
        <w:t>Note: Year 3 actual figures include seven months of data, from April 2025 to September 2025 inclusive.</w:t>
      </w:r>
      <w:r w:rsidR="005974FF">
        <w:br/>
      </w:r>
      <w:r w:rsidR="00BC091F">
        <w:t>a</w:t>
      </w:r>
      <w:r w:rsidR="00151803">
        <w:t>:</w:t>
      </w:r>
      <w:r w:rsidR="005974FF">
        <w:t xml:space="preserve"> The PBAC (Nov 2022)</w:t>
      </w:r>
      <w:r w:rsidR="005974FF" w:rsidRPr="005974FF">
        <w:t xml:space="preserve"> </w:t>
      </w:r>
      <w:r w:rsidR="005974FF">
        <w:t xml:space="preserve">advised </w:t>
      </w:r>
      <w:r w:rsidR="005974FF" w:rsidRPr="00603698">
        <w:t xml:space="preserve">an average of 9.6 </w:t>
      </w:r>
      <w:r w:rsidR="00D02FF5" w:rsidRPr="00D21094">
        <w:rPr>
          <w:rFonts w:cstheme="minorHAnsi"/>
        </w:rPr>
        <w:t>prescriptions</w:t>
      </w:r>
      <w:r w:rsidR="005974FF" w:rsidRPr="00603698">
        <w:t xml:space="preserve"> per patient treated</w:t>
      </w:r>
      <w:r w:rsidR="005974FF">
        <w:t xml:space="preserve"> should be applied in the estimates.</w:t>
      </w:r>
      <w:r w:rsidR="00324CBD">
        <w:br/>
      </w:r>
      <w:r w:rsidR="00151803">
        <w:t>1:</w:t>
      </w:r>
      <w:r w:rsidR="00BC091F">
        <w:t xml:space="preserve"> 500</w:t>
      </w:r>
      <w:r w:rsidR="00221B0E">
        <w:t xml:space="preserve"> to &lt;5,000</w:t>
      </w:r>
      <w:r w:rsidR="00221B0E">
        <w:br/>
      </w:r>
      <w:r w:rsidR="00151803">
        <w:t>2:</w:t>
      </w:r>
      <w:r w:rsidR="00221B0E">
        <w:t xml:space="preserve"> 30,000 to &lt; 40,000</w:t>
      </w:r>
    </w:p>
    <w:p w14:paraId="6E64A06F" w14:textId="7D7B6B4A" w:rsidR="005D32E2" w:rsidRDefault="00BC31D1" w:rsidP="005D32E2">
      <w:r>
        <w:t>The number of treated patients and supplied prescriptions were both overestimated in each year of listing</w:t>
      </w:r>
      <w:r w:rsidR="004925CE">
        <w:t>, which may be</w:t>
      </w:r>
      <w:r>
        <w:t xml:space="preserve"> due to an overestimate of the number of eligible patients, the uptake rates, or a combination of both.</w:t>
      </w:r>
      <w:r w:rsidR="005974FF">
        <w:t xml:space="preserve"> </w:t>
      </w:r>
    </w:p>
    <w:p w14:paraId="7EDBFF17" w14:textId="693BDCF9" w:rsidR="00460DB9" w:rsidRDefault="00E95ABB" w:rsidP="00460DB9">
      <w:r w:rsidRPr="00E95ABB">
        <w:t>DUSC considered that overall</w:t>
      </w:r>
      <w:r w:rsidR="00FC5E92">
        <w:t>,</w:t>
      </w:r>
      <w:r w:rsidRPr="00E95ABB">
        <w:t xml:space="preserve"> the estimates presented in the </w:t>
      </w:r>
      <w:r>
        <w:t xml:space="preserve">first </w:t>
      </w:r>
      <w:r w:rsidRPr="00E95ABB">
        <w:t xml:space="preserve">submission </w:t>
      </w:r>
      <w:r>
        <w:t>were</w:t>
      </w:r>
      <w:r w:rsidRPr="00E95ABB">
        <w:t xml:space="preserve"> overestimated</w:t>
      </w:r>
      <w:r>
        <w:t xml:space="preserve"> </w:t>
      </w:r>
      <w:r w:rsidRPr="00603698">
        <w:t xml:space="preserve">(paragraph </w:t>
      </w:r>
      <w:r>
        <w:t>6.2</w:t>
      </w:r>
      <w:r w:rsidRPr="00603698">
        <w:t>, mepolizumab PSD, November 2021 PBAC meeting)</w:t>
      </w:r>
      <w:r w:rsidRPr="00E95ABB">
        <w:t xml:space="preserve">. </w:t>
      </w:r>
      <w:r w:rsidR="00460DB9">
        <w:t xml:space="preserve">The use of mepolizumab for </w:t>
      </w:r>
      <w:proofErr w:type="spellStart"/>
      <w:r w:rsidR="00460DB9">
        <w:t>C</w:t>
      </w:r>
      <w:r w:rsidR="00936330">
        <w:t>RS</w:t>
      </w:r>
      <w:r w:rsidR="00460DB9">
        <w:t>wNP</w:t>
      </w:r>
      <w:proofErr w:type="spellEnd"/>
      <w:r w:rsidR="00460DB9">
        <w:t xml:space="preserve"> in the second submission</w:t>
      </w:r>
      <w:r>
        <w:t xml:space="preserve"> </w:t>
      </w:r>
      <w:r w:rsidR="00460DB9">
        <w:t xml:space="preserve">was estimated to </w:t>
      </w:r>
      <w:r w:rsidR="00460DB9" w:rsidRPr="004925CE">
        <w:t xml:space="preserve">be </w:t>
      </w:r>
      <w:r w:rsidR="00460DB9" w:rsidRPr="00C66D12">
        <w:t>higher</w:t>
      </w:r>
      <w:r w:rsidR="00460DB9" w:rsidRPr="004925CE">
        <w:t xml:space="preserve"> than the fi</w:t>
      </w:r>
      <w:r w:rsidR="00460DB9">
        <w:t xml:space="preserve">rst submission. </w:t>
      </w:r>
      <w:r w:rsidR="00460DB9" w:rsidRPr="00C8142D">
        <w:t xml:space="preserve">The main changes between the first and second submission were that the prevalence in the second submission was changed to 0.51% (from 3% in the first submission) and the uptake rates were increased in the second submission. For initiators they were increased from between 3.5% to 5% in the first submission to 48% to 68% in the second submission. </w:t>
      </w:r>
      <w:r w:rsidR="00460DB9">
        <w:t>However, the</w:t>
      </w:r>
      <w:r w:rsidR="00460DB9" w:rsidRPr="00F1132C">
        <w:t xml:space="preserve"> </w:t>
      </w:r>
      <w:r w:rsidR="00460DB9" w:rsidRPr="00603698">
        <w:t xml:space="preserve">PBAC advised that the financial estimates </w:t>
      </w:r>
      <w:r w:rsidR="00460DB9">
        <w:t>should</w:t>
      </w:r>
      <w:r w:rsidR="00460DB9" w:rsidRPr="00603698">
        <w:t xml:space="preserve"> include a 48% uptake rate applied across Year 1 to Year 6 with an average of 9.6 </w:t>
      </w:r>
      <w:r w:rsidR="00D02FF5" w:rsidRPr="00D21094">
        <w:rPr>
          <w:rFonts w:cstheme="minorHAnsi"/>
        </w:rPr>
        <w:t>prescriptions</w:t>
      </w:r>
      <w:r w:rsidR="00460DB9" w:rsidRPr="00603698">
        <w:t xml:space="preserve"> per patient treated</w:t>
      </w:r>
      <w:r>
        <w:t xml:space="preserve"> </w:t>
      </w:r>
      <w:r w:rsidRPr="00603698">
        <w:t>(paragraph 7.</w:t>
      </w:r>
      <w:r>
        <w:t>9</w:t>
      </w:r>
      <w:r w:rsidRPr="00603698">
        <w:t>, mepolizumab PSD, November 202</w:t>
      </w:r>
      <w:r>
        <w:t xml:space="preserve">2 </w:t>
      </w:r>
      <w:r w:rsidRPr="00603698">
        <w:t>PBAC meeting)</w:t>
      </w:r>
      <w:r w:rsidR="00460DB9" w:rsidRPr="00603698">
        <w:t>.</w:t>
      </w:r>
      <w:r w:rsidR="00460DB9">
        <w:t xml:space="preserve"> </w:t>
      </w:r>
    </w:p>
    <w:p w14:paraId="2CBB7EAD" w14:textId="3757DAFA" w:rsidR="00460DB9" w:rsidRDefault="00F3499B" w:rsidP="005D32E2">
      <w:r>
        <w:t xml:space="preserve">The average </w:t>
      </w:r>
      <w:r w:rsidR="00602A2B">
        <w:t xml:space="preserve">of </w:t>
      </w:r>
      <w:r w:rsidR="00602A2B" w:rsidRPr="00603698">
        <w:t xml:space="preserve">9.6 </w:t>
      </w:r>
      <w:r w:rsidR="00D02FF5" w:rsidRPr="00D21094">
        <w:rPr>
          <w:rFonts w:cstheme="minorHAnsi"/>
        </w:rPr>
        <w:t>prescriptions</w:t>
      </w:r>
      <w:r w:rsidR="00602A2B" w:rsidRPr="00603698">
        <w:t xml:space="preserve"> per patient treated</w:t>
      </w:r>
      <w:r>
        <w:t xml:space="preserve"> was slightly overestimated, as the average number of prescriptions per patient was 8.1 in year 2 of listing</w:t>
      </w:r>
      <w:r w:rsidR="00602A2B">
        <w:t>. It is understandable that the</w:t>
      </w:r>
      <w:r w:rsidR="00602A2B" w:rsidRPr="00602A2B">
        <w:t xml:space="preserve"> </w:t>
      </w:r>
      <w:r w:rsidR="00602A2B">
        <w:t>average number of prescriptions per patient was lower in year 1 of listing, and year 3 only includes seven months of data.</w:t>
      </w:r>
    </w:p>
    <w:p w14:paraId="0393FE4B" w14:textId="77777777" w:rsidR="003760D9" w:rsidRDefault="003760D9">
      <w:pPr>
        <w:spacing w:line="276" w:lineRule="auto"/>
        <w:rPr>
          <w:rFonts w:eastAsiaTheme="majorEastAsia" w:cstheme="majorBidi"/>
          <w:b/>
          <w:bCs/>
          <w:sz w:val="32"/>
          <w:szCs w:val="32"/>
        </w:rPr>
      </w:pPr>
      <w:r>
        <w:br w:type="page"/>
      </w:r>
    </w:p>
    <w:p w14:paraId="67387099" w14:textId="77777777" w:rsidR="00E37865" w:rsidRDefault="00E37865" w:rsidP="00E37865">
      <w:pPr>
        <w:pStyle w:val="Heading1"/>
      </w:pPr>
      <w:r>
        <w:lastRenderedPageBreak/>
        <w:t>D</w:t>
      </w:r>
      <w:r w:rsidRPr="005E22C2">
        <w:t>iscussion</w:t>
      </w:r>
    </w:p>
    <w:p w14:paraId="7B4490E5" w14:textId="77777777" w:rsidR="00E37865" w:rsidRPr="00E74587" w:rsidRDefault="00E37865" w:rsidP="00E37865">
      <w:r w:rsidRPr="00C8142D">
        <w:t xml:space="preserve">The use of mepolizumab for </w:t>
      </w:r>
      <w:proofErr w:type="spellStart"/>
      <w:r w:rsidRPr="00C8142D">
        <w:t>CRSwNP</w:t>
      </w:r>
      <w:proofErr w:type="spellEnd"/>
      <w:r w:rsidRPr="00C8142D">
        <w:t xml:space="preserve"> has increased steadily since it was PBS listed on 1</w:t>
      </w:r>
      <w:r>
        <w:t> </w:t>
      </w:r>
      <w:r w:rsidRPr="00C8142D">
        <w:t xml:space="preserve">April 2023. Between 200 and 300 patients have initiated each quarter, and </w:t>
      </w:r>
      <w:r>
        <w:t>approximately</w:t>
      </w:r>
      <w:r w:rsidRPr="00C8142D">
        <w:t xml:space="preserve"> 80% of patients </w:t>
      </w:r>
      <w:r>
        <w:t xml:space="preserve">who initiated were </w:t>
      </w:r>
      <w:r w:rsidRPr="00F37786">
        <w:t>identified as continuing treatment at</w:t>
      </w:r>
      <w:r>
        <w:t xml:space="preserve"> the end of the data collection (30 September 2025). It is likely that use will continue to increase in the future.</w:t>
      </w:r>
    </w:p>
    <w:p w14:paraId="10778FF0" w14:textId="08FDD334" w:rsidR="00E37865" w:rsidRDefault="00E37865" w:rsidP="00E37865">
      <w:r>
        <w:t xml:space="preserve">At its September 2025 meeting, </w:t>
      </w:r>
      <w:r w:rsidRPr="00C8142D">
        <w:t xml:space="preserve">DUSC requested linkage </w:t>
      </w:r>
      <w:r>
        <w:t xml:space="preserve">between PBS and </w:t>
      </w:r>
      <w:r w:rsidRPr="00C8142D">
        <w:t xml:space="preserve">MBS data to </w:t>
      </w:r>
      <w:r>
        <w:t xml:space="preserve">determine whether the PBS listing of mepolizumab had reduced the number of surgeries for nasal polyps. However, the patient level data could </w:t>
      </w:r>
      <w:r w:rsidRPr="00C8142D">
        <w:t>not be obtained in time for analysis.</w:t>
      </w:r>
      <w:r>
        <w:t xml:space="preserve"> From the publicly available MBS data, i</w:t>
      </w:r>
      <w:r w:rsidRPr="00C8142D">
        <w:t>t appears that the number of surgeries for nasal polyps has substantially decreased since 2023</w:t>
      </w:r>
      <w:r>
        <w:t xml:space="preserve">, </w:t>
      </w:r>
      <w:r w:rsidR="003C1AA3">
        <w:t xml:space="preserve">due </w:t>
      </w:r>
      <w:r w:rsidRPr="00342DF1">
        <w:t xml:space="preserve">to </w:t>
      </w:r>
      <w:r w:rsidR="00CF03BC">
        <w:t>administrative changes</w:t>
      </w:r>
      <w:r w:rsidRPr="00342DF1">
        <w:t>.</w:t>
      </w:r>
    </w:p>
    <w:p w14:paraId="55D9AFA5" w14:textId="0EDCD591" w:rsidR="00E37865" w:rsidRDefault="00E37865" w:rsidP="00E37865">
      <w:r>
        <w:t>It appears th</w:t>
      </w:r>
      <w:r w:rsidR="00567BB7">
        <w:t>at</w:t>
      </w:r>
      <w:r>
        <w:t xml:space="preserve"> mepolizumab has been supplied in </w:t>
      </w:r>
      <w:r w:rsidRPr="000472BE">
        <w:t xml:space="preserve">accordance with recommended dosing </w:t>
      </w:r>
      <w:r>
        <w:t xml:space="preserve">of one </w:t>
      </w:r>
      <w:r w:rsidRPr="005116C8">
        <w:t xml:space="preserve">100 mg subcutaneous injection </w:t>
      </w:r>
      <w:r>
        <w:t xml:space="preserve">once </w:t>
      </w:r>
      <w:r w:rsidRPr="005116C8">
        <w:t>every 28 days</w:t>
      </w:r>
      <w:r>
        <w:t>, as quantities higher than one were not supplied and the</w:t>
      </w:r>
      <w:r w:rsidRPr="000472BE">
        <w:t xml:space="preserve"> time between supplies of mepolizumab </w:t>
      </w:r>
      <w:r>
        <w:t xml:space="preserve">peaked around 28 days. </w:t>
      </w:r>
    </w:p>
    <w:p w14:paraId="1B343565" w14:textId="77777777" w:rsidR="00E37865" w:rsidRDefault="00E37865" w:rsidP="00E37865">
      <w:r>
        <w:t xml:space="preserve">Under the PBS restriction, the medical practitioners allowed to prescribe mepolizumab for initiating or continuing treatment of </w:t>
      </w:r>
      <w:proofErr w:type="spellStart"/>
      <w:r>
        <w:t>CRSwNP</w:t>
      </w:r>
      <w:proofErr w:type="spellEnd"/>
      <w:r>
        <w:t xml:space="preserve"> are (</w:t>
      </w:r>
      <w:proofErr w:type="spellStart"/>
      <w:r>
        <w:t>i</w:t>
      </w:r>
      <w:proofErr w:type="spellEnd"/>
      <w:r>
        <w:t xml:space="preserve">) </w:t>
      </w:r>
      <w:r w:rsidRPr="000472BE">
        <w:t xml:space="preserve">respiratory physician, (ii) clinical immunologist, (iii) allergist, (iv) ear nose and throat specialist (ENT), (v) general physician experienced in the management of patients with </w:t>
      </w:r>
      <w:proofErr w:type="spellStart"/>
      <w:r w:rsidRPr="000472BE">
        <w:t>CRSwNP</w:t>
      </w:r>
      <w:proofErr w:type="spellEnd"/>
      <w:r>
        <w:t>. Some prescribing by ‘Other’ prescribers may be clinicians with multiple specialties.</w:t>
      </w:r>
      <w:r w:rsidRPr="000472BE">
        <w:t xml:space="preserve"> </w:t>
      </w:r>
      <w:r>
        <w:t>It appears prescribers are adhering to the list of medical practitioners in the PBS restriction.</w:t>
      </w:r>
    </w:p>
    <w:p w14:paraId="161C62DA" w14:textId="74E5EC75" w:rsidR="00E37865" w:rsidRDefault="00E37865" w:rsidP="00E37865">
      <w:r>
        <w:t xml:space="preserve">The PBS restriction states patients must be at least 18 years of age, and this has also been adhered to by prescribers, with less than </w:t>
      </w:r>
      <w:r w:rsidR="00DB0A3A">
        <w:t>five</w:t>
      </w:r>
      <w:r>
        <w:t xml:space="preserve"> initiating patients (less than 2% of 2,509 patients total) aged under the age of 18.</w:t>
      </w:r>
    </w:p>
    <w:p w14:paraId="1AB4A8B8" w14:textId="77777777" w:rsidR="00EF3812" w:rsidRDefault="00EF3812" w:rsidP="00EF3812">
      <w:pPr>
        <w:pStyle w:val="Heading1"/>
      </w:pPr>
      <w:r>
        <w:t>DUSC Consideration</w:t>
      </w:r>
    </w:p>
    <w:p w14:paraId="410FC515" w14:textId="0AFFCA20" w:rsidR="00CE7853" w:rsidRPr="00CE7853" w:rsidRDefault="00CE7853" w:rsidP="00CE7853">
      <w:r w:rsidRPr="00CE7853">
        <w:t xml:space="preserve">DUSC noted that the number of initiating patients was </w:t>
      </w:r>
      <w:proofErr w:type="gramStart"/>
      <w:r w:rsidRPr="00CE7853">
        <w:t>fairly stable</w:t>
      </w:r>
      <w:proofErr w:type="gramEnd"/>
      <w:r w:rsidRPr="00CE7853">
        <w:t xml:space="preserve">, at approximately 200 to 300 patients per quarter, and the number of treated patients and supplied prescriptions have increased steadily each quarter. DUSC noted that approximately 80% of patients who initiated treatment were identified as continuing at the end of the data collection period and commented that many patients are remaining on treatment. DUSC noted that </w:t>
      </w:r>
      <w:proofErr w:type="spellStart"/>
      <w:r w:rsidRPr="00CE7853">
        <w:t>CRSwNP</w:t>
      </w:r>
      <w:proofErr w:type="spellEnd"/>
      <w:r w:rsidRPr="00CE7853">
        <w:t xml:space="preserve"> is a chronic disease and prevalence estimates for </w:t>
      </w:r>
      <w:proofErr w:type="spellStart"/>
      <w:r w:rsidRPr="00CE7853">
        <w:t>CRSwNP</w:t>
      </w:r>
      <w:proofErr w:type="spellEnd"/>
      <w:r w:rsidRPr="00CE7853">
        <w:t xml:space="preserve"> vary across the literature, and that definitions of remission, treatment duration, and stopping criteria remain unclear. DUSC considered that the continuation rate was aligned with the chronic nature of </w:t>
      </w:r>
      <w:proofErr w:type="spellStart"/>
      <w:r w:rsidRPr="00CE7853">
        <w:t>CRSwNP</w:t>
      </w:r>
      <w:proofErr w:type="spellEnd"/>
      <w:r w:rsidRPr="00CE7853">
        <w:t>.</w:t>
      </w:r>
    </w:p>
    <w:p w14:paraId="01E65C70" w14:textId="2268B95D" w:rsidR="00CE7853" w:rsidRPr="00CE7853" w:rsidRDefault="00CE7853" w:rsidP="00CE7853">
      <w:r w:rsidRPr="00CE7853">
        <w:t>DUSC noted that mepolizumab is administered as a 100 mg subcutaneous injection, once every four weeks. DUSC commented that the time between supplies shows that most patients were supplied mepolizumab every 28 days, which was consistent with the recommended dosing. DUSC considered the slight increase of supply at 21 days was likely due to the early supply rule.</w:t>
      </w:r>
    </w:p>
    <w:p w14:paraId="7D74E370" w14:textId="678C036B" w:rsidR="00CE7853" w:rsidRPr="00CE7853" w:rsidRDefault="00CE7853" w:rsidP="00CE7853">
      <w:r w:rsidRPr="00CE7853">
        <w:lastRenderedPageBreak/>
        <w:t xml:space="preserve">DUSC noted that the PBS restriction for initiating and continuing treatment states that the patient must be treated by a medical practitioner who is a respiratory physician, clinical immunologist, allergist, ear nose and throat specialist or a general physician experienced in the management of patients with </w:t>
      </w:r>
      <w:proofErr w:type="spellStart"/>
      <w:r w:rsidRPr="00CE7853">
        <w:t>CRSwNP</w:t>
      </w:r>
      <w:proofErr w:type="spellEnd"/>
      <w:r w:rsidRPr="00CE7853">
        <w:t xml:space="preserve">. DUSC noted that the prescribing for mepolizumab for </w:t>
      </w:r>
      <w:proofErr w:type="spellStart"/>
      <w:r w:rsidRPr="00CE7853">
        <w:t>CSRwNP</w:t>
      </w:r>
      <w:proofErr w:type="spellEnd"/>
      <w:r w:rsidRPr="00CE7853">
        <w:t xml:space="preserve"> was concentrated among allergists and respiratory physicians when it was first PBS listed. DUSC commented that prescribing by general practitioners has increased over </w:t>
      </w:r>
      <w:r w:rsidR="00BF7E29" w:rsidRPr="00CE7853">
        <w:t>time but</w:t>
      </w:r>
      <w:r w:rsidRPr="00CE7853">
        <w:t xml:space="preserve"> considered that prescribing by general practitioners now appears to have stabilised.</w:t>
      </w:r>
    </w:p>
    <w:p w14:paraId="0C07DFBF" w14:textId="71B2A7A7" w:rsidR="00CE7853" w:rsidRPr="00CE7853" w:rsidRDefault="00CE7853" w:rsidP="00CE7853">
      <w:r w:rsidRPr="00CE7853">
        <w:t xml:space="preserve">DUSC noted that the report found that 57% of patients who initiated mepolizumab for </w:t>
      </w:r>
      <w:proofErr w:type="spellStart"/>
      <w:r w:rsidRPr="00CE7853">
        <w:t>CRSwNP</w:t>
      </w:r>
      <w:proofErr w:type="spellEnd"/>
      <w:r w:rsidRPr="00CE7853">
        <w:t xml:space="preserve"> were male. DUSC commented that this was consistent with the epidemiology of the disease</w:t>
      </w:r>
      <w:bookmarkStart w:id="2" w:name="_Ref222496495"/>
      <w:r w:rsidRPr="00CE7853">
        <w:rPr>
          <w:rStyle w:val="FootnoteReference"/>
        </w:rPr>
        <w:footnoteReference w:id="8"/>
      </w:r>
      <w:bookmarkEnd w:id="2"/>
      <w:r w:rsidRPr="00CE7853">
        <w:t xml:space="preserve">, and commented that </w:t>
      </w:r>
      <w:r w:rsidR="00BF7E29">
        <w:t xml:space="preserve">while </w:t>
      </w:r>
      <w:r w:rsidRPr="00CE7853">
        <w:t>chronic rhinosinusitis is more common in wome</w:t>
      </w:r>
      <w:r w:rsidR="00BF7E29">
        <w:t xml:space="preserve">n, </w:t>
      </w:r>
      <w:r w:rsidRPr="00CE7853">
        <w:t>polyps are more common in men. DUSC considered that the median age of initiating patients, of approximately 50 years old, was also consistent with the epidemiology of the disease.</w:t>
      </w:r>
      <w:r w:rsidRPr="00CE7853">
        <w:rPr>
          <w:vertAlign w:val="superscript"/>
        </w:rPr>
        <w:fldChar w:fldCharType="begin"/>
      </w:r>
      <w:r w:rsidRPr="00CE7853">
        <w:rPr>
          <w:vertAlign w:val="superscript"/>
        </w:rPr>
        <w:instrText xml:space="preserve"> NOTEREF _Ref222496495 \h  \* MERGEFORMAT </w:instrText>
      </w:r>
      <w:r w:rsidRPr="00CE7853">
        <w:rPr>
          <w:vertAlign w:val="superscript"/>
        </w:rPr>
      </w:r>
      <w:r w:rsidRPr="00CE7853">
        <w:rPr>
          <w:vertAlign w:val="superscript"/>
        </w:rPr>
        <w:fldChar w:fldCharType="separate"/>
      </w:r>
      <w:r w:rsidR="00BF39CF">
        <w:rPr>
          <w:vertAlign w:val="superscript"/>
        </w:rPr>
        <w:t>8</w:t>
      </w:r>
      <w:r w:rsidRPr="00CE7853">
        <w:rPr>
          <w:vertAlign w:val="superscript"/>
        </w:rPr>
        <w:fldChar w:fldCharType="end"/>
      </w:r>
    </w:p>
    <w:p w14:paraId="3D4ABB2D" w14:textId="09F56C63" w:rsidR="00CE7853" w:rsidRPr="00CE7853" w:rsidRDefault="00CE7853" w:rsidP="00CE7853">
      <w:r w:rsidRPr="00CE7853">
        <w:t>DUSC noted that the Pre-Sub-Committee Response (PSCR, p1) stated that the initiation and continuation rates are consistent with ongoing clinical benefit and appropriate clinical decision</w:t>
      </w:r>
      <w:r w:rsidRPr="00CE7853">
        <w:noBreakHyphen/>
        <w:t xml:space="preserve">making. The PSCR (p2) stated that long term adherence is consistent with ongoing clinical benefit, implying effective disease control and improvements in patients’ health-related quality of life. DUSC commented that benefits cannot be implied from the PBS supply </w:t>
      </w:r>
      <w:r w:rsidR="00BF7E29" w:rsidRPr="00CE7853">
        <w:t>data and</w:t>
      </w:r>
      <w:r w:rsidRPr="00CE7853">
        <w:t xml:space="preserve"> considered that the data do not specifically demonstrate these claims. </w:t>
      </w:r>
    </w:p>
    <w:p w14:paraId="62A0A454" w14:textId="76DE7CD7" w:rsidR="00937D68" w:rsidRDefault="00937D68" w:rsidP="00937D68">
      <w:r w:rsidRPr="00CE7853">
        <w:t xml:space="preserve">The PSCR (p3) noted that in recommending mepolizumab for </w:t>
      </w:r>
      <w:proofErr w:type="spellStart"/>
      <w:r w:rsidRPr="00CE7853">
        <w:t>CRSwNP</w:t>
      </w:r>
      <w:proofErr w:type="spellEnd"/>
      <w:r w:rsidRPr="00CE7853">
        <w:t xml:space="preserve"> in November 2022, the PBAC requested an RSA to address the uncertainty associated with including patients unsuitable for surgery in the proposed PBS population (paragraph 7.10, mepolizumab, PSD, November 2022, paragraph 7.10). The PSCR (p3) stated that the Australian Mepolizumab Registry for </w:t>
      </w:r>
      <w:proofErr w:type="spellStart"/>
      <w:r w:rsidRPr="00CE7853">
        <w:t>CRSwNP</w:t>
      </w:r>
      <w:proofErr w:type="spellEnd"/>
      <w:r w:rsidRPr="00CE7853">
        <w:t xml:space="preserve"> (AMR) captured data </w:t>
      </w:r>
      <w:proofErr w:type="spellStart"/>
      <w:r w:rsidR="008140A4" w:rsidRPr="008111EC">
        <w:rPr>
          <w:highlight w:val="black"/>
        </w:rPr>
        <w:t>xxxxxxxxxxxxxxxxxxxxxxxxxxxxxxxxxxxxxxxxxx</w:t>
      </w:r>
      <w:r w:rsidR="000C071B" w:rsidRPr="008111EC">
        <w:rPr>
          <w:highlight w:val="black"/>
        </w:rPr>
        <w:t>xxx</w:t>
      </w:r>
      <w:proofErr w:type="spellEnd"/>
      <w:r w:rsidR="003B7FD1" w:rsidRPr="008111EC">
        <w:rPr>
          <w:highlight w:val="black"/>
        </w:rPr>
        <w:t xml:space="preserve"> </w:t>
      </w:r>
      <w:r w:rsidR="008140A4" w:rsidRPr="008111EC">
        <w:rPr>
          <w:highlight w:val="black"/>
        </w:rPr>
        <w:t>xxxxxxxxxxxxxxxxxxxxxxxxxxxxxxxxxxxxxxxxxxxxxxxxxxxxxxxxxxxxxxxxxxxxxxxxxxxxxxxxxx</w:t>
      </w:r>
      <w:r w:rsidR="00844BF6" w:rsidRPr="008111EC">
        <w:rPr>
          <w:highlight w:val="black"/>
        </w:rPr>
        <w:t>x</w:t>
      </w:r>
      <w:r w:rsidR="000C071B" w:rsidRPr="008111EC">
        <w:rPr>
          <w:highlight w:val="black"/>
        </w:rPr>
        <w:t xml:space="preserve"> </w:t>
      </w:r>
      <w:r w:rsidR="008140A4" w:rsidRPr="008111EC">
        <w:rPr>
          <w:highlight w:val="black"/>
        </w:rPr>
        <w:t>xxxxxxxxxxxxxxxxxxxxxxxxxxxxxxxxxxxxxxxxxxxxxxxxxxxxxxxxxxxxxxxxxxxxxxxxxxxxx</w:t>
      </w:r>
      <w:r w:rsidR="00844BF6" w:rsidRPr="008111EC">
        <w:rPr>
          <w:highlight w:val="black"/>
        </w:rPr>
        <w:t xml:space="preserve"> </w:t>
      </w:r>
      <w:r w:rsidR="000C071B" w:rsidRPr="008111EC">
        <w:rPr>
          <w:highlight w:val="black"/>
        </w:rPr>
        <w:t xml:space="preserve"> </w:t>
      </w:r>
      <w:r w:rsidR="008140A4" w:rsidRPr="008111EC">
        <w:rPr>
          <w:highlight w:val="black"/>
        </w:rPr>
        <w:t>xxxxxxxxxxxxxxxxxxxxxxxxxxxxxxxxxxxxxxxxxxxxxxxxxxxxxxxxxxxxxxxxxxxxxxxxxxxxxxxxx</w:t>
      </w:r>
      <w:r w:rsidR="00844BF6" w:rsidRPr="008111EC">
        <w:rPr>
          <w:highlight w:val="black"/>
        </w:rPr>
        <w:t>xx</w:t>
      </w:r>
      <w:r w:rsidR="000C071B" w:rsidRPr="008111EC">
        <w:rPr>
          <w:highlight w:val="black"/>
        </w:rPr>
        <w:t xml:space="preserve"> </w:t>
      </w:r>
      <w:r w:rsidR="008140A4" w:rsidRPr="008111EC">
        <w:rPr>
          <w:highlight w:val="black"/>
        </w:rPr>
        <w:t>xxxxxxxxxxxxxxxxxxxxxxxxxxxxxxxxxxxxxxxxxxxxxxxxxxxxxxxxxxxxxxxxxxxxxxxxxxxxxxxx</w:t>
      </w:r>
      <w:r w:rsidR="00884C9B" w:rsidRPr="008111EC">
        <w:rPr>
          <w:highlight w:val="black"/>
        </w:rPr>
        <w:t xml:space="preserve"> </w:t>
      </w:r>
      <w:r w:rsidR="008140A4" w:rsidRPr="008111EC">
        <w:rPr>
          <w:highlight w:val="black"/>
        </w:rPr>
        <w:t>xxxxxxxxxxxxxxxxxxxxxxxxxxxxxxxxxxxxxxxxxxxxxxxxxxxxxxxxxxxxxxxxxxxxxxxxxxxxxxxxxx</w:t>
      </w:r>
      <w:r w:rsidR="00884C9B" w:rsidRPr="008111EC">
        <w:rPr>
          <w:highlight w:val="black"/>
        </w:rPr>
        <w:t xml:space="preserve"> </w:t>
      </w:r>
      <w:r w:rsidR="008140A4" w:rsidRPr="008111EC">
        <w:rPr>
          <w:highlight w:val="black"/>
        </w:rPr>
        <w:t>xxxxxxxxxxxxxxxxxxxxxxxxxxxxxxxxxxxxxxxxxxxxxxxxxxxxxxxxxxxxxxxxxxxxxxxxxxxxxxxxxxxx</w:t>
      </w:r>
      <w:r w:rsidR="00884C9B" w:rsidRPr="008111EC">
        <w:rPr>
          <w:highlight w:val="black"/>
        </w:rPr>
        <w:t xml:space="preserve"> </w:t>
      </w:r>
      <w:r w:rsidR="008140A4" w:rsidRPr="008111EC">
        <w:rPr>
          <w:highlight w:val="black"/>
        </w:rPr>
        <w:t>xxxxxxxxxxxxxxxxxxxxxxxxxxxxxxxxxxxxxxxxxxxxxxxxxxxxxxxxxxxxxxxxxxxxxxxxxxxxxxxxxx</w:t>
      </w:r>
      <w:r w:rsidR="00884C9B" w:rsidRPr="008111EC">
        <w:rPr>
          <w:highlight w:val="black"/>
        </w:rPr>
        <w:t xml:space="preserve"> </w:t>
      </w:r>
      <w:proofErr w:type="spellStart"/>
      <w:r w:rsidR="008140A4" w:rsidRPr="008111EC">
        <w:rPr>
          <w:highlight w:val="black"/>
        </w:rPr>
        <w:t>xxxxxxxxxxxxx</w:t>
      </w:r>
      <w:r w:rsidR="008111EC" w:rsidRPr="008111EC">
        <w:rPr>
          <w:highlight w:val="black"/>
        </w:rPr>
        <w:t>x</w:t>
      </w:r>
      <w:proofErr w:type="spellEnd"/>
      <w:r w:rsidR="008111EC">
        <w:t xml:space="preserve"> </w:t>
      </w:r>
      <w:r w:rsidRPr="00CE7853">
        <w:t>there was limited published information from the AMR</w:t>
      </w:r>
      <w:r>
        <w:t xml:space="preserve">. Consequently, DUSC </w:t>
      </w:r>
      <w:r w:rsidRPr="00CE7853">
        <w:t>considered that the results were unverifiable.</w:t>
      </w:r>
    </w:p>
    <w:p w14:paraId="1D562647" w14:textId="77777777" w:rsidR="00937D68" w:rsidRPr="00CE7853" w:rsidRDefault="00937D68" w:rsidP="00CE7853"/>
    <w:p w14:paraId="6016F8DD" w14:textId="2E269C60" w:rsidR="00CE7853" w:rsidRPr="00CE7853" w:rsidRDefault="00CE7853" w:rsidP="00CE7853">
      <w:r w:rsidRPr="00CE7853">
        <w:t xml:space="preserve">The PSCR (p1) noted that use of mepolizumab was lower than predicted, </w:t>
      </w:r>
      <w:proofErr w:type="spellStart"/>
      <w:r w:rsidR="00CD689C" w:rsidRPr="007D5377">
        <w:rPr>
          <w:highlight w:val="black"/>
        </w:rPr>
        <w:t>xxxxxxxxxxxxxx</w:t>
      </w:r>
      <w:proofErr w:type="spellEnd"/>
      <w:r w:rsidR="00CD689C" w:rsidRPr="007D5377">
        <w:rPr>
          <w:highlight w:val="black"/>
        </w:rPr>
        <w:t xml:space="preserve"> xxxxxxxxxxxxxxxxxxxxxxxxxxxxxxxxxxxxxxxxxxxxxxxxxxxxxxxxxxxxxxxxxxxxxxxxxxxxxxxxxxxxxxxxxxxxxxxxxxxxxxxxxxxxxxxxxxxxxxxxxxxxxx</w:t>
      </w:r>
      <w:r w:rsidRPr="00CE7853">
        <w:t xml:space="preserve"> The PSCR (pp1, 3) requested removal of the RSA for mepolizumab in </w:t>
      </w:r>
      <w:proofErr w:type="spellStart"/>
      <w:r w:rsidRPr="00CE7853">
        <w:t>CRSwNP</w:t>
      </w:r>
      <w:proofErr w:type="spellEnd"/>
      <w:r w:rsidRPr="00CE7853">
        <w:t xml:space="preserve">. DUSC commented that although use has been below the </w:t>
      </w:r>
      <w:r w:rsidRPr="00CE7853">
        <w:lastRenderedPageBreak/>
        <w:t xml:space="preserve">estimated use, the number of patients and supplied prescriptions are growing, and persistence is likely to be long. DUSC considered that the RSA should not be removed.  </w:t>
      </w:r>
    </w:p>
    <w:p w14:paraId="55FD29E7" w14:textId="579DAF11" w:rsidR="00CE7853" w:rsidRPr="00CE7853" w:rsidRDefault="00CE7853" w:rsidP="00CE7853">
      <w:pPr>
        <w:autoSpaceDE w:val="0"/>
        <w:autoSpaceDN w:val="0"/>
        <w:adjustRightInd w:val="0"/>
      </w:pPr>
      <w:r w:rsidRPr="00CE7853">
        <w:t xml:space="preserve">DUSC noted the graph of MBS services related to nasal polyp surgery, and that the report had suggested the number of surgeries may have decreased. DUSC noted that the listing of mepolizumab occurred at the same time as administrative changes to the MBS item codes, which were made to address several issues, including inappropriate use of multiple similar or identical items. DUSC commented that if the listing of mepolizumab had resulted in a decrease of the number of surgeries, the number of MBS services should be decreasing over time. However, the graph included in the report showed a sharp decrease in services, followed by a stabilisation. DUSC considered that there was no evidence to suggest the decrease in MBS services related to nasal polyps could be attributed to mepolizumab being PBS listed. </w:t>
      </w:r>
    </w:p>
    <w:p w14:paraId="6C3D62AD" w14:textId="77777777" w:rsidR="00CE7853" w:rsidRDefault="00CE7853" w:rsidP="00CE7853">
      <w:pPr>
        <w:pStyle w:val="Heading1"/>
      </w:pPr>
      <w:r w:rsidRPr="00297885">
        <w:t>DUSC Actions</w:t>
      </w:r>
    </w:p>
    <w:p w14:paraId="25D65B04" w14:textId="09FF65EF" w:rsidR="00FE645A" w:rsidRDefault="00CE7853" w:rsidP="00CE7853">
      <w:pPr>
        <w:spacing w:line="276" w:lineRule="auto"/>
      </w:pPr>
      <w:r>
        <w:t>DUSC requested that the report be provided to the PBAC for consideration.</w:t>
      </w:r>
    </w:p>
    <w:p w14:paraId="1A79358C" w14:textId="77777777" w:rsidR="00FF71BC" w:rsidRDefault="00FF71BC" w:rsidP="00FF71BC">
      <w:pPr>
        <w:pStyle w:val="Heading1"/>
      </w:pPr>
      <w:r w:rsidRPr="0092516A">
        <w:t>Context for analysis</w:t>
      </w:r>
    </w:p>
    <w:p w14:paraId="3707FB66" w14:textId="77777777" w:rsidR="00FF71BC" w:rsidRDefault="00FF71BC" w:rsidP="00FF71BC">
      <w:r>
        <w:t>The DUSC is a Sub Committee of the Pharmaceutical Benefits Advisory Committee (PBAC). The DUSC assesses estimates on projected usage and financial cost of medicines.</w:t>
      </w:r>
    </w:p>
    <w:p w14:paraId="48445318" w14:textId="77777777" w:rsidR="00FF71BC" w:rsidRDefault="00FF71BC" w:rsidP="00FF71BC">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0348DCC" w14:textId="77777777" w:rsidR="00FF71BC" w:rsidRDefault="00FF71BC" w:rsidP="00FF71BC">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7B3088EC" w14:textId="77777777" w:rsidR="00FF71BC" w:rsidRDefault="00FF71BC" w:rsidP="00FF71BC">
      <w:r>
        <w:t>The utilisation analysis report was provided to the pharmaceutical sponsors of each drug and comments on the report were provided to DUSC prior to its consideration of the analysis.</w:t>
      </w:r>
    </w:p>
    <w:p w14:paraId="1001C052" w14:textId="77777777" w:rsidR="00FF71BC" w:rsidRDefault="00FF71BC" w:rsidP="00FF71BC">
      <w:pPr>
        <w:pStyle w:val="Heading1"/>
      </w:pPr>
      <w:r>
        <w:t>Sponsor</w:t>
      </w:r>
      <w:r w:rsidRPr="0092516A">
        <w:t>s</w:t>
      </w:r>
      <w:r>
        <w:t>’</w:t>
      </w:r>
      <w:r w:rsidRPr="0092516A">
        <w:t xml:space="preserve"> comments</w:t>
      </w:r>
    </w:p>
    <w:p w14:paraId="2E3BD1F2" w14:textId="2006D6B8" w:rsidR="00FF71BC" w:rsidRDefault="00114082" w:rsidP="00FF71BC">
      <w:r w:rsidRPr="00114082">
        <w:t>GlaxoSmithKline Australia Pty Ltd: The sponsor has no comment.</w:t>
      </w:r>
    </w:p>
    <w:p w14:paraId="47F207AE" w14:textId="77777777" w:rsidR="00FF71BC" w:rsidRDefault="00FF71BC" w:rsidP="00FF71BC">
      <w:pPr>
        <w:pStyle w:val="Heading1"/>
      </w:pPr>
      <w:r w:rsidRPr="00A4020E">
        <w:lastRenderedPageBreak/>
        <w:t>Disclaimer</w:t>
      </w:r>
    </w:p>
    <w:p w14:paraId="2B1D8517" w14:textId="77777777" w:rsidR="00FF71BC" w:rsidRDefault="00FF71BC" w:rsidP="00FF71BC">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268785E5" w14:textId="77777777" w:rsidR="00FF71BC" w:rsidRDefault="00FF71BC" w:rsidP="00FF71BC">
      <w:r>
        <w:t xml:space="preserve">The </w:t>
      </w:r>
      <w:r w:rsidRPr="006804E0">
        <w:t>Department of Health</w:t>
      </w:r>
      <w:r>
        <w:t xml:space="preserve">, Disability and Ageing has made all reasonable efforts to ensure that information provided in this report is accurate. The information provided in this report was </w:t>
      </w:r>
      <w:proofErr w:type="gramStart"/>
      <w:r>
        <w:t>up-to-date</w:t>
      </w:r>
      <w:proofErr w:type="gramEnd"/>
      <w:r>
        <w:t xml:space="preserve"> when it was considered by the Drug Utilisation Sub-Committee of the Pharmaceutical Benefits Advisory Committee.  The context for that information may have changed since publication.</w:t>
      </w:r>
    </w:p>
    <w:p w14:paraId="3828610F" w14:textId="77777777" w:rsidR="00FF71BC" w:rsidRDefault="00FF71BC" w:rsidP="00FF71BC">
      <w:r>
        <w:t xml:space="preserve">To the extent provided by law, the </w:t>
      </w:r>
      <w:r w:rsidRPr="006804E0">
        <w:t>Department of Health</w:t>
      </w:r>
      <w:r>
        <w:t xml:space="preserve">, Disability and Ageing makes no warranties or representations as to accuracy or completeness of information contained in this report. </w:t>
      </w:r>
    </w:p>
    <w:p w14:paraId="00203F24" w14:textId="77777777" w:rsidR="00FF71BC" w:rsidRDefault="00FF71BC" w:rsidP="00FF71BC">
      <w:r>
        <w:t xml:space="preserve">To the fullest extent permitted by law, neither the </w:t>
      </w:r>
      <w:r w:rsidRPr="006804E0">
        <w:t>Department of Health</w:t>
      </w:r>
      <w:r>
        <w:t xml:space="preserve">, Disability and Ageing nor any </w:t>
      </w:r>
      <w:r w:rsidRPr="006804E0">
        <w:t>Department of Health</w:t>
      </w:r>
      <w:r>
        <w:t>, Disability and Ageing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04A837C4" w14:textId="77777777" w:rsidR="00FF71BC" w:rsidRDefault="00FF71BC" w:rsidP="00CE7853">
      <w:pPr>
        <w:spacing w:line="276" w:lineRule="auto"/>
      </w:pPr>
    </w:p>
    <w:sectPr w:rsidR="00FF71BC" w:rsidSect="00DD188C">
      <w:headerReference w:type="even" r:id="rId22"/>
      <w:headerReference w:type="default" r:id="rId23"/>
      <w:footerReference w:type="even" r:id="rId24"/>
      <w:footerReference w:type="default" r:id="rId25"/>
      <w:headerReference w:type="first" r:id="rId26"/>
      <w:footerReference w:type="first" r:id="rId27"/>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1C35D" w14:textId="77777777" w:rsidR="002C3AF5" w:rsidRDefault="002C3AF5" w:rsidP="00A35800">
      <w:r>
        <w:separator/>
      </w:r>
    </w:p>
  </w:endnote>
  <w:endnote w:type="continuationSeparator" w:id="0">
    <w:p w14:paraId="734B23B8" w14:textId="77777777" w:rsidR="002C3AF5" w:rsidRDefault="002C3AF5"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D5E5" w14:textId="19DAEE31" w:rsidR="00214013" w:rsidRDefault="008332AA" w:rsidP="00A35800">
    <w:pPr>
      <w:pStyle w:val="Footer"/>
      <w:rPr>
        <w:rStyle w:val="PageNumber"/>
      </w:rPr>
    </w:pPr>
    <w:r>
      <w:rPr>
        <w:noProof/>
      </w:rPr>
      <mc:AlternateContent>
        <mc:Choice Requires="wps">
          <w:drawing>
            <wp:anchor distT="0" distB="0" distL="0" distR="0" simplePos="0" relativeHeight="251674624" behindDoc="0" locked="0" layoutInCell="1" allowOverlap="1" wp14:anchorId="7EF0962E" wp14:editId="234CE210">
              <wp:simplePos x="635" y="635"/>
              <wp:positionH relativeFrom="page">
                <wp:align>center</wp:align>
              </wp:positionH>
              <wp:positionV relativeFrom="page">
                <wp:align>bottom</wp:align>
              </wp:positionV>
              <wp:extent cx="622300" cy="376555"/>
              <wp:effectExtent l="0" t="0" r="6350" b="0"/>
              <wp:wrapNone/>
              <wp:docPr id="956937953"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5D1E031" w14:textId="2F928281" w:rsidR="008332AA" w:rsidRPr="008332AA" w:rsidRDefault="008332AA" w:rsidP="008332AA">
                          <w:pPr>
                            <w:spacing w:after="0"/>
                            <w:rPr>
                              <w:rFonts w:ascii="Aptos" w:eastAsia="Aptos" w:hAnsi="Aptos" w:cs="Aptos"/>
                              <w:noProof/>
                              <w:color w:val="FF0000"/>
                            </w:rPr>
                          </w:pPr>
                          <w:r w:rsidRPr="008332A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F0962E" id="_x0000_t202" coordsize="21600,21600" o:spt="202" path="m,l,21600r21600,l21600,xe">
              <v:stroke joinstyle="miter"/>
              <v:path gradientshapeok="t" o:connecttype="rect"/>
            </v:shapetype>
            <v:shape id="Text Box 11" o:spid="_x0000_s1028" type="#_x0000_t202" alt="OFFICIAL" style="position:absolute;margin-left:0;margin-top:0;width:49pt;height:29.6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15D1E031" w14:textId="2F928281" w:rsidR="008332AA" w:rsidRPr="008332AA" w:rsidRDefault="008332AA" w:rsidP="008332AA">
                    <w:pPr>
                      <w:spacing w:after="0"/>
                      <w:rPr>
                        <w:rFonts w:ascii="Aptos" w:eastAsia="Aptos" w:hAnsi="Aptos" w:cs="Aptos"/>
                        <w:noProof/>
                        <w:color w:val="FF0000"/>
                      </w:rPr>
                    </w:pPr>
                    <w:r w:rsidRPr="008332AA">
                      <w:rPr>
                        <w:rFonts w:ascii="Aptos" w:eastAsia="Aptos" w:hAnsi="Aptos" w:cs="Aptos"/>
                        <w:noProof/>
                        <w:color w:val="FF0000"/>
                      </w:rPr>
                      <w:t>OFFICIAL</w:t>
                    </w:r>
                  </w:p>
                </w:txbxContent>
              </v:textbox>
              <w10:wrap anchorx="page" anchory="page"/>
            </v:shape>
          </w:pict>
        </mc:Fallback>
      </mc:AlternateContent>
    </w:r>
    <w:r w:rsidR="00214013">
      <w:rPr>
        <w:rStyle w:val="PageNumber"/>
      </w:rPr>
      <w:fldChar w:fldCharType="begin"/>
    </w:r>
    <w:r w:rsidR="00214013">
      <w:rPr>
        <w:rStyle w:val="PageNumber"/>
      </w:rPr>
      <w:instrText xml:space="preserve">PAGE  </w:instrText>
    </w:r>
    <w:r w:rsidR="00214013">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DFA7" w14:textId="48D16967" w:rsidR="00B1396E" w:rsidRDefault="008332AA" w:rsidP="000E72C6">
    <w:pPr>
      <w:pStyle w:val="Footer"/>
      <w:jc w:val="center"/>
      <w:rPr>
        <w:i/>
        <w:iCs/>
        <w:sz w:val="20"/>
        <w:szCs w:val="20"/>
      </w:rPr>
    </w:pPr>
    <w:r>
      <w:rPr>
        <w:i/>
        <w:iCs/>
        <w:noProof/>
        <w:sz w:val="20"/>
        <w:szCs w:val="20"/>
      </w:rPr>
      <mc:AlternateContent>
        <mc:Choice Requires="wps">
          <w:drawing>
            <wp:anchor distT="0" distB="0" distL="0" distR="0" simplePos="0" relativeHeight="251675648" behindDoc="0" locked="0" layoutInCell="1" allowOverlap="1" wp14:anchorId="24C579B9" wp14:editId="3315D28C">
              <wp:simplePos x="1009650" y="9782175"/>
              <wp:positionH relativeFrom="page">
                <wp:align>center</wp:align>
              </wp:positionH>
              <wp:positionV relativeFrom="page">
                <wp:align>bottom</wp:align>
              </wp:positionV>
              <wp:extent cx="622300" cy="376555"/>
              <wp:effectExtent l="0" t="0" r="6350" b="0"/>
              <wp:wrapNone/>
              <wp:docPr id="40553853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C9221F7" w14:textId="3D2DE1EA" w:rsidR="008332AA" w:rsidRPr="008332AA" w:rsidRDefault="008332AA" w:rsidP="008332AA">
                          <w:pPr>
                            <w:spacing w:after="0"/>
                            <w:rPr>
                              <w:rFonts w:ascii="Aptos" w:eastAsia="Aptos" w:hAnsi="Aptos" w:cs="Aptos"/>
                              <w:noProof/>
                              <w:color w:val="FF0000"/>
                            </w:rPr>
                          </w:pPr>
                          <w:r w:rsidRPr="008332A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C579B9" id="_x0000_t202" coordsize="21600,21600" o:spt="202" path="m,l,21600r21600,l21600,xe">
              <v:stroke joinstyle="miter"/>
              <v:path gradientshapeok="t" o:connecttype="rect"/>
            </v:shapetype>
            <v:shape id="Text Box 12" o:spid="_x0000_s1029" type="#_x0000_t202" alt="OFFICIAL" style="position:absolute;left:0;text-align:left;margin-left:0;margin-top:0;width:49pt;height:29.6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C9221F7" w14:textId="3D2DE1EA" w:rsidR="008332AA" w:rsidRPr="008332AA" w:rsidRDefault="008332AA" w:rsidP="008332AA">
                    <w:pPr>
                      <w:spacing w:after="0"/>
                      <w:rPr>
                        <w:rFonts w:ascii="Aptos" w:eastAsia="Aptos" w:hAnsi="Aptos" w:cs="Aptos"/>
                        <w:noProof/>
                        <w:color w:val="FF0000"/>
                      </w:rPr>
                    </w:pPr>
                    <w:r w:rsidRPr="008332AA">
                      <w:rPr>
                        <w:rFonts w:ascii="Aptos" w:eastAsia="Aptos" w:hAnsi="Aptos" w:cs="Aptos"/>
                        <w:noProof/>
                        <w:color w:val="FF0000"/>
                      </w:rPr>
                      <w:t>OFFICIAL</w:t>
                    </w:r>
                  </w:p>
                </w:txbxContent>
              </v:textbox>
              <w10:wrap anchorx="page" anchory="page"/>
            </v:shape>
          </w:pict>
        </mc:Fallback>
      </mc:AlternateContent>
    </w:r>
  </w:p>
  <w:sdt>
    <w:sdtPr>
      <w:rPr>
        <w:i/>
        <w:iCs/>
        <w:sz w:val="20"/>
        <w:szCs w:val="20"/>
      </w:rPr>
      <w:id w:val="-1220733839"/>
      <w:docPartObj>
        <w:docPartGallery w:val="Page Numbers (Bottom of Page)"/>
        <w:docPartUnique/>
      </w:docPartObj>
    </w:sdtPr>
    <w:sdtEndPr>
      <w:rPr>
        <w:i w:val="0"/>
        <w:iCs w:val="0"/>
        <w:sz w:val="24"/>
        <w:szCs w:val="24"/>
      </w:rPr>
    </w:sdtEndPr>
    <w:sdtContent>
      <w:sdt>
        <w:sdtPr>
          <w:rPr>
            <w:i/>
            <w:iCs/>
            <w:sz w:val="20"/>
            <w:szCs w:val="20"/>
          </w:rPr>
          <w:id w:val="-1669238322"/>
          <w:docPartObj>
            <w:docPartGallery w:val="Page Numbers (Top of Page)"/>
            <w:docPartUnique/>
          </w:docPartObj>
        </w:sdtPr>
        <w:sdtEndPr>
          <w:rPr>
            <w:i w:val="0"/>
            <w:iCs w:val="0"/>
            <w:sz w:val="24"/>
            <w:szCs w:val="24"/>
          </w:rPr>
        </w:sdtEndPr>
        <w:sdtContent>
          <w:p w14:paraId="30682B98" w14:textId="6D16ABB3" w:rsidR="000E72C6" w:rsidRPr="003B597F" w:rsidRDefault="00421FA4" w:rsidP="000E72C6">
            <w:pPr>
              <w:pStyle w:val="Footer"/>
              <w:jc w:val="center"/>
              <w:rPr>
                <w:i/>
                <w:iCs/>
                <w:sz w:val="20"/>
                <w:szCs w:val="20"/>
              </w:rPr>
            </w:pPr>
            <w:r w:rsidRPr="003B597F">
              <w:rPr>
                <w:i/>
                <w:iCs/>
                <w:sz w:val="20"/>
                <w:szCs w:val="20"/>
              </w:rPr>
              <w:t>Public Release Document, February 2026 DUSC Meeting</w:t>
            </w:r>
          </w:p>
          <w:p w14:paraId="10292A9A" w14:textId="275D445E"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F0A4E">
              <w:rPr>
                <w:bCs/>
                <w:i/>
                <w:noProof/>
                <w:sz w:val="20"/>
              </w:rPr>
              <w:t>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F0A4E">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E1F" w14:textId="498AC105" w:rsidR="007A5733" w:rsidRDefault="008332AA" w:rsidP="007A5733">
    <w:pPr>
      <w:pStyle w:val="Footer"/>
      <w:jc w:val="center"/>
      <w:rPr>
        <w:rStyle w:val="PageNumber"/>
      </w:rPr>
    </w:pPr>
    <w:r>
      <w:rPr>
        <w:noProof/>
      </w:rPr>
      <mc:AlternateContent>
        <mc:Choice Requires="wps">
          <w:drawing>
            <wp:anchor distT="0" distB="0" distL="0" distR="0" simplePos="0" relativeHeight="251673600" behindDoc="0" locked="0" layoutInCell="1" allowOverlap="1" wp14:anchorId="6B1BBC59" wp14:editId="739F9142">
              <wp:simplePos x="635" y="635"/>
              <wp:positionH relativeFrom="page">
                <wp:align>center</wp:align>
              </wp:positionH>
              <wp:positionV relativeFrom="page">
                <wp:align>bottom</wp:align>
              </wp:positionV>
              <wp:extent cx="622300" cy="376555"/>
              <wp:effectExtent l="0" t="0" r="6350" b="0"/>
              <wp:wrapNone/>
              <wp:docPr id="158036485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0B06E9F" w14:textId="7B909C08" w:rsidR="008332AA" w:rsidRPr="008332AA" w:rsidRDefault="008332AA" w:rsidP="008332AA">
                          <w:pPr>
                            <w:spacing w:after="0"/>
                            <w:rPr>
                              <w:rFonts w:ascii="Aptos" w:eastAsia="Aptos" w:hAnsi="Aptos" w:cs="Aptos"/>
                              <w:noProof/>
                              <w:color w:val="FF0000"/>
                            </w:rPr>
                          </w:pPr>
                          <w:r w:rsidRPr="008332A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1BBC59" id="_x0000_t202" coordsize="21600,21600" o:spt="202" path="m,l,21600r21600,l21600,xe">
              <v:stroke joinstyle="miter"/>
              <v:path gradientshapeok="t" o:connecttype="rect"/>
            </v:shapetype>
            <v:shape id="Text Box 10" o:spid="_x0000_s1031" type="#_x0000_t202" alt="OFFICIAL" style="position:absolute;left:0;text-align:left;margin-left:0;margin-top:0;width:49pt;height:29.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30B06E9F" w14:textId="7B909C08" w:rsidR="008332AA" w:rsidRPr="008332AA" w:rsidRDefault="008332AA" w:rsidP="008332AA">
                    <w:pPr>
                      <w:spacing w:after="0"/>
                      <w:rPr>
                        <w:rFonts w:ascii="Aptos" w:eastAsia="Aptos" w:hAnsi="Aptos" w:cs="Aptos"/>
                        <w:noProof/>
                        <w:color w:val="FF0000"/>
                      </w:rPr>
                    </w:pPr>
                    <w:r w:rsidRPr="008332AA">
                      <w:rPr>
                        <w:rFonts w:ascii="Aptos" w:eastAsia="Aptos" w:hAnsi="Aptos" w:cs="Aptos"/>
                        <w:noProof/>
                        <w:color w:val="FF0000"/>
                      </w:rPr>
                      <w:t>OFFICIAL</w:t>
                    </w:r>
                  </w:p>
                </w:txbxContent>
              </v:textbox>
              <w10:wrap anchorx="page" anchory="page"/>
            </v:shape>
          </w:pict>
        </mc:Fallback>
      </mc:AlternateContent>
    </w:r>
    <w:r w:rsidR="007A5733">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12D9A" w14:textId="77777777" w:rsidR="002C3AF5" w:rsidRDefault="002C3AF5" w:rsidP="00A35800">
      <w:r>
        <w:separator/>
      </w:r>
    </w:p>
  </w:footnote>
  <w:footnote w:type="continuationSeparator" w:id="0">
    <w:p w14:paraId="50F1693A" w14:textId="77777777" w:rsidR="002C3AF5" w:rsidRDefault="002C3AF5" w:rsidP="00A35800">
      <w:r>
        <w:continuationSeparator/>
      </w:r>
    </w:p>
  </w:footnote>
  <w:footnote w:id="1">
    <w:p w14:paraId="63A2E1E7" w14:textId="259C0D84" w:rsidR="00353401" w:rsidRDefault="00353401">
      <w:pPr>
        <w:pStyle w:val="FootnoteText"/>
      </w:pPr>
      <w:r>
        <w:rPr>
          <w:rStyle w:val="FootnoteReference"/>
        </w:rPr>
        <w:footnoteRef/>
      </w:r>
      <w:r>
        <w:t xml:space="preserve"> </w:t>
      </w:r>
      <w:r w:rsidRPr="00353401">
        <w:t>Nucala (mepolizumab) [</w:t>
      </w:r>
      <w:r>
        <w:t>Consumer Medicine Information</w:t>
      </w:r>
      <w:r w:rsidRPr="00353401">
        <w:t xml:space="preserve">]. GlaxoSmithKline Australia Pty Ltd; </w:t>
      </w:r>
      <w:r w:rsidR="00247C2B">
        <w:t>Prepared 15 April 2025</w:t>
      </w:r>
      <w:r w:rsidRPr="00353401">
        <w:t>. Available from</w:t>
      </w:r>
      <w:r w:rsidR="00AE45ED">
        <w:t>:</w:t>
      </w:r>
      <w:r w:rsidR="00AE45ED" w:rsidRPr="00AE45ED">
        <w:t xml:space="preserve"> https://www.ebs.tga.gov.au/ebs/picmi/picmirepository.nsf/pdf?OpenAgent&amp;id=CP-2019-CMI-02418-1</w:t>
      </w:r>
    </w:p>
  </w:footnote>
  <w:footnote w:id="2">
    <w:p w14:paraId="1FF1EBFA" w14:textId="78197143" w:rsidR="00152F07" w:rsidRDefault="00152F07">
      <w:pPr>
        <w:pStyle w:val="FootnoteText"/>
      </w:pPr>
      <w:r>
        <w:rPr>
          <w:rStyle w:val="FootnoteReference"/>
        </w:rPr>
        <w:footnoteRef/>
      </w:r>
      <w:r>
        <w:t xml:space="preserve"> </w:t>
      </w:r>
      <w:r w:rsidRPr="00152F07">
        <w:t xml:space="preserve">Sharma R, Lakhani R, Rimmer J, Hopkins C. Surgical interventions for chronic rhinosinusitis with nasal polyps. Cochrane Database Syst Rev. 2014 Nov 20;2014(11):CD006990. </w:t>
      </w:r>
      <w:proofErr w:type="spellStart"/>
      <w:r w:rsidRPr="00152F07">
        <w:t>doi</w:t>
      </w:r>
      <w:proofErr w:type="spellEnd"/>
      <w:r w:rsidRPr="00152F07">
        <w:t>: 10.1002/14651858.CD006990.pub2. PMID: 25410644; PMCID: PMC11166467.</w:t>
      </w:r>
    </w:p>
  </w:footnote>
  <w:footnote w:id="3">
    <w:p w14:paraId="4A7BC3A7" w14:textId="5A62DFDD" w:rsidR="00EE2BBB" w:rsidRDefault="00EE2BBB" w:rsidP="00EE2BBB">
      <w:pPr>
        <w:pStyle w:val="FootnoteText"/>
      </w:pPr>
      <w:r>
        <w:rPr>
          <w:rStyle w:val="FootnoteReference"/>
        </w:rPr>
        <w:footnoteRef/>
      </w:r>
      <w:r>
        <w:t xml:space="preserve"> </w:t>
      </w:r>
      <w:r w:rsidR="00301458" w:rsidRPr="00301458">
        <w:t>Bachert C, Han JK, Desrosiers M, Hellings PW, Amin N, Lee SE, et al. Efficacy and safety of mepolizumab in chronic rhinosinusitis with nasal polyps: a randomized clinical trial. JAMA. 2020;324(4):296–305.</w:t>
      </w:r>
    </w:p>
  </w:footnote>
  <w:footnote w:id="4">
    <w:p w14:paraId="758D49DA" w14:textId="61044444" w:rsidR="00360B9A" w:rsidRPr="008142B4" w:rsidRDefault="00360B9A" w:rsidP="00360B9A">
      <w:pPr>
        <w:pStyle w:val="FootnoteText"/>
        <w:rPr>
          <w:szCs w:val="18"/>
        </w:rPr>
      </w:pPr>
      <w:r w:rsidRPr="008142B4">
        <w:rPr>
          <w:rStyle w:val="FootnoteReference"/>
          <w:szCs w:val="18"/>
        </w:rPr>
        <w:footnoteRef/>
      </w:r>
      <w:r w:rsidRPr="008142B4">
        <w:rPr>
          <w:szCs w:val="18"/>
        </w:rPr>
        <w:t xml:space="preserve"> </w:t>
      </w:r>
      <w:r w:rsidR="00B95D3D" w:rsidRPr="00B95D3D">
        <w:rPr>
          <w:szCs w:val="18"/>
        </w:rPr>
        <w:t>Nucala (mepolizumab)</w:t>
      </w:r>
      <w:r w:rsidR="00B95D3D">
        <w:rPr>
          <w:szCs w:val="18"/>
        </w:rPr>
        <w:t>.</w:t>
      </w:r>
      <w:r w:rsidR="00B95D3D" w:rsidRPr="00B95D3D">
        <w:rPr>
          <w:szCs w:val="18"/>
        </w:rPr>
        <w:t xml:space="preserve"> </w:t>
      </w:r>
      <w:r w:rsidR="00B95D3D">
        <w:rPr>
          <w:szCs w:val="18"/>
        </w:rPr>
        <w:t xml:space="preserve">Australian Approved Product Information. </w:t>
      </w:r>
      <w:r w:rsidR="00B95D3D" w:rsidRPr="00B95D3D">
        <w:rPr>
          <w:szCs w:val="18"/>
        </w:rPr>
        <w:t>GlaxoSmithKline Australia Pty Ltd; Approved 14 Jan 2022. Available from: https://www.tga.gov.au/resources/prescription-medicines-registrations/nucala-glaxosmithkline-australia-pty-ltd-</w:t>
      </w:r>
      <w:r w:rsidR="008244AA">
        <w:rPr>
          <w:szCs w:val="18"/>
        </w:rPr>
        <w:t>1</w:t>
      </w:r>
      <w:r w:rsidR="00CD4486">
        <w:rPr>
          <w:szCs w:val="18"/>
        </w:rPr>
        <w:t xml:space="preserve">. </w:t>
      </w:r>
    </w:p>
  </w:footnote>
  <w:footnote w:id="5">
    <w:p w14:paraId="108F58E5" w14:textId="023765B5" w:rsidR="003607BE" w:rsidRPr="00BC5AE2" w:rsidRDefault="003607BE" w:rsidP="003607BE">
      <w:pPr>
        <w:pStyle w:val="FootnoteText"/>
        <w:rPr>
          <w:sz w:val="20"/>
        </w:rPr>
      </w:pPr>
      <w:r w:rsidRPr="00BC5AE2">
        <w:rPr>
          <w:rStyle w:val="FootnoteReference"/>
          <w:sz w:val="20"/>
        </w:rPr>
        <w:footnoteRef/>
      </w:r>
      <w:r w:rsidRPr="00BC5AE2">
        <w:rPr>
          <w:sz w:val="20"/>
        </w:rPr>
        <w:t xml:space="preserve"> PBS statistics</w:t>
      </w:r>
      <w:r>
        <w:rPr>
          <w:sz w:val="20"/>
        </w:rPr>
        <w:t xml:space="preserve">. Australian Government </w:t>
      </w:r>
      <w:r w:rsidRPr="006804E0">
        <w:rPr>
          <w:sz w:val="20"/>
        </w:rPr>
        <w:t>Services Australia</w:t>
      </w:r>
      <w:r>
        <w:rPr>
          <w:sz w:val="20"/>
        </w:rPr>
        <w:t xml:space="preserve">. Canberra. Available from </w:t>
      </w:r>
      <w:hyperlink r:id="rId1" w:history="1">
        <w:r w:rsidR="00B61B32" w:rsidRPr="00B61B32">
          <w:rPr>
            <w:rStyle w:val="Hyperlink"/>
            <w:sz w:val="20"/>
          </w:rPr>
          <w:t>http://www.medicareaustralia.gov.au/provider/pbs/stats.jsp</w:t>
        </w:r>
      </w:hyperlink>
      <w:r>
        <w:rPr>
          <w:sz w:val="20"/>
        </w:rPr>
        <w:t>.</w:t>
      </w:r>
    </w:p>
  </w:footnote>
  <w:footnote w:id="6">
    <w:p w14:paraId="79537DB6" w14:textId="01E077AA" w:rsidR="00B61B32" w:rsidRDefault="00B61B32">
      <w:pPr>
        <w:pStyle w:val="FootnoteText"/>
      </w:pPr>
      <w:r>
        <w:rPr>
          <w:rStyle w:val="FootnoteReference"/>
        </w:rPr>
        <w:footnoteRef/>
      </w:r>
      <w:r>
        <w:t xml:space="preserve"> MBS statistics. </w:t>
      </w:r>
      <w:r>
        <w:rPr>
          <w:sz w:val="20"/>
        </w:rPr>
        <w:t xml:space="preserve">Australian Government </w:t>
      </w:r>
      <w:r w:rsidRPr="006804E0">
        <w:rPr>
          <w:sz w:val="20"/>
        </w:rPr>
        <w:t>Services Australia</w:t>
      </w:r>
      <w:r>
        <w:rPr>
          <w:sz w:val="20"/>
        </w:rPr>
        <w:t xml:space="preserve">. Canberra. Available from </w:t>
      </w:r>
      <w:hyperlink r:id="rId2" w:history="1">
        <w:r w:rsidRPr="006A2A8D">
          <w:rPr>
            <w:rStyle w:val="Hyperlink"/>
          </w:rPr>
          <w:t>https://medicarestatistics.humanservices.gov.au/statistics/mbs_item.html</w:t>
        </w:r>
      </w:hyperlink>
      <w:r>
        <w:t>.</w:t>
      </w:r>
    </w:p>
  </w:footnote>
  <w:footnote w:id="7">
    <w:p w14:paraId="0B6E7B15" w14:textId="44AE11FF" w:rsidR="00D02FF5" w:rsidRDefault="00D02FF5">
      <w:pPr>
        <w:pStyle w:val="FootnoteText"/>
      </w:pPr>
      <w:r>
        <w:rPr>
          <w:rStyle w:val="FootnoteReference"/>
        </w:rPr>
        <w:footnoteRef/>
      </w:r>
      <w:r>
        <w:t xml:space="preserve"> </w:t>
      </w:r>
      <w:r w:rsidRPr="000472BE">
        <w:t>Australian Bureau of Statistics. National, state and territory population [Internet]. Canberra: ABS; 2025 June [cited 2025 December 18]. Available from: https://www.abs.gov.au/statistics/people/population/national-state-and-territory-population/latest-release.</w:t>
      </w:r>
    </w:p>
  </w:footnote>
  <w:footnote w:id="8">
    <w:p w14:paraId="25F648A2" w14:textId="77777777" w:rsidR="00CE7853" w:rsidRDefault="00CE7853" w:rsidP="00CE7853">
      <w:pPr>
        <w:pStyle w:val="FootnoteText"/>
      </w:pPr>
      <w:r>
        <w:rPr>
          <w:rStyle w:val="FootnoteReference"/>
        </w:rPr>
        <w:footnoteRef/>
      </w:r>
      <w:r w:rsidRPr="002236C3">
        <w:rPr>
          <w:lang w:val="fr-CH"/>
        </w:rPr>
        <w:t xml:space="preserve"> Silver, J., Packnett, E., Park, J. </w:t>
      </w:r>
      <w:r w:rsidRPr="002236C3">
        <w:rPr>
          <w:i/>
          <w:iCs/>
          <w:lang w:val="fr-CH"/>
        </w:rPr>
        <w:t>et al.</w:t>
      </w:r>
      <w:r w:rsidRPr="002236C3">
        <w:rPr>
          <w:lang w:val="fr-CH"/>
        </w:rPr>
        <w:t> </w:t>
      </w:r>
      <w:r w:rsidRPr="00F62F51">
        <w:t>Biologic use and treatment patterns in patients with chronic rhinosinusitis with nasal polyps: a US real-world study. </w:t>
      </w:r>
      <w:r w:rsidRPr="00F62F51">
        <w:rPr>
          <w:i/>
          <w:iCs/>
        </w:rPr>
        <w:t>Allergy Asthma Clin Immunol</w:t>
      </w:r>
      <w:r w:rsidRPr="00F62F51">
        <w:t> </w:t>
      </w:r>
      <w:r w:rsidRPr="00F62F51">
        <w:rPr>
          <w:b/>
          <w:bCs/>
        </w:rPr>
        <w:t>19</w:t>
      </w:r>
      <w:r w:rsidRPr="00F62F51">
        <w:t>, 104 (2023). https://doi.org/10.1186/s13223-023-00855-7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78701" w14:textId="0C747881" w:rsidR="00B1396E" w:rsidRDefault="008332AA">
    <w:pPr>
      <w:pStyle w:val="Header"/>
    </w:pPr>
    <w:r>
      <w:rPr>
        <w:noProof/>
      </w:rPr>
      <mc:AlternateContent>
        <mc:Choice Requires="wps">
          <w:drawing>
            <wp:anchor distT="0" distB="0" distL="0" distR="0" simplePos="0" relativeHeight="251671552" behindDoc="0" locked="0" layoutInCell="1" allowOverlap="1" wp14:anchorId="6B3F95B2" wp14:editId="1E6C21F7">
              <wp:simplePos x="635" y="635"/>
              <wp:positionH relativeFrom="page">
                <wp:align>center</wp:align>
              </wp:positionH>
              <wp:positionV relativeFrom="page">
                <wp:align>top</wp:align>
              </wp:positionV>
              <wp:extent cx="622300" cy="376555"/>
              <wp:effectExtent l="0" t="0" r="6350" b="4445"/>
              <wp:wrapNone/>
              <wp:docPr id="111222661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D03EFB6" w14:textId="0B0FD883" w:rsidR="008332AA" w:rsidRPr="008332AA" w:rsidRDefault="008332AA" w:rsidP="008332AA">
                          <w:pPr>
                            <w:spacing w:after="0"/>
                            <w:rPr>
                              <w:rFonts w:ascii="Aptos" w:eastAsia="Aptos" w:hAnsi="Aptos" w:cs="Aptos"/>
                              <w:noProof/>
                              <w:color w:val="FF0000"/>
                            </w:rPr>
                          </w:pPr>
                          <w:r w:rsidRPr="008332A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3F95B2" id="_x0000_t202" coordsize="21600,21600" o:spt="202" path="m,l,21600r21600,l21600,xe">
              <v:stroke joinstyle="miter"/>
              <v:path gradientshapeok="t" o:connecttype="rect"/>
            </v:shapetype>
            <v:shape id="Text Box 8" o:spid="_x0000_s1026" type="#_x0000_t202" alt="OFFICIAL" style="position:absolute;margin-left:0;margin-top:0;width:49pt;height:29.6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D03EFB6" w14:textId="0B0FD883" w:rsidR="008332AA" w:rsidRPr="008332AA" w:rsidRDefault="008332AA" w:rsidP="008332AA">
                    <w:pPr>
                      <w:spacing w:after="0"/>
                      <w:rPr>
                        <w:rFonts w:ascii="Aptos" w:eastAsia="Aptos" w:hAnsi="Aptos" w:cs="Aptos"/>
                        <w:noProof/>
                        <w:color w:val="FF0000"/>
                      </w:rPr>
                    </w:pPr>
                    <w:r w:rsidRPr="008332AA">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7B84" w14:textId="368524EA" w:rsidR="00FB77FA" w:rsidRDefault="008332AA" w:rsidP="00FB77FA">
    <w:pPr>
      <w:pStyle w:val="Header"/>
    </w:pPr>
    <w:r>
      <w:rPr>
        <w:noProof/>
      </w:rPr>
      <mc:AlternateContent>
        <mc:Choice Requires="wps">
          <w:drawing>
            <wp:anchor distT="0" distB="0" distL="0" distR="0" simplePos="0" relativeHeight="251672576" behindDoc="0" locked="0" layoutInCell="1" allowOverlap="1" wp14:anchorId="2CE5F4BC" wp14:editId="1979828C">
              <wp:simplePos x="1009650" y="447675"/>
              <wp:positionH relativeFrom="page">
                <wp:align>center</wp:align>
              </wp:positionH>
              <wp:positionV relativeFrom="page">
                <wp:align>top</wp:align>
              </wp:positionV>
              <wp:extent cx="622300" cy="376555"/>
              <wp:effectExtent l="0" t="0" r="6350" b="4445"/>
              <wp:wrapNone/>
              <wp:docPr id="145165542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D550304" w14:textId="61617277" w:rsidR="008332AA" w:rsidRPr="008332AA" w:rsidRDefault="008332AA" w:rsidP="008332AA">
                          <w:pPr>
                            <w:spacing w:after="0"/>
                            <w:rPr>
                              <w:rFonts w:ascii="Aptos" w:eastAsia="Aptos" w:hAnsi="Aptos" w:cs="Aptos"/>
                              <w:noProof/>
                              <w:color w:val="FF0000"/>
                            </w:rPr>
                          </w:pPr>
                          <w:r w:rsidRPr="008332A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E5F4BC" id="_x0000_t202" coordsize="21600,21600" o:spt="202" path="m,l,21600r21600,l21600,xe">
              <v:stroke joinstyle="miter"/>
              <v:path gradientshapeok="t" o:connecttype="rect"/>
            </v:shapetype>
            <v:shape id="Text Box 9" o:spid="_x0000_s1027" type="#_x0000_t202" alt="OFFICIAL" style="position:absolute;margin-left:0;margin-top:0;width:49pt;height:29.6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D550304" w14:textId="61617277" w:rsidR="008332AA" w:rsidRPr="008332AA" w:rsidRDefault="008332AA" w:rsidP="008332AA">
                    <w:pPr>
                      <w:spacing w:after="0"/>
                      <w:rPr>
                        <w:rFonts w:ascii="Aptos" w:eastAsia="Aptos" w:hAnsi="Aptos" w:cs="Aptos"/>
                        <w:noProof/>
                        <w:color w:val="FF0000"/>
                      </w:rPr>
                    </w:pPr>
                    <w:r w:rsidRPr="008332AA">
                      <w:rPr>
                        <w:rFonts w:ascii="Aptos" w:eastAsia="Aptos" w:hAnsi="Aptos" w:cs="Aptos"/>
                        <w:noProof/>
                        <w:color w:val="FF0000"/>
                      </w:rPr>
                      <w:t>OFFICIAL</w:t>
                    </w:r>
                  </w:p>
                </w:txbxContent>
              </v:textbox>
              <w10:wrap anchorx="page" anchory="page"/>
            </v:shape>
          </w:pict>
        </mc:Fallback>
      </mc:AlternateContent>
    </w:r>
  </w:p>
  <w:p w14:paraId="3A96F15D" w14:textId="77777777" w:rsidR="00FB77FA" w:rsidRDefault="00FB7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DB8D" w14:textId="77D9EB10" w:rsidR="00B1396E" w:rsidRDefault="008332AA">
    <w:pPr>
      <w:pStyle w:val="Header"/>
    </w:pPr>
    <w:r>
      <w:rPr>
        <w:noProof/>
      </w:rPr>
      <mc:AlternateContent>
        <mc:Choice Requires="wps">
          <w:drawing>
            <wp:anchor distT="0" distB="0" distL="0" distR="0" simplePos="0" relativeHeight="251670528" behindDoc="0" locked="0" layoutInCell="1" allowOverlap="1" wp14:anchorId="7E1BAED5" wp14:editId="4A1C0DA1">
              <wp:simplePos x="635" y="635"/>
              <wp:positionH relativeFrom="page">
                <wp:align>center</wp:align>
              </wp:positionH>
              <wp:positionV relativeFrom="page">
                <wp:align>top</wp:align>
              </wp:positionV>
              <wp:extent cx="622300" cy="376555"/>
              <wp:effectExtent l="0" t="0" r="6350" b="4445"/>
              <wp:wrapNone/>
              <wp:docPr id="27587761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AAA152" w14:textId="2EFBC26C" w:rsidR="008332AA" w:rsidRPr="008332AA" w:rsidRDefault="008332AA" w:rsidP="008332AA">
                          <w:pPr>
                            <w:spacing w:after="0"/>
                            <w:rPr>
                              <w:rFonts w:ascii="Aptos" w:eastAsia="Aptos" w:hAnsi="Aptos" w:cs="Aptos"/>
                              <w:noProof/>
                              <w:color w:val="FF0000"/>
                            </w:rPr>
                          </w:pPr>
                          <w:r w:rsidRPr="008332A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1BAED5" id="_x0000_t202" coordsize="21600,21600" o:spt="202" path="m,l,21600r21600,l21600,xe">
              <v:stroke joinstyle="miter"/>
              <v:path gradientshapeok="t" o:connecttype="rect"/>
            </v:shapetype>
            <v:shape id="Text Box 7" o:spid="_x0000_s1030" type="#_x0000_t202" alt="OFFICIAL" style="position:absolute;margin-left:0;margin-top:0;width:49pt;height:29.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6AAAA152" w14:textId="2EFBC26C" w:rsidR="008332AA" w:rsidRPr="008332AA" w:rsidRDefault="008332AA" w:rsidP="008332AA">
                    <w:pPr>
                      <w:spacing w:after="0"/>
                      <w:rPr>
                        <w:rFonts w:ascii="Aptos" w:eastAsia="Aptos" w:hAnsi="Aptos" w:cs="Aptos"/>
                        <w:noProof/>
                        <w:color w:val="FF0000"/>
                      </w:rPr>
                    </w:pPr>
                    <w:r w:rsidRPr="008332AA">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30C1"/>
    <w:multiLevelType w:val="multilevel"/>
    <w:tmpl w:val="1BB8D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57D93"/>
    <w:multiLevelType w:val="multilevel"/>
    <w:tmpl w:val="8C82C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06D4F"/>
    <w:multiLevelType w:val="multilevel"/>
    <w:tmpl w:val="8D5A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602CC3"/>
    <w:multiLevelType w:val="multilevel"/>
    <w:tmpl w:val="E400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6663BC"/>
    <w:multiLevelType w:val="multilevel"/>
    <w:tmpl w:val="C4C8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B2470B"/>
    <w:multiLevelType w:val="multilevel"/>
    <w:tmpl w:val="78A2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090CDB"/>
    <w:multiLevelType w:val="multilevel"/>
    <w:tmpl w:val="E478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2F2A60"/>
    <w:multiLevelType w:val="multilevel"/>
    <w:tmpl w:val="A7F8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84728"/>
    <w:multiLevelType w:val="multilevel"/>
    <w:tmpl w:val="3A0C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0490957">
    <w:abstractNumId w:val="11"/>
  </w:num>
  <w:num w:numId="2" w16cid:durableId="611280181">
    <w:abstractNumId w:val="10"/>
  </w:num>
  <w:num w:numId="3" w16cid:durableId="1803109844">
    <w:abstractNumId w:val="5"/>
  </w:num>
  <w:num w:numId="4" w16cid:durableId="98719609">
    <w:abstractNumId w:val="4"/>
  </w:num>
  <w:num w:numId="5" w16cid:durableId="883757793">
    <w:abstractNumId w:val="2"/>
  </w:num>
  <w:num w:numId="6" w16cid:durableId="1183857195">
    <w:abstractNumId w:val="1"/>
  </w:num>
  <w:num w:numId="7" w16cid:durableId="1257863668">
    <w:abstractNumId w:val="7"/>
  </w:num>
  <w:num w:numId="8" w16cid:durableId="478421652">
    <w:abstractNumId w:val="9"/>
  </w:num>
  <w:num w:numId="9" w16cid:durableId="1746226628">
    <w:abstractNumId w:val="8"/>
  </w:num>
  <w:num w:numId="10" w16cid:durableId="267279580">
    <w:abstractNumId w:val="3"/>
  </w:num>
  <w:num w:numId="11" w16cid:durableId="670714414">
    <w:abstractNumId w:val="6"/>
  </w:num>
  <w:num w:numId="12" w16cid:durableId="687676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7E85"/>
    <w:rsid w:val="0001195E"/>
    <w:rsid w:val="00013465"/>
    <w:rsid w:val="000226B3"/>
    <w:rsid w:val="00024549"/>
    <w:rsid w:val="0003640B"/>
    <w:rsid w:val="00041158"/>
    <w:rsid w:val="0004691D"/>
    <w:rsid w:val="000472BE"/>
    <w:rsid w:val="000544B6"/>
    <w:rsid w:val="000604AF"/>
    <w:rsid w:val="000650A8"/>
    <w:rsid w:val="00071FC7"/>
    <w:rsid w:val="00083C6A"/>
    <w:rsid w:val="00086C11"/>
    <w:rsid w:val="00091355"/>
    <w:rsid w:val="00094DCF"/>
    <w:rsid w:val="000A3A18"/>
    <w:rsid w:val="000A6CFD"/>
    <w:rsid w:val="000B0982"/>
    <w:rsid w:val="000B343F"/>
    <w:rsid w:val="000B441B"/>
    <w:rsid w:val="000B796C"/>
    <w:rsid w:val="000C071B"/>
    <w:rsid w:val="000C46BB"/>
    <w:rsid w:val="000C4A1F"/>
    <w:rsid w:val="000C4D9D"/>
    <w:rsid w:val="000C752A"/>
    <w:rsid w:val="000C7C4B"/>
    <w:rsid w:val="000C7D8B"/>
    <w:rsid w:val="000C7F82"/>
    <w:rsid w:val="000D404D"/>
    <w:rsid w:val="000D4976"/>
    <w:rsid w:val="000D4E46"/>
    <w:rsid w:val="000E485D"/>
    <w:rsid w:val="000E72C6"/>
    <w:rsid w:val="000F1893"/>
    <w:rsid w:val="000F2F51"/>
    <w:rsid w:val="000F3478"/>
    <w:rsid w:val="001021B1"/>
    <w:rsid w:val="00110B44"/>
    <w:rsid w:val="00113051"/>
    <w:rsid w:val="00113CF8"/>
    <w:rsid w:val="00113D74"/>
    <w:rsid w:val="00114082"/>
    <w:rsid w:val="00117035"/>
    <w:rsid w:val="00117C5C"/>
    <w:rsid w:val="0012031F"/>
    <w:rsid w:val="001310AE"/>
    <w:rsid w:val="00136EDC"/>
    <w:rsid w:val="0013761D"/>
    <w:rsid w:val="001420B3"/>
    <w:rsid w:val="001460C4"/>
    <w:rsid w:val="00151803"/>
    <w:rsid w:val="00152F07"/>
    <w:rsid w:val="0015498F"/>
    <w:rsid w:val="001554AB"/>
    <w:rsid w:val="0015691C"/>
    <w:rsid w:val="001621F7"/>
    <w:rsid w:val="001624D7"/>
    <w:rsid w:val="0017782F"/>
    <w:rsid w:val="00177B86"/>
    <w:rsid w:val="00182565"/>
    <w:rsid w:val="00182585"/>
    <w:rsid w:val="00185C19"/>
    <w:rsid w:val="0019091E"/>
    <w:rsid w:val="00191182"/>
    <w:rsid w:val="0019664D"/>
    <w:rsid w:val="00196A25"/>
    <w:rsid w:val="001A6103"/>
    <w:rsid w:val="001B1676"/>
    <w:rsid w:val="001B5D37"/>
    <w:rsid w:val="001C2940"/>
    <w:rsid w:val="001C4016"/>
    <w:rsid w:val="001C548D"/>
    <w:rsid w:val="001C6A5D"/>
    <w:rsid w:val="001C724D"/>
    <w:rsid w:val="001E2F88"/>
    <w:rsid w:val="001E31A6"/>
    <w:rsid w:val="001E42C7"/>
    <w:rsid w:val="001E4CAB"/>
    <w:rsid w:val="001E4E09"/>
    <w:rsid w:val="001F0A4E"/>
    <w:rsid w:val="001F277C"/>
    <w:rsid w:val="001F2F3E"/>
    <w:rsid w:val="001F4906"/>
    <w:rsid w:val="001F7111"/>
    <w:rsid w:val="001F7C4A"/>
    <w:rsid w:val="00204B8C"/>
    <w:rsid w:val="0020578A"/>
    <w:rsid w:val="00207631"/>
    <w:rsid w:val="00214013"/>
    <w:rsid w:val="00220FC1"/>
    <w:rsid w:val="00221B0E"/>
    <w:rsid w:val="00222E9A"/>
    <w:rsid w:val="002270D3"/>
    <w:rsid w:val="00231581"/>
    <w:rsid w:val="0023179D"/>
    <w:rsid w:val="00234617"/>
    <w:rsid w:val="002364F8"/>
    <w:rsid w:val="00244098"/>
    <w:rsid w:val="00246D24"/>
    <w:rsid w:val="00247C2B"/>
    <w:rsid w:val="0025389D"/>
    <w:rsid w:val="00254E02"/>
    <w:rsid w:val="002616BC"/>
    <w:rsid w:val="0026265F"/>
    <w:rsid w:val="00286C3A"/>
    <w:rsid w:val="00286D75"/>
    <w:rsid w:val="00287C15"/>
    <w:rsid w:val="002930F5"/>
    <w:rsid w:val="002945F1"/>
    <w:rsid w:val="002A06B7"/>
    <w:rsid w:val="002A3449"/>
    <w:rsid w:val="002A4441"/>
    <w:rsid w:val="002B1CAB"/>
    <w:rsid w:val="002B7DE6"/>
    <w:rsid w:val="002C20ED"/>
    <w:rsid w:val="002C3AF5"/>
    <w:rsid w:val="002C5C3E"/>
    <w:rsid w:val="002C6E0C"/>
    <w:rsid w:val="002D144A"/>
    <w:rsid w:val="002D4A54"/>
    <w:rsid w:val="002E19A3"/>
    <w:rsid w:val="002E212B"/>
    <w:rsid w:val="002E3337"/>
    <w:rsid w:val="002E6D03"/>
    <w:rsid w:val="002F230E"/>
    <w:rsid w:val="002F3B42"/>
    <w:rsid w:val="002F49A8"/>
    <w:rsid w:val="002F5E66"/>
    <w:rsid w:val="002F61CA"/>
    <w:rsid w:val="002F6FF2"/>
    <w:rsid w:val="0030010D"/>
    <w:rsid w:val="003009F2"/>
    <w:rsid w:val="00301458"/>
    <w:rsid w:val="0030260D"/>
    <w:rsid w:val="00306782"/>
    <w:rsid w:val="00317988"/>
    <w:rsid w:val="0032314B"/>
    <w:rsid w:val="00324CBD"/>
    <w:rsid w:val="0033504C"/>
    <w:rsid w:val="00336816"/>
    <w:rsid w:val="003370D0"/>
    <w:rsid w:val="00337355"/>
    <w:rsid w:val="003402E4"/>
    <w:rsid w:val="00340F95"/>
    <w:rsid w:val="00342DF1"/>
    <w:rsid w:val="003531ED"/>
    <w:rsid w:val="00353401"/>
    <w:rsid w:val="00355F67"/>
    <w:rsid w:val="003607BE"/>
    <w:rsid w:val="00360B9A"/>
    <w:rsid w:val="0037541D"/>
    <w:rsid w:val="003760D9"/>
    <w:rsid w:val="00376A7C"/>
    <w:rsid w:val="0038049B"/>
    <w:rsid w:val="0039017F"/>
    <w:rsid w:val="00394AEE"/>
    <w:rsid w:val="003B597F"/>
    <w:rsid w:val="003B7FD1"/>
    <w:rsid w:val="003C1AA3"/>
    <w:rsid w:val="003C2D98"/>
    <w:rsid w:val="003D3A96"/>
    <w:rsid w:val="003D3B9C"/>
    <w:rsid w:val="003E193D"/>
    <w:rsid w:val="003F2D32"/>
    <w:rsid w:val="003F2ECE"/>
    <w:rsid w:val="0040087E"/>
    <w:rsid w:val="00404F03"/>
    <w:rsid w:val="00410EF8"/>
    <w:rsid w:val="00412051"/>
    <w:rsid w:val="0042044B"/>
    <w:rsid w:val="00421FA4"/>
    <w:rsid w:val="004222A3"/>
    <w:rsid w:val="00423B94"/>
    <w:rsid w:val="00441FD0"/>
    <w:rsid w:val="0044634A"/>
    <w:rsid w:val="00460C46"/>
    <w:rsid w:val="00460DB9"/>
    <w:rsid w:val="00462316"/>
    <w:rsid w:val="00463731"/>
    <w:rsid w:val="0046400A"/>
    <w:rsid w:val="00467B25"/>
    <w:rsid w:val="004716B5"/>
    <w:rsid w:val="0047565F"/>
    <w:rsid w:val="00481108"/>
    <w:rsid w:val="00485046"/>
    <w:rsid w:val="0049042B"/>
    <w:rsid w:val="004925CE"/>
    <w:rsid w:val="00495473"/>
    <w:rsid w:val="004A13D5"/>
    <w:rsid w:val="004A458E"/>
    <w:rsid w:val="004A52F2"/>
    <w:rsid w:val="004B1F13"/>
    <w:rsid w:val="004B23E7"/>
    <w:rsid w:val="004B306F"/>
    <w:rsid w:val="004C3186"/>
    <w:rsid w:val="004C5042"/>
    <w:rsid w:val="004D3072"/>
    <w:rsid w:val="004D3B8C"/>
    <w:rsid w:val="004D7187"/>
    <w:rsid w:val="004E4422"/>
    <w:rsid w:val="004F00B2"/>
    <w:rsid w:val="004F3104"/>
    <w:rsid w:val="004F5E20"/>
    <w:rsid w:val="005009DE"/>
    <w:rsid w:val="00503998"/>
    <w:rsid w:val="00503D16"/>
    <w:rsid w:val="0050623B"/>
    <w:rsid w:val="005116C8"/>
    <w:rsid w:val="0051655F"/>
    <w:rsid w:val="00523181"/>
    <w:rsid w:val="00524D13"/>
    <w:rsid w:val="005339F6"/>
    <w:rsid w:val="00535572"/>
    <w:rsid w:val="00560CCF"/>
    <w:rsid w:val="00567BB7"/>
    <w:rsid w:val="00573C36"/>
    <w:rsid w:val="00576B18"/>
    <w:rsid w:val="0058580B"/>
    <w:rsid w:val="005872C3"/>
    <w:rsid w:val="00587724"/>
    <w:rsid w:val="005905B0"/>
    <w:rsid w:val="00591512"/>
    <w:rsid w:val="005974FF"/>
    <w:rsid w:val="005A0821"/>
    <w:rsid w:val="005B1AF8"/>
    <w:rsid w:val="005B2D91"/>
    <w:rsid w:val="005B48B4"/>
    <w:rsid w:val="005C3932"/>
    <w:rsid w:val="005C6661"/>
    <w:rsid w:val="005C6E3B"/>
    <w:rsid w:val="005D2E50"/>
    <w:rsid w:val="005D32E2"/>
    <w:rsid w:val="005D474B"/>
    <w:rsid w:val="005E085C"/>
    <w:rsid w:val="005E147D"/>
    <w:rsid w:val="005E22C2"/>
    <w:rsid w:val="005E57BB"/>
    <w:rsid w:val="005F0017"/>
    <w:rsid w:val="005F6B4D"/>
    <w:rsid w:val="006014F1"/>
    <w:rsid w:val="00602A2B"/>
    <w:rsid w:val="00603698"/>
    <w:rsid w:val="006060D9"/>
    <w:rsid w:val="0061357B"/>
    <w:rsid w:val="00613672"/>
    <w:rsid w:val="00614A7D"/>
    <w:rsid w:val="006269B2"/>
    <w:rsid w:val="0063631C"/>
    <w:rsid w:val="00636C69"/>
    <w:rsid w:val="0063757B"/>
    <w:rsid w:val="006377CE"/>
    <w:rsid w:val="00647380"/>
    <w:rsid w:val="006537D9"/>
    <w:rsid w:val="0065533A"/>
    <w:rsid w:val="00664A48"/>
    <w:rsid w:val="00665DEF"/>
    <w:rsid w:val="00667A58"/>
    <w:rsid w:val="006714CF"/>
    <w:rsid w:val="00673998"/>
    <w:rsid w:val="00675BB1"/>
    <w:rsid w:val="006775F1"/>
    <w:rsid w:val="006804E0"/>
    <w:rsid w:val="00681D59"/>
    <w:rsid w:val="00683FC3"/>
    <w:rsid w:val="006874A9"/>
    <w:rsid w:val="00692AA7"/>
    <w:rsid w:val="0069759A"/>
    <w:rsid w:val="00697891"/>
    <w:rsid w:val="00697FEC"/>
    <w:rsid w:val="006A175F"/>
    <w:rsid w:val="006A2558"/>
    <w:rsid w:val="006A44F5"/>
    <w:rsid w:val="006A63F2"/>
    <w:rsid w:val="006B4537"/>
    <w:rsid w:val="006B554F"/>
    <w:rsid w:val="006B5F85"/>
    <w:rsid w:val="006B669D"/>
    <w:rsid w:val="006B6929"/>
    <w:rsid w:val="006B709B"/>
    <w:rsid w:val="006C11F0"/>
    <w:rsid w:val="006C54AF"/>
    <w:rsid w:val="006D448D"/>
    <w:rsid w:val="006E0181"/>
    <w:rsid w:val="006E7B39"/>
    <w:rsid w:val="006F541C"/>
    <w:rsid w:val="00700C0E"/>
    <w:rsid w:val="0070594C"/>
    <w:rsid w:val="00705DAD"/>
    <w:rsid w:val="007161FC"/>
    <w:rsid w:val="007209B2"/>
    <w:rsid w:val="00721DF5"/>
    <w:rsid w:val="007247B9"/>
    <w:rsid w:val="00727BCE"/>
    <w:rsid w:val="00727D85"/>
    <w:rsid w:val="007346C7"/>
    <w:rsid w:val="00736041"/>
    <w:rsid w:val="007408C7"/>
    <w:rsid w:val="007465DA"/>
    <w:rsid w:val="00752C7F"/>
    <w:rsid w:val="00776598"/>
    <w:rsid w:val="007805C1"/>
    <w:rsid w:val="00792948"/>
    <w:rsid w:val="00793A68"/>
    <w:rsid w:val="00796E84"/>
    <w:rsid w:val="007A3ADE"/>
    <w:rsid w:val="007A5733"/>
    <w:rsid w:val="007A5774"/>
    <w:rsid w:val="007B18A6"/>
    <w:rsid w:val="007B47A8"/>
    <w:rsid w:val="007C1667"/>
    <w:rsid w:val="007D5377"/>
    <w:rsid w:val="007D541E"/>
    <w:rsid w:val="007E3C9B"/>
    <w:rsid w:val="007E43CC"/>
    <w:rsid w:val="007E5C4B"/>
    <w:rsid w:val="007E688F"/>
    <w:rsid w:val="007E7653"/>
    <w:rsid w:val="00800BC0"/>
    <w:rsid w:val="00801E74"/>
    <w:rsid w:val="0080485E"/>
    <w:rsid w:val="008111EC"/>
    <w:rsid w:val="0081314E"/>
    <w:rsid w:val="008140A4"/>
    <w:rsid w:val="008142B4"/>
    <w:rsid w:val="008179E7"/>
    <w:rsid w:val="008244AA"/>
    <w:rsid w:val="00825FBB"/>
    <w:rsid w:val="0082758E"/>
    <w:rsid w:val="0083110E"/>
    <w:rsid w:val="00832324"/>
    <w:rsid w:val="008332AA"/>
    <w:rsid w:val="00835337"/>
    <w:rsid w:val="00844A34"/>
    <w:rsid w:val="00844BF6"/>
    <w:rsid w:val="00846DCD"/>
    <w:rsid w:val="00851D85"/>
    <w:rsid w:val="00860CCB"/>
    <w:rsid w:val="008740A3"/>
    <w:rsid w:val="0088178B"/>
    <w:rsid w:val="00884C9B"/>
    <w:rsid w:val="0089297B"/>
    <w:rsid w:val="008947AB"/>
    <w:rsid w:val="008A6DCA"/>
    <w:rsid w:val="008B388E"/>
    <w:rsid w:val="008B38C3"/>
    <w:rsid w:val="008C36CA"/>
    <w:rsid w:val="008C3DC9"/>
    <w:rsid w:val="008C7331"/>
    <w:rsid w:val="008E077D"/>
    <w:rsid w:val="008E3F8C"/>
    <w:rsid w:val="008E4504"/>
    <w:rsid w:val="008E51A2"/>
    <w:rsid w:val="008E5DC5"/>
    <w:rsid w:val="008F3DD7"/>
    <w:rsid w:val="00902FD0"/>
    <w:rsid w:val="009053D3"/>
    <w:rsid w:val="0090691F"/>
    <w:rsid w:val="00914A18"/>
    <w:rsid w:val="0093111F"/>
    <w:rsid w:val="00935689"/>
    <w:rsid w:val="00936330"/>
    <w:rsid w:val="00937D68"/>
    <w:rsid w:val="00940039"/>
    <w:rsid w:val="009403AE"/>
    <w:rsid w:val="0095303B"/>
    <w:rsid w:val="009663B6"/>
    <w:rsid w:val="009673DB"/>
    <w:rsid w:val="00974A47"/>
    <w:rsid w:val="00980286"/>
    <w:rsid w:val="009869C0"/>
    <w:rsid w:val="00990DCF"/>
    <w:rsid w:val="00995135"/>
    <w:rsid w:val="009A4CD6"/>
    <w:rsid w:val="009A537C"/>
    <w:rsid w:val="009C0886"/>
    <w:rsid w:val="009C19EE"/>
    <w:rsid w:val="009C28D0"/>
    <w:rsid w:val="009C2DB5"/>
    <w:rsid w:val="009C35F2"/>
    <w:rsid w:val="009C5562"/>
    <w:rsid w:val="009C7782"/>
    <w:rsid w:val="009D1ED5"/>
    <w:rsid w:val="009D4C13"/>
    <w:rsid w:val="009E009C"/>
    <w:rsid w:val="009E21A7"/>
    <w:rsid w:val="009E40AF"/>
    <w:rsid w:val="009E41DC"/>
    <w:rsid w:val="009F33D5"/>
    <w:rsid w:val="00A020E2"/>
    <w:rsid w:val="00A103ED"/>
    <w:rsid w:val="00A13C60"/>
    <w:rsid w:val="00A15134"/>
    <w:rsid w:val="00A32407"/>
    <w:rsid w:val="00A341A3"/>
    <w:rsid w:val="00A35800"/>
    <w:rsid w:val="00A4225C"/>
    <w:rsid w:val="00A45326"/>
    <w:rsid w:val="00A52918"/>
    <w:rsid w:val="00A547B3"/>
    <w:rsid w:val="00A67E9C"/>
    <w:rsid w:val="00A70E82"/>
    <w:rsid w:val="00A74711"/>
    <w:rsid w:val="00A84CAD"/>
    <w:rsid w:val="00A86A21"/>
    <w:rsid w:val="00A90E50"/>
    <w:rsid w:val="00A95FA5"/>
    <w:rsid w:val="00A966A7"/>
    <w:rsid w:val="00A96D92"/>
    <w:rsid w:val="00AA2C03"/>
    <w:rsid w:val="00AB199C"/>
    <w:rsid w:val="00AB3733"/>
    <w:rsid w:val="00AB588C"/>
    <w:rsid w:val="00AB7897"/>
    <w:rsid w:val="00AC11CC"/>
    <w:rsid w:val="00AC31CE"/>
    <w:rsid w:val="00AC3BDB"/>
    <w:rsid w:val="00AC5054"/>
    <w:rsid w:val="00AC7A6F"/>
    <w:rsid w:val="00AD058A"/>
    <w:rsid w:val="00AD78F1"/>
    <w:rsid w:val="00AE45ED"/>
    <w:rsid w:val="00AE4BAC"/>
    <w:rsid w:val="00AE66D5"/>
    <w:rsid w:val="00AF2711"/>
    <w:rsid w:val="00AF2E6C"/>
    <w:rsid w:val="00B034FC"/>
    <w:rsid w:val="00B05310"/>
    <w:rsid w:val="00B0611E"/>
    <w:rsid w:val="00B10A0B"/>
    <w:rsid w:val="00B12F36"/>
    <w:rsid w:val="00B1396E"/>
    <w:rsid w:val="00B173F2"/>
    <w:rsid w:val="00B27A55"/>
    <w:rsid w:val="00B30D85"/>
    <w:rsid w:val="00B35A4A"/>
    <w:rsid w:val="00B375B5"/>
    <w:rsid w:val="00B4086E"/>
    <w:rsid w:val="00B453CF"/>
    <w:rsid w:val="00B4620F"/>
    <w:rsid w:val="00B61B32"/>
    <w:rsid w:val="00B63FD7"/>
    <w:rsid w:val="00B67550"/>
    <w:rsid w:val="00B676E7"/>
    <w:rsid w:val="00B7091C"/>
    <w:rsid w:val="00B816D9"/>
    <w:rsid w:val="00B86FF8"/>
    <w:rsid w:val="00B9120F"/>
    <w:rsid w:val="00B9216C"/>
    <w:rsid w:val="00B924A4"/>
    <w:rsid w:val="00B95CD8"/>
    <w:rsid w:val="00B95D3D"/>
    <w:rsid w:val="00B974FC"/>
    <w:rsid w:val="00BA24E1"/>
    <w:rsid w:val="00BA29C0"/>
    <w:rsid w:val="00BB0D1A"/>
    <w:rsid w:val="00BB1D3B"/>
    <w:rsid w:val="00BC091F"/>
    <w:rsid w:val="00BC0E67"/>
    <w:rsid w:val="00BC31D1"/>
    <w:rsid w:val="00BC35ED"/>
    <w:rsid w:val="00BC7F25"/>
    <w:rsid w:val="00BE205A"/>
    <w:rsid w:val="00BE3802"/>
    <w:rsid w:val="00BF238E"/>
    <w:rsid w:val="00BF2F4A"/>
    <w:rsid w:val="00BF39CF"/>
    <w:rsid w:val="00BF544D"/>
    <w:rsid w:val="00BF5691"/>
    <w:rsid w:val="00BF7E29"/>
    <w:rsid w:val="00C0076F"/>
    <w:rsid w:val="00C0301C"/>
    <w:rsid w:val="00C0331A"/>
    <w:rsid w:val="00C03C22"/>
    <w:rsid w:val="00C050B6"/>
    <w:rsid w:val="00C06F67"/>
    <w:rsid w:val="00C10F12"/>
    <w:rsid w:val="00C17765"/>
    <w:rsid w:val="00C245EA"/>
    <w:rsid w:val="00C256F6"/>
    <w:rsid w:val="00C2649E"/>
    <w:rsid w:val="00C3097E"/>
    <w:rsid w:val="00C31297"/>
    <w:rsid w:val="00C351B2"/>
    <w:rsid w:val="00C35ECC"/>
    <w:rsid w:val="00C361A8"/>
    <w:rsid w:val="00C41246"/>
    <w:rsid w:val="00C45E5F"/>
    <w:rsid w:val="00C46291"/>
    <w:rsid w:val="00C47C38"/>
    <w:rsid w:val="00C63412"/>
    <w:rsid w:val="00C714D0"/>
    <w:rsid w:val="00C7745B"/>
    <w:rsid w:val="00C8084A"/>
    <w:rsid w:val="00C80B4F"/>
    <w:rsid w:val="00C8142D"/>
    <w:rsid w:val="00C8584E"/>
    <w:rsid w:val="00C90EF4"/>
    <w:rsid w:val="00C9557A"/>
    <w:rsid w:val="00CA015A"/>
    <w:rsid w:val="00CB28D1"/>
    <w:rsid w:val="00CC1AA3"/>
    <w:rsid w:val="00CC6576"/>
    <w:rsid w:val="00CC7A7D"/>
    <w:rsid w:val="00CD2565"/>
    <w:rsid w:val="00CD3C41"/>
    <w:rsid w:val="00CD4486"/>
    <w:rsid w:val="00CD689C"/>
    <w:rsid w:val="00CE7853"/>
    <w:rsid w:val="00CF03BC"/>
    <w:rsid w:val="00CF1501"/>
    <w:rsid w:val="00CF5E22"/>
    <w:rsid w:val="00D02FF5"/>
    <w:rsid w:val="00D0442C"/>
    <w:rsid w:val="00D04E0D"/>
    <w:rsid w:val="00D06A44"/>
    <w:rsid w:val="00D07663"/>
    <w:rsid w:val="00D151EB"/>
    <w:rsid w:val="00D21094"/>
    <w:rsid w:val="00D258CC"/>
    <w:rsid w:val="00D300E0"/>
    <w:rsid w:val="00D374CD"/>
    <w:rsid w:val="00D5049E"/>
    <w:rsid w:val="00D50690"/>
    <w:rsid w:val="00D53B62"/>
    <w:rsid w:val="00D644A6"/>
    <w:rsid w:val="00D650CE"/>
    <w:rsid w:val="00D674F5"/>
    <w:rsid w:val="00D71719"/>
    <w:rsid w:val="00D723F9"/>
    <w:rsid w:val="00D769BC"/>
    <w:rsid w:val="00D776DA"/>
    <w:rsid w:val="00D81B0C"/>
    <w:rsid w:val="00D8758B"/>
    <w:rsid w:val="00D942B3"/>
    <w:rsid w:val="00D94863"/>
    <w:rsid w:val="00D96844"/>
    <w:rsid w:val="00DA7D09"/>
    <w:rsid w:val="00DB0A3A"/>
    <w:rsid w:val="00DB32A2"/>
    <w:rsid w:val="00DB5401"/>
    <w:rsid w:val="00DC2630"/>
    <w:rsid w:val="00DC26BE"/>
    <w:rsid w:val="00DC49E9"/>
    <w:rsid w:val="00DC55E4"/>
    <w:rsid w:val="00DC7D71"/>
    <w:rsid w:val="00DD188C"/>
    <w:rsid w:val="00DD29A3"/>
    <w:rsid w:val="00DD48EE"/>
    <w:rsid w:val="00DD634D"/>
    <w:rsid w:val="00DD6A44"/>
    <w:rsid w:val="00DE0B96"/>
    <w:rsid w:val="00DE10B9"/>
    <w:rsid w:val="00DE56CC"/>
    <w:rsid w:val="00DF0B13"/>
    <w:rsid w:val="00DF15BB"/>
    <w:rsid w:val="00DF2EB8"/>
    <w:rsid w:val="00DF4A94"/>
    <w:rsid w:val="00DF6003"/>
    <w:rsid w:val="00E00095"/>
    <w:rsid w:val="00E066C3"/>
    <w:rsid w:val="00E10D8C"/>
    <w:rsid w:val="00E1353A"/>
    <w:rsid w:val="00E1564B"/>
    <w:rsid w:val="00E15ADE"/>
    <w:rsid w:val="00E208A0"/>
    <w:rsid w:val="00E25B49"/>
    <w:rsid w:val="00E30A67"/>
    <w:rsid w:val="00E33E72"/>
    <w:rsid w:val="00E3696F"/>
    <w:rsid w:val="00E371EA"/>
    <w:rsid w:val="00E37865"/>
    <w:rsid w:val="00E526B8"/>
    <w:rsid w:val="00E637D5"/>
    <w:rsid w:val="00E64429"/>
    <w:rsid w:val="00E657E0"/>
    <w:rsid w:val="00E66D0B"/>
    <w:rsid w:val="00E677DD"/>
    <w:rsid w:val="00E74587"/>
    <w:rsid w:val="00E74702"/>
    <w:rsid w:val="00E7594B"/>
    <w:rsid w:val="00E802C9"/>
    <w:rsid w:val="00E81ED3"/>
    <w:rsid w:val="00E95ABB"/>
    <w:rsid w:val="00EA1582"/>
    <w:rsid w:val="00EA7198"/>
    <w:rsid w:val="00EB4688"/>
    <w:rsid w:val="00EB6C07"/>
    <w:rsid w:val="00EC028D"/>
    <w:rsid w:val="00ED633B"/>
    <w:rsid w:val="00ED6403"/>
    <w:rsid w:val="00EE2BBB"/>
    <w:rsid w:val="00EE478C"/>
    <w:rsid w:val="00EF170D"/>
    <w:rsid w:val="00EF3812"/>
    <w:rsid w:val="00EF47A0"/>
    <w:rsid w:val="00F1132C"/>
    <w:rsid w:val="00F12BA5"/>
    <w:rsid w:val="00F15DD5"/>
    <w:rsid w:val="00F17D4B"/>
    <w:rsid w:val="00F23139"/>
    <w:rsid w:val="00F249CE"/>
    <w:rsid w:val="00F24DFE"/>
    <w:rsid w:val="00F3499B"/>
    <w:rsid w:val="00F37786"/>
    <w:rsid w:val="00F51F1C"/>
    <w:rsid w:val="00F52C14"/>
    <w:rsid w:val="00F545CB"/>
    <w:rsid w:val="00F62C37"/>
    <w:rsid w:val="00F66CD5"/>
    <w:rsid w:val="00F67A9A"/>
    <w:rsid w:val="00F70F4E"/>
    <w:rsid w:val="00F73113"/>
    <w:rsid w:val="00F75FC4"/>
    <w:rsid w:val="00F8416E"/>
    <w:rsid w:val="00F85556"/>
    <w:rsid w:val="00F85981"/>
    <w:rsid w:val="00F87263"/>
    <w:rsid w:val="00F917D7"/>
    <w:rsid w:val="00F93725"/>
    <w:rsid w:val="00F95362"/>
    <w:rsid w:val="00FA4890"/>
    <w:rsid w:val="00FB77FA"/>
    <w:rsid w:val="00FC35B2"/>
    <w:rsid w:val="00FC3C70"/>
    <w:rsid w:val="00FC4A73"/>
    <w:rsid w:val="00FC4D08"/>
    <w:rsid w:val="00FC559C"/>
    <w:rsid w:val="00FC5E92"/>
    <w:rsid w:val="00FC7F0D"/>
    <w:rsid w:val="00FD15D3"/>
    <w:rsid w:val="00FE645A"/>
    <w:rsid w:val="00FF5C77"/>
    <w:rsid w:val="00FF6102"/>
    <w:rsid w:val="00FF71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C19"/>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2F230E"/>
    <w:pPr>
      <w:spacing w:after="0" w:line="240" w:lineRule="auto"/>
    </w:pPr>
    <w:rPr>
      <w:sz w:val="24"/>
      <w:szCs w:val="24"/>
    </w:rPr>
  </w:style>
  <w:style w:type="character" w:styleId="UnresolvedMention">
    <w:name w:val="Unresolved Mention"/>
    <w:basedOn w:val="DefaultParagraphFont"/>
    <w:uiPriority w:val="99"/>
    <w:semiHidden/>
    <w:unhideWhenUsed/>
    <w:rsid w:val="00AE45ED"/>
    <w:rPr>
      <w:color w:val="605E5C"/>
      <w:shd w:val="clear" w:color="auto" w:fill="E1DFDD"/>
    </w:rPr>
  </w:style>
  <w:style w:type="character" w:styleId="FollowedHyperlink">
    <w:name w:val="FollowedHyperlink"/>
    <w:basedOn w:val="DefaultParagraphFont"/>
    <w:uiPriority w:val="99"/>
    <w:semiHidden/>
    <w:unhideWhenUsed/>
    <w:rsid w:val="006B66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15170019">
      <w:bodyDiv w:val="1"/>
      <w:marLeft w:val="0"/>
      <w:marRight w:val="0"/>
      <w:marTop w:val="0"/>
      <w:marBottom w:val="0"/>
      <w:divBdr>
        <w:top w:val="none" w:sz="0" w:space="0" w:color="auto"/>
        <w:left w:val="none" w:sz="0" w:space="0" w:color="auto"/>
        <w:bottom w:val="none" w:sz="0" w:space="0" w:color="auto"/>
        <w:right w:val="none" w:sz="0" w:space="0" w:color="auto"/>
      </w:divBdr>
    </w:div>
    <w:div w:id="1383558829">
      <w:bodyDiv w:val="1"/>
      <w:marLeft w:val="0"/>
      <w:marRight w:val="0"/>
      <w:marTop w:val="0"/>
      <w:marBottom w:val="0"/>
      <w:divBdr>
        <w:top w:val="none" w:sz="0" w:space="0" w:color="auto"/>
        <w:left w:val="none" w:sz="0" w:space="0" w:color="auto"/>
        <w:bottom w:val="none" w:sz="0" w:space="0" w:color="auto"/>
        <w:right w:val="none" w:sz="0" w:space="0" w:color="auto"/>
      </w:divBdr>
    </w:div>
    <w:div w:id="1652370273">
      <w:bodyDiv w:val="1"/>
      <w:marLeft w:val="0"/>
      <w:marRight w:val="0"/>
      <w:marTop w:val="0"/>
      <w:marBottom w:val="0"/>
      <w:divBdr>
        <w:top w:val="none" w:sz="0" w:space="0" w:color="auto"/>
        <w:left w:val="none" w:sz="0" w:space="0" w:color="auto"/>
        <w:bottom w:val="none" w:sz="0" w:space="0" w:color="auto"/>
        <w:right w:val="none" w:sz="0" w:space="0" w:color="auto"/>
      </w:divBdr>
    </w:div>
    <w:div w:id="1801146377">
      <w:bodyDiv w:val="1"/>
      <w:marLeft w:val="0"/>
      <w:marRight w:val="0"/>
      <w:marTop w:val="0"/>
      <w:marBottom w:val="0"/>
      <w:divBdr>
        <w:top w:val="none" w:sz="0" w:space="0" w:color="auto"/>
        <w:left w:val="none" w:sz="0" w:space="0" w:color="auto"/>
        <w:bottom w:val="none" w:sz="0" w:space="0" w:color="auto"/>
        <w:right w:val="none" w:sz="0" w:space="0" w:color="auto"/>
      </w:divBdr>
    </w:div>
    <w:div w:id="199669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s.tga.gov.au/ebs/picmi/picmirepository.nsf/PICMI?OpenForm&amp;t=&amp;q=mepolizumab" TargetMode="External"/><Relationship Id="rId13" Type="http://schemas.openxmlformats.org/officeDocument/2006/relationships/hyperlink" Target="https://www.pbs.gov.au/info/industry/listing/elements/pbac-meetings/psd/2021-11/mepolizumab-injection-100-mg-in-1-ml-single-dose-pre-filled" TargetMode="External"/><Relationship Id="rId18" Type="http://schemas.openxmlformats.org/officeDocument/2006/relationships/chart" Target="charts/chart4.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hyperlink" Target="https://www.pbs.gov.au/pbs/home" TargetMode="External"/><Relationship Id="rId17" Type="http://schemas.openxmlformats.org/officeDocument/2006/relationships/chart" Target="charts/chart3.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pbs/hom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pbs.gov.au/pbs/home" TargetMode="Externa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yperlink" Target="https://www.ebs.tga.gov.au/ebs/picmi/picmirepository.nsf/PICMI?OpenForm&amp;t=&amp;q=mepolizumab" TargetMode="External"/><Relationship Id="rId14" Type="http://schemas.openxmlformats.org/officeDocument/2006/relationships/hyperlink" Target="https://www.pbs.gov.au/industry/pbac/psd/2022/11/mepolizumab-november-2022-a595" TargetMode="Externa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medicarestatistics.humanservices.gov.au/statistics/mbs_item.html" TargetMode="External"/><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5\D1741%20-%20Mepolizumab%20for%20CRwNP\D1741%20-%20Tables%20and%20graphs%20for%20repo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5\D1741%20-%20Mepolizumab%20for%20CRwNP\D1741%20-%20Tables%20and%20graphs%20for%20report%20v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5\D1741%20-%20Mepolizumab%20for%20CRwNP\D1741%20-%20Tables%20and%20graphs%20for%20repor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5\D1741%20-%20Mepolizumab%20for%20CRwNP\D1741%20-%20Tables%20and%20graphs%20for%20report%20v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5\D1741%20-%20Mepolizumab%20for%20CRwNP\D1741%20-%20Tables%20and%20graphs%20for%20report%20v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5\D1741%20-%20Mepolizumab%20for%20CRwNP\D1741%20-%20Tables%20and%20graphs%20for%20report%20v2.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[D1741 - Tables and graphs for report.xlsx]overall use!PivotTable2</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'overall use'!$U$1</c:f>
              <c:strCache>
                <c:ptCount val="1"/>
                <c:pt idx="0">
                  <c:v>Treated patients</c:v>
                </c:pt>
              </c:strCache>
            </c:strRef>
          </c:tx>
          <c:spPr>
            <a:ln w="28575" cap="rnd">
              <a:solidFill>
                <a:schemeClr val="accent1"/>
              </a:solidFill>
              <a:round/>
            </a:ln>
            <a:effectLst/>
          </c:spPr>
          <c:marker>
            <c:symbol val="none"/>
          </c:marker>
          <c:cat>
            <c:strRef>
              <c:f>'overall use'!$T$2:$T$12</c:f>
              <c:strCache>
                <c:ptCount val="10"/>
                <c:pt idx="0">
                  <c:v>2023Q2</c:v>
                </c:pt>
                <c:pt idx="1">
                  <c:v>2023Q3</c:v>
                </c:pt>
                <c:pt idx="2">
                  <c:v>2023Q4</c:v>
                </c:pt>
                <c:pt idx="3">
                  <c:v>2024Q1</c:v>
                </c:pt>
                <c:pt idx="4">
                  <c:v>2024Q2</c:v>
                </c:pt>
                <c:pt idx="5">
                  <c:v>2024Q3</c:v>
                </c:pt>
                <c:pt idx="6">
                  <c:v>2024Q4</c:v>
                </c:pt>
                <c:pt idx="7">
                  <c:v>2025Q1</c:v>
                </c:pt>
                <c:pt idx="8">
                  <c:v>2025Q2</c:v>
                </c:pt>
                <c:pt idx="9">
                  <c:v>2025Q3</c:v>
                </c:pt>
              </c:strCache>
            </c:strRef>
          </c:cat>
          <c:val>
            <c:numRef>
              <c:f>'overall use'!$U$2:$U$12</c:f>
              <c:numCache>
                <c:formatCode>General</c:formatCode>
                <c:ptCount val="10"/>
                <c:pt idx="0">
                  <c:v>205</c:v>
                </c:pt>
                <c:pt idx="1">
                  <c:v>491</c:v>
                </c:pt>
                <c:pt idx="2">
                  <c:v>721</c:v>
                </c:pt>
                <c:pt idx="3">
                  <c:v>926</c:v>
                </c:pt>
                <c:pt idx="4">
                  <c:v>1164</c:v>
                </c:pt>
                <c:pt idx="5">
                  <c:v>1350</c:v>
                </c:pt>
                <c:pt idx="6">
                  <c:v>1523</c:v>
                </c:pt>
                <c:pt idx="7">
                  <c:v>1659</c:v>
                </c:pt>
                <c:pt idx="8">
                  <c:v>1846</c:v>
                </c:pt>
                <c:pt idx="9">
                  <c:v>2036</c:v>
                </c:pt>
              </c:numCache>
            </c:numRef>
          </c:val>
          <c:smooth val="0"/>
          <c:extLst>
            <c:ext xmlns:c16="http://schemas.microsoft.com/office/drawing/2014/chart" uri="{C3380CC4-5D6E-409C-BE32-E72D297353CC}">
              <c16:uniqueId val="{00000000-5A9B-4644-83A7-4316F397DE47}"/>
            </c:ext>
          </c:extLst>
        </c:ser>
        <c:ser>
          <c:idx val="1"/>
          <c:order val="1"/>
          <c:tx>
            <c:strRef>
              <c:f>'overall use'!$V$1</c:f>
              <c:strCache>
                <c:ptCount val="1"/>
                <c:pt idx="0">
                  <c:v>Initiating patients</c:v>
                </c:pt>
              </c:strCache>
            </c:strRef>
          </c:tx>
          <c:spPr>
            <a:ln w="28575" cap="rnd">
              <a:solidFill>
                <a:schemeClr val="accent2"/>
              </a:solidFill>
              <a:round/>
            </a:ln>
            <a:effectLst/>
          </c:spPr>
          <c:marker>
            <c:symbol val="none"/>
          </c:marker>
          <c:cat>
            <c:strRef>
              <c:f>'overall use'!$T$2:$T$12</c:f>
              <c:strCache>
                <c:ptCount val="10"/>
                <c:pt idx="0">
                  <c:v>2023Q2</c:v>
                </c:pt>
                <c:pt idx="1">
                  <c:v>2023Q3</c:v>
                </c:pt>
                <c:pt idx="2">
                  <c:v>2023Q4</c:v>
                </c:pt>
                <c:pt idx="3">
                  <c:v>2024Q1</c:v>
                </c:pt>
                <c:pt idx="4">
                  <c:v>2024Q2</c:v>
                </c:pt>
                <c:pt idx="5">
                  <c:v>2024Q3</c:v>
                </c:pt>
                <c:pt idx="6">
                  <c:v>2024Q4</c:v>
                </c:pt>
                <c:pt idx="7">
                  <c:v>2025Q1</c:v>
                </c:pt>
                <c:pt idx="8">
                  <c:v>2025Q2</c:v>
                </c:pt>
                <c:pt idx="9">
                  <c:v>2025Q3</c:v>
                </c:pt>
              </c:strCache>
            </c:strRef>
          </c:cat>
          <c:val>
            <c:numRef>
              <c:f>'overall use'!$V$2:$V$12</c:f>
              <c:numCache>
                <c:formatCode>General</c:formatCode>
                <c:ptCount val="10"/>
                <c:pt idx="0">
                  <c:v>205</c:v>
                </c:pt>
                <c:pt idx="1">
                  <c:v>291</c:v>
                </c:pt>
                <c:pt idx="2">
                  <c:v>249</c:v>
                </c:pt>
                <c:pt idx="3">
                  <c:v>250</c:v>
                </c:pt>
                <c:pt idx="4">
                  <c:v>281</c:v>
                </c:pt>
                <c:pt idx="5">
                  <c:v>258</c:v>
                </c:pt>
                <c:pt idx="6">
                  <c:v>230</c:v>
                </c:pt>
                <c:pt idx="7">
                  <c:v>228</c:v>
                </c:pt>
                <c:pt idx="8">
                  <c:v>245</c:v>
                </c:pt>
                <c:pt idx="9">
                  <c:v>261</c:v>
                </c:pt>
              </c:numCache>
            </c:numRef>
          </c:val>
          <c:smooth val="0"/>
          <c:extLst>
            <c:ext xmlns:c16="http://schemas.microsoft.com/office/drawing/2014/chart" uri="{C3380CC4-5D6E-409C-BE32-E72D297353CC}">
              <c16:uniqueId val="{00000001-5A9B-4644-83A7-4316F397DE47}"/>
            </c:ext>
          </c:extLst>
        </c:ser>
        <c:dLbls>
          <c:showLegendKey val="0"/>
          <c:showVal val="0"/>
          <c:showCatName val="0"/>
          <c:showSerName val="0"/>
          <c:showPercent val="0"/>
          <c:showBubbleSize val="0"/>
        </c:dLbls>
        <c:marker val="1"/>
        <c:smooth val="0"/>
        <c:axId val="1968369759"/>
        <c:axId val="1968370239"/>
      </c:lineChart>
      <c:lineChart>
        <c:grouping val="standard"/>
        <c:varyColors val="0"/>
        <c:ser>
          <c:idx val="2"/>
          <c:order val="2"/>
          <c:tx>
            <c:strRef>
              <c:f>'overall use'!$W$1</c:f>
              <c:strCache>
                <c:ptCount val="1"/>
                <c:pt idx="0">
                  <c:v>Prescriptions</c:v>
                </c:pt>
              </c:strCache>
            </c:strRef>
          </c:tx>
          <c:spPr>
            <a:ln w="28575" cap="rnd">
              <a:solidFill>
                <a:schemeClr val="accent3"/>
              </a:solidFill>
              <a:round/>
            </a:ln>
            <a:effectLst/>
          </c:spPr>
          <c:marker>
            <c:symbol val="none"/>
          </c:marker>
          <c:cat>
            <c:strRef>
              <c:f>'overall use'!$T$2:$T$12</c:f>
              <c:strCache>
                <c:ptCount val="10"/>
                <c:pt idx="0">
                  <c:v>2023Q2</c:v>
                </c:pt>
                <c:pt idx="1">
                  <c:v>2023Q3</c:v>
                </c:pt>
                <c:pt idx="2">
                  <c:v>2023Q4</c:v>
                </c:pt>
                <c:pt idx="3">
                  <c:v>2024Q1</c:v>
                </c:pt>
                <c:pt idx="4">
                  <c:v>2024Q2</c:v>
                </c:pt>
                <c:pt idx="5">
                  <c:v>2024Q3</c:v>
                </c:pt>
                <c:pt idx="6">
                  <c:v>2024Q4</c:v>
                </c:pt>
                <c:pt idx="7">
                  <c:v>2025Q1</c:v>
                </c:pt>
                <c:pt idx="8">
                  <c:v>2025Q2</c:v>
                </c:pt>
                <c:pt idx="9">
                  <c:v>2025Q3</c:v>
                </c:pt>
              </c:strCache>
            </c:strRef>
          </c:cat>
          <c:val>
            <c:numRef>
              <c:f>'overall use'!$W$2:$W$12</c:f>
              <c:numCache>
                <c:formatCode>General</c:formatCode>
                <c:ptCount val="10"/>
                <c:pt idx="0">
                  <c:v>348</c:v>
                </c:pt>
                <c:pt idx="1">
                  <c:v>1162</c:v>
                </c:pt>
                <c:pt idx="2">
                  <c:v>1921</c:v>
                </c:pt>
                <c:pt idx="3">
                  <c:v>2427</c:v>
                </c:pt>
                <c:pt idx="4">
                  <c:v>3126</c:v>
                </c:pt>
                <c:pt idx="5">
                  <c:v>3671</c:v>
                </c:pt>
                <c:pt idx="6">
                  <c:v>4260</c:v>
                </c:pt>
                <c:pt idx="7">
                  <c:v>4439</c:v>
                </c:pt>
                <c:pt idx="8">
                  <c:v>5044</c:v>
                </c:pt>
                <c:pt idx="9">
                  <c:v>5594</c:v>
                </c:pt>
              </c:numCache>
            </c:numRef>
          </c:val>
          <c:smooth val="0"/>
          <c:extLst>
            <c:ext xmlns:c16="http://schemas.microsoft.com/office/drawing/2014/chart" uri="{C3380CC4-5D6E-409C-BE32-E72D297353CC}">
              <c16:uniqueId val="{00000002-5A9B-4644-83A7-4316F397DE47}"/>
            </c:ext>
          </c:extLst>
        </c:ser>
        <c:dLbls>
          <c:showLegendKey val="0"/>
          <c:showVal val="0"/>
          <c:showCatName val="0"/>
          <c:showSerName val="0"/>
          <c:showPercent val="0"/>
          <c:showBubbleSize val="0"/>
        </c:dLbls>
        <c:marker val="1"/>
        <c:smooth val="0"/>
        <c:axId val="430183903"/>
        <c:axId val="1497841199"/>
      </c:lineChart>
      <c:catAx>
        <c:axId val="19683697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8370239"/>
        <c:crosses val="autoZero"/>
        <c:auto val="1"/>
        <c:lblAlgn val="ctr"/>
        <c:lblOffset val="100"/>
        <c:noMultiLvlLbl val="0"/>
      </c:catAx>
      <c:valAx>
        <c:axId val="19683702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8369759"/>
        <c:crosses val="autoZero"/>
        <c:crossBetween val="between"/>
      </c:valAx>
      <c:valAx>
        <c:axId val="1497841199"/>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183903"/>
        <c:crosses val="max"/>
        <c:crossBetween val="between"/>
      </c:valAx>
      <c:catAx>
        <c:axId val="430183903"/>
        <c:scaling>
          <c:orientation val="minMax"/>
        </c:scaling>
        <c:delete val="1"/>
        <c:axPos val="b"/>
        <c:numFmt formatCode="General" sourceLinked="1"/>
        <c:majorTickMark val="out"/>
        <c:minorTickMark val="none"/>
        <c:tickLblPos val="nextTo"/>
        <c:crossAx val="149784119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[D1741 - Tables and graphs for report v2.xlsx]resupply!PivotTable2</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resupply!$R$1:$R$2</c:f>
              <c:strCache>
                <c:ptCount val="1"/>
                <c:pt idx="0">
                  <c:v>1</c:v>
                </c:pt>
              </c:strCache>
            </c:strRef>
          </c:tx>
          <c:spPr>
            <a:ln w="28575" cap="rnd">
              <a:solidFill>
                <a:schemeClr val="accent1"/>
              </a:solidFill>
              <a:round/>
            </a:ln>
            <a:effectLst/>
          </c:spPr>
          <c:marker>
            <c:symbol val="none"/>
          </c:marker>
          <c:cat>
            <c:strRef>
              <c:f>resupply!$Q$3:$Q$94</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resupply!$R$3:$R$94</c:f>
              <c:numCache>
                <c:formatCode>General</c:formatCode>
                <c:ptCount val="91"/>
                <c:pt idx="0">
                  <c:v>991</c:v>
                </c:pt>
                <c:pt idx="1">
                  <c:v>60</c:v>
                </c:pt>
                <c:pt idx="2">
                  <c:v>69</c:v>
                </c:pt>
                <c:pt idx="3">
                  <c:v>39</c:v>
                </c:pt>
                <c:pt idx="4">
                  <c:v>42</c:v>
                </c:pt>
                <c:pt idx="5">
                  <c:v>41</c:v>
                </c:pt>
                <c:pt idx="6">
                  <c:v>43</c:v>
                </c:pt>
                <c:pt idx="7">
                  <c:v>61</c:v>
                </c:pt>
                <c:pt idx="8">
                  <c:v>44</c:v>
                </c:pt>
                <c:pt idx="9">
                  <c:v>42</c:v>
                </c:pt>
                <c:pt idx="10">
                  <c:v>39</c:v>
                </c:pt>
                <c:pt idx="11">
                  <c:v>63</c:v>
                </c:pt>
                <c:pt idx="12">
                  <c:v>68</c:v>
                </c:pt>
                <c:pt idx="13">
                  <c:v>99</c:v>
                </c:pt>
                <c:pt idx="14">
                  <c:v>111</c:v>
                </c:pt>
                <c:pt idx="15">
                  <c:v>108</c:v>
                </c:pt>
                <c:pt idx="16">
                  <c:v>116</c:v>
                </c:pt>
                <c:pt idx="17">
                  <c:v>104</c:v>
                </c:pt>
                <c:pt idx="18">
                  <c:v>153</c:v>
                </c:pt>
                <c:pt idx="19">
                  <c:v>193</c:v>
                </c:pt>
                <c:pt idx="20">
                  <c:v>264</c:v>
                </c:pt>
                <c:pt idx="21">
                  <c:v>898</c:v>
                </c:pt>
                <c:pt idx="22">
                  <c:v>663</c:v>
                </c:pt>
                <c:pt idx="23">
                  <c:v>667</c:v>
                </c:pt>
                <c:pt idx="24">
                  <c:v>825</c:v>
                </c:pt>
                <c:pt idx="25">
                  <c:v>1021</c:v>
                </c:pt>
                <c:pt idx="26">
                  <c:v>1245</c:v>
                </c:pt>
                <c:pt idx="27">
                  <c:v>1920</c:v>
                </c:pt>
                <c:pt idx="28">
                  <c:v>3257</c:v>
                </c:pt>
                <c:pt idx="29">
                  <c:v>2289</c:v>
                </c:pt>
                <c:pt idx="30">
                  <c:v>1773</c:v>
                </c:pt>
                <c:pt idx="31">
                  <c:v>1602</c:v>
                </c:pt>
                <c:pt idx="32">
                  <c:v>1408</c:v>
                </c:pt>
                <c:pt idx="33">
                  <c:v>1157</c:v>
                </c:pt>
                <c:pt idx="34">
                  <c:v>1078</c:v>
                </c:pt>
                <c:pt idx="35">
                  <c:v>1050</c:v>
                </c:pt>
                <c:pt idx="36">
                  <c:v>689</c:v>
                </c:pt>
                <c:pt idx="37">
                  <c:v>475</c:v>
                </c:pt>
                <c:pt idx="38">
                  <c:v>399</c:v>
                </c:pt>
                <c:pt idx="39">
                  <c:v>346</c:v>
                </c:pt>
                <c:pt idx="40">
                  <c:v>304</c:v>
                </c:pt>
                <c:pt idx="41">
                  <c:v>291</c:v>
                </c:pt>
                <c:pt idx="42">
                  <c:v>287</c:v>
                </c:pt>
                <c:pt idx="43">
                  <c:v>215</c:v>
                </c:pt>
                <c:pt idx="44">
                  <c:v>153</c:v>
                </c:pt>
                <c:pt idx="45">
                  <c:v>160</c:v>
                </c:pt>
                <c:pt idx="46">
                  <c:v>139</c:v>
                </c:pt>
                <c:pt idx="47">
                  <c:v>134</c:v>
                </c:pt>
                <c:pt idx="48">
                  <c:v>126</c:v>
                </c:pt>
                <c:pt idx="49">
                  <c:v>126</c:v>
                </c:pt>
                <c:pt idx="50">
                  <c:v>103</c:v>
                </c:pt>
                <c:pt idx="51">
                  <c:v>90</c:v>
                </c:pt>
                <c:pt idx="52">
                  <c:v>81</c:v>
                </c:pt>
                <c:pt idx="53">
                  <c:v>70</c:v>
                </c:pt>
                <c:pt idx="54">
                  <c:v>82</c:v>
                </c:pt>
                <c:pt idx="55">
                  <c:v>99</c:v>
                </c:pt>
                <c:pt idx="56">
                  <c:v>111</c:v>
                </c:pt>
                <c:pt idx="57">
                  <c:v>69</c:v>
                </c:pt>
                <c:pt idx="58">
                  <c:v>60</c:v>
                </c:pt>
                <c:pt idx="59">
                  <c:v>59</c:v>
                </c:pt>
                <c:pt idx="60">
                  <c:v>58</c:v>
                </c:pt>
                <c:pt idx="61">
                  <c:v>59</c:v>
                </c:pt>
                <c:pt idx="62">
                  <c:v>42</c:v>
                </c:pt>
                <c:pt idx="63">
                  <c:v>68</c:v>
                </c:pt>
                <c:pt idx="64">
                  <c:v>52</c:v>
                </c:pt>
                <c:pt idx="65">
                  <c:v>27</c:v>
                </c:pt>
                <c:pt idx="66">
                  <c:v>29</c:v>
                </c:pt>
                <c:pt idx="67">
                  <c:v>24</c:v>
                </c:pt>
                <c:pt idx="68">
                  <c:v>39</c:v>
                </c:pt>
                <c:pt idx="69">
                  <c:v>27</c:v>
                </c:pt>
                <c:pt idx="70">
                  <c:v>33</c:v>
                </c:pt>
                <c:pt idx="71">
                  <c:v>30</c:v>
                </c:pt>
                <c:pt idx="72">
                  <c:v>21</c:v>
                </c:pt>
                <c:pt idx="73">
                  <c:v>20</c:v>
                </c:pt>
                <c:pt idx="74">
                  <c:v>24</c:v>
                </c:pt>
                <c:pt idx="75">
                  <c:v>17</c:v>
                </c:pt>
                <c:pt idx="76">
                  <c:v>21</c:v>
                </c:pt>
                <c:pt idx="77">
                  <c:v>21</c:v>
                </c:pt>
                <c:pt idx="78">
                  <c:v>11</c:v>
                </c:pt>
                <c:pt idx="79">
                  <c:v>14</c:v>
                </c:pt>
                <c:pt idx="80">
                  <c:v>7</c:v>
                </c:pt>
                <c:pt idx="81">
                  <c:v>12</c:v>
                </c:pt>
                <c:pt idx="82">
                  <c:v>16</c:v>
                </c:pt>
                <c:pt idx="83">
                  <c:v>20</c:v>
                </c:pt>
                <c:pt idx="84">
                  <c:v>20</c:v>
                </c:pt>
                <c:pt idx="85">
                  <c:v>14</c:v>
                </c:pt>
                <c:pt idx="86">
                  <c:v>11</c:v>
                </c:pt>
                <c:pt idx="87">
                  <c:v>7</c:v>
                </c:pt>
                <c:pt idx="88">
                  <c:v>11</c:v>
                </c:pt>
                <c:pt idx="89">
                  <c:v>13</c:v>
                </c:pt>
                <c:pt idx="90">
                  <c:v>8</c:v>
                </c:pt>
              </c:numCache>
            </c:numRef>
          </c:val>
          <c:smooth val="0"/>
          <c:extLst>
            <c:ext xmlns:c16="http://schemas.microsoft.com/office/drawing/2014/chart" uri="{C3380CC4-5D6E-409C-BE32-E72D297353CC}">
              <c16:uniqueId val="{00000000-BA50-47E7-AEBA-30153F808F7E}"/>
            </c:ext>
          </c:extLst>
        </c:ser>
        <c:dLbls>
          <c:showLegendKey val="0"/>
          <c:showVal val="0"/>
          <c:showCatName val="0"/>
          <c:showSerName val="0"/>
          <c:showPercent val="0"/>
          <c:showBubbleSize val="0"/>
        </c:dLbls>
        <c:smooth val="0"/>
        <c:axId val="776659328"/>
        <c:axId val="776659808"/>
      </c:lineChart>
      <c:catAx>
        <c:axId val="776659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Time</a:t>
                </a:r>
                <a:r>
                  <a:rPr lang="en-AU" baseline="0"/>
                  <a:t> between supplies (days)</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659808"/>
        <c:crosses val="autoZero"/>
        <c:auto val="1"/>
        <c:lblAlgn val="ctr"/>
        <c:lblOffset val="100"/>
        <c:noMultiLvlLbl val="0"/>
      </c:catAx>
      <c:valAx>
        <c:axId val="776659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6593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[MBS data.xlsx]Sheet3!PivotTable1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Sheet3!$T$3:$T$4</c:f>
              <c:strCache>
                <c:ptCount val="1"/>
                <c:pt idx="0">
                  <c:v>41662</c:v>
                </c:pt>
              </c:strCache>
            </c:strRef>
          </c:tx>
          <c:spPr>
            <a:solidFill>
              <a:schemeClr val="accent1"/>
            </a:solidFill>
            <a:ln>
              <a:noFill/>
            </a:ln>
            <a:effectLst/>
          </c:spPr>
          <c:cat>
            <c:strRef>
              <c:f>Sheet3!$S$5:$S$49</c:f>
              <c:strCache>
                <c:ptCount val="44"/>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pt idx="27">
                  <c:v>2021Q4</c:v>
                </c:pt>
                <c:pt idx="28">
                  <c:v>2022Q1</c:v>
                </c:pt>
                <c:pt idx="29">
                  <c:v>2022Q2</c:v>
                </c:pt>
                <c:pt idx="30">
                  <c:v>2022Q3</c:v>
                </c:pt>
                <c:pt idx="31">
                  <c:v>2022Q4</c:v>
                </c:pt>
                <c:pt idx="32">
                  <c:v>2023Q1</c:v>
                </c:pt>
                <c:pt idx="33">
                  <c:v>2023Q2</c:v>
                </c:pt>
                <c:pt idx="34">
                  <c:v>2023Q3</c:v>
                </c:pt>
                <c:pt idx="35">
                  <c:v>2023Q4</c:v>
                </c:pt>
                <c:pt idx="36">
                  <c:v>2024Q1</c:v>
                </c:pt>
                <c:pt idx="37">
                  <c:v>2024Q2</c:v>
                </c:pt>
                <c:pt idx="38">
                  <c:v>2024Q3</c:v>
                </c:pt>
                <c:pt idx="39">
                  <c:v>2024Q4</c:v>
                </c:pt>
                <c:pt idx="40">
                  <c:v>2025Q1</c:v>
                </c:pt>
                <c:pt idx="41">
                  <c:v>2025Q2</c:v>
                </c:pt>
                <c:pt idx="42">
                  <c:v>2025Q3</c:v>
                </c:pt>
                <c:pt idx="43">
                  <c:v>2025Q4</c:v>
                </c:pt>
              </c:strCache>
            </c:strRef>
          </c:cat>
          <c:val>
            <c:numRef>
              <c:f>Sheet3!$T$5:$T$49</c:f>
              <c:numCache>
                <c:formatCode>General</c:formatCode>
                <c:ptCount val="44"/>
                <c:pt idx="0">
                  <c:v>878</c:v>
                </c:pt>
                <c:pt idx="1">
                  <c:v>1040</c:v>
                </c:pt>
                <c:pt idx="2">
                  <c:v>1039</c:v>
                </c:pt>
                <c:pt idx="3">
                  <c:v>986</c:v>
                </c:pt>
                <c:pt idx="4">
                  <c:v>855</c:v>
                </c:pt>
                <c:pt idx="5">
                  <c:v>1106</c:v>
                </c:pt>
                <c:pt idx="6">
                  <c:v>1050</c:v>
                </c:pt>
                <c:pt idx="7">
                  <c:v>1004</c:v>
                </c:pt>
                <c:pt idx="8">
                  <c:v>870</c:v>
                </c:pt>
                <c:pt idx="9">
                  <c:v>938</c:v>
                </c:pt>
                <c:pt idx="10">
                  <c:v>971</c:v>
                </c:pt>
                <c:pt idx="11">
                  <c:v>966</c:v>
                </c:pt>
                <c:pt idx="12">
                  <c:v>875</c:v>
                </c:pt>
                <c:pt idx="13">
                  <c:v>963</c:v>
                </c:pt>
                <c:pt idx="14">
                  <c:v>1067</c:v>
                </c:pt>
                <c:pt idx="15">
                  <c:v>994</c:v>
                </c:pt>
                <c:pt idx="16">
                  <c:v>847</c:v>
                </c:pt>
                <c:pt idx="17">
                  <c:v>1016</c:v>
                </c:pt>
                <c:pt idx="18">
                  <c:v>1090</c:v>
                </c:pt>
                <c:pt idx="19">
                  <c:v>1017</c:v>
                </c:pt>
                <c:pt idx="20">
                  <c:v>877</c:v>
                </c:pt>
                <c:pt idx="21">
                  <c:v>554</c:v>
                </c:pt>
                <c:pt idx="22">
                  <c:v>1152</c:v>
                </c:pt>
                <c:pt idx="23">
                  <c:v>1038</c:v>
                </c:pt>
                <c:pt idx="24">
                  <c:v>938</c:v>
                </c:pt>
                <c:pt idx="25">
                  <c:v>957</c:v>
                </c:pt>
                <c:pt idx="26">
                  <c:v>1009</c:v>
                </c:pt>
                <c:pt idx="27">
                  <c:v>949</c:v>
                </c:pt>
                <c:pt idx="28">
                  <c:v>720</c:v>
                </c:pt>
                <c:pt idx="29">
                  <c:v>919</c:v>
                </c:pt>
                <c:pt idx="30">
                  <c:v>828</c:v>
                </c:pt>
                <c:pt idx="31">
                  <c:v>940</c:v>
                </c:pt>
                <c:pt idx="32">
                  <c:v>649</c:v>
                </c:pt>
                <c:pt idx="33">
                  <c:v>146</c:v>
                </c:pt>
                <c:pt idx="34">
                  <c:v>100</c:v>
                </c:pt>
                <c:pt idx="35">
                  <c:v>90</c:v>
                </c:pt>
                <c:pt idx="36">
                  <c:v>80</c:v>
                </c:pt>
                <c:pt idx="37">
                  <c:v>77</c:v>
                </c:pt>
                <c:pt idx="38">
                  <c:v>71</c:v>
                </c:pt>
                <c:pt idx="39">
                  <c:v>61</c:v>
                </c:pt>
                <c:pt idx="40">
                  <c:v>60</c:v>
                </c:pt>
                <c:pt idx="41">
                  <c:v>61</c:v>
                </c:pt>
                <c:pt idx="42">
                  <c:v>62</c:v>
                </c:pt>
                <c:pt idx="43">
                  <c:v>19</c:v>
                </c:pt>
              </c:numCache>
            </c:numRef>
          </c:val>
          <c:extLst>
            <c:ext xmlns:c16="http://schemas.microsoft.com/office/drawing/2014/chart" uri="{C3380CC4-5D6E-409C-BE32-E72D297353CC}">
              <c16:uniqueId val="{00000000-ABC6-44A0-8FF8-50B8FBC7BA65}"/>
            </c:ext>
          </c:extLst>
        </c:ser>
        <c:ser>
          <c:idx val="1"/>
          <c:order val="1"/>
          <c:tx>
            <c:strRef>
              <c:f>Sheet3!$U$3:$U$4</c:f>
              <c:strCache>
                <c:ptCount val="1"/>
                <c:pt idx="0">
                  <c:v>41668</c:v>
                </c:pt>
              </c:strCache>
            </c:strRef>
          </c:tx>
          <c:spPr>
            <a:solidFill>
              <a:schemeClr val="accent2"/>
            </a:solidFill>
            <a:ln>
              <a:noFill/>
            </a:ln>
            <a:effectLst/>
          </c:spPr>
          <c:cat>
            <c:strRef>
              <c:f>Sheet3!$S$5:$S$49</c:f>
              <c:strCache>
                <c:ptCount val="44"/>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pt idx="27">
                  <c:v>2021Q4</c:v>
                </c:pt>
                <c:pt idx="28">
                  <c:v>2022Q1</c:v>
                </c:pt>
                <c:pt idx="29">
                  <c:v>2022Q2</c:v>
                </c:pt>
                <c:pt idx="30">
                  <c:v>2022Q3</c:v>
                </c:pt>
                <c:pt idx="31">
                  <c:v>2022Q4</c:v>
                </c:pt>
                <c:pt idx="32">
                  <c:v>2023Q1</c:v>
                </c:pt>
                <c:pt idx="33">
                  <c:v>2023Q2</c:v>
                </c:pt>
                <c:pt idx="34">
                  <c:v>2023Q3</c:v>
                </c:pt>
                <c:pt idx="35">
                  <c:v>2023Q4</c:v>
                </c:pt>
                <c:pt idx="36">
                  <c:v>2024Q1</c:v>
                </c:pt>
                <c:pt idx="37">
                  <c:v>2024Q2</c:v>
                </c:pt>
                <c:pt idx="38">
                  <c:v>2024Q3</c:v>
                </c:pt>
                <c:pt idx="39">
                  <c:v>2024Q4</c:v>
                </c:pt>
                <c:pt idx="40">
                  <c:v>2025Q1</c:v>
                </c:pt>
                <c:pt idx="41">
                  <c:v>2025Q2</c:v>
                </c:pt>
                <c:pt idx="42">
                  <c:v>2025Q3</c:v>
                </c:pt>
                <c:pt idx="43">
                  <c:v>2025Q4</c:v>
                </c:pt>
              </c:strCache>
            </c:strRef>
          </c:cat>
          <c:val>
            <c:numRef>
              <c:f>Sheet3!$U$5:$U$49</c:f>
              <c:numCache>
                <c:formatCode>General</c:formatCode>
                <c:ptCount val="44"/>
                <c:pt idx="0">
                  <c:v>191</c:v>
                </c:pt>
                <c:pt idx="1">
                  <c:v>196</c:v>
                </c:pt>
                <c:pt idx="2">
                  <c:v>189</c:v>
                </c:pt>
                <c:pt idx="3">
                  <c:v>199</c:v>
                </c:pt>
                <c:pt idx="4">
                  <c:v>138</c:v>
                </c:pt>
                <c:pt idx="5">
                  <c:v>188</c:v>
                </c:pt>
                <c:pt idx="6">
                  <c:v>210</c:v>
                </c:pt>
                <c:pt idx="7">
                  <c:v>211</c:v>
                </c:pt>
                <c:pt idx="8">
                  <c:v>200</c:v>
                </c:pt>
                <c:pt idx="9">
                  <c:v>203</c:v>
                </c:pt>
                <c:pt idx="10">
                  <c:v>198</c:v>
                </c:pt>
                <c:pt idx="11">
                  <c:v>154</c:v>
                </c:pt>
                <c:pt idx="12">
                  <c:v>144</c:v>
                </c:pt>
                <c:pt idx="13">
                  <c:v>151</c:v>
                </c:pt>
                <c:pt idx="14">
                  <c:v>131</c:v>
                </c:pt>
                <c:pt idx="15">
                  <c:v>128</c:v>
                </c:pt>
                <c:pt idx="16">
                  <c:v>104</c:v>
                </c:pt>
                <c:pt idx="17">
                  <c:v>133</c:v>
                </c:pt>
                <c:pt idx="18">
                  <c:v>145</c:v>
                </c:pt>
                <c:pt idx="19">
                  <c:v>109</c:v>
                </c:pt>
                <c:pt idx="20">
                  <c:v>103</c:v>
                </c:pt>
                <c:pt idx="21">
                  <c:v>61</c:v>
                </c:pt>
                <c:pt idx="22">
                  <c:v>117</c:v>
                </c:pt>
                <c:pt idx="23">
                  <c:v>100</c:v>
                </c:pt>
                <c:pt idx="24">
                  <c:v>111</c:v>
                </c:pt>
                <c:pt idx="25">
                  <c:v>113</c:v>
                </c:pt>
                <c:pt idx="26">
                  <c:v>93</c:v>
                </c:pt>
                <c:pt idx="27">
                  <c:v>81</c:v>
                </c:pt>
                <c:pt idx="28">
                  <c:v>59</c:v>
                </c:pt>
                <c:pt idx="29">
                  <c:v>84</c:v>
                </c:pt>
                <c:pt idx="30">
                  <c:v>95</c:v>
                </c:pt>
                <c:pt idx="31">
                  <c:v>108</c:v>
                </c:pt>
                <c:pt idx="32">
                  <c:v>88</c:v>
                </c:pt>
                <c:pt idx="33">
                  <c:v>166</c:v>
                </c:pt>
                <c:pt idx="34">
                  <c:v>151</c:v>
                </c:pt>
                <c:pt idx="35">
                  <c:v>156</c:v>
                </c:pt>
                <c:pt idx="36">
                  <c:v>142</c:v>
                </c:pt>
                <c:pt idx="37">
                  <c:v>177</c:v>
                </c:pt>
                <c:pt idx="38">
                  <c:v>144</c:v>
                </c:pt>
                <c:pt idx="39">
                  <c:v>147</c:v>
                </c:pt>
                <c:pt idx="40">
                  <c:v>148</c:v>
                </c:pt>
                <c:pt idx="41">
                  <c:v>156</c:v>
                </c:pt>
                <c:pt idx="42">
                  <c:v>154</c:v>
                </c:pt>
                <c:pt idx="43">
                  <c:v>64</c:v>
                </c:pt>
              </c:numCache>
            </c:numRef>
          </c:val>
          <c:extLst>
            <c:ext xmlns:c16="http://schemas.microsoft.com/office/drawing/2014/chart" uri="{C3380CC4-5D6E-409C-BE32-E72D297353CC}">
              <c16:uniqueId val="{00000001-ABC6-44A0-8FF8-50B8FBC7BA65}"/>
            </c:ext>
          </c:extLst>
        </c:ser>
        <c:ser>
          <c:idx val="2"/>
          <c:order val="2"/>
          <c:tx>
            <c:strRef>
              <c:f>Sheet3!$V$3:$V$4</c:f>
              <c:strCache>
                <c:ptCount val="1"/>
                <c:pt idx="0">
                  <c:v>41710</c:v>
                </c:pt>
              </c:strCache>
            </c:strRef>
          </c:tx>
          <c:spPr>
            <a:solidFill>
              <a:schemeClr val="accent3"/>
            </a:solidFill>
            <a:ln>
              <a:noFill/>
            </a:ln>
            <a:effectLst/>
          </c:spPr>
          <c:cat>
            <c:strRef>
              <c:f>Sheet3!$S$5:$S$49</c:f>
              <c:strCache>
                <c:ptCount val="44"/>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pt idx="27">
                  <c:v>2021Q4</c:v>
                </c:pt>
                <c:pt idx="28">
                  <c:v>2022Q1</c:v>
                </c:pt>
                <c:pt idx="29">
                  <c:v>2022Q2</c:v>
                </c:pt>
                <c:pt idx="30">
                  <c:v>2022Q3</c:v>
                </c:pt>
                <c:pt idx="31">
                  <c:v>2022Q4</c:v>
                </c:pt>
                <c:pt idx="32">
                  <c:v>2023Q1</c:v>
                </c:pt>
                <c:pt idx="33">
                  <c:v>2023Q2</c:v>
                </c:pt>
                <c:pt idx="34">
                  <c:v>2023Q3</c:v>
                </c:pt>
                <c:pt idx="35">
                  <c:v>2023Q4</c:v>
                </c:pt>
                <c:pt idx="36">
                  <c:v>2024Q1</c:v>
                </c:pt>
                <c:pt idx="37">
                  <c:v>2024Q2</c:v>
                </c:pt>
                <c:pt idx="38">
                  <c:v>2024Q3</c:v>
                </c:pt>
                <c:pt idx="39">
                  <c:v>2024Q4</c:v>
                </c:pt>
                <c:pt idx="40">
                  <c:v>2025Q1</c:v>
                </c:pt>
                <c:pt idx="41">
                  <c:v>2025Q2</c:v>
                </c:pt>
                <c:pt idx="42">
                  <c:v>2025Q3</c:v>
                </c:pt>
                <c:pt idx="43">
                  <c:v>2025Q4</c:v>
                </c:pt>
              </c:strCache>
            </c:strRef>
          </c:cat>
          <c:val>
            <c:numRef>
              <c:f>Sheet3!$V$5:$V$49</c:f>
              <c:numCache>
                <c:formatCode>General</c:formatCode>
                <c:ptCount val="44"/>
                <c:pt idx="0">
                  <c:v>779</c:v>
                </c:pt>
                <c:pt idx="1">
                  <c:v>959</c:v>
                </c:pt>
                <c:pt idx="2">
                  <c:v>931</c:v>
                </c:pt>
                <c:pt idx="3">
                  <c:v>935</c:v>
                </c:pt>
                <c:pt idx="4">
                  <c:v>799</c:v>
                </c:pt>
                <c:pt idx="5">
                  <c:v>989</c:v>
                </c:pt>
                <c:pt idx="6">
                  <c:v>1019</c:v>
                </c:pt>
                <c:pt idx="7">
                  <c:v>1072</c:v>
                </c:pt>
                <c:pt idx="8">
                  <c:v>1029</c:v>
                </c:pt>
                <c:pt idx="9">
                  <c:v>1141</c:v>
                </c:pt>
                <c:pt idx="10">
                  <c:v>1141</c:v>
                </c:pt>
                <c:pt idx="11">
                  <c:v>1173</c:v>
                </c:pt>
                <c:pt idx="12">
                  <c:v>1146</c:v>
                </c:pt>
                <c:pt idx="13">
                  <c:v>1261</c:v>
                </c:pt>
                <c:pt idx="14">
                  <c:v>1399</c:v>
                </c:pt>
                <c:pt idx="15">
                  <c:v>1433</c:v>
                </c:pt>
                <c:pt idx="16">
                  <c:v>1293</c:v>
                </c:pt>
                <c:pt idx="17">
                  <c:v>1354</c:v>
                </c:pt>
                <c:pt idx="18">
                  <c:v>1497</c:v>
                </c:pt>
                <c:pt idx="19">
                  <c:v>1611</c:v>
                </c:pt>
                <c:pt idx="20">
                  <c:v>1401</c:v>
                </c:pt>
                <c:pt idx="21">
                  <c:v>791</c:v>
                </c:pt>
                <c:pt idx="22">
                  <c:v>1976</c:v>
                </c:pt>
                <c:pt idx="23">
                  <c:v>1754</c:v>
                </c:pt>
                <c:pt idx="24">
                  <c:v>1670</c:v>
                </c:pt>
                <c:pt idx="25">
                  <c:v>1741</c:v>
                </c:pt>
                <c:pt idx="26">
                  <c:v>1962</c:v>
                </c:pt>
                <c:pt idx="27">
                  <c:v>1757</c:v>
                </c:pt>
                <c:pt idx="28">
                  <c:v>1274</c:v>
                </c:pt>
                <c:pt idx="29">
                  <c:v>1656</c:v>
                </c:pt>
                <c:pt idx="30">
                  <c:v>1743</c:v>
                </c:pt>
                <c:pt idx="31">
                  <c:v>1918</c:v>
                </c:pt>
                <c:pt idx="32">
                  <c:v>1336</c:v>
                </c:pt>
                <c:pt idx="33">
                  <c:v>238</c:v>
                </c:pt>
                <c:pt idx="34">
                  <c:v>176</c:v>
                </c:pt>
                <c:pt idx="35">
                  <c:v>211</c:v>
                </c:pt>
                <c:pt idx="36">
                  <c:v>164</c:v>
                </c:pt>
                <c:pt idx="37">
                  <c:v>191</c:v>
                </c:pt>
                <c:pt idx="38">
                  <c:v>163</c:v>
                </c:pt>
                <c:pt idx="39">
                  <c:v>153</c:v>
                </c:pt>
                <c:pt idx="40">
                  <c:v>107</c:v>
                </c:pt>
                <c:pt idx="41">
                  <c:v>149</c:v>
                </c:pt>
                <c:pt idx="42">
                  <c:v>122</c:v>
                </c:pt>
                <c:pt idx="43">
                  <c:v>63</c:v>
                </c:pt>
              </c:numCache>
            </c:numRef>
          </c:val>
          <c:extLst>
            <c:ext xmlns:c16="http://schemas.microsoft.com/office/drawing/2014/chart" uri="{C3380CC4-5D6E-409C-BE32-E72D297353CC}">
              <c16:uniqueId val="{00000002-ABC6-44A0-8FF8-50B8FBC7BA65}"/>
            </c:ext>
          </c:extLst>
        </c:ser>
        <c:ser>
          <c:idx val="3"/>
          <c:order val="3"/>
          <c:tx>
            <c:strRef>
              <c:f>Sheet3!$W$3:$W$4</c:f>
              <c:strCache>
                <c:ptCount val="1"/>
                <c:pt idx="0">
                  <c:v>41734</c:v>
                </c:pt>
              </c:strCache>
            </c:strRef>
          </c:tx>
          <c:spPr>
            <a:solidFill>
              <a:schemeClr val="accent4"/>
            </a:solidFill>
            <a:ln>
              <a:noFill/>
            </a:ln>
            <a:effectLst/>
          </c:spPr>
          <c:cat>
            <c:strRef>
              <c:f>Sheet3!$S$5:$S$49</c:f>
              <c:strCache>
                <c:ptCount val="44"/>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pt idx="27">
                  <c:v>2021Q4</c:v>
                </c:pt>
                <c:pt idx="28">
                  <c:v>2022Q1</c:v>
                </c:pt>
                <c:pt idx="29">
                  <c:v>2022Q2</c:v>
                </c:pt>
                <c:pt idx="30">
                  <c:v>2022Q3</c:v>
                </c:pt>
                <c:pt idx="31">
                  <c:v>2022Q4</c:v>
                </c:pt>
                <c:pt idx="32">
                  <c:v>2023Q1</c:v>
                </c:pt>
                <c:pt idx="33">
                  <c:v>2023Q2</c:v>
                </c:pt>
                <c:pt idx="34">
                  <c:v>2023Q3</c:v>
                </c:pt>
                <c:pt idx="35">
                  <c:v>2023Q4</c:v>
                </c:pt>
                <c:pt idx="36">
                  <c:v>2024Q1</c:v>
                </c:pt>
                <c:pt idx="37">
                  <c:v>2024Q2</c:v>
                </c:pt>
                <c:pt idx="38">
                  <c:v>2024Q3</c:v>
                </c:pt>
                <c:pt idx="39">
                  <c:v>2024Q4</c:v>
                </c:pt>
                <c:pt idx="40">
                  <c:v>2025Q1</c:v>
                </c:pt>
                <c:pt idx="41">
                  <c:v>2025Q2</c:v>
                </c:pt>
                <c:pt idx="42">
                  <c:v>2025Q3</c:v>
                </c:pt>
                <c:pt idx="43">
                  <c:v>2025Q4</c:v>
                </c:pt>
              </c:strCache>
            </c:strRef>
          </c:cat>
          <c:val>
            <c:numRef>
              <c:f>Sheet3!$W$5:$W$49</c:f>
              <c:numCache>
                <c:formatCode>General</c:formatCode>
                <c:ptCount val="44"/>
                <c:pt idx="0">
                  <c:v>89</c:v>
                </c:pt>
                <c:pt idx="1">
                  <c:v>105</c:v>
                </c:pt>
                <c:pt idx="2">
                  <c:v>119</c:v>
                </c:pt>
                <c:pt idx="3">
                  <c:v>103</c:v>
                </c:pt>
                <c:pt idx="4">
                  <c:v>78</c:v>
                </c:pt>
                <c:pt idx="5">
                  <c:v>109</c:v>
                </c:pt>
                <c:pt idx="6">
                  <c:v>110</c:v>
                </c:pt>
                <c:pt idx="7">
                  <c:v>94</c:v>
                </c:pt>
                <c:pt idx="8">
                  <c:v>73</c:v>
                </c:pt>
                <c:pt idx="9">
                  <c:v>121</c:v>
                </c:pt>
                <c:pt idx="10">
                  <c:v>96</c:v>
                </c:pt>
                <c:pt idx="11">
                  <c:v>102</c:v>
                </c:pt>
                <c:pt idx="12">
                  <c:v>66</c:v>
                </c:pt>
                <c:pt idx="13">
                  <c:v>112</c:v>
                </c:pt>
                <c:pt idx="14">
                  <c:v>136</c:v>
                </c:pt>
                <c:pt idx="15">
                  <c:v>121</c:v>
                </c:pt>
                <c:pt idx="16">
                  <c:v>107</c:v>
                </c:pt>
                <c:pt idx="17">
                  <c:v>142</c:v>
                </c:pt>
                <c:pt idx="18">
                  <c:v>180</c:v>
                </c:pt>
                <c:pt idx="19">
                  <c:v>203</c:v>
                </c:pt>
                <c:pt idx="20">
                  <c:v>159</c:v>
                </c:pt>
                <c:pt idx="21">
                  <c:v>97</c:v>
                </c:pt>
                <c:pt idx="22">
                  <c:v>192</c:v>
                </c:pt>
                <c:pt idx="23">
                  <c:v>200</c:v>
                </c:pt>
                <c:pt idx="24">
                  <c:v>191</c:v>
                </c:pt>
                <c:pt idx="25">
                  <c:v>185</c:v>
                </c:pt>
                <c:pt idx="26">
                  <c:v>191</c:v>
                </c:pt>
                <c:pt idx="27">
                  <c:v>185</c:v>
                </c:pt>
                <c:pt idx="28">
                  <c:v>154</c:v>
                </c:pt>
                <c:pt idx="29">
                  <c:v>162</c:v>
                </c:pt>
                <c:pt idx="30">
                  <c:v>153</c:v>
                </c:pt>
                <c:pt idx="31">
                  <c:v>176</c:v>
                </c:pt>
                <c:pt idx="32">
                  <c:v>98</c:v>
                </c:pt>
                <c:pt idx="33">
                  <c:v>48</c:v>
                </c:pt>
                <c:pt idx="34">
                  <c:v>21</c:v>
                </c:pt>
                <c:pt idx="35">
                  <c:v>16</c:v>
                </c:pt>
                <c:pt idx="36">
                  <c:v>34</c:v>
                </c:pt>
                <c:pt idx="37">
                  <c:v>20</c:v>
                </c:pt>
                <c:pt idx="38">
                  <c:v>16</c:v>
                </c:pt>
                <c:pt idx="39">
                  <c:v>17</c:v>
                </c:pt>
                <c:pt idx="40">
                  <c:v>15</c:v>
                </c:pt>
                <c:pt idx="41">
                  <c:v>11</c:v>
                </c:pt>
                <c:pt idx="42">
                  <c:v>19</c:v>
                </c:pt>
                <c:pt idx="43">
                  <c:v>5</c:v>
                </c:pt>
              </c:numCache>
            </c:numRef>
          </c:val>
          <c:extLst>
            <c:ext xmlns:c16="http://schemas.microsoft.com/office/drawing/2014/chart" uri="{C3380CC4-5D6E-409C-BE32-E72D297353CC}">
              <c16:uniqueId val="{00000003-ABC6-44A0-8FF8-50B8FBC7BA65}"/>
            </c:ext>
          </c:extLst>
        </c:ser>
        <c:ser>
          <c:idx val="4"/>
          <c:order val="4"/>
          <c:tx>
            <c:strRef>
              <c:f>Sheet3!$X$3:$X$4</c:f>
              <c:strCache>
                <c:ptCount val="1"/>
                <c:pt idx="0">
                  <c:v>41737</c:v>
                </c:pt>
              </c:strCache>
            </c:strRef>
          </c:tx>
          <c:spPr>
            <a:solidFill>
              <a:schemeClr val="accent5"/>
            </a:solidFill>
            <a:ln>
              <a:noFill/>
            </a:ln>
            <a:effectLst/>
          </c:spPr>
          <c:cat>
            <c:strRef>
              <c:f>Sheet3!$S$5:$S$49</c:f>
              <c:strCache>
                <c:ptCount val="44"/>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pt idx="27">
                  <c:v>2021Q4</c:v>
                </c:pt>
                <c:pt idx="28">
                  <c:v>2022Q1</c:v>
                </c:pt>
                <c:pt idx="29">
                  <c:v>2022Q2</c:v>
                </c:pt>
                <c:pt idx="30">
                  <c:v>2022Q3</c:v>
                </c:pt>
                <c:pt idx="31">
                  <c:v>2022Q4</c:v>
                </c:pt>
                <c:pt idx="32">
                  <c:v>2023Q1</c:v>
                </c:pt>
                <c:pt idx="33">
                  <c:v>2023Q2</c:v>
                </c:pt>
                <c:pt idx="34">
                  <c:v>2023Q3</c:v>
                </c:pt>
                <c:pt idx="35">
                  <c:v>2023Q4</c:v>
                </c:pt>
                <c:pt idx="36">
                  <c:v>2024Q1</c:v>
                </c:pt>
                <c:pt idx="37">
                  <c:v>2024Q2</c:v>
                </c:pt>
                <c:pt idx="38">
                  <c:v>2024Q3</c:v>
                </c:pt>
                <c:pt idx="39">
                  <c:v>2024Q4</c:v>
                </c:pt>
                <c:pt idx="40">
                  <c:v>2025Q1</c:v>
                </c:pt>
                <c:pt idx="41">
                  <c:v>2025Q2</c:v>
                </c:pt>
                <c:pt idx="42">
                  <c:v>2025Q3</c:v>
                </c:pt>
                <c:pt idx="43">
                  <c:v>2025Q4</c:v>
                </c:pt>
              </c:strCache>
            </c:strRef>
          </c:cat>
          <c:val>
            <c:numRef>
              <c:f>Sheet3!$X$5:$X$49</c:f>
              <c:numCache>
                <c:formatCode>General</c:formatCode>
                <c:ptCount val="44"/>
                <c:pt idx="0">
                  <c:v>8375</c:v>
                </c:pt>
                <c:pt idx="1">
                  <c:v>9494</c:v>
                </c:pt>
                <c:pt idx="2">
                  <c:v>9310</c:v>
                </c:pt>
                <c:pt idx="3">
                  <c:v>9385</c:v>
                </c:pt>
                <c:pt idx="4">
                  <c:v>7877</c:v>
                </c:pt>
                <c:pt idx="5">
                  <c:v>9474</c:v>
                </c:pt>
                <c:pt idx="6">
                  <c:v>9338</c:v>
                </c:pt>
                <c:pt idx="7">
                  <c:v>9387</c:v>
                </c:pt>
                <c:pt idx="8">
                  <c:v>8431</c:v>
                </c:pt>
                <c:pt idx="9">
                  <c:v>8644</c:v>
                </c:pt>
                <c:pt idx="10">
                  <c:v>9409</c:v>
                </c:pt>
                <c:pt idx="11">
                  <c:v>9306</c:v>
                </c:pt>
                <c:pt idx="12">
                  <c:v>8397</c:v>
                </c:pt>
                <c:pt idx="13">
                  <c:v>9102</c:v>
                </c:pt>
                <c:pt idx="14">
                  <c:v>9597</c:v>
                </c:pt>
                <c:pt idx="15">
                  <c:v>9927</c:v>
                </c:pt>
                <c:pt idx="16">
                  <c:v>8212</c:v>
                </c:pt>
                <c:pt idx="17">
                  <c:v>9096</c:v>
                </c:pt>
                <c:pt idx="18">
                  <c:v>9656</c:v>
                </c:pt>
                <c:pt idx="19">
                  <c:v>10057</c:v>
                </c:pt>
                <c:pt idx="20">
                  <c:v>8391</c:v>
                </c:pt>
                <c:pt idx="21">
                  <c:v>4486</c:v>
                </c:pt>
                <c:pt idx="22">
                  <c:v>10657</c:v>
                </c:pt>
                <c:pt idx="23">
                  <c:v>10082</c:v>
                </c:pt>
                <c:pt idx="24">
                  <c:v>8688</c:v>
                </c:pt>
                <c:pt idx="25">
                  <c:v>9635</c:v>
                </c:pt>
                <c:pt idx="26">
                  <c:v>10104</c:v>
                </c:pt>
                <c:pt idx="27">
                  <c:v>9434</c:v>
                </c:pt>
                <c:pt idx="28">
                  <c:v>6783</c:v>
                </c:pt>
                <c:pt idx="29">
                  <c:v>9075</c:v>
                </c:pt>
                <c:pt idx="30">
                  <c:v>9068</c:v>
                </c:pt>
                <c:pt idx="31">
                  <c:v>9672</c:v>
                </c:pt>
                <c:pt idx="32">
                  <c:v>6405</c:v>
                </c:pt>
                <c:pt idx="33">
                  <c:v>985</c:v>
                </c:pt>
                <c:pt idx="34">
                  <c:v>522</c:v>
                </c:pt>
                <c:pt idx="35">
                  <c:v>433</c:v>
                </c:pt>
                <c:pt idx="36">
                  <c:v>363</c:v>
                </c:pt>
                <c:pt idx="37">
                  <c:v>353</c:v>
                </c:pt>
                <c:pt idx="38">
                  <c:v>309</c:v>
                </c:pt>
                <c:pt idx="39">
                  <c:v>292</c:v>
                </c:pt>
                <c:pt idx="40">
                  <c:v>200</c:v>
                </c:pt>
                <c:pt idx="41">
                  <c:v>252</c:v>
                </c:pt>
                <c:pt idx="42">
                  <c:v>224</c:v>
                </c:pt>
                <c:pt idx="43">
                  <c:v>90</c:v>
                </c:pt>
              </c:numCache>
            </c:numRef>
          </c:val>
          <c:extLst>
            <c:ext xmlns:c16="http://schemas.microsoft.com/office/drawing/2014/chart" uri="{C3380CC4-5D6E-409C-BE32-E72D297353CC}">
              <c16:uniqueId val="{00000004-ABC6-44A0-8FF8-50B8FBC7BA65}"/>
            </c:ext>
          </c:extLst>
        </c:ser>
        <c:ser>
          <c:idx val="5"/>
          <c:order val="5"/>
          <c:tx>
            <c:strRef>
              <c:f>Sheet3!$Y$3:$Y$4</c:f>
              <c:strCache>
                <c:ptCount val="1"/>
                <c:pt idx="0">
                  <c:v>41752</c:v>
                </c:pt>
              </c:strCache>
            </c:strRef>
          </c:tx>
          <c:spPr>
            <a:solidFill>
              <a:schemeClr val="accent6"/>
            </a:solidFill>
            <a:ln>
              <a:noFill/>
            </a:ln>
            <a:effectLst/>
          </c:spPr>
          <c:cat>
            <c:strRef>
              <c:f>Sheet3!$S$5:$S$49</c:f>
              <c:strCache>
                <c:ptCount val="44"/>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pt idx="27">
                  <c:v>2021Q4</c:v>
                </c:pt>
                <c:pt idx="28">
                  <c:v>2022Q1</c:v>
                </c:pt>
                <c:pt idx="29">
                  <c:v>2022Q2</c:v>
                </c:pt>
                <c:pt idx="30">
                  <c:v>2022Q3</c:v>
                </c:pt>
                <c:pt idx="31">
                  <c:v>2022Q4</c:v>
                </c:pt>
                <c:pt idx="32">
                  <c:v>2023Q1</c:v>
                </c:pt>
                <c:pt idx="33">
                  <c:v>2023Q2</c:v>
                </c:pt>
                <c:pt idx="34">
                  <c:v>2023Q3</c:v>
                </c:pt>
                <c:pt idx="35">
                  <c:v>2023Q4</c:v>
                </c:pt>
                <c:pt idx="36">
                  <c:v>2024Q1</c:v>
                </c:pt>
                <c:pt idx="37">
                  <c:v>2024Q2</c:v>
                </c:pt>
                <c:pt idx="38">
                  <c:v>2024Q3</c:v>
                </c:pt>
                <c:pt idx="39">
                  <c:v>2024Q4</c:v>
                </c:pt>
                <c:pt idx="40">
                  <c:v>2025Q1</c:v>
                </c:pt>
                <c:pt idx="41">
                  <c:v>2025Q2</c:v>
                </c:pt>
                <c:pt idx="42">
                  <c:v>2025Q3</c:v>
                </c:pt>
                <c:pt idx="43">
                  <c:v>2025Q4</c:v>
                </c:pt>
              </c:strCache>
            </c:strRef>
          </c:cat>
          <c:val>
            <c:numRef>
              <c:f>Sheet3!$Y$5:$Y$49</c:f>
              <c:numCache>
                <c:formatCode>General</c:formatCode>
                <c:ptCount val="44"/>
                <c:pt idx="0">
                  <c:v>2823</c:v>
                </c:pt>
                <c:pt idx="1">
                  <c:v>3054</c:v>
                </c:pt>
                <c:pt idx="2">
                  <c:v>2991</c:v>
                </c:pt>
                <c:pt idx="3">
                  <c:v>3069</c:v>
                </c:pt>
                <c:pt idx="4">
                  <c:v>2549</c:v>
                </c:pt>
                <c:pt idx="5">
                  <c:v>3297</c:v>
                </c:pt>
                <c:pt idx="6">
                  <c:v>3001</c:v>
                </c:pt>
                <c:pt idx="7">
                  <c:v>3100</c:v>
                </c:pt>
                <c:pt idx="8">
                  <c:v>2622</c:v>
                </c:pt>
                <c:pt idx="9">
                  <c:v>2869</c:v>
                </c:pt>
                <c:pt idx="10">
                  <c:v>3095</c:v>
                </c:pt>
                <c:pt idx="11">
                  <c:v>2895</c:v>
                </c:pt>
                <c:pt idx="12">
                  <c:v>2625</c:v>
                </c:pt>
                <c:pt idx="13">
                  <c:v>3015</c:v>
                </c:pt>
                <c:pt idx="14">
                  <c:v>3048</c:v>
                </c:pt>
                <c:pt idx="15">
                  <c:v>3180</c:v>
                </c:pt>
                <c:pt idx="16">
                  <c:v>2616</c:v>
                </c:pt>
                <c:pt idx="17">
                  <c:v>2880</c:v>
                </c:pt>
                <c:pt idx="18">
                  <c:v>3084</c:v>
                </c:pt>
                <c:pt idx="19">
                  <c:v>3187</c:v>
                </c:pt>
                <c:pt idx="20">
                  <c:v>2734</c:v>
                </c:pt>
                <c:pt idx="21">
                  <c:v>1570</c:v>
                </c:pt>
                <c:pt idx="22">
                  <c:v>3454</c:v>
                </c:pt>
                <c:pt idx="23">
                  <c:v>3188</c:v>
                </c:pt>
                <c:pt idx="24">
                  <c:v>2692</c:v>
                </c:pt>
                <c:pt idx="25">
                  <c:v>3249</c:v>
                </c:pt>
                <c:pt idx="26">
                  <c:v>3280</c:v>
                </c:pt>
                <c:pt idx="27">
                  <c:v>3018</c:v>
                </c:pt>
                <c:pt idx="28">
                  <c:v>2185</c:v>
                </c:pt>
                <c:pt idx="29">
                  <c:v>2957</c:v>
                </c:pt>
                <c:pt idx="30">
                  <c:v>2926</c:v>
                </c:pt>
                <c:pt idx="31">
                  <c:v>3084</c:v>
                </c:pt>
                <c:pt idx="32">
                  <c:v>2016</c:v>
                </c:pt>
                <c:pt idx="33">
                  <c:v>507</c:v>
                </c:pt>
                <c:pt idx="34">
                  <c:v>489</c:v>
                </c:pt>
                <c:pt idx="35">
                  <c:v>433</c:v>
                </c:pt>
                <c:pt idx="36">
                  <c:v>423</c:v>
                </c:pt>
                <c:pt idx="37">
                  <c:v>397</c:v>
                </c:pt>
                <c:pt idx="38">
                  <c:v>386</c:v>
                </c:pt>
                <c:pt idx="39">
                  <c:v>362</c:v>
                </c:pt>
                <c:pt idx="40">
                  <c:v>346</c:v>
                </c:pt>
                <c:pt idx="41">
                  <c:v>405</c:v>
                </c:pt>
                <c:pt idx="42">
                  <c:v>478</c:v>
                </c:pt>
                <c:pt idx="43">
                  <c:v>168</c:v>
                </c:pt>
              </c:numCache>
            </c:numRef>
          </c:val>
          <c:extLst>
            <c:ext xmlns:c16="http://schemas.microsoft.com/office/drawing/2014/chart" uri="{C3380CC4-5D6E-409C-BE32-E72D297353CC}">
              <c16:uniqueId val="{00000005-ABC6-44A0-8FF8-50B8FBC7BA65}"/>
            </c:ext>
          </c:extLst>
        </c:ser>
        <c:ser>
          <c:idx val="6"/>
          <c:order val="6"/>
          <c:tx>
            <c:strRef>
              <c:f>Sheet3!$Z$3:$Z$4</c:f>
              <c:strCache>
                <c:ptCount val="1"/>
                <c:pt idx="0">
                  <c:v>41702</c:v>
                </c:pt>
              </c:strCache>
            </c:strRef>
          </c:tx>
          <c:spPr>
            <a:solidFill>
              <a:schemeClr val="accent1">
                <a:lumMod val="60000"/>
              </a:schemeClr>
            </a:solidFill>
            <a:ln>
              <a:noFill/>
            </a:ln>
            <a:effectLst/>
          </c:spPr>
          <c:cat>
            <c:strRef>
              <c:f>Sheet3!$S$5:$S$49</c:f>
              <c:strCache>
                <c:ptCount val="44"/>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pt idx="27">
                  <c:v>2021Q4</c:v>
                </c:pt>
                <c:pt idx="28">
                  <c:v>2022Q1</c:v>
                </c:pt>
                <c:pt idx="29">
                  <c:v>2022Q2</c:v>
                </c:pt>
                <c:pt idx="30">
                  <c:v>2022Q3</c:v>
                </c:pt>
                <c:pt idx="31">
                  <c:v>2022Q4</c:v>
                </c:pt>
                <c:pt idx="32">
                  <c:v>2023Q1</c:v>
                </c:pt>
                <c:pt idx="33">
                  <c:v>2023Q2</c:v>
                </c:pt>
                <c:pt idx="34">
                  <c:v>2023Q3</c:v>
                </c:pt>
                <c:pt idx="35">
                  <c:v>2023Q4</c:v>
                </c:pt>
                <c:pt idx="36">
                  <c:v>2024Q1</c:v>
                </c:pt>
                <c:pt idx="37">
                  <c:v>2024Q2</c:v>
                </c:pt>
                <c:pt idx="38">
                  <c:v>2024Q3</c:v>
                </c:pt>
                <c:pt idx="39">
                  <c:v>2024Q4</c:v>
                </c:pt>
                <c:pt idx="40">
                  <c:v>2025Q1</c:v>
                </c:pt>
                <c:pt idx="41">
                  <c:v>2025Q2</c:v>
                </c:pt>
                <c:pt idx="42">
                  <c:v>2025Q3</c:v>
                </c:pt>
                <c:pt idx="43">
                  <c:v>2025Q4</c:v>
                </c:pt>
              </c:strCache>
            </c:strRef>
          </c:cat>
          <c:val>
            <c:numRef>
              <c:f>Sheet3!$Z$5:$Z$49</c:f>
              <c:numCache>
                <c:formatCode>General</c:formatCode>
                <c:ptCount val="44"/>
                <c:pt idx="32">
                  <c:v>595</c:v>
                </c:pt>
                <c:pt idx="33">
                  <c:v>3302</c:v>
                </c:pt>
                <c:pt idx="34">
                  <c:v>3706</c:v>
                </c:pt>
                <c:pt idx="35">
                  <c:v>4047</c:v>
                </c:pt>
                <c:pt idx="36">
                  <c:v>3378</c:v>
                </c:pt>
                <c:pt idx="37">
                  <c:v>4152</c:v>
                </c:pt>
                <c:pt idx="38">
                  <c:v>4181</c:v>
                </c:pt>
                <c:pt idx="39">
                  <c:v>4325</c:v>
                </c:pt>
                <c:pt idx="40">
                  <c:v>3871</c:v>
                </c:pt>
                <c:pt idx="41">
                  <c:v>4447</c:v>
                </c:pt>
                <c:pt idx="42">
                  <c:v>4488</c:v>
                </c:pt>
                <c:pt idx="43">
                  <c:v>1581</c:v>
                </c:pt>
              </c:numCache>
            </c:numRef>
          </c:val>
          <c:extLst>
            <c:ext xmlns:c16="http://schemas.microsoft.com/office/drawing/2014/chart" uri="{C3380CC4-5D6E-409C-BE32-E72D297353CC}">
              <c16:uniqueId val="{00000006-ABC6-44A0-8FF8-50B8FBC7BA65}"/>
            </c:ext>
          </c:extLst>
        </c:ser>
        <c:ser>
          <c:idx val="7"/>
          <c:order val="7"/>
          <c:tx>
            <c:strRef>
              <c:f>Sheet3!$AA$3:$AA$4</c:f>
              <c:strCache>
                <c:ptCount val="1"/>
                <c:pt idx="0">
                  <c:v>41703</c:v>
                </c:pt>
              </c:strCache>
            </c:strRef>
          </c:tx>
          <c:spPr>
            <a:solidFill>
              <a:schemeClr val="accent2">
                <a:lumMod val="60000"/>
              </a:schemeClr>
            </a:solidFill>
            <a:ln>
              <a:noFill/>
            </a:ln>
            <a:effectLst/>
          </c:spPr>
          <c:cat>
            <c:strRef>
              <c:f>Sheet3!$S$5:$S$49</c:f>
              <c:strCache>
                <c:ptCount val="44"/>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pt idx="27">
                  <c:v>2021Q4</c:v>
                </c:pt>
                <c:pt idx="28">
                  <c:v>2022Q1</c:v>
                </c:pt>
                <c:pt idx="29">
                  <c:v>2022Q2</c:v>
                </c:pt>
                <c:pt idx="30">
                  <c:v>2022Q3</c:v>
                </c:pt>
                <c:pt idx="31">
                  <c:v>2022Q4</c:v>
                </c:pt>
                <c:pt idx="32">
                  <c:v>2023Q1</c:v>
                </c:pt>
                <c:pt idx="33">
                  <c:v>2023Q2</c:v>
                </c:pt>
                <c:pt idx="34">
                  <c:v>2023Q3</c:v>
                </c:pt>
                <c:pt idx="35">
                  <c:v>2023Q4</c:v>
                </c:pt>
                <c:pt idx="36">
                  <c:v>2024Q1</c:v>
                </c:pt>
                <c:pt idx="37">
                  <c:v>2024Q2</c:v>
                </c:pt>
                <c:pt idx="38">
                  <c:v>2024Q3</c:v>
                </c:pt>
                <c:pt idx="39">
                  <c:v>2024Q4</c:v>
                </c:pt>
                <c:pt idx="40">
                  <c:v>2025Q1</c:v>
                </c:pt>
                <c:pt idx="41">
                  <c:v>2025Q2</c:v>
                </c:pt>
                <c:pt idx="42">
                  <c:v>2025Q3</c:v>
                </c:pt>
                <c:pt idx="43">
                  <c:v>2025Q4</c:v>
                </c:pt>
              </c:strCache>
            </c:strRef>
          </c:cat>
          <c:val>
            <c:numRef>
              <c:f>Sheet3!$AA$5:$AA$49</c:f>
              <c:numCache>
                <c:formatCode>General</c:formatCode>
                <c:ptCount val="44"/>
                <c:pt idx="32">
                  <c:v>457</c:v>
                </c:pt>
                <c:pt idx="33">
                  <c:v>2511</c:v>
                </c:pt>
                <c:pt idx="34">
                  <c:v>2960</c:v>
                </c:pt>
                <c:pt idx="35">
                  <c:v>3047</c:v>
                </c:pt>
                <c:pt idx="36">
                  <c:v>2732</c:v>
                </c:pt>
                <c:pt idx="37">
                  <c:v>3103</c:v>
                </c:pt>
                <c:pt idx="38">
                  <c:v>3251</c:v>
                </c:pt>
                <c:pt idx="39">
                  <c:v>3280</c:v>
                </c:pt>
                <c:pt idx="40">
                  <c:v>2782</c:v>
                </c:pt>
                <c:pt idx="41">
                  <c:v>3086</c:v>
                </c:pt>
                <c:pt idx="42">
                  <c:v>3088</c:v>
                </c:pt>
                <c:pt idx="43">
                  <c:v>1102</c:v>
                </c:pt>
              </c:numCache>
            </c:numRef>
          </c:val>
          <c:extLst>
            <c:ext xmlns:c16="http://schemas.microsoft.com/office/drawing/2014/chart" uri="{C3380CC4-5D6E-409C-BE32-E72D297353CC}">
              <c16:uniqueId val="{00000007-ABC6-44A0-8FF8-50B8FBC7BA65}"/>
            </c:ext>
          </c:extLst>
        </c:ser>
        <c:ser>
          <c:idx val="8"/>
          <c:order val="8"/>
          <c:tx>
            <c:strRef>
              <c:f>Sheet3!$AB$3:$AB$4</c:f>
              <c:strCache>
                <c:ptCount val="1"/>
                <c:pt idx="0">
                  <c:v>41705</c:v>
                </c:pt>
              </c:strCache>
            </c:strRef>
          </c:tx>
          <c:spPr>
            <a:solidFill>
              <a:schemeClr val="accent3">
                <a:lumMod val="60000"/>
              </a:schemeClr>
            </a:solidFill>
            <a:ln>
              <a:noFill/>
            </a:ln>
            <a:effectLst/>
          </c:spPr>
          <c:cat>
            <c:strRef>
              <c:f>Sheet3!$S$5:$S$49</c:f>
              <c:strCache>
                <c:ptCount val="44"/>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pt idx="27">
                  <c:v>2021Q4</c:v>
                </c:pt>
                <c:pt idx="28">
                  <c:v>2022Q1</c:v>
                </c:pt>
                <c:pt idx="29">
                  <c:v>2022Q2</c:v>
                </c:pt>
                <c:pt idx="30">
                  <c:v>2022Q3</c:v>
                </c:pt>
                <c:pt idx="31">
                  <c:v>2022Q4</c:v>
                </c:pt>
                <c:pt idx="32">
                  <c:v>2023Q1</c:v>
                </c:pt>
                <c:pt idx="33">
                  <c:v>2023Q2</c:v>
                </c:pt>
                <c:pt idx="34">
                  <c:v>2023Q3</c:v>
                </c:pt>
                <c:pt idx="35">
                  <c:v>2023Q4</c:v>
                </c:pt>
                <c:pt idx="36">
                  <c:v>2024Q1</c:v>
                </c:pt>
                <c:pt idx="37">
                  <c:v>2024Q2</c:v>
                </c:pt>
                <c:pt idx="38">
                  <c:v>2024Q3</c:v>
                </c:pt>
                <c:pt idx="39">
                  <c:v>2024Q4</c:v>
                </c:pt>
                <c:pt idx="40">
                  <c:v>2025Q1</c:v>
                </c:pt>
                <c:pt idx="41">
                  <c:v>2025Q2</c:v>
                </c:pt>
                <c:pt idx="42">
                  <c:v>2025Q3</c:v>
                </c:pt>
                <c:pt idx="43">
                  <c:v>2025Q4</c:v>
                </c:pt>
              </c:strCache>
            </c:strRef>
          </c:cat>
          <c:val>
            <c:numRef>
              <c:f>Sheet3!$AB$5:$AB$49</c:f>
              <c:numCache>
                <c:formatCode>General</c:formatCode>
                <c:ptCount val="44"/>
                <c:pt idx="32">
                  <c:v>65</c:v>
                </c:pt>
                <c:pt idx="33">
                  <c:v>334</c:v>
                </c:pt>
                <c:pt idx="34">
                  <c:v>254</c:v>
                </c:pt>
                <c:pt idx="35">
                  <c:v>347</c:v>
                </c:pt>
                <c:pt idx="36">
                  <c:v>270</c:v>
                </c:pt>
                <c:pt idx="37">
                  <c:v>307</c:v>
                </c:pt>
                <c:pt idx="38">
                  <c:v>310</c:v>
                </c:pt>
                <c:pt idx="39">
                  <c:v>353</c:v>
                </c:pt>
                <c:pt idx="40">
                  <c:v>298</c:v>
                </c:pt>
                <c:pt idx="41">
                  <c:v>363</c:v>
                </c:pt>
                <c:pt idx="42">
                  <c:v>387</c:v>
                </c:pt>
                <c:pt idx="43">
                  <c:v>119</c:v>
                </c:pt>
              </c:numCache>
            </c:numRef>
          </c:val>
          <c:extLst>
            <c:ext xmlns:c16="http://schemas.microsoft.com/office/drawing/2014/chart" uri="{C3380CC4-5D6E-409C-BE32-E72D297353CC}">
              <c16:uniqueId val="{00000008-ABC6-44A0-8FF8-50B8FBC7BA65}"/>
            </c:ext>
          </c:extLst>
        </c:ser>
        <c:dLbls>
          <c:showLegendKey val="0"/>
          <c:showVal val="0"/>
          <c:showCatName val="0"/>
          <c:showSerName val="0"/>
          <c:showPercent val="0"/>
          <c:showBubbleSize val="0"/>
        </c:dLbls>
        <c:axId val="1721737296"/>
        <c:axId val="1721759376"/>
      </c:areaChart>
      <c:catAx>
        <c:axId val="17217372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the service was processed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1759376"/>
        <c:crosses val="autoZero"/>
        <c:auto val="1"/>
        <c:lblAlgn val="ctr"/>
        <c:lblOffset val="100"/>
        <c:noMultiLvlLbl val="0"/>
      </c:catAx>
      <c:valAx>
        <c:axId val="1721759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services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17372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[D1741 - Tables and graphs for report.xlsx]age gender!PivotTable1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'age gender'!$R$2:$R$3</c:f>
              <c:strCache>
                <c:ptCount val="1"/>
                <c:pt idx="0">
                  <c:v>Female</c:v>
                </c:pt>
              </c:strCache>
            </c:strRef>
          </c:tx>
          <c:spPr>
            <a:solidFill>
              <a:schemeClr val="accent1"/>
            </a:solidFill>
            <a:ln>
              <a:noFill/>
            </a:ln>
            <a:effectLst/>
          </c:spPr>
          <c:invertIfNegative val="0"/>
          <c:cat>
            <c:strRef>
              <c:f>'age gender'!$Q$4:$Q$17</c:f>
              <c:strCache>
                <c:ptCount val="13"/>
                <c:pt idx="0">
                  <c:v> 0-24 yrs</c:v>
                </c:pt>
                <c:pt idx="1">
                  <c:v>25-29 yrs</c:v>
                </c:pt>
                <c:pt idx="2">
                  <c:v>30-34 yrs</c:v>
                </c:pt>
                <c:pt idx="3">
                  <c:v>35-39 yrs</c:v>
                </c:pt>
                <c:pt idx="4">
                  <c:v>40-44 yrs</c:v>
                </c:pt>
                <c:pt idx="5">
                  <c:v>45-49 yrs</c:v>
                </c:pt>
                <c:pt idx="6">
                  <c:v>50-54 yrs</c:v>
                </c:pt>
                <c:pt idx="7">
                  <c:v>55-59 yrs</c:v>
                </c:pt>
                <c:pt idx="8">
                  <c:v>60-64 yrs</c:v>
                </c:pt>
                <c:pt idx="9">
                  <c:v>65-69 yrs</c:v>
                </c:pt>
                <c:pt idx="10">
                  <c:v>70-74 yrs</c:v>
                </c:pt>
                <c:pt idx="11">
                  <c:v>75-79 yrs</c:v>
                </c:pt>
                <c:pt idx="12">
                  <c:v>80+   yrs</c:v>
                </c:pt>
              </c:strCache>
            </c:strRef>
          </c:cat>
          <c:val>
            <c:numRef>
              <c:f>'age gender'!$R$4:$R$17</c:f>
              <c:numCache>
                <c:formatCode>General</c:formatCode>
                <c:ptCount val="13"/>
                <c:pt idx="0">
                  <c:v>25</c:v>
                </c:pt>
                <c:pt idx="1">
                  <c:v>36</c:v>
                </c:pt>
                <c:pt idx="2">
                  <c:v>76</c:v>
                </c:pt>
                <c:pt idx="3">
                  <c:v>73</c:v>
                </c:pt>
                <c:pt idx="4">
                  <c:v>107</c:v>
                </c:pt>
                <c:pt idx="5">
                  <c:v>124</c:v>
                </c:pt>
                <c:pt idx="6">
                  <c:v>140</c:v>
                </c:pt>
                <c:pt idx="7">
                  <c:v>149</c:v>
                </c:pt>
                <c:pt idx="8">
                  <c:v>138</c:v>
                </c:pt>
                <c:pt idx="9">
                  <c:v>95</c:v>
                </c:pt>
                <c:pt idx="10">
                  <c:v>59</c:v>
                </c:pt>
                <c:pt idx="11">
                  <c:v>38</c:v>
                </c:pt>
                <c:pt idx="12">
                  <c:v>24</c:v>
                </c:pt>
              </c:numCache>
            </c:numRef>
          </c:val>
          <c:extLst>
            <c:ext xmlns:c16="http://schemas.microsoft.com/office/drawing/2014/chart" uri="{C3380CC4-5D6E-409C-BE32-E72D297353CC}">
              <c16:uniqueId val="{00000000-D992-408A-A365-C64ED53E0A3C}"/>
            </c:ext>
          </c:extLst>
        </c:ser>
        <c:ser>
          <c:idx val="1"/>
          <c:order val="1"/>
          <c:tx>
            <c:strRef>
              <c:f>'age gender'!$S$2:$S$3</c:f>
              <c:strCache>
                <c:ptCount val="1"/>
                <c:pt idx="0">
                  <c:v>Male</c:v>
                </c:pt>
              </c:strCache>
            </c:strRef>
          </c:tx>
          <c:spPr>
            <a:solidFill>
              <a:schemeClr val="accent2"/>
            </a:solidFill>
            <a:ln>
              <a:noFill/>
            </a:ln>
            <a:effectLst/>
          </c:spPr>
          <c:invertIfNegative val="0"/>
          <c:cat>
            <c:strRef>
              <c:f>'age gender'!$Q$4:$Q$17</c:f>
              <c:strCache>
                <c:ptCount val="13"/>
                <c:pt idx="0">
                  <c:v> 0-24 yrs</c:v>
                </c:pt>
                <c:pt idx="1">
                  <c:v>25-29 yrs</c:v>
                </c:pt>
                <c:pt idx="2">
                  <c:v>30-34 yrs</c:v>
                </c:pt>
                <c:pt idx="3">
                  <c:v>35-39 yrs</c:v>
                </c:pt>
                <c:pt idx="4">
                  <c:v>40-44 yrs</c:v>
                </c:pt>
                <c:pt idx="5">
                  <c:v>45-49 yrs</c:v>
                </c:pt>
                <c:pt idx="6">
                  <c:v>50-54 yrs</c:v>
                </c:pt>
                <c:pt idx="7">
                  <c:v>55-59 yrs</c:v>
                </c:pt>
                <c:pt idx="8">
                  <c:v>60-64 yrs</c:v>
                </c:pt>
                <c:pt idx="9">
                  <c:v>65-69 yrs</c:v>
                </c:pt>
                <c:pt idx="10">
                  <c:v>70-74 yrs</c:v>
                </c:pt>
                <c:pt idx="11">
                  <c:v>75-79 yrs</c:v>
                </c:pt>
                <c:pt idx="12">
                  <c:v>80+   yrs</c:v>
                </c:pt>
              </c:strCache>
            </c:strRef>
          </c:cat>
          <c:val>
            <c:numRef>
              <c:f>'age gender'!$S$4:$S$17</c:f>
              <c:numCache>
                <c:formatCode>General</c:formatCode>
                <c:ptCount val="13"/>
                <c:pt idx="0">
                  <c:v>37</c:v>
                </c:pt>
                <c:pt idx="1">
                  <c:v>38</c:v>
                </c:pt>
                <c:pt idx="2">
                  <c:v>89</c:v>
                </c:pt>
                <c:pt idx="3">
                  <c:v>114</c:v>
                </c:pt>
                <c:pt idx="4">
                  <c:v>138</c:v>
                </c:pt>
                <c:pt idx="5">
                  <c:v>160</c:v>
                </c:pt>
                <c:pt idx="6">
                  <c:v>182</c:v>
                </c:pt>
                <c:pt idx="7">
                  <c:v>159</c:v>
                </c:pt>
                <c:pt idx="8">
                  <c:v>170</c:v>
                </c:pt>
                <c:pt idx="9">
                  <c:v>127</c:v>
                </c:pt>
                <c:pt idx="10">
                  <c:v>122</c:v>
                </c:pt>
                <c:pt idx="11">
                  <c:v>58</c:v>
                </c:pt>
                <c:pt idx="12">
                  <c:v>31</c:v>
                </c:pt>
              </c:numCache>
            </c:numRef>
          </c:val>
          <c:extLst>
            <c:ext xmlns:c16="http://schemas.microsoft.com/office/drawing/2014/chart" uri="{C3380CC4-5D6E-409C-BE32-E72D297353CC}">
              <c16:uniqueId val="{00000001-D992-408A-A365-C64ED53E0A3C}"/>
            </c:ext>
          </c:extLst>
        </c:ser>
        <c:dLbls>
          <c:showLegendKey val="0"/>
          <c:showVal val="0"/>
          <c:showCatName val="0"/>
          <c:showSerName val="0"/>
          <c:showPercent val="0"/>
          <c:showBubbleSize val="0"/>
        </c:dLbls>
        <c:gapWidth val="219"/>
        <c:overlap val="-27"/>
        <c:axId val="1589077855"/>
        <c:axId val="1589082655"/>
      </c:barChart>
      <c:catAx>
        <c:axId val="15890778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range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9082655"/>
        <c:crosses val="autoZero"/>
        <c:auto val="1"/>
        <c:lblAlgn val="ctr"/>
        <c:lblOffset val="100"/>
        <c:noMultiLvlLbl val="0"/>
      </c:catAx>
      <c:valAx>
        <c:axId val="15890826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90778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[D1741 - Tables and graphs for report v2.xlsx]prescrb type!PivotTable3</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percentStacked"/>
        <c:varyColors val="0"/>
        <c:ser>
          <c:idx val="0"/>
          <c:order val="0"/>
          <c:tx>
            <c:strRef>
              <c:f>'prescrb type'!$R$1:$R$2</c:f>
              <c:strCache>
                <c:ptCount val="1"/>
                <c:pt idx="0">
                  <c:v>ENT</c:v>
                </c:pt>
              </c:strCache>
            </c:strRef>
          </c:tx>
          <c:spPr>
            <a:solidFill>
              <a:schemeClr val="accent1"/>
            </a:solidFill>
            <a:ln>
              <a:noFill/>
            </a:ln>
            <a:effectLst/>
          </c:spPr>
          <c:invertIfNegative val="0"/>
          <c:cat>
            <c:strRef>
              <c:f>'prescrb type'!$Q$3:$Q$13</c:f>
              <c:strCache>
                <c:ptCount val="10"/>
                <c:pt idx="0">
                  <c:v>2023Q2</c:v>
                </c:pt>
                <c:pt idx="1">
                  <c:v>2023Q3</c:v>
                </c:pt>
                <c:pt idx="2">
                  <c:v>2023Q4</c:v>
                </c:pt>
                <c:pt idx="3">
                  <c:v>2024Q1</c:v>
                </c:pt>
                <c:pt idx="4">
                  <c:v>2024Q2</c:v>
                </c:pt>
                <c:pt idx="5">
                  <c:v>2024Q3</c:v>
                </c:pt>
                <c:pt idx="6">
                  <c:v>2024Q4</c:v>
                </c:pt>
                <c:pt idx="7">
                  <c:v>2025Q1</c:v>
                </c:pt>
                <c:pt idx="8">
                  <c:v>2025Q2</c:v>
                </c:pt>
                <c:pt idx="9">
                  <c:v>2025Q3</c:v>
                </c:pt>
              </c:strCache>
            </c:strRef>
          </c:cat>
          <c:val>
            <c:numRef>
              <c:f>'prescrb type'!$R$3:$R$13</c:f>
              <c:numCache>
                <c:formatCode>General</c:formatCode>
                <c:ptCount val="10"/>
                <c:pt idx="0">
                  <c:v>120</c:v>
                </c:pt>
                <c:pt idx="1">
                  <c:v>467</c:v>
                </c:pt>
                <c:pt idx="2">
                  <c:v>884</c:v>
                </c:pt>
                <c:pt idx="3">
                  <c:v>1175</c:v>
                </c:pt>
                <c:pt idx="4">
                  <c:v>1545</c:v>
                </c:pt>
                <c:pt idx="5">
                  <c:v>1873</c:v>
                </c:pt>
                <c:pt idx="6">
                  <c:v>2149</c:v>
                </c:pt>
                <c:pt idx="7">
                  <c:v>2219</c:v>
                </c:pt>
                <c:pt idx="8">
                  <c:v>2527</c:v>
                </c:pt>
                <c:pt idx="9">
                  <c:v>2773</c:v>
                </c:pt>
              </c:numCache>
            </c:numRef>
          </c:val>
          <c:extLst>
            <c:ext xmlns:c16="http://schemas.microsoft.com/office/drawing/2014/chart" uri="{C3380CC4-5D6E-409C-BE32-E72D297353CC}">
              <c16:uniqueId val="{00000000-FF11-4F8F-B71F-9C81788AC8FD}"/>
            </c:ext>
          </c:extLst>
        </c:ser>
        <c:ser>
          <c:idx val="1"/>
          <c:order val="1"/>
          <c:tx>
            <c:strRef>
              <c:f>'prescrb type'!$S$1:$S$2</c:f>
              <c:strCache>
                <c:ptCount val="1"/>
                <c:pt idx="0">
                  <c:v>Respiratory and Sleep Medicine</c:v>
                </c:pt>
              </c:strCache>
            </c:strRef>
          </c:tx>
          <c:spPr>
            <a:solidFill>
              <a:schemeClr val="accent2"/>
            </a:solidFill>
            <a:ln>
              <a:noFill/>
            </a:ln>
            <a:effectLst/>
          </c:spPr>
          <c:invertIfNegative val="0"/>
          <c:cat>
            <c:strRef>
              <c:f>'prescrb type'!$Q$3:$Q$13</c:f>
              <c:strCache>
                <c:ptCount val="10"/>
                <c:pt idx="0">
                  <c:v>2023Q2</c:v>
                </c:pt>
                <c:pt idx="1">
                  <c:v>2023Q3</c:v>
                </c:pt>
                <c:pt idx="2">
                  <c:v>2023Q4</c:v>
                </c:pt>
                <c:pt idx="3">
                  <c:v>2024Q1</c:v>
                </c:pt>
                <c:pt idx="4">
                  <c:v>2024Q2</c:v>
                </c:pt>
                <c:pt idx="5">
                  <c:v>2024Q3</c:v>
                </c:pt>
                <c:pt idx="6">
                  <c:v>2024Q4</c:v>
                </c:pt>
                <c:pt idx="7">
                  <c:v>2025Q1</c:v>
                </c:pt>
                <c:pt idx="8">
                  <c:v>2025Q2</c:v>
                </c:pt>
                <c:pt idx="9">
                  <c:v>2025Q3</c:v>
                </c:pt>
              </c:strCache>
            </c:strRef>
          </c:cat>
          <c:val>
            <c:numRef>
              <c:f>'prescrb type'!$S$3:$S$13</c:f>
              <c:numCache>
                <c:formatCode>General</c:formatCode>
                <c:ptCount val="10"/>
                <c:pt idx="0">
                  <c:v>76</c:v>
                </c:pt>
                <c:pt idx="1">
                  <c:v>209</c:v>
                </c:pt>
                <c:pt idx="2">
                  <c:v>308</c:v>
                </c:pt>
                <c:pt idx="3">
                  <c:v>360</c:v>
                </c:pt>
                <c:pt idx="4">
                  <c:v>449</c:v>
                </c:pt>
                <c:pt idx="5">
                  <c:v>543</c:v>
                </c:pt>
                <c:pt idx="6">
                  <c:v>614</c:v>
                </c:pt>
                <c:pt idx="7">
                  <c:v>684</c:v>
                </c:pt>
                <c:pt idx="8">
                  <c:v>802</c:v>
                </c:pt>
                <c:pt idx="9">
                  <c:v>893</c:v>
                </c:pt>
              </c:numCache>
            </c:numRef>
          </c:val>
          <c:extLst>
            <c:ext xmlns:c16="http://schemas.microsoft.com/office/drawing/2014/chart" uri="{C3380CC4-5D6E-409C-BE32-E72D297353CC}">
              <c16:uniqueId val="{00000001-FF11-4F8F-B71F-9C81788AC8FD}"/>
            </c:ext>
          </c:extLst>
        </c:ser>
        <c:ser>
          <c:idx val="2"/>
          <c:order val="2"/>
          <c:tx>
            <c:strRef>
              <c:f>'prescrb type'!$T$1:$T$2</c:f>
              <c:strCache>
                <c:ptCount val="1"/>
                <c:pt idx="0">
                  <c:v>Immunology and Allergy</c:v>
                </c:pt>
              </c:strCache>
            </c:strRef>
          </c:tx>
          <c:spPr>
            <a:solidFill>
              <a:schemeClr val="accent3"/>
            </a:solidFill>
            <a:ln>
              <a:noFill/>
            </a:ln>
            <a:effectLst/>
          </c:spPr>
          <c:invertIfNegative val="0"/>
          <c:cat>
            <c:strRef>
              <c:f>'prescrb type'!$Q$3:$Q$13</c:f>
              <c:strCache>
                <c:ptCount val="10"/>
                <c:pt idx="0">
                  <c:v>2023Q2</c:v>
                </c:pt>
                <c:pt idx="1">
                  <c:v>2023Q3</c:v>
                </c:pt>
                <c:pt idx="2">
                  <c:v>2023Q4</c:v>
                </c:pt>
                <c:pt idx="3">
                  <c:v>2024Q1</c:v>
                </c:pt>
                <c:pt idx="4">
                  <c:v>2024Q2</c:v>
                </c:pt>
                <c:pt idx="5">
                  <c:v>2024Q3</c:v>
                </c:pt>
                <c:pt idx="6">
                  <c:v>2024Q4</c:v>
                </c:pt>
                <c:pt idx="7">
                  <c:v>2025Q1</c:v>
                </c:pt>
                <c:pt idx="8">
                  <c:v>2025Q2</c:v>
                </c:pt>
                <c:pt idx="9">
                  <c:v>2025Q3</c:v>
                </c:pt>
              </c:strCache>
            </c:strRef>
          </c:cat>
          <c:val>
            <c:numRef>
              <c:f>'prescrb type'!$T$3:$T$13</c:f>
              <c:numCache>
                <c:formatCode>General</c:formatCode>
                <c:ptCount val="10"/>
                <c:pt idx="0">
                  <c:v>93</c:v>
                </c:pt>
                <c:pt idx="1">
                  <c:v>279</c:v>
                </c:pt>
                <c:pt idx="2">
                  <c:v>380</c:v>
                </c:pt>
                <c:pt idx="3">
                  <c:v>468</c:v>
                </c:pt>
                <c:pt idx="4">
                  <c:v>591</c:v>
                </c:pt>
                <c:pt idx="5">
                  <c:v>636</c:v>
                </c:pt>
                <c:pt idx="6">
                  <c:v>745</c:v>
                </c:pt>
                <c:pt idx="7">
                  <c:v>727</c:v>
                </c:pt>
                <c:pt idx="8">
                  <c:v>837</c:v>
                </c:pt>
                <c:pt idx="9">
                  <c:v>879</c:v>
                </c:pt>
              </c:numCache>
            </c:numRef>
          </c:val>
          <c:extLst>
            <c:ext xmlns:c16="http://schemas.microsoft.com/office/drawing/2014/chart" uri="{C3380CC4-5D6E-409C-BE32-E72D297353CC}">
              <c16:uniqueId val="{00000002-FF11-4F8F-B71F-9C81788AC8FD}"/>
            </c:ext>
          </c:extLst>
        </c:ser>
        <c:ser>
          <c:idx val="3"/>
          <c:order val="3"/>
          <c:tx>
            <c:strRef>
              <c:f>'prescrb type'!$U$1:$U$2</c:f>
              <c:strCache>
                <c:ptCount val="1"/>
                <c:pt idx="0">
                  <c:v>GP</c:v>
                </c:pt>
              </c:strCache>
            </c:strRef>
          </c:tx>
          <c:spPr>
            <a:solidFill>
              <a:schemeClr val="accent4"/>
            </a:solidFill>
            <a:ln>
              <a:noFill/>
            </a:ln>
            <a:effectLst/>
          </c:spPr>
          <c:invertIfNegative val="0"/>
          <c:cat>
            <c:strRef>
              <c:f>'prescrb type'!$Q$3:$Q$13</c:f>
              <c:strCache>
                <c:ptCount val="10"/>
                <c:pt idx="0">
                  <c:v>2023Q2</c:v>
                </c:pt>
                <c:pt idx="1">
                  <c:v>2023Q3</c:v>
                </c:pt>
                <c:pt idx="2">
                  <c:v>2023Q4</c:v>
                </c:pt>
                <c:pt idx="3">
                  <c:v>2024Q1</c:v>
                </c:pt>
                <c:pt idx="4">
                  <c:v>2024Q2</c:v>
                </c:pt>
                <c:pt idx="5">
                  <c:v>2024Q3</c:v>
                </c:pt>
                <c:pt idx="6">
                  <c:v>2024Q4</c:v>
                </c:pt>
                <c:pt idx="7">
                  <c:v>2025Q1</c:v>
                </c:pt>
                <c:pt idx="8">
                  <c:v>2025Q2</c:v>
                </c:pt>
                <c:pt idx="9">
                  <c:v>2025Q3</c:v>
                </c:pt>
              </c:strCache>
            </c:strRef>
          </c:cat>
          <c:val>
            <c:numRef>
              <c:f>'prescrb type'!$U$3:$U$13</c:f>
              <c:numCache>
                <c:formatCode>General</c:formatCode>
                <c:ptCount val="10"/>
                <c:pt idx="0">
                  <c:v>11</c:v>
                </c:pt>
                <c:pt idx="1">
                  <c:v>41</c:v>
                </c:pt>
                <c:pt idx="2">
                  <c:v>99</c:v>
                </c:pt>
                <c:pt idx="3">
                  <c:v>147</c:v>
                </c:pt>
                <c:pt idx="4">
                  <c:v>190</c:v>
                </c:pt>
                <c:pt idx="5">
                  <c:v>202</c:v>
                </c:pt>
                <c:pt idx="6">
                  <c:v>278</c:v>
                </c:pt>
                <c:pt idx="7">
                  <c:v>323</c:v>
                </c:pt>
                <c:pt idx="8">
                  <c:v>335</c:v>
                </c:pt>
                <c:pt idx="9">
                  <c:v>386</c:v>
                </c:pt>
              </c:numCache>
            </c:numRef>
          </c:val>
          <c:extLst>
            <c:ext xmlns:c16="http://schemas.microsoft.com/office/drawing/2014/chart" uri="{C3380CC4-5D6E-409C-BE32-E72D297353CC}">
              <c16:uniqueId val="{00000003-FF11-4F8F-B71F-9C81788AC8FD}"/>
            </c:ext>
          </c:extLst>
        </c:ser>
        <c:ser>
          <c:idx val="4"/>
          <c:order val="4"/>
          <c:tx>
            <c:strRef>
              <c:f>'prescrb type'!$V$1:$V$2</c:f>
              <c:strCache>
                <c:ptCount val="1"/>
                <c:pt idx="0">
                  <c:v>Other</c:v>
                </c:pt>
              </c:strCache>
            </c:strRef>
          </c:tx>
          <c:spPr>
            <a:solidFill>
              <a:schemeClr val="accent5"/>
            </a:solidFill>
            <a:ln>
              <a:noFill/>
            </a:ln>
            <a:effectLst/>
          </c:spPr>
          <c:invertIfNegative val="0"/>
          <c:cat>
            <c:strRef>
              <c:f>'prescrb type'!$Q$3:$Q$13</c:f>
              <c:strCache>
                <c:ptCount val="10"/>
                <c:pt idx="0">
                  <c:v>2023Q2</c:v>
                </c:pt>
                <c:pt idx="1">
                  <c:v>2023Q3</c:v>
                </c:pt>
                <c:pt idx="2">
                  <c:v>2023Q4</c:v>
                </c:pt>
                <c:pt idx="3">
                  <c:v>2024Q1</c:v>
                </c:pt>
                <c:pt idx="4">
                  <c:v>2024Q2</c:v>
                </c:pt>
                <c:pt idx="5">
                  <c:v>2024Q3</c:v>
                </c:pt>
                <c:pt idx="6">
                  <c:v>2024Q4</c:v>
                </c:pt>
                <c:pt idx="7">
                  <c:v>2025Q1</c:v>
                </c:pt>
                <c:pt idx="8">
                  <c:v>2025Q2</c:v>
                </c:pt>
                <c:pt idx="9">
                  <c:v>2025Q3</c:v>
                </c:pt>
              </c:strCache>
            </c:strRef>
          </c:cat>
          <c:val>
            <c:numRef>
              <c:f>'prescrb type'!$V$3:$V$13</c:f>
              <c:numCache>
                <c:formatCode>General</c:formatCode>
                <c:ptCount val="10"/>
                <c:pt idx="0">
                  <c:v>37</c:v>
                </c:pt>
                <c:pt idx="1">
                  <c:v>128</c:v>
                </c:pt>
                <c:pt idx="2">
                  <c:v>178</c:v>
                </c:pt>
                <c:pt idx="3">
                  <c:v>194</c:v>
                </c:pt>
                <c:pt idx="4">
                  <c:v>236</c:v>
                </c:pt>
                <c:pt idx="5">
                  <c:v>270</c:v>
                </c:pt>
                <c:pt idx="6">
                  <c:v>303</c:v>
                </c:pt>
                <c:pt idx="7">
                  <c:v>312</c:v>
                </c:pt>
                <c:pt idx="8">
                  <c:v>352</c:v>
                </c:pt>
                <c:pt idx="9">
                  <c:v>427</c:v>
                </c:pt>
              </c:numCache>
            </c:numRef>
          </c:val>
          <c:extLst>
            <c:ext xmlns:c16="http://schemas.microsoft.com/office/drawing/2014/chart" uri="{C3380CC4-5D6E-409C-BE32-E72D297353CC}">
              <c16:uniqueId val="{00000004-FF11-4F8F-B71F-9C81788AC8FD}"/>
            </c:ext>
          </c:extLst>
        </c:ser>
        <c:ser>
          <c:idx val="5"/>
          <c:order val="5"/>
          <c:tx>
            <c:strRef>
              <c:f>'prescrb type'!$W$1:$W$2</c:f>
              <c:strCache>
                <c:ptCount val="1"/>
                <c:pt idx="0">
                  <c:v>Not found</c:v>
                </c:pt>
              </c:strCache>
            </c:strRef>
          </c:tx>
          <c:spPr>
            <a:solidFill>
              <a:schemeClr val="accent6"/>
            </a:solidFill>
            <a:ln>
              <a:noFill/>
            </a:ln>
            <a:effectLst/>
          </c:spPr>
          <c:invertIfNegative val="0"/>
          <c:cat>
            <c:strRef>
              <c:f>'prescrb type'!$Q$3:$Q$13</c:f>
              <c:strCache>
                <c:ptCount val="10"/>
                <c:pt idx="0">
                  <c:v>2023Q2</c:v>
                </c:pt>
                <c:pt idx="1">
                  <c:v>2023Q3</c:v>
                </c:pt>
                <c:pt idx="2">
                  <c:v>2023Q4</c:v>
                </c:pt>
                <c:pt idx="3">
                  <c:v>2024Q1</c:v>
                </c:pt>
                <c:pt idx="4">
                  <c:v>2024Q2</c:v>
                </c:pt>
                <c:pt idx="5">
                  <c:v>2024Q3</c:v>
                </c:pt>
                <c:pt idx="6">
                  <c:v>2024Q4</c:v>
                </c:pt>
                <c:pt idx="7">
                  <c:v>2025Q1</c:v>
                </c:pt>
                <c:pt idx="8">
                  <c:v>2025Q2</c:v>
                </c:pt>
                <c:pt idx="9">
                  <c:v>2025Q3</c:v>
                </c:pt>
              </c:strCache>
            </c:strRef>
          </c:cat>
          <c:val>
            <c:numRef>
              <c:f>'prescrb type'!$W$3:$W$13</c:f>
              <c:numCache>
                <c:formatCode>General</c:formatCode>
                <c:ptCount val="10"/>
                <c:pt idx="0">
                  <c:v>11</c:v>
                </c:pt>
                <c:pt idx="1">
                  <c:v>38</c:v>
                </c:pt>
                <c:pt idx="2">
                  <c:v>72</c:v>
                </c:pt>
                <c:pt idx="3">
                  <c:v>83</c:v>
                </c:pt>
                <c:pt idx="4">
                  <c:v>115</c:v>
                </c:pt>
                <c:pt idx="5">
                  <c:v>147</c:v>
                </c:pt>
                <c:pt idx="6">
                  <c:v>171</c:v>
                </c:pt>
                <c:pt idx="7">
                  <c:v>174</c:v>
                </c:pt>
                <c:pt idx="8">
                  <c:v>191</c:v>
                </c:pt>
                <c:pt idx="9">
                  <c:v>236</c:v>
                </c:pt>
              </c:numCache>
            </c:numRef>
          </c:val>
          <c:extLst>
            <c:ext xmlns:c16="http://schemas.microsoft.com/office/drawing/2014/chart" uri="{C3380CC4-5D6E-409C-BE32-E72D297353CC}">
              <c16:uniqueId val="{00000005-FF11-4F8F-B71F-9C81788AC8FD}"/>
            </c:ext>
          </c:extLst>
        </c:ser>
        <c:dLbls>
          <c:showLegendKey val="0"/>
          <c:showVal val="0"/>
          <c:showCatName val="0"/>
          <c:showSerName val="0"/>
          <c:showPercent val="0"/>
          <c:showBubbleSize val="0"/>
        </c:dLbls>
        <c:gapWidth val="150"/>
        <c:overlap val="100"/>
        <c:axId val="727352111"/>
        <c:axId val="727350191"/>
      </c:barChart>
      <c:catAx>
        <c:axId val="7273521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r>
                  <a:rPr lang="en-AU" baseline="0"/>
                  <a:t> of supply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7350191"/>
        <c:crosses val="autoZero"/>
        <c:auto val="1"/>
        <c:lblAlgn val="ctr"/>
        <c:lblOffset val="100"/>
        <c:noMultiLvlLbl val="0"/>
      </c:catAx>
      <c:valAx>
        <c:axId val="727350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Percentage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73521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'state init pats'!$B$2</c:f>
              <c:strCache>
                <c:ptCount val="1"/>
                <c:pt idx="0">
                  <c:v>Initiating patients</c:v>
                </c:pt>
              </c:strCache>
            </c:strRef>
          </c:tx>
          <c:spPr>
            <a:solidFill>
              <a:schemeClr val="accent1"/>
            </a:solidFill>
            <a:ln>
              <a:noFill/>
            </a:ln>
            <a:effectLst/>
          </c:spPr>
          <c:invertIfNegative val="0"/>
          <c:cat>
            <c:strRef>
              <c:f>'state init pats'!$A$3:$A$10</c:f>
              <c:strCache>
                <c:ptCount val="8"/>
                <c:pt idx="0">
                  <c:v>ACT</c:v>
                </c:pt>
                <c:pt idx="1">
                  <c:v>NSW</c:v>
                </c:pt>
                <c:pt idx="2">
                  <c:v>NT</c:v>
                </c:pt>
                <c:pt idx="3">
                  <c:v>QLD</c:v>
                </c:pt>
                <c:pt idx="4">
                  <c:v>SA</c:v>
                </c:pt>
                <c:pt idx="5">
                  <c:v>TAS</c:v>
                </c:pt>
                <c:pt idx="6">
                  <c:v>VIC</c:v>
                </c:pt>
                <c:pt idx="7">
                  <c:v>WA</c:v>
                </c:pt>
              </c:strCache>
            </c:strRef>
          </c:cat>
          <c:val>
            <c:numRef>
              <c:f>'state init pats'!$B$3:$B$10</c:f>
              <c:numCache>
                <c:formatCode>General</c:formatCode>
                <c:ptCount val="8"/>
                <c:pt idx="0">
                  <c:v>34</c:v>
                </c:pt>
                <c:pt idx="1">
                  <c:v>749</c:v>
                </c:pt>
                <c:pt idx="2">
                  <c:v>20</c:v>
                </c:pt>
                <c:pt idx="3">
                  <c:v>588</c:v>
                </c:pt>
                <c:pt idx="4">
                  <c:v>218</c:v>
                </c:pt>
                <c:pt idx="5">
                  <c:v>41</c:v>
                </c:pt>
                <c:pt idx="6">
                  <c:v>551</c:v>
                </c:pt>
                <c:pt idx="7">
                  <c:v>308</c:v>
                </c:pt>
              </c:numCache>
            </c:numRef>
          </c:val>
          <c:extLst>
            <c:ext xmlns:c16="http://schemas.microsoft.com/office/drawing/2014/chart" uri="{C3380CC4-5D6E-409C-BE32-E72D297353CC}">
              <c16:uniqueId val="{00000000-885C-491E-B30F-4222337F11A5}"/>
            </c:ext>
          </c:extLst>
        </c:ser>
        <c:ser>
          <c:idx val="2"/>
          <c:order val="2"/>
          <c:tx>
            <c:strRef>
              <c:f>'state init pats'!$D$2</c:f>
              <c:strCache>
                <c:ptCount val="1"/>
                <c:pt idx="0">
                  <c:v>secondary spacer</c:v>
                </c:pt>
              </c:strCache>
            </c:strRef>
          </c:tx>
          <c:spPr>
            <a:solidFill>
              <a:schemeClr val="accent3"/>
            </a:solidFill>
            <a:ln>
              <a:noFill/>
            </a:ln>
            <a:effectLst/>
          </c:spPr>
          <c:invertIfNegative val="0"/>
          <c:cat>
            <c:strRef>
              <c:f>'state init pats'!$A$3:$A$10</c:f>
              <c:strCache>
                <c:ptCount val="8"/>
                <c:pt idx="0">
                  <c:v>ACT</c:v>
                </c:pt>
                <c:pt idx="1">
                  <c:v>NSW</c:v>
                </c:pt>
                <c:pt idx="2">
                  <c:v>NT</c:v>
                </c:pt>
                <c:pt idx="3">
                  <c:v>QLD</c:v>
                </c:pt>
                <c:pt idx="4">
                  <c:v>SA</c:v>
                </c:pt>
                <c:pt idx="5">
                  <c:v>TAS</c:v>
                </c:pt>
                <c:pt idx="6">
                  <c:v>VIC</c:v>
                </c:pt>
                <c:pt idx="7">
                  <c:v>WA</c:v>
                </c:pt>
              </c:strCache>
            </c:strRef>
          </c:cat>
          <c:val>
            <c:numRef>
              <c:f>'state init pats'!$D$3:$D$10</c:f>
              <c:numCache>
                <c:formatCode>General</c:formatCode>
                <c:ptCount val="8"/>
              </c:numCache>
            </c:numRef>
          </c:val>
          <c:extLst>
            <c:ext xmlns:c16="http://schemas.microsoft.com/office/drawing/2014/chart" uri="{C3380CC4-5D6E-409C-BE32-E72D297353CC}">
              <c16:uniqueId val="{00000001-885C-491E-B30F-4222337F11A5}"/>
            </c:ext>
          </c:extLst>
        </c:ser>
        <c:dLbls>
          <c:showLegendKey val="0"/>
          <c:showVal val="0"/>
          <c:showCatName val="0"/>
          <c:showSerName val="0"/>
          <c:showPercent val="0"/>
          <c:showBubbleSize val="0"/>
        </c:dLbls>
        <c:gapWidth val="219"/>
        <c:overlap val="-27"/>
        <c:axId val="2124368687"/>
        <c:axId val="2124369647"/>
      </c:barChart>
      <c:barChart>
        <c:barDir val="col"/>
        <c:grouping val="clustered"/>
        <c:varyColors val="0"/>
        <c:ser>
          <c:idx val="1"/>
          <c:order val="1"/>
          <c:tx>
            <c:strRef>
              <c:f>'state init pats'!$C$2</c:f>
              <c:strCache>
                <c:ptCount val="1"/>
                <c:pt idx="0">
                  <c:v>primary spacer</c:v>
                </c:pt>
              </c:strCache>
            </c:strRef>
          </c:tx>
          <c:spPr>
            <a:solidFill>
              <a:schemeClr val="accent2"/>
            </a:solidFill>
            <a:ln>
              <a:noFill/>
            </a:ln>
            <a:effectLst/>
          </c:spPr>
          <c:invertIfNegative val="0"/>
          <c:cat>
            <c:strRef>
              <c:f>'state init pats'!$A$3:$A$10</c:f>
              <c:strCache>
                <c:ptCount val="8"/>
                <c:pt idx="0">
                  <c:v>ACT</c:v>
                </c:pt>
                <c:pt idx="1">
                  <c:v>NSW</c:v>
                </c:pt>
                <c:pt idx="2">
                  <c:v>NT</c:v>
                </c:pt>
                <c:pt idx="3">
                  <c:v>QLD</c:v>
                </c:pt>
                <c:pt idx="4">
                  <c:v>SA</c:v>
                </c:pt>
                <c:pt idx="5">
                  <c:v>TAS</c:v>
                </c:pt>
                <c:pt idx="6">
                  <c:v>VIC</c:v>
                </c:pt>
                <c:pt idx="7">
                  <c:v>WA</c:v>
                </c:pt>
              </c:strCache>
            </c:strRef>
          </c:cat>
          <c:val>
            <c:numRef>
              <c:f>'state init pats'!$C$3:$C$10</c:f>
              <c:numCache>
                <c:formatCode>General</c:formatCode>
                <c:ptCount val="8"/>
              </c:numCache>
            </c:numRef>
          </c:val>
          <c:extLst>
            <c:ext xmlns:c16="http://schemas.microsoft.com/office/drawing/2014/chart" uri="{C3380CC4-5D6E-409C-BE32-E72D297353CC}">
              <c16:uniqueId val="{00000002-885C-491E-B30F-4222337F11A5}"/>
            </c:ext>
          </c:extLst>
        </c:ser>
        <c:ser>
          <c:idx val="3"/>
          <c:order val="3"/>
          <c:tx>
            <c:strRef>
              <c:f>'state init pats'!$E$2</c:f>
              <c:strCache>
                <c:ptCount val="1"/>
                <c:pt idx="0">
                  <c:v>Standardised number of patients</c:v>
                </c:pt>
              </c:strCache>
            </c:strRef>
          </c:tx>
          <c:spPr>
            <a:solidFill>
              <a:schemeClr val="accent4"/>
            </a:solidFill>
            <a:ln>
              <a:noFill/>
            </a:ln>
            <a:effectLst/>
          </c:spPr>
          <c:invertIfNegative val="0"/>
          <c:cat>
            <c:strRef>
              <c:f>'state init pats'!$A$3:$A$10</c:f>
              <c:strCache>
                <c:ptCount val="8"/>
                <c:pt idx="0">
                  <c:v>ACT</c:v>
                </c:pt>
                <c:pt idx="1">
                  <c:v>NSW</c:v>
                </c:pt>
                <c:pt idx="2">
                  <c:v>NT</c:v>
                </c:pt>
                <c:pt idx="3">
                  <c:v>QLD</c:v>
                </c:pt>
                <c:pt idx="4">
                  <c:v>SA</c:v>
                </c:pt>
                <c:pt idx="5">
                  <c:v>TAS</c:v>
                </c:pt>
                <c:pt idx="6">
                  <c:v>VIC</c:v>
                </c:pt>
                <c:pt idx="7">
                  <c:v>WA</c:v>
                </c:pt>
              </c:strCache>
            </c:strRef>
          </c:cat>
          <c:val>
            <c:numRef>
              <c:f>'state init pats'!$E$3:$E$10</c:f>
              <c:numCache>
                <c:formatCode>General</c:formatCode>
                <c:ptCount val="8"/>
                <c:pt idx="0">
                  <c:v>7.0276973956180235</c:v>
                </c:pt>
                <c:pt idx="1">
                  <c:v>8.7304177545691903</c:v>
                </c:pt>
                <c:pt idx="2">
                  <c:v>7.5930144267274109</c:v>
                </c:pt>
                <c:pt idx="3">
                  <c:v>10.411686586985391</c:v>
                </c:pt>
                <c:pt idx="4">
                  <c:v>11.482144738228168</c:v>
                </c:pt>
                <c:pt idx="5">
                  <c:v>7.1168199965283803</c:v>
                </c:pt>
                <c:pt idx="6">
                  <c:v>7.8121676993095228</c:v>
                </c:pt>
                <c:pt idx="7">
                  <c:v>10.164345587749985</c:v>
                </c:pt>
              </c:numCache>
            </c:numRef>
          </c:val>
          <c:extLst>
            <c:ext xmlns:c16="http://schemas.microsoft.com/office/drawing/2014/chart" uri="{C3380CC4-5D6E-409C-BE32-E72D297353CC}">
              <c16:uniqueId val="{00000003-885C-491E-B30F-4222337F11A5}"/>
            </c:ext>
          </c:extLst>
        </c:ser>
        <c:dLbls>
          <c:showLegendKey val="0"/>
          <c:showVal val="0"/>
          <c:showCatName val="0"/>
          <c:showSerName val="0"/>
          <c:showPercent val="0"/>
          <c:showBubbleSize val="0"/>
        </c:dLbls>
        <c:gapWidth val="219"/>
        <c:overlap val="-27"/>
        <c:axId val="518421231"/>
        <c:axId val="518421711"/>
      </c:barChart>
      <c:catAx>
        <c:axId val="212436868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State or Territory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4369647"/>
        <c:crosses val="autoZero"/>
        <c:auto val="1"/>
        <c:lblAlgn val="ctr"/>
        <c:lblOffset val="100"/>
        <c:noMultiLvlLbl val="0"/>
      </c:catAx>
      <c:valAx>
        <c:axId val="21243696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4368687"/>
        <c:crosses val="autoZero"/>
        <c:crossBetween val="between"/>
      </c:valAx>
      <c:valAx>
        <c:axId val="518421711"/>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Standardised number of</a:t>
                </a:r>
                <a:r>
                  <a:rPr lang="en-AU" baseline="0"/>
                  <a:t> patients (per100,000)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8421231"/>
        <c:crosses val="max"/>
        <c:crossBetween val="between"/>
      </c:valAx>
      <c:catAx>
        <c:axId val="518421231"/>
        <c:scaling>
          <c:orientation val="minMax"/>
        </c:scaling>
        <c:delete val="1"/>
        <c:axPos val="b"/>
        <c:numFmt formatCode="General" sourceLinked="1"/>
        <c:majorTickMark val="out"/>
        <c:minorTickMark val="none"/>
        <c:tickLblPos val="nextTo"/>
        <c:crossAx val="518421711"/>
        <c:crosses val="autoZero"/>
        <c:auto val="1"/>
        <c:lblAlgn val="ctr"/>
        <c:lblOffset val="100"/>
        <c:noMultiLvlLbl val="0"/>
      </c:cat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'state scripts'!$B$2</c:f>
              <c:strCache>
                <c:ptCount val="1"/>
                <c:pt idx="0">
                  <c:v>Prescriptions</c:v>
                </c:pt>
              </c:strCache>
            </c:strRef>
          </c:tx>
          <c:spPr>
            <a:solidFill>
              <a:schemeClr val="accent1"/>
            </a:solidFill>
            <a:ln>
              <a:noFill/>
            </a:ln>
            <a:effectLst/>
          </c:spPr>
          <c:invertIfNegative val="0"/>
          <c:cat>
            <c:strRef>
              <c:f>'state scripts'!$A$3:$A$10</c:f>
              <c:strCache>
                <c:ptCount val="8"/>
                <c:pt idx="0">
                  <c:v>ACT</c:v>
                </c:pt>
                <c:pt idx="1">
                  <c:v>NSW</c:v>
                </c:pt>
                <c:pt idx="2">
                  <c:v>NT</c:v>
                </c:pt>
                <c:pt idx="3">
                  <c:v>QLD</c:v>
                </c:pt>
                <c:pt idx="4">
                  <c:v>SA</c:v>
                </c:pt>
                <c:pt idx="5">
                  <c:v>TAS</c:v>
                </c:pt>
                <c:pt idx="6">
                  <c:v>VIC</c:v>
                </c:pt>
                <c:pt idx="7">
                  <c:v>WA</c:v>
                </c:pt>
              </c:strCache>
            </c:strRef>
          </c:cat>
          <c:val>
            <c:numRef>
              <c:f>'state scripts'!$B$3:$B$10</c:f>
              <c:numCache>
                <c:formatCode>General</c:formatCode>
                <c:ptCount val="8"/>
                <c:pt idx="0">
                  <c:v>429</c:v>
                </c:pt>
                <c:pt idx="1">
                  <c:v>9103</c:v>
                </c:pt>
                <c:pt idx="2">
                  <c:v>257</c:v>
                </c:pt>
                <c:pt idx="3">
                  <c:v>7983</c:v>
                </c:pt>
                <c:pt idx="4">
                  <c:v>2877</c:v>
                </c:pt>
                <c:pt idx="5">
                  <c:v>511</c:v>
                </c:pt>
                <c:pt idx="6">
                  <c:v>6683</c:v>
                </c:pt>
                <c:pt idx="7">
                  <c:v>4149</c:v>
                </c:pt>
              </c:numCache>
            </c:numRef>
          </c:val>
          <c:extLst>
            <c:ext xmlns:c16="http://schemas.microsoft.com/office/drawing/2014/chart" uri="{C3380CC4-5D6E-409C-BE32-E72D297353CC}">
              <c16:uniqueId val="{00000000-3DB2-4B55-9EDC-509EE1D95AE4}"/>
            </c:ext>
          </c:extLst>
        </c:ser>
        <c:ser>
          <c:idx val="2"/>
          <c:order val="2"/>
          <c:tx>
            <c:strRef>
              <c:f>'state scripts'!$D$2</c:f>
              <c:strCache>
                <c:ptCount val="1"/>
                <c:pt idx="0">
                  <c:v>secondary spacer</c:v>
                </c:pt>
              </c:strCache>
            </c:strRef>
          </c:tx>
          <c:spPr>
            <a:solidFill>
              <a:schemeClr val="accent3"/>
            </a:solidFill>
            <a:ln>
              <a:noFill/>
            </a:ln>
            <a:effectLst/>
          </c:spPr>
          <c:invertIfNegative val="0"/>
          <c:cat>
            <c:strRef>
              <c:f>'state scripts'!$A$3:$A$10</c:f>
              <c:strCache>
                <c:ptCount val="8"/>
                <c:pt idx="0">
                  <c:v>ACT</c:v>
                </c:pt>
                <c:pt idx="1">
                  <c:v>NSW</c:v>
                </c:pt>
                <c:pt idx="2">
                  <c:v>NT</c:v>
                </c:pt>
                <c:pt idx="3">
                  <c:v>QLD</c:v>
                </c:pt>
                <c:pt idx="4">
                  <c:v>SA</c:v>
                </c:pt>
                <c:pt idx="5">
                  <c:v>TAS</c:v>
                </c:pt>
                <c:pt idx="6">
                  <c:v>VIC</c:v>
                </c:pt>
                <c:pt idx="7">
                  <c:v>WA</c:v>
                </c:pt>
              </c:strCache>
            </c:strRef>
          </c:cat>
          <c:val>
            <c:numRef>
              <c:f>'state scripts'!$D$3:$D$10</c:f>
              <c:numCache>
                <c:formatCode>General</c:formatCode>
                <c:ptCount val="8"/>
              </c:numCache>
            </c:numRef>
          </c:val>
          <c:extLst>
            <c:ext xmlns:c16="http://schemas.microsoft.com/office/drawing/2014/chart" uri="{C3380CC4-5D6E-409C-BE32-E72D297353CC}">
              <c16:uniqueId val="{00000001-3DB2-4B55-9EDC-509EE1D95AE4}"/>
            </c:ext>
          </c:extLst>
        </c:ser>
        <c:dLbls>
          <c:showLegendKey val="0"/>
          <c:showVal val="0"/>
          <c:showCatName val="0"/>
          <c:showSerName val="0"/>
          <c:showPercent val="0"/>
          <c:showBubbleSize val="0"/>
        </c:dLbls>
        <c:gapWidth val="219"/>
        <c:overlap val="-27"/>
        <c:axId val="2124368687"/>
        <c:axId val="2124369647"/>
      </c:barChart>
      <c:barChart>
        <c:barDir val="col"/>
        <c:grouping val="clustered"/>
        <c:varyColors val="0"/>
        <c:ser>
          <c:idx val="1"/>
          <c:order val="1"/>
          <c:tx>
            <c:strRef>
              <c:f>'state scripts'!$C$2</c:f>
              <c:strCache>
                <c:ptCount val="1"/>
                <c:pt idx="0">
                  <c:v>primary spacer</c:v>
                </c:pt>
              </c:strCache>
            </c:strRef>
          </c:tx>
          <c:spPr>
            <a:solidFill>
              <a:schemeClr val="accent2"/>
            </a:solidFill>
            <a:ln>
              <a:noFill/>
            </a:ln>
            <a:effectLst/>
          </c:spPr>
          <c:invertIfNegative val="0"/>
          <c:cat>
            <c:strRef>
              <c:f>'state scripts'!$A$3:$A$10</c:f>
              <c:strCache>
                <c:ptCount val="8"/>
                <c:pt idx="0">
                  <c:v>ACT</c:v>
                </c:pt>
                <c:pt idx="1">
                  <c:v>NSW</c:v>
                </c:pt>
                <c:pt idx="2">
                  <c:v>NT</c:v>
                </c:pt>
                <c:pt idx="3">
                  <c:v>QLD</c:v>
                </c:pt>
                <c:pt idx="4">
                  <c:v>SA</c:v>
                </c:pt>
                <c:pt idx="5">
                  <c:v>TAS</c:v>
                </c:pt>
                <c:pt idx="6">
                  <c:v>VIC</c:v>
                </c:pt>
                <c:pt idx="7">
                  <c:v>WA</c:v>
                </c:pt>
              </c:strCache>
            </c:strRef>
          </c:cat>
          <c:val>
            <c:numRef>
              <c:f>'state scripts'!$C$3:$C$10</c:f>
              <c:numCache>
                <c:formatCode>General</c:formatCode>
                <c:ptCount val="8"/>
              </c:numCache>
            </c:numRef>
          </c:val>
          <c:extLst>
            <c:ext xmlns:c16="http://schemas.microsoft.com/office/drawing/2014/chart" uri="{C3380CC4-5D6E-409C-BE32-E72D297353CC}">
              <c16:uniqueId val="{00000002-3DB2-4B55-9EDC-509EE1D95AE4}"/>
            </c:ext>
          </c:extLst>
        </c:ser>
        <c:ser>
          <c:idx val="3"/>
          <c:order val="3"/>
          <c:tx>
            <c:strRef>
              <c:f>'state scripts'!$E$2</c:f>
              <c:strCache>
                <c:ptCount val="1"/>
                <c:pt idx="0">
                  <c:v>Standardised number of patients</c:v>
                </c:pt>
              </c:strCache>
            </c:strRef>
          </c:tx>
          <c:spPr>
            <a:solidFill>
              <a:schemeClr val="accent4"/>
            </a:solidFill>
            <a:ln>
              <a:noFill/>
            </a:ln>
            <a:effectLst/>
          </c:spPr>
          <c:invertIfNegative val="0"/>
          <c:cat>
            <c:strRef>
              <c:f>'state scripts'!$A$3:$A$10</c:f>
              <c:strCache>
                <c:ptCount val="8"/>
                <c:pt idx="0">
                  <c:v>ACT</c:v>
                </c:pt>
                <c:pt idx="1">
                  <c:v>NSW</c:v>
                </c:pt>
                <c:pt idx="2">
                  <c:v>NT</c:v>
                </c:pt>
                <c:pt idx="3">
                  <c:v>QLD</c:v>
                </c:pt>
                <c:pt idx="4">
                  <c:v>SA</c:v>
                </c:pt>
                <c:pt idx="5">
                  <c:v>TAS</c:v>
                </c:pt>
                <c:pt idx="6">
                  <c:v>VIC</c:v>
                </c:pt>
                <c:pt idx="7">
                  <c:v>WA</c:v>
                </c:pt>
              </c:strCache>
            </c:strRef>
          </c:cat>
          <c:val>
            <c:numRef>
              <c:f>'state scripts'!$E$3:$E$10</c:f>
              <c:numCache>
                <c:formatCode>General</c:formatCode>
                <c:ptCount val="8"/>
                <c:pt idx="0">
                  <c:v>88.673005374121544</c:v>
                </c:pt>
                <c:pt idx="1">
                  <c:v>106.10546437896306</c:v>
                </c:pt>
                <c:pt idx="2">
                  <c:v>97.57023538344724</c:v>
                </c:pt>
                <c:pt idx="3">
                  <c:v>141.35458167330677</c:v>
                </c:pt>
                <c:pt idx="4">
                  <c:v>151.53270831138735</c:v>
                </c:pt>
                <c:pt idx="5">
                  <c:v>88.699878493317129</c:v>
                </c:pt>
                <c:pt idx="6">
                  <c:v>94.752661950064507</c:v>
                </c:pt>
                <c:pt idx="7">
                  <c:v>136.92165533628145</c:v>
                </c:pt>
              </c:numCache>
            </c:numRef>
          </c:val>
          <c:extLst>
            <c:ext xmlns:c16="http://schemas.microsoft.com/office/drawing/2014/chart" uri="{C3380CC4-5D6E-409C-BE32-E72D297353CC}">
              <c16:uniqueId val="{00000003-3DB2-4B55-9EDC-509EE1D95AE4}"/>
            </c:ext>
          </c:extLst>
        </c:ser>
        <c:dLbls>
          <c:showLegendKey val="0"/>
          <c:showVal val="0"/>
          <c:showCatName val="0"/>
          <c:showSerName val="0"/>
          <c:showPercent val="0"/>
          <c:showBubbleSize val="0"/>
        </c:dLbls>
        <c:gapWidth val="219"/>
        <c:overlap val="-27"/>
        <c:axId val="518421231"/>
        <c:axId val="518421711"/>
      </c:barChart>
      <c:catAx>
        <c:axId val="212436868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State or Territory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4369647"/>
        <c:crosses val="autoZero"/>
        <c:auto val="1"/>
        <c:lblAlgn val="ctr"/>
        <c:lblOffset val="100"/>
        <c:noMultiLvlLbl val="0"/>
      </c:catAx>
      <c:valAx>
        <c:axId val="21243696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4368687"/>
        <c:crosses val="autoZero"/>
        <c:crossBetween val="between"/>
      </c:valAx>
      <c:valAx>
        <c:axId val="518421711"/>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standardised</a:t>
                </a:r>
                <a:r>
                  <a:rPr lang="en-AU" baseline="0"/>
                  <a:t> by</a:t>
                </a:r>
                <a:r>
                  <a:rPr lang="en-AU"/>
                  <a:t> population </a:t>
                </a:r>
                <a:r>
                  <a:rPr lang="en-AU" baseline="0"/>
                  <a:t>(per100,000)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8421231"/>
        <c:crosses val="max"/>
        <c:crossBetween val="between"/>
      </c:valAx>
      <c:catAx>
        <c:axId val="518421231"/>
        <c:scaling>
          <c:orientation val="minMax"/>
        </c:scaling>
        <c:delete val="1"/>
        <c:axPos val="b"/>
        <c:numFmt formatCode="General" sourceLinked="1"/>
        <c:majorTickMark val="out"/>
        <c:minorTickMark val="none"/>
        <c:tickLblPos val="nextTo"/>
        <c:crossAx val="518421711"/>
        <c:crosses val="autoZero"/>
        <c:auto val="1"/>
        <c:lblAlgn val="ctr"/>
        <c:lblOffset val="100"/>
        <c:noMultiLvlLbl val="0"/>
      </c:cat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4980</Words>
  <Characters>28387</Characters>
  <Application>Microsoft Office Word</Application>
  <DocSecurity>0</DocSecurity>
  <Lines>236</Lines>
  <Paragraphs>66</Paragraphs>
  <ScaleCrop>false</ScaleCrop>
  <Company/>
  <LinksUpToDate>false</LinksUpToDate>
  <CharactersWithSpaces>33301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2026-07-01T00:15:00Z</dcterms:created>
  <dcterms:modified xsi:type="dcterms:W3CDTF">2026-07-10T05:52:00Z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10718ef1,424b3b36,56868102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5e32743b,3909b6e1,182c06e7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2026-05-26T23:22:42Z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3d8a0650-cd79-4092-bcbc-c2344eaf38f7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