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A3C130" w14:textId="033E2793" w:rsidR="00832324" w:rsidRDefault="002767D3" w:rsidP="00A430ED">
      <w:pPr>
        <w:pStyle w:val="Title"/>
      </w:pPr>
      <w:r>
        <w:t>Antibiotics: PBS/RPBS utilisation</w:t>
      </w:r>
      <w:r w:rsidR="001C4016">
        <w:t xml:space="preserve"> </w:t>
      </w:r>
    </w:p>
    <w:p w14:paraId="68F00614" w14:textId="799F8740" w:rsidR="00736041" w:rsidRPr="001D390D" w:rsidRDefault="009053D3" w:rsidP="00A430ED">
      <w:pPr>
        <w:pStyle w:val="Heading1"/>
      </w:pPr>
      <w:r w:rsidRPr="001D390D">
        <w:t>D</w:t>
      </w:r>
      <w:r w:rsidR="00832324" w:rsidRPr="001D390D">
        <w:t>rug utilisation sub-committee (DUSC)</w:t>
      </w:r>
    </w:p>
    <w:p w14:paraId="78148839" w14:textId="37006C89" w:rsidR="009053D3" w:rsidRPr="00A430ED" w:rsidRDefault="007E53F9" w:rsidP="00A430ED">
      <w:pPr>
        <w:pStyle w:val="Heading6"/>
      </w:pPr>
      <w:r>
        <w:t>October 2014 and February 2015</w:t>
      </w:r>
    </w:p>
    <w:p w14:paraId="7EFD635C" w14:textId="77777777" w:rsidR="000F760B" w:rsidRPr="00A430ED" w:rsidRDefault="000F760B" w:rsidP="00A430ED">
      <w:pPr>
        <w:pStyle w:val="Heading3"/>
      </w:pPr>
      <w:r w:rsidRPr="00A430ED">
        <w:t>Abstract</w:t>
      </w:r>
    </w:p>
    <w:p w14:paraId="59D9C006" w14:textId="77777777" w:rsidR="000F760B" w:rsidRPr="003C625F" w:rsidRDefault="000F760B" w:rsidP="003C625F">
      <w:pPr>
        <w:pStyle w:val="Heading4"/>
      </w:pPr>
      <w:r w:rsidRPr="003C625F">
        <w:t>Purpose</w:t>
      </w:r>
    </w:p>
    <w:p w14:paraId="3B8A96A5" w14:textId="28085221" w:rsidR="0052233C" w:rsidRPr="00BC33E0" w:rsidRDefault="0052233C" w:rsidP="003C625F">
      <w:r w:rsidRPr="00384C1E">
        <w:t xml:space="preserve">To assess the </w:t>
      </w:r>
      <w:r w:rsidR="007E53F9">
        <w:t>use</w:t>
      </w:r>
      <w:r w:rsidRPr="00384C1E">
        <w:t xml:space="preserve"> of ant</w:t>
      </w:r>
      <w:r>
        <w:t xml:space="preserve">ibiotics </w:t>
      </w:r>
      <w:r w:rsidR="007E53F9">
        <w:t>supplied through the Pharmaceutical Benefits Scheme (PBS)</w:t>
      </w:r>
      <w:r w:rsidR="00CB57A8">
        <w:t xml:space="preserve"> and Repatriation Pharmaceutical Benefits Scheme (RPBS)</w:t>
      </w:r>
      <w:r w:rsidR="007D796E">
        <w:t>.</w:t>
      </w:r>
      <w:r w:rsidRPr="00BC33E0">
        <w:t xml:space="preserve"> </w:t>
      </w:r>
    </w:p>
    <w:p w14:paraId="3BA390B2" w14:textId="3912B8A7" w:rsidR="00856BB4" w:rsidRDefault="007E53F9" w:rsidP="00A430ED">
      <w:pPr>
        <w:pStyle w:val="Heading4"/>
      </w:pPr>
      <w:r>
        <w:t>Background</w:t>
      </w:r>
    </w:p>
    <w:p w14:paraId="205A61A0" w14:textId="4D4A0B51" w:rsidR="007E53F9" w:rsidRDefault="0040299E" w:rsidP="00102EDB">
      <w:r w:rsidRPr="0040299E">
        <w:t>A</w:t>
      </w:r>
      <w:r w:rsidR="007E53F9">
        <w:t xml:space="preserve">ntimicrobial resistance (AMR) is an ongoing public health concern. </w:t>
      </w:r>
      <w:r w:rsidR="00B904E9">
        <w:t xml:space="preserve">Reports on the use of antibiotics can inform policy decisions </w:t>
      </w:r>
      <w:r w:rsidR="00F975B1">
        <w:t>to</w:t>
      </w:r>
      <w:r w:rsidR="00B904E9">
        <w:t xml:space="preserve"> promote quality use of antibiotics and limit AMR. </w:t>
      </w:r>
      <w:r w:rsidR="007E53F9">
        <w:t xml:space="preserve">In April 2014, the World Health Organization released a </w:t>
      </w:r>
      <w:r w:rsidR="00DC31E0">
        <w:t xml:space="preserve">concerning </w:t>
      </w:r>
      <w:r w:rsidR="007E53F9">
        <w:t>report on antibiotic resistance.</w:t>
      </w:r>
      <w:r w:rsidR="007E53F9">
        <w:rPr>
          <w:rStyle w:val="FootnoteReference"/>
        </w:rPr>
        <w:footnoteReference w:id="1"/>
      </w:r>
      <w:r w:rsidR="007E53F9">
        <w:t xml:space="preserve"> </w:t>
      </w:r>
      <w:r w:rsidR="007E53F9" w:rsidRPr="00E84AC2">
        <w:t xml:space="preserve">The </w:t>
      </w:r>
      <w:r w:rsidR="006A3864">
        <w:t>Organisation for Economic Cooperation and Development (</w:t>
      </w:r>
      <w:r w:rsidR="007E53F9" w:rsidRPr="00E84AC2">
        <w:t>OECD</w:t>
      </w:r>
      <w:r w:rsidR="006A3864">
        <w:t>)</w:t>
      </w:r>
      <w:r w:rsidR="007E53F9" w:rsidRPr="00E84AC2">
        <w:t xml:space="preserve"> </w:t>
      </w:r>
      <w:r w:rsidR="007E53F9" w:rsidRPr="00E84AC2">
        <w:rPr>
          <w:i/>
        </w:rPr>
        <w:t>Health at a Glance 2011</w:t>
      </w:r>
      <w:r w:rsidR="007E53F9" w:rsidRPr="00E84AC2">
        <w:t xml:space="preserve"> publication show</w:t>
      </w:r>
      <w:r w:rsidR="00B904E9">
        <w:t>ed</w:t>
      </w:r>
      <w:r w:rsidR="007E53F9" w:rsidRPr="00E84AC2">
        <w:t xml:space="preserve"> that Australia’s consumption of </w:t>
      </w:r>
      <w:r w:rsidR="00D37FE6">
        <w:t xml:space="preserve">antibiotics </w:t>
      </w:r>
      <w:r w:rsidR="007E53F9" w:rsidRPr="00E84AC2">
        <w:t>was higher than the OECD average in 2011</w:t>
      </w:r>
      <w:r w:rsidR="00DC31E0">
        <w:t>.</w:t>
      </w:r>
      <w:r w:rsidR="00D37FE6">
        <w:rPr>
          <w:rStyle w:val="FootnoteReference"/>
        </w:rPr>
        <w:footnoteReference w:id="2"/>
      </w:r>
      <w:r w:rsidR="007E53F9" w:rsidRPr="00E84AC2">
        <w:t xml:space="preserve">  </w:t>
      </w:r>
    </w:p>
    <w:p w14:paraId="53507498" w14:textId="2C4A7769" w:rsidR="00F975B1" w:rsidRDefault="00F975B1" w:rsidP="00102EDB">
      <w:r w:rsidRPr="00F975B1">
        <w:t>In this context, DUSC considered that an analysis of the use of antibiotics through the PBS/RPBS would be timely.</w:t>
      </w:r>
    </w:p>
    <w:p w14:paraId="0A327B3F" w14:textId="0CF2D891" w:rsidR="000F760B" w:rsidRDefault="006A3864" w:rsidP="00A430ED">
      <w:pPr>
        <w:pStyle w:val="Heading4"/>
      </w:pPr>
      <w:r>
        <w:t>Data s</w:t>
      </w:r>
      <w:r w:rsidR="000F760B">
        <w:t>ource / methodology</w:t>
      </w:r>
    </w:p>
    <w:p w14:paraId="54B7F1D5" w14:textId="39384386" w:rsidR="00B4189A" w:rsidRPr="004B7F47" w:rsidRDefault="00BA1EE0" w:rsidP="004B7F47">
      <w:r>
        <w:t xml:space="preserve">The data </w:t>
      </w:r>
      <w:r w:rsidR="00F26FE2">
        <w:t>were</w:t>
      </w:r>
      <w:r w:rsidR="003B56F1">
        <w:t xml:space="preserve"> extracted</w:t>
      </w:r>
      <w:r>
        <w:t xml:space="preserve"> from the Department of Human Services (DHS) </w:t>
      </w:r>
      <w:r w:rsidR="00D136AE">
        <w:t>M</w:t>
      </w:r>
      <w:r>
        <w:t>edicare pharmacy claims database</w:t>
      </w:r>
      <w:r w:rsidR="005F6B3C">
        <w:t xml:space="preserve"> and the DUSC database</w:t>
      </w:r>
      <w:r>
        <w:t>.</w:t>
      </w:r>
    </w:p>
    <w:p w14:paraId="4CE0D30F" w14:textId="77777777" w:rsidR="005F6B3C" w:rsidRDefault="005F6B3C">
      <w:pPr>
        <w:spacing w:before="0" w:after="200" w:line="276" w:lineRule="auto"/>
        <w:rPr>
          <w:rFonts w:eastAsiaTheme="majorEastAsia" w:cstheme="majorBidi"/>
          <w:b/>
          <w:bCs/>
          <w:sz w:val="28"/>
          <w:szCs w:val="28"/>
        </w:rPr>
      </w:pPr>
      <w:r>
        <w:br w:type="page"/>
      </w:r>
    </w:p>
    <w:p w14:paraId="49E08693" w14:textId="3E834452" w:rsidR="000F760B" w:rsidRDefault="000F760B" w:rsidP="00A430ED">
      <w:pPr>
        <w:pStyle w:val="Heading4"/>
      </w:pPr>
      <w:r>
        <w:lastRenderedPageBreak/>
        <w:t>Key Findings</w:t>
      </w:r>
    </w:p>
    <w:p w14:paraId="224FDB32" w14:textId="77777777" w:rsidR="0099142C" w:rsidRPr="00E829A2" w:rsidRDefault="0099142C" w:rsidP="0099142C">
      <w:pPr>
        <w:rPr>
          <w:rFonts w:eastAsia="MS Mincho" w:cs="Times New Roman"/>
        </w:rPr>
      </w:pPr>
      <w:r w:rsidRPr="00E829A2">
        <w:rPr>
          <w:rFonts w:eastAsia="MS Mincho" w:cs="Times New Roman"/>
        </w:rPr>
        <w:t>For the calendar year 2013:</w:t>
      </w:r>
    </w:p>
    <w:p w14:paraId="2BEC613E" w14:textId="493932AD" w:rsidR="00A641F7" w:rsidRDefault="0099142C" w:rsidP="00637CB6">
      <w:pPr>
        <w:pStyle w:val="ListParagraph"/>
        <w:spacing w:line="330" w:lineRule="atLeast"/>
      </w:pPr>
      <w:r w:rsidRPr="000409B2">
        <w:t xml:space="preserve">45% of the Australian population (10,441,015 unique patients) were supplied at least one </w:t>
      </w:r>
      <w:r w:rsidR="00792590">
        <w:t>antibiotic through the PBS</w:t>
      </w:r>
      <w:r w:rsidR="00C9245D">
        <w:t>.</w:t>
      </w:r>
    </w:p>
    <w:p w14:paraId="3AEC87B5" w14:textId="37B4389B" w:rsidR="0099142C" w:rsidRDefault="0099142C" w:rsidP="00637CB6">
      <w:pPr>
        <w:pStyle w:val="ListParagraph"/>
        <w:spacing w:line="330" w:lineRule="atLeast"/>
      </w:pPr>
      <w:r w:rsidRPr="00E829A2">
        <w:t xml:space="preserve">There were 26,436,021 prescriptions </w:t>
      </w:r>
      <w:r w:rsidR="00792590">
        <w:t>supplied</w:t>
      </w:r>
      <w:r w:rsidRPr="00E829A2">
        <w:t xml:space="preserve"> </w:t>
      </w:r>
      <w:r w:rsidR="00224839" w:rsidRPr="00E829A2">
        <w:t>for systemic</w:t>
      </w:r>
      <w:r w:rsidR="00224839">
        <w:t xml:space="preserve"> </w:t>
      </w:r>
      <w:r w:rsidR="00224839" w:rsidRPr="00E829A2">
        <w:t>antibiotics</w:t>
      </w:r>
      <w:r w:rsidR="00224839">
        <w:t xml:space="preserve"> </w:t>
      </w:r>
      <w:r w:rsidR="00792590">
        <w:t>through the PBS</w:t>
      </w:r>
      <w:r w:rsidR="004D0B5E">
        <w:t>.</w:t>
      </w:r>
    </w:p>
    <w:p w14:paraId="042E0AD3" w14:textId="3259FF00" w:rsidR="0099142C" w:rsidRPr="00E829A2" w:rsidRDefault="0099142C" w:rsidP="009E182A">
      <w:pPr>
        <w:pStyle w:val="ListParagraph"/>
      </w:pPr>
      <w:r w:rsidRPr="00E829A2">
        <w:t>There were 29,227,581 prescriptions supplied for any antibiotic (including systemic and topica</w:t>
      </w:r>
      <w:r w:rsidR="002A3FD7">
        <w:t>l antibiotics) through the</w:t>
      </w:r>
      <w:r w:rsidR="002A3FD7" w:rsidRPr="002A3FD7">
        <w:t xml:space="preserve"> </w:t>
      </w:r>
      <w:r w:rsidR="002A3FD7" w:rsidRPr="00E829A2">
        <w:t>PBS</w:t>
      </w:r>
      <w:r w:rsidR="00C9245D">
        <w:t>.</w:t>
      </w:r>
    </w:p>
    <w:p w14:paraId="7561FE77" w14:textId="5E3DE73E" w:rsidR="0099142C" w:rsidRPr="00E829A2" w:rsidRDefault="0099142C" w:rsidP="009E182A">
      <w:pPr>
        <w:pStyle w:val="ListParagraph"/>
      </w:pPr>
      <w:r w:rsidRPr="00E829A2">
        <w:t>The mos</w:t>
      </w:r>
      <w:r w:rsidR="00BA1EE0">
        <w:t>t commonly supplied antibiotics</w:t>
      </w:r>
      <w:r w:rsidRPr="00E829A2">
        <w:t xml:space="preserve"> were amoxycillin (n=5,665,810), cephalexin (n=5,413,046), and amoxycillin plus </w:t>
      </w:r>
      <w:proofErr w:type="spellStart"/>
      <w:r w:rsidRPr="00E829A2">
        <w:t>clavulanic</w:t>
      </w:r>
      <w:proofErr w:type="spellEnd"/>
      <w:r w:rsidRPr="00E829A2">
        <w:t xml:space="preserve"> acid (n=4,512,149).</w:t>
      </w:r>
    </w:p>
    <w:p w14:paraId="2FFED76D" w14:textId="09ABA1BC" w:rsidR="002A3FD7" w:rsidRPr="00E829A2" w:rsidRDefault="002A3FD7" w:rsidP="002A3FD7">
      <w:pPr>
        <w:pStyle w:val="ListParagraph"/>
      </w:pPr>
      <w:r>
        <w:t>The defined daily dose was calcu</w:t>
      </w:r>
      <w:r w:rsidR="00751D57">
        <w:t xml:space="preserve">lated to be 22.8 DDD/1000/day. </w:t>
      </w:r>
      <w:r w:rsidR="00524810">
        <w:t>This is</w:t>
      </w:r>
      <w:r w:rsidRPr="000C70E6">
        <w:t xml:space="preserve"> higher than the </w:t>
      </w:r>
      <w:r w:rsidR="000C70E6">
        <w:t xml:space="preserve">2009 </w:t>
      </w:r>
      <w:r w:rsidRPr="000C70E6">
        <w:t>OECD average of 21.1.</w:t>
      </w:r>
      <w:r w:rsidR="000C70E6">
        <w:rPr>
          <w:rStyle w:val="FootnoteReference"/>
        </w:rPr>
        <w:footnoteReference w:id="3"/>
      </w:r>
    </w:p>
    <w:p w14:paraId="4B6C15D0" w14:textId="77777777" w:rsidR="0099142C" w:rsidRPr="00E829A2" w:rsidRDefault="0099142C" w:rsidP="009E182A">
      <w:pPr>
        <w:pStyle w:val="ListParagraph"/>
        <w:rPr>
          <w:b/>
          <w:bCs/>
          <w:color w:val="000000"/>
        </w:rPr>
      </w:pPr>
      <w:r w:rsidRPr="00E829A2">
        <w:t>$116.5 million in PBS/RPBS benefits was paid for antibiotics.</w:t>
      </w:r>
      <w:r w:rsidRPr="00E829A2">
        <w:rPr>
          <w:b/>
          <w:bCs/>
          <w:color w:val="000000"/>
        </w:rPr>
        <w:t xml:space="preserve"> </w:t>
      </w:r>
    </w:p>
    <w:p w14:paraId="797AD4BE" w14:textId="35EBFD29" w:rsidR="0099142C" w:rsidRPr="0042049E" w:rsidRDefault="0099142C" w:rsidP="0099142C">
      <w:pPr>
        <w:rPr>
          <w:rFonts w:eastAsia="MS Mincho" w:cs="Times New Roman"/>
        </w:rPr>
      </w:pPr>
      <w:r w:rsidRPr="0042049E">
        <w:rPr>
          <w:rFonts w:eastAsia="MS Mincho" w:cs="Times New Roman"/>
        </w:rPr>
        <w:t xml:space="preserve">For </w:t>
      </w:r>
      <w:r w:rsidR="00CC6D87" w:rsidRPr="0042049E">
        <w:rPr>
          <w:rFonts w:eastAsia="MS Mincho" w:cs="Times New Roman"/>
        </w:rPr>
        <w:t xml:space="preserve">commonly used </w:t>
      </w:r>
      <w:r w:rsidR="0042049E">
        <w:rPr>
          <w:rFonts w:eastAsia="MS Mincho" w:cs="Times New Roman"/>
        </w:rPr>
        <w:t xml:space="preserve">systemic </w:t>
      </w:r>
      <w:r w:rsidR="00CC6D87" w:rsidRPr="0042049E">
        <w:rPr>
          <w:rFonts w:eastAsia="MS Mincho" w:cs="Times New Roman"/>
        </w:rPr>
        <w:t>antibiotics (amoxycil</w:t>
      </w:r>
      <w:r w:rsidR="0042049E">
        <w:rPr>
          <w:rFonts w:eastAsia="MS Mincho" w:cs="Times New Roman"/>
        </w:rPr>
        <w:t xml:space="preserve">lin, cephalexin, </w:t>
      </w:r>
      <w:proofErr w:type="spellStart"/>
      <w:r w:rsidR="0042049E">
        <w:rPr>
          <w:rFonts w:eastAsia="MS Mincho" w:cs="Times New Roman"/>
        </w:rPr>
        <w:t>roxithromycin</w:t>
      </w:r>
      <w:proofErr w:type="spellEnd"/>
      <w:r w:rsidR="0042049E">
        <w:rPr>
          <w:rFonts w:eastAsia="MS Mincho" w:cs="Times New Roman"/>
        </w:rPr>
        <w:t xml:space="preserve"> and </w:t>
      </w:r>
      <w:r w:rsidR="00CC6D87" w:rsidRPr="0042049E">
        <w:rPr>
          <w:rFonts w:eastAsia="MS Mincho" w:cs="Times New Roman"/>
        </w:rPr>
        <w:t xml:space="preserve">amoxycillin with </w:t>
      </w:r>
      <w:proofErr w:type="spellStart"/>
      <w:r w:rsidR="00CC6D87" w:rsidRPr="0042049E">
        <w:rPr>
          <w:rFonts w:eastAsia="MS Mincho" w:cs="Times New Roman"/>
        </w:rPr>
        <w:t>clavulanic</w:t>
      </w:r>
      <w:proofErr w:type="spellEnd"/>
      <w:r w:rsidR="00CC6D87" w:rsidRPr="0042049E">
        <w:rPr>
          <w:rFonts w:eastAsia="MS Mincho" w:cs="Times New Roman"/>
        </w:rPr>
        <w:t xml:space="preserve"> acid)</w:t>
      </w:r>
      <w:r w:rsidR="0042049E">
        <w:rPr>
          <w:rFonts w:eastAsia="MS Mincho" w:cs="Times New Roman"/>
        </w:rPr>
        <w:t>:</w:t>
      </w:r>
    </w:p>
    <w:p w14:paraId="580D610D" w14:textId="72713194" w:rsidR="00DF1281" w:rsidRPr="0042049E" w:rsidRDefault="0033763C" w:rsidP="004D0B5E">
      <w:pPr>
        <w:pStyle w:val="ListParagraph"/>
      </w:pPr>
      <w:r w:rsidRPr="0042049E">
        <w:t xml:space="preserve">Repeats were ordered on the majority of prescriptions for cephalexin, amoxycillin with </w:t>
      </w:r>
      <w:proofErr w:type="spellStart"/>
      <w:r w:rsidRPr="0042049E">
        <w:t>clavulanic</w:t>
      </w:r>
      <w:proofErr w:type="spellEnd"/>
      <w:r w:rsidRPr="0042049E">
        <w:t xml:space="preserve"> acid and </w:t>
      </w:r>
      <w:proofErr w:type="spellStart"/>
      <w:r w:rsidRPr="0042049E">
        <w:t>roxithromycin</w:t>
      </w:r>
      <w:proofErr w:type="spellEnd"/>
      <w:r w:rsidRPr="0042049E">
        <w:t xml:space="preserve">. Repeats were written on 40% of amoxycillin original prescriptions. </w:t>
      </w:r>
    </w:p>
    <w:p w14:paraId="06B13121" w14:textId="0AB65C2C" w:rsidR="00DF1281" w:rsidRPr="0033763C" w:rsidRDefault="00DF1281" w:rsidP="004D0B5E">
      <w:pPr>
        <w:pStyle w:val="ListParagraph"/>
      </w:pPr>
      <w:r w:rsidRPr="0033763C">
        <w:t xml:space="preserve">The majority of repeats ordered </w:t>
      </w:r>
      <w:r w:rsidR="0042049E">
        <w:t>were</w:t>
      </w:r>
      <w:r w:rsidRPr="0033763C">
        <w:t xml:space="preserve"> not dispensed.</w:t>
      </w:r>
    </w:p>
    <w:p w14:paraId="7AABAE16" w14:textId="722A2DC7" w:rsidR="00DF1281" w:rsidRDefault="00DF1281" w:rsidP="004D0B5E">
      <w:pPr>
        <w:pStyle w:val="ListParagraph"/>
      </w:pPr>
      <w:r w:rsidRPr="0033763C">
        <w:t xml:space="preserve">Some original prescriptions and repeats </w:t>
      </w:r>
      <w:r w:rsidR="0042049E">
        <w:t>were</w:t>
      </w:r>
      <w:r w:rsidRPr="0033763C">
        <w:t xml:space="preserve"> dispensed long after the date the prescription was written. This </w:t>
      </w:r>
      <w:r w:rsidR="0033763C" w:rsidRPr="0033763C">
        <w:t>use may not be consistent with the origin</w:t>
      </w:r>
      <w:r w:rsidR="00F70963">
        <w:t>al reason for the prescription.</w:t>
      </w:r>
    </w:p>
    <w:p w14:paraId="3D60B102" w14:textId="6A0BE6A6" w:rsidR="009E182A" w:rsidRDefault="009E182A">
      <w:pPr>
        <w:spacing w:before="0" w:after="200" w:line="276" w:lineRule="auto"/>
      </w:pPr>
      <w:r>
        <w:br w:type="page"/>
      </w:r>
    </w:p>
    <w:p w14:paraId="5B262047" w14:textId="79C60953" w:rsidR="00E677DD" w:rsidRPr="005E22C2" w:rsidRDefault="00E677DD" w:rsidP="00A430ED">
      <w:pPr>
        <w:pStyle w:val="Heading3"/>
      </w:pPr>
      <w:r w:rsidRPr="005E22C2">
        <w:lastRenderedPageBreak/>
        <w:t xml:space="preserve">Purpose of </w:t>
      </w:r>
      <w:r w:rsidR="00D151EB">
        <w:t>analysis</w:t>
      </w:r>
    </w:p>
    <w:p w14:paraId="0A7F0B57" w14:textId="034D22D5" w:rsidR="006537D9" w:rsidRDefault="00736041" w:rsidP="00A430ED">
      <w:pPr>
        <w:pStyle w:val="Heading3"/>
      </w:pPr>
      <w:r w:rsidRPr="005E22C2">
        <w:t>Background</w:t>
      </w:r>
    </w:p>
    <w:p w14:paraId="71E3DEB9" w14:textId="77777777" w:rsidR="009F458B" w:rsidRDefault="009F458B" w:rsidP="009E182A">
      <w:r>
        <w:t>Antimicrobial resistance (AMR) is an ongoing public health concern. Reporting of antibiotic use can inform policy decisions to promote quality use of antibiotics and contain AMR. In April 2014, the World Health Organization released a comprehensive report on antibiotic resistance, giving cause for high concern.</w:t>
      </w:r>
      <w:r>
        <w:rPr>
          <w:rStyle w:val="FootnoteReference"/>
        </w:rPr>
        <w:footnoteReference w:id="4"/>
      </w:r>
      <w:r>
        <w:t xml:space="preserve"> In Australia, </w:t>
      </w:r>
      <w:r w:rsidRPr="00731805">
        <w:t xml:space="preserve">the Australian Commission on Safety and Quality in Healthcare </w:t>
      </w:r>
      <w:r>
        <w:t>is</w:t>
      </w:r>
      <w:r w:rsidRPr="00731805">
        <w:t xml:space="preserve"> undertaking the Antimicrobial Resistance and Antimicrobial Utilisation Surveillance Project</w:t>
      </w:r>
      <w:r>
        <w:t>.</w:t>
      </w:r>
      <w:r>
        <w:rPr>
          <w:rStyle w:val="FootnoteReference"/>
          <w:rFonts w:cs="Times New Roman"/>
        </w:rPr>
        <w:footnoteReference w:id="5"/>
      </w:r>
      <w:r>
        <w:t xml:space="preserve"> </w:t>
      </w:r>
    </w:p>
    <w:p w14:paraId="3830C513" w14:textId="20B34705" w:rsidR="008120CF" w:rsidRDefault="008120CF" w:rsidP="008120CF">
      <w:r>
        <w:t>In this context, DUSC considered that an analysis of the use of antibiotics through the PBS/RPBS</w:t>
      </w:r>
      <w:r w:rsidRPr="00731805">
        <w:t xml:space="preserve"> would be timely.</w:t>
      </w:r>
      <w:r w:rsidRPr="00D505DE">
        <w:t xml:space="preserve"> </w:t>
      </w:r>
      <w:r>
        <w:t>The scope of this analysis is limited to utilisation of antibiotics through the PBS/RPBS.</w:t>
      </w:r>
    </w:p>
    <w:p w14:paraId="0183A567" w14:textId="27043A9A" w:rsidR="007247B9" w:rsidRDefault="007247B9" w:rsidP="00A430ED">
      <w:pPr>
        <w:pStyle w:val="Heading4"/>
      </w:pPr>
      <w:r w:rsidRPr="00E376AA">
        <w:t>Pharmacology</w:t>
      </w:r>
      <w:r w:rsidR="000619D5">
        <w:rPr>
          <w:rStyle w:val="FootnoteReference"/>
        </w:rPr>
        <w:footnoteReference w:id="6"/>
      </w:r>
    </w:p>
    <w:p w14:paraId="75FDD74F" w14:textId="3390E572" w:rsidR="009F458B" w:rsidRPr="00047D5F" w:rsidRDefault="009F458B" w:rsidP="007A119C">
      <w:pPr>
        <w:rPr>
          <w:rFonts w:ascii="proxima_nova_rgregular" w:eastAsia="Times New Roman" w:hAnsi="proxima_nova_rgregular" w:cs="Times New Roman"/>
          <w:color w:val="494949"/>
          <w:sz w:val="20"/>
          <w:szCs w:val="20"/>
          <w:lang w:val="en"/>
        </w:rPr>
      </w:pPr>
      <w:r>
        <w:t>Antibiotics treat bacterial infections through one of two different mechanisms</w:t>
      </w:r>
      <w:r w:rsidR="0013787A">
        <w:t xml:space="preserve">. They either act to prevent </w:t>
      </w:r>
      <w:r w:rsidRPr="00E20061">
        <w:t xml:space="preserve">the growth of bacteria (bacteriostatic), or </w:t>
      </w:r>
      <w:r w:rsidR="000D6CA0">
        <w:t>kill</w:t>
      </w:r>
      <w:r w:rsidRPr="00E20061">
        <w:t xml:space="preserve"> the bacteria themselves (bactericidal).</w:t>
      </w:r>
      <w:r>
        <w:t xml:space="preserve"> Antibiotics can also be used to prevent bacterial infection in circumstances where patients are susceptible e.g. surgery. </w:t>
      </w:r>
      <w:r w:rsidRPr="00E20061">
        <w:t xml:space="preserve">There are </w:t>
      </w:r>
      <w:r>
        <w:t>many different types of</w:t>
      </w:r>
      <w:r w:rsidRPr="00E20061">
        <w:t xml:space="preserve"> antibiotics available</w:t>
      </w:r>
      <w:r w:rsidR="008120CF">
        <w:t xml:space="preserve">, </w:t>
      </w:r>
      <w:r>
        <w:t>grouped by</w:t>
      </w:r>
      <w:r w:rsidR="008120CF">
        <w:t xml:space="preserve"> either</w:t>
      </w:r>
      <w:r>
        <w:t xml:space="preserve"> their mechanism of action or their chemical structure</w:t>
      </w:r>
      <w:r w:rsidRPr="00E20061">
        <w:t xml:space="preserve">. The largest group are beta-lactam antibiotics, </w:t>
      </w:r>
      <w:r w:rsidR="00800DA6">
        <w:t>which includes</w:t>
      </w:r>
      <w:r w:rsidRPr="00E20061">
        <w:t xml:space="preserve"> penicillins, </w:t>
      </w:r>
      <w:proofErr w:type="spellStart"/>
      <w:r w:rsidRPr="00E20061">
        <w:t>cephalosporins</w:t>
      </w:r>
      <w:proofErr w:type="spellEnd"/>
      <w:r w:rsidRPr="00E20061">
        <w:t xml:space="preserve">, </w:t>
      </w:r>
      <w:proofErr w:type="spellStart"/>
      <w:r w:rsidRPr="00E20061">
        <w:t>carbapenems</w:t>
      </w:r>
      <w:proofErr w:type="spellEnd"/>
      <w:r w:rsidRPr="00E20061">
        <w:t xml:space="preserve"> and </w:t>
      </w:r>
      <w:proofErr w:type="spellStart"/>
      <w:r w:rsidRPr="00E20061">
        <w:t>monobactams</w:t>
      </w:r>
      <w:proofErr w:type="spellEnd"/>
      <w:r w:rsidRPr="00E20061">
        <w:t xml:space="preserve">. Other antibiotic groups include aminoglycosides, </w:t>
      </w:r>
      <w:proofErr w:type="spellStart"/>
      <w:r w:rsidRPr="00E20061">
        <w:t>tetracyclines</w:t>
      </w:r>
      <w:proofErr w:type="spellEnd"/>
      <w:r w:rsidRPr="00E20061">
        <w:t xml:space="preserve">, macrolides, </w:t>
      </w:r>
      <w:proofErr w:type="spellStart"/>
      <w:r w:rsidRPr="00E20061">
        <w:t>fluoroquinolones</w:t>
      </w:r>
      <w:proofErr w:type="spellEnd"/>
      <w:r w:rsidRPr="00E20061">
        <w:t xml:space="preserve"> and glycopeptides. Some antibiotics are effective against a limited range of infectious agents (narrow spectrum); others are effective against many different pathogens (broad spectrum).</w:t>
      </w:r>
      <w:r>
        <w:t xml:space="preserve"> </w:t>
      </w:r>
    </w:p>
    <w:p w14:paraId="6AC18C88" w14:textId="4D0815C8" w:rsidR="001420B3" w:rsidRDefault="001420B3" w:rsidP="00A430ED">
      <w:pPr>
        <w:pStyle w:val="Heading4"/>
      </w:pPr>
      <w:r w:rsidRPr="00DE260E">
        <w:t>T</w:t>
      </w:r>
      <w:r w:rsidR="000F22BC" w:rsidRPr="00DE260E">
        <w:t xml:space="preserve">herapeutic </w:t>
      </w:r>
      <w:r w:rsidRPr="00DE260E">
        <w:t>G</w:t>
      </w:r>
      <w:r w:rsidR="000F22BC" w:rsidRPr="00DE260E">
        <w:t xml:space="preserve">oods </w:t>
      </w:r>
      <w:r w:rsidRPr="00DE260E">
        <w:t>A</w:t>
      </w:r>
      <w:r w:rsidR="000F22BC" w:rsidRPr="00DE260E">
        <w:t>dministration (TGA)</w:t>
      </w:r>
      <w:r w:rsidR="00647E9D">
        <w:t xml:space="preserve"> approved indications, dosage and administration</w:t>
      </w:r>
    </w:p>
    <w:p w14:paraId="4FC60971" w14:textId="4C4BB924" w:rsidR="009F458B" w:rsidRDefault="009F458B" w:rsidP="007A119C">
      <w:r>
        <w:t>Approved indications vary by antibiotic drug and are available from the Product Information (PI).</w:t>
      </w:r>
      <w:r w:rsidR="00751FE9">
        <w:t xml:space="preserve"> </w:t>
      </w:r>
    </w:p>
    <w:p w14:paraId="7B65227E" w14:textId="2C64EFE5" w:rsidR="009F458B" w:rsidRPr="002F61CA" w:rsidRDefault="009F458B" w:rsidP="007A119C">
      <w:r w:rsidRPr="002F61CA">
        <w:t xml:space="preserve">The current </w:t>
      </w:r>
      <w:r>
        <w:t>PI</w:t>
      </w:r>
      <w:r w:rsidRPr="002F61CA">
        <w:t xml:space="preserve"> and Consumer Medicine Information (CMI) </w:t>
      </w:r>
      <w:r>
        <w:t xml:space="preserve">for antibiotics </w:t>
      </w:r>
      <w:r w:rsidRPr="002F61CA">
        <w:t xml:space="preserve">are available from </w:t>
      </w:r>
      <w:hyperlink r:id="rId9" w:history="1">
        <w:r w:rsidR="00601909">
          <w:rPr>
            <w:rStyle w:val="Hyperlink"/>
          </w:rPr>
          <w:t>the TGA website.</w:t>
        </w:r>
      </w:hyperlink>
      <w:r w:rsidR="00601909">
        <w:rPr>
          <w:u w:val="single"/>
        </w:rPr>
        <w:t xml:space="preserve"> </w:t>
      </w:r>
    </w:p>
    <w:p w14:paraId="46E2BB42" w14:textId="6BB2153C" w:rsidR="00DF0B13" w:rsidRDefault="00DF0B13" w:rsidP="00A430ED">
      <w:pPr>
        <w:pStyle w:val="Heading4"/>
      </w:pPr>
      <w:r w:rsidRPr="002801FD">
        <w:lastRenderedPageBreak/>
        <w:t>PBS listing details</w:t>
      </w:r>
      <w:r w:rsidR="00647E9D">
        <w:t xml:space="preserve"> (as at July 2014</w:t>
      </w:r>
      <w:r w:rsidR="00D151EB" w:rsidRPr="002801FD">
        <w:t>)</w:t>
      </w:r>
    </w:p>
    <w:p w14:paraId="2A8415E8" w14:textId="77777777" w:rsidR="00647E9D" w:rsidRDefault="00647E9D" w:rsidP="007A119C">
      <w:r>
        <w:t xml:space="preserve">As of the July 2014 PBS Schedule, there are 137 PBS/RPBS item codes for antibiotics, representing various forms and strengths of 47 different antibiotics (including antibiotic combination products). </w:t>
      </w:r>
    </w:p>
    <w:p w14:paraId="28493395" w14:textId="5AFCDC79" w:rsidR="00647E9D" w:rsidRDefault="00647E9D" w:rsidP="007A119C">
      <w:r w:rsidRPr="000473FC">
        <w:t>The antibiotics listed on the PBS have varying levels of restrictions.</w:t>
      </w:r>
      <w:r>
        <w:t xml:space="preserve"> The majority of antibiotics are unrestricted or Restricted </w:t>
      </w:r>
      <w:r w:rsidR="000619D5">
        <w:t>B</w:t>
      </w:r>
      <w:r>
        <w:t xml:space="preserve">enefit; with a small number listed as </w:t>
      </w:r>
      <w:r w:rsidRPr="000473FC">
        <w:t xml:space="preserve">Authority </w:t>
      </w:r>
      <w:r w:rsidR="000619D5">
        <w:t>R</w:t>
      </w:r>
      <w:r w:rsidRPr="000473FC">
        <w:t>equir</w:t>
      </w:r>
      <w:r>
        <w:t xml:space="preserve">ed (STREAMLINED) and Authority </w:t>
      </w:r>
      <w:r w:rsidR="000619D5">
        <w:t>R</w:t>
      </w:r>
      <w:r w:rsidRPr="000473FC">
        <w:t>equired</w:t>
      </w:r>
      <w:r>
        <w:t xml:space="preserve"> (</w:t>
      </w:r>
      <w:r w:rsidRPr="006A24C1">
        <w:t>Table 1</w:t>
      </w:r>
      <w:r>
        <w:t>).</w:t>
      </w:r>
      <w:r w:rsidRPr="000473FC">
        <w:t xml:space="preserve"> </w:t>
      </w:r>
      <w:r>
        <w:t xml:space="preserve">A PBS restriction requires that the medicine can only be subsidised when prescribed for specific therapeutic uses. </w:t>
      </w:r>
      <w:r w:rsidRPr="000473FC">
        <w:t>Where a prescriber wishes to prescribe an antibiotic outside of the restriction specified by the PBS, the prescriber may choose to write a private prescription, which is not subsidised by the PBS.</w:t>
      </w:r>
    </w:p>
    <w:p w14:paraId="1B4CADDA" w14:textId="77777777" w:rsidR="00647E9D" w:rsidRDefault="00647E9D" w:rsidP="007A119C">
      <w:r>
        <w:t xml:space="preserve">Many antibiotics are permitted to be prescribed by approved non-medical prescribers (dentists, optometrists, midwives and nurse practitioners). These items are marked as such in the PBS schedule. </w:t>
      </w:r>
    </w:p>
    <w:p w14:paraId="67B64C0D" w14:textId="4BA67A6C" w:rsidR="00647E9D" w:rsidRDefault="00647E9D" w:rsidP="007A119C">
      <w:r w:rsidRPr="002F61CA">
        <w:t>Current PBS listing details are available from</w:t>
      </w:r>
      <w:r w:rsidR="00F3018A">
        <w:t xml:space="preserve"> the</w:t>
      </w:r>
      <w:r w:rsidRPr="002F61CA">
        <w:t xml:space="preserve"> </w:t>
      </w:r>
      <w:hyperlink r:id="rId10" w:history="1">
        <w:r w:rsidR="00F3018A">
          <w:rPr>
            <w:rStyle w:val="Hyperlink"/>
          </w:rPr>
          <w:t>PBS website</w:t>
        </w:r>
      </w:hyperlink>
      <w:r w:rsidR="00F3018A">
        <w:rPr>
          <w:rStyle w:val="Hyperlink"/>
        </w:rPr>
        <w:t>.</w:t>
      </w:r>
      <w:r>
        <w:rPr>
          <w:rStyle w:val="Hyperlink"/>
        </w:rPr>
        <w:t xml:space="preserve"> </w:t>
      </w:r>
    </w:p>
    <w:p w14:paraId="57906FFA" w14:textId="3961C890" w:rsidR="00647E9D" w:rsidRDefault="00647E9D" w:rsidP="007A119C">
      <w:r>
        <w:t xml:space="preserve">Historical PBS listings are available from the </w:t>
      </w:r>
      <w:hyperlink r:id="rId11" w:history="1">
        <w:r w:rsidR="00F3018A">
          <w:rPr>
            <w:rStyle w:val="Hyperlink"/>
          </w:rPr>
          <w:t>PBS Publications Archive</w:t>
        </w:r>
      </w:hyperlink>
      <w:r w:rsidR="00F3018A">
        <w:rPr>
          <w:rStyle w:val="Hyperlink"/>
        </w:rPr>
        <w:t>.</w:t>
      </w:r>
    </w:p>
    <w:p w14:paraId="5B24C12E" w14:textId="05640313" w:rsidR="00647E9D" w:rsidRPr="002B33DA" w:rsidRDefault="00647E9D" w:rsidP="00A430ED">
      <w:pPr>
        <w:pStyle w:val="Tabletitle"/>
      </w:pPr>
      <w:r w:rsidRPr="006A24C1">
        <w:t xml:space="preserve">Table 1: </w:t>
      </w:r>
      <w:r w:rsidR="00A91BBC">
        <w:t>S</w:t>
      </w:r>
      <w:r w:rsidRPr="006A24C1">
        <w:t>ummarised item details and restrictions</w:t>
      </w:r>
      <w:r w:rsidRPr="002B33DA">
        <w:t xml:space="preserve"> for Authority </w:t>
      </w:r>
      <w:proofErr w:type="gramStart"/>
      <w:r w:rsidR="00800DA6">
        <w:t>R</w:t>
      </w:r>
      <w:r w:rsidRPr="002B33DA">
        <w:t>equired</w:t>
      </w:r>
      <w:proofErr w:type="gramEnd"/>
      <w:r w:rsidRPr="002B33DA">
        <w:t xml:space="preserve"> antibiotics</w:t>
      </w:r>
    </w:p>
    <w:tbl>
      <w:tblPr>
        <w:tblStyle w:val="TableGrid"/>
        <w:tblW w:w="9071" w:type="dxa"/>
        <w:tblInd w:w="108" w:type="dxa"/>
        <w:tblLook w:val="04A0" w:firstRow="1" w:lastRow="0" w:firstColumn="1" w:lastColumn="0" w:noHBand="0" w:noVBand="1"/>
        <w:tblCaption w:val="Table 1 summarises the item details and restrictions for authority required antibiotics"/>
        <w:tblDescription w:val="it includes the drug name, item details and the restriction of cephalexin, tobramycin, trimethoprim, cefepime, ciprofloxacin, norfloxacin, ofloxacin, rifaximin.  It also includes the same details for vancomycin and clarithromycin and azithromycin from the S100 highly specialised drugs programme"/>
      </w:tblPr>
      <w:tblGrid>
        <w:gridCol w:w="2224"/>
        <w:gridCol w:w="2524"/>
        <w:gridCol w:w="4323"/>
      </w:tblGrid>
      <w:tr w:rsidR="00647E9D" w:rsidRPr="00187954" w14:paraId="1C42620F" w14:textId="77777777" w:rsidTr="00455ADF">
        <w:trPr>
          <w:cantSplit/>
          <w:tblHeader/>
        </w:trPr>
        <w:tc>
          <w:tcPr>
            <w:tcW w:w="2224" w:type="dxa"/>
            <w:shd w:val="clear" w:color="auto" w:fill="BFBFBF" w:themeFill="background1" w:themeFillShade="BF"/>
          </w:tcPr>
          <w:p w14:paraId="2C13E91D" w14:textId="77777777" w:rsidR="00647E9D" w:rsidRPr="00187954" w:rsidRDefault="00647E9D" w:rsidP="00065A1D">
            <w:pPr>
              <w:pStyle w:val="Tablewriting"/>
              <w:rPr>
                <w:b/>
              </w:rPr>
            </w:pPr>
            <w:r w:rsidRPr="00187954">
              <w:rPr>
                <w:b/>
              </w:rPr>
              <w:t>Drug</w:t>
            </w:r>
          </w:p>
        </w:tc>
        <w:tc>
          <w:tcPr>
            <w:tcW w:w="2524" w:type="dxa"/>
            <w:tcBorders>
              <w:bottom w:val="single" w:sz="4" w:space="0" w:color="auto"/>
            </w:tcBorders>
            <w:shd w:val="clear" w:color="auto" w:fill="BFBFBF" w:themeFill="background1" w:themeFillShade="BF"/>
          </w:tcPr>
          <w:p w14:paraId="12E2CA7D" w14:textId="77777777" w:rsidR="00647E9D" w:rsidRPr="00187954" w:rsidRDefault="00647E9D" w:rsidP="00065A1D">
            <w:pPr>
              <w:pStyle w:val="Tablewriting"/>
              <w:rPr>
                <w:b/>
              </w:rPr>
            </w:pPr>
            <w:r w:rsidRPr="00187954">
              <w:rPr>
                <w:b/>
              </w:rPr>
              <w:t>Item details</w:t>
            </w:r>
          </w:p>
        </w:tc>
        <w:tc>
          <w:tcPr>
            <w:tcW w:w="4323" w:type="dxa"/>
            <w:tcBorders>
              <w:bottom w:val="single" w:sz="4" w:space="0" w:color="auto"/>
            </w:tcBorders>
            <w:shd w:val="clear" w:color="auto" w:fill="BFBFBF" w:themeFill="background1" w:themeFillShade="BF"/>
          </w:tcPr>
          <w:p w14:paraId="217EE5CB" w14:textId="77777777" w:rsidR="00647E9D" w:rsidRPr="00187954" w:rsidRDefault="00647E9D" w:rsidP="00065A1D">
            <w:pPr>
              <w:pStyle w:val="Tablewriting"/>
              <w:rPr>
                <w:b/>
              </w:rPr>
            </w:pPr>
            <w:r w:rsidRPr="00187954">
              <w:rPr>
                <w:b/>
              </w:rPr>
              <w:t>Restriction</w:t>
            </w:r>
          </w:p>
        </w:tc>
      </w:tr>
      <w:tr w:rsidR="00E829A2" w:rsidRPr="00187954" w14:paraId="781D109A" w14:textId="77777777" w:rsidTr="00455ADF">
        <w:tc>
          <w:tcPr>
            <w:tcW w:w="2224" w:type="dxa"/>
            <w:tcBorders>
              <w:right w:val="nil"/>
            </w:tcBorders>
          </w:tcPr>
          <w:p w14:paraId="2A509ED9" w14:textId="77777777" w:rsidR="00E829A2" w:rsidRPr="00187954" w:rsidRDefault="00E829A2" w:rsidP="00065A1D">
            <w:pPr>
              <w:pStyle w:val="Tablewriting"/>
              <w:rPr>
                <w:b/>
              </w:rPr>
            </w:pPr>
            <w:r w:rsidRPr="00187954">
              <w:rPr>
                <w:b/>
              </w:rPr>
              <w:t>Authority Required (STREAMLINED)</w:t>
            </w:r>
          </w:p>
        </w:tc>
        <w:tc>
          <w:tcPr>
            <w:tcW w:w="2524" w:type="dxa"/>
            <w:tcBorders>
              <w:left w:val="nil"/>
              <w:right w:val="nil"/>
            </w:tcBorders>
          </w:tcPr>
          <w:p w14:paraId="71EAC62B" w14:textId="77777777" w:rsidR="00E829A2" w:rsidRPr="00187954" w:rsidRDefault="00E829A2" w:rsidP="00065A1D">
            <w:pPr>
              <w:pStyle w:val="Tablewriting"/>
              <w:rPr>
                <w:b/>
              </w:rPr>
            </w:pPr>
          </w:p>
        </w:tc>
        <w:tc>
          <w:tcPr>
            <w:tcW w:w="4323" w:type="dxa"/>
            <w:tcBorders>
              <w:left w:val="nil"/>
            </w:tcBorders>
          </w:tcPr>
          <w:p w14:paraId="39B88D9A" w14:textId="21D2AD57" w:rsidR="00E829A2" w:rsidRPr="00187954" w:rsidRDefault="00E829A2" w:rsidP="00065A1D">
            <w:pPr>
              <w:pStyle w:val="Tablewriting"/>
              <w:rPr>
                <w:b/>
              </w:rPr>
            </w:pPr>
          </w:p>
        </w:tc>
      </w:tr>
      <w:tr w:rsidR="00647E9D" w:rsidRPr="00187954" w14:paraId="5662D292" w14:textId="77777777" w:rsidTr="003D2591">
        <w:tc>
          <w:tcPr>
            <w:tcW w:w="2224" w:type="dxa"/>
          </w:tcPr>
          <w:p w14:paraId="0E12E4FA" w14:textId="77777777" w:rsidR="00647E9D" w:rsidRPr="00187954" w:rsidRDefault="00647E9D" w:rsidP="00065A1D">
            <w:pPr>
              <w:pStyle w:val="Tablewriting"/>
            </w:pPr>
            <w:r w:rsidRPr="00187954">
              <w:t>Cephalexin 250mg tablet</w:t>
            </w:r>
          </w:p>
        </w:tc>
        <w:tc>
          <w:tcPr>
            <w:tcW w:w="2524" w:type="dxa"/>
          </w:tcPr>
          <w:p w14:paraId="05E6F60F" w14:textId="77777777" w:rsidR="00647E9D" w:rsidRPr="00187954" w:rsidRDefault="00647E9D" w:rsidP="00065A1D">
            <w:pPr>
              <w:pStyle w:val="Tablewriting"/>
            </w:pPr>
            <w:r w:rsidRPr="00187954">
              <w:t>2655R (MP)</w:t>
            </w:r>
          </w:p>
        </w:tc>
        <w:tc>
          <w:tcPr>
            <w:tcW w:w="4323" w:type="dxa"/>
          </w:tcPr>
          <w:p w14:paraId="087A4983" w14:textId="77777777" w:rsidR="00647E9D" w:rsidRPr="00187954" w:rsidRDefault="00647E9D" w:rsidP="00065A1D">
            <w:pPr>
              <w:pStyle w:val="Tablewriting"/>
            </w:pPr>
            <w:r w:rsidRPr="00187954">
              <w:t>Prophylaxis of UTI (higher quantity than unrestricted listings)</w:t>
            </w:r>
          </w:p>
        </w:tc>
      </w:tr>
      <w:tr w:rsidR="00647E9D" w:rsidRPr="00187954" w14:paraId="4EFE2D61" w14:textId="77777777" w:rsidTr="003D2591">
        <w:tc>
          <w:tcPr>
            <w:tcW w:w="2224" w:type="dxa"/>
          </w:tcPr>
          <w:p w14:paraId="28351CC8" w14:textId="77777777" w:rsidR="00647E9D" w:rsidRPr="00187954" w:rsidRDefault="00647E9D" w:rsidP="00065A1D">
            <w:pPr>
              <w:pStyle w:val="Tablewriting"/>
            </w:pPr>
            <w:r w:rsidRPr="00187954">
              <w:t>Tobramycin inhalation capsules and inhalation solution</w:t>
            </w:r>
          </w:p>
        </w:tc>
        <w:tc>
          <w:tcPr>
            <w:tcW w:w="2524" w:type="dxa"/>
          </w:tcPr>
          <w:p w14:paraId="189DF428" w14:textId="77777777" w:rsidR="00647E9D" w:rsidRPr="00187954" w:rsidRDefault="00647E9D" w:rsidP="00065A1D">
            <w:pPr>
              <w:pStyle w:val="Tablewriting"/>
            </w:pPr>
            <w:r w:rsidRPr="00187954">
              <w:t>10066T, 10074F (inhalation capsules)</w:t>
            </w:r>
          </w:p>
          <w:p w14:paraId="7EAC71A7" w14:textId="77777777" w:rsidR="00647E9D" w:rsidRPr="00187954" w:rsidRDefault="00647E9D" w:rsidP="00065A1D">
            <w:pPr>
              <w:pStyle w:val="Tablewriting"/>
            </w:pPr>
            <w:r w:rsidRPr="00187954">
              <w:t>5442K (solution for inhalation)</w:t>
            </w:r>
          </w:p>
          <w:p w14:paraId="38910CAE" w14:textId="77777777" w:rsidR="00647E9D" w:rsidRPr="00187954" w:rsidRDefault="00647E9D" w:rsidP="00065A1D">
            <w:pPr>
              <w:pStyle w:val="Tablewriting"/>
            </w:pPr>
            <w:r w:rsidRPr="00187954">
              <w:t>(MP)</w:t>
            </w:r>
          </w:p>
        </w:tc>
        <w:tc>
          <w:tcPr>
            <w:tcW w:w="4323" w:type="dxa"/>
          </w:tcPr>
          <w:p w14:paraId="2FA0302D" w14:textId="77777777" w:rsidR="00647E9D" w:rsidRPr="00187954" w:rsidRDefault="00647E9D" w:rsidP="00065A1D">
            <w:pPr>
              <w:pStyle w:val="Tablewriting"/>
            </w:pPr>
            <w:r w:rsidRPr="00187954">
              <w:t>Management of a proven Pseudomonas aeruginosa infection in a patient with cystic fibrosis</w:t>
            </w:r>
          </w:p>
          <w:p w14:paraId="2F64F455" w14:textId="77777777" w:rsidR="00647E9D" w:rsidRPr="00187954" w:rsidRDefault="00647E9D" w:rsidP="00065A1D">
            <w:pPr>
              <w:pStyle w:val="Tablewriting"/>
            </w:pPr>
          </w:p>
        </w:tc>
      </w:tr>
      <w:tr w:rsidR="00647E9D" w:rsidRPr="00187954" w14:paraId="7F86A8B8" w14:textId="77777777" w:rsidTr="00455ADF">
        <w:tc>
          <w:tcPr>
            <w:tcW w:w="2224" w:type="dxa"/>
          </w:tcPr>
          <w:p w14:paraId="081FCD8A" w14:textId="77777777" w:rsidR="00647E9D" w:rsidRPr="00187954" w:rsidRDefault="00647E9D" w:rsidP="00065A1D">
            <w:pPr>
              <w:pStyle w:val="Tablewriting"/>
            </w:pPr>
            <w:r w:rsidRPr="00187954">
              <w:t>Trimethoprim</w:t>
            </w:r>
          </w:p>
          <w:p w14:paraId="471CDECE" w14:textId="77777777" w:rsidR="00647E9D" w:rsidRPr="00187954" w:rsidRDefault="00647E9D" w:rsidP="00065A1D">
            <w:pPr>
              <w:pStyle w:val="Tablewriting"/>
            </w:pPr>
            <w:r w:rsidRPr="00187954">
              <w:t>300mg tablet</w:t>
            </w:r>
          </w:p>
        </w:tc>
        <w:tc>
          <w:tcPr>
            <w:tcW w:w="2524" w:type="dxa"/>
            <w:tcBorders>
              <w:bottom w:val="single" w:sz="4" w:space="0" w:color="auto"/>
            </w:tcBorders>
          </w:tcPr>
          <w:p w14:paraId="399C5D1A" w14:textId="77777777" w:rsidR="00647E9D" w:rsidRPr="00187954" w:rsidRDefault="00647E9D" w:rsidP="00065A1D">
            <w:pPr>
              <w:pStyle w:val="Tablewriting"/>
            </w:pPr>
            <w:r w:rsidRPr="00187954">
              <w:t>2666H (MP)</w:t>
            </w:r>
          </w:p>
        </w:tc>
        <w:tc>
          <w:tcPr>
            <w:tcW w:w="4323" w:type="dxa"/>
            <w:tcBorders>
              <w:bottom w:val="single" w:sz="4" w:space="0" w:color="auto"/>
            </w:tcBorders>
          </w:tcPr>
          <w:p w14:paraId="3EAC873C" w14:textId="77777777" w:rsidR="00647E9D" w:rsidRPr="00187954" w:rsidRDefault="00647E9D" w:rsidP="00065A1D">
            <w:pPr>
              <w:pStyle w:val="Tablewriting"/>
            </w:pPr>
            <w:r w:rsidRPr="00187954">
              <w:t xml:space="preserve">Prophylaxis of UTI (higher quantity than other listing) </w:t>
            </w:r>
          </w:p>
          <w:p w14:paraId="7BCCEC00" w14:textId="77777777" w:rsidR="00647E9D" w:rsidRPr="00187954" w:rsidRDefault="00647E9D" w:rsidP="00065A1D">
            <w:pPr>
              <w:pStyle w:val="Tablewriting"/>
            </w:pPr>
          </w:p>
        </w:tc>
      </w:tr>
      <w:tr w:rsidR="00E829A2" w:rsidRPr="00187954" w14:paraId="5EDC0A13" w14:textId="77777777" w:rsidTr="00455ADF">
        <w:tc>
          <w:tcPr>
            <w:tcW w:w="2224" w:type="dxa"/>
            <w:tcBorders>
              <w:right w:val="nil"/>
            </w:tcBorders>
          </w:tcPr>
          <w:p w14:paraId="220BCA02" w14:textId="77777777" w:rsidR="00E829A2" w:rsidRPr="00187954" w:rsidRDefault="00E829A2" w:rsidP="00065A1D">
            <w:pPr>
              <w:pStyle w:val="Tablewriting"/>
              <w:rPr>
                <w:b/>
              </w:rPr>
            </w:pPr>
            <w:r w:rsidRPr="00187954">
              <w:rPr>
                <w:b/>
              </w:rPr>
              <w:t>Authority Required</w:t>
            </w:r>
          </w:p>
        </w:tc>
        <w:tc>
          <w:tcPr>
            <w:tcW w:w="2524" w:type="dxa"/>
            <w:tcBorders>
              <w:left w:val="nil"/>
              <w:right w:val="nil"/>
            </w:tcBorders>
          </w:tcPr>
          <w:p w14:paraId="3951643A" w14:textId="77777777" w:rsidR="00E829A2" w:rsidRPr="00187954" w:rsidRDefault="00E829A2" w:rsidP="00065A1D">
            <w:pPr>
              <w:pStyle w:val="Tablewriting"/>
              <w:rPr>
                <w:b/>
              </w:rPr>
            </w:pPr>
          </w:p>
        </w:tc>
        <w:tc>
          <w:tcPr>
            <w:tcW w:w="4323" w:type="dxa"/>
            <w:tcBorders>
              <w:left w:val="nil"/>
            </w:tcBorders>
          </w:tcPr>
          <w:p w14:paraId="6C038A42" w14:textId="28821928" w:rsidR="00E829A2" w:rsidRPr="00187954" w:rsidRDefault="00E829A2" w:rsidP="00065A1D">
            <w:pPr>
              <w:pStyle w:val="Tablewriting"/>
              <w:rPr>
                <w:b/>
              </w:rPr>
            </w:pPr>
          </w:p>
        </w:tc>
      </w:tr>
      <w:tr w:rsidR="00647E9D" w:rsidRPr="00187954" w14:paraId="6041E418" w14:textId="77777777" w:rsidTr="006F026B">
        <w:tc>
          <w:tcPr>
            <w:tcW w:w="2224" w:type="dxa"/>
            <w:tcBorders>
              <w:bottom w:val="nil"/>
            </w:tcBorders>
          </w:tcPr>
          <w:p w14:paraId="3A7B5DBC" w14:textId="77777777" w:rsidR="00647E9D" w:rsidRPr="00187954" w:rsidRDefault="00647E9D" w:rsidP="00065A1D">
            <w:pPr>
              <w:pStyle w:val="Tablewriting"/>
            </w:pPr>
            <w:proofErr w:type="spellStart"/>
            <w:r w:rsidRPr="00187954">
              <w:t>Cefepime</w:t>
            </w:r>
            <w:proofErr w:type="spellEnd"/>
            <w:r w:rsidRPr="00187954">
              <w:t xml:space="preserve"> </w:t>
            </w:r>
          </w:p>
          <w:p w14:paraId="29C7BF2E" w14:textId="77777777" w:rsidR="00647E9D" w:rsidRPr="00187954" w:rsidRDefault="00647E9D" w:rsidP="00065A1D">
            <w:pPr>
              <w:pStyle w:val="Tablewriting"/>
            </w:pPr>
            <w:r w:rsidRPr="00187954">
              <w:t>Powder for injection</w:t>
            </w:r>
          </w:p>
        </w:tc>
        <w:tc>
          <w:tcPr>
            <w:tcW w:w="2524" w:type="dxa"/>
            <w:tcBorders>
              <w:bottom w:val="nil"/>
            </w:tcBorders>
          </w:tcPr>
          <w:p w14:paraId="6EFDFEEE" w14:textId="77777777" w:rsidR="00647E9D" w:rsidRPr="00187954" w:rsidRDefault="00647E9D" w:rsidP="00065A1D">
            <w:pPr>
              <w:pStyle w:val="Tablewriting"/>
            </w:pPr>
            <w:r w:rsidRPr="00187954">
              <w:t>8315P, 8316Q (MP, NP)</w:t>
            </w:r>
          </w:p>
        </w:tc>
        <w:tc>
          <w:tcPr>
            <w:tcW w:w="4323" w:type="dxa"/>
          </w:tcPr>
          <w:p w14:paraId="2129EBA5" w14:textId="77777777" w:rsidR="00647E9D" w:rsidRPr="00187954" w:rsidRDefault="00647E9D" w:rsidP="00065A1D">
            <w:pPr>
              <w:pStyle w:val="Tablewriting"/>
            </w:pPr>
            <w:r w:rsidRPr="00187954">
              <w:t>Treatment of febrile neutropenia</w:t>
            </w:r>
          </w:p>
        </w:tc>
      </w:tr>
      <w:tr w:rsidR="00647E9D" w:rsidRPr="00187954" w14:paraId="293A8008" w14:textId="77777777" w:rsidTr="006F026B">
        <w:tc>
          <w:tcPr>
            <w:tcW w:w="2224" w:type="dxa"/>
            <w:tcBorders>
              <w:top w:val="nil"/>
              <w:bottom w:val="nil"/>
            </w:tcBorders>
          </w:tcPr>
          <w:p w14:paraId="5AD84DAD" w14:textId="77777777" w:rsidR="00647E9D" w:rsidRPr="00187954" w:rsidRDefault="00647E9D" w:rsidP="00065A1D">
            <w:pPr>
              <w:pStyle w:val="Tablewriting"/>
            </w:pPr>
            <w:r w:rsidRPr="00187954">
              <w:t xml:space="preserve">Ciprofloxacin </w:t>
            </w:r>
          </w:p>
          <w:p w14:paraId="3728C156" w14:textId="77777777" w:rsidR="00647E9D" w:rsidRPr="00187954" w:rsidRDefault="00647E9D" w:rsidP="00065A1D">
            <w:pPr>
              <w:pStyle w:val="Tablewriting"/>
            </w:pPr>
            <w:r w:rsidRPr="00187954">
              <w:t>250mg tablet</w:t>
            </w:r>
          </w:p>
          <w:p w14:paraId="6D8B1F80" w14:textId="3552AD76" w:rsidR="00647E9D" w:rsidRPr="00187954" w:rsidRDefault="00647E9D" w:rsidP="006F026B">
            <w:pPr>
              <w:pStyle w:val="Tablewriting"/>
            </w:pPr>
          </w:p>
        </w:tc>
        <w:tc>
          <w:tcPr>
            <w:tcW w:w="2524" w:type="dxa"/>
            <w:tcBorders>
              <w:top w:val="nil"/>
              <w:bottom w:val="nil"/>
            </w:tcBorders>
          </w:tcPr>
          <w:p w14:paraId="0D446AE3" w14:textId="77777777" w:rsidR="00647E9D" w:rsidRPr="00187954" w:rsidRDefault="00647E9D" w:rsidP="00065A1D">
            <w:pPr>
              <w:pStyle w:val="Tablewriting"/>
            </w:pPr>
            <w:r w:rsidRPr="00187954">
              <w:t>1208N (250mg tablet)</w:t>
            </w:r>
          </w:p>
          <w:p w14:paraId="0C9391AB" w14:textId="34366301" w:rsidR="00647E9D" w:rsidRPr="00187954" w:rsidRDefault="00647E9D" w:rsidP="006F026B">
            <w:pPr>
              <w:pStyle w:val="Tablewriting"/>
            </w:pPr>
            <w:r w:rsidRPr="00187954">
              <w:t>1209P (500mg tablet)</w:t>
            </w:r>
          </w:p>
        </w:tc>
        <w:tc>
          <w:tcPr>
            <w:tcW w:w="4323" w:type="dxa"/>
          </w:tcPr>
          <w:p w14:paraId="14480026" w14:textId="77777777" w:rsidR="00647E9D" w:rsidRPr="00187954" w:rsidRDefault="00647E9D" w:rsidP="00065A1D">
            <w:pPr>
              <w:pStyle w:val="Tablewriting"/>
              <w:rPr>
                <w:rFonts w:eastAsia="Times New Roman" w:cs="Times New Roman"/>
              </w:rPr>
            </w:pPr>
            <w:r w:rsidRPr="00187954">
              <w:rPr>
                <w:rFonts w:eastAsia="Times New Roman" w:cs="Times New Roman"/>
              </w:rPr>
              <w:t>Respiratory tract infection proven or suspected to be caused by Pseudomonas aeruginosa in severely immunocompromised patients;</w:t>
            </w:r>
          </w:p>
        </w:tc>
      </w:tr>
      <w:tr w:rsidR="00647E9D" w:rsidRPr="00187954" w14:paraId="130D4D37" w14:textId="77777777" w:rsidTr="006F026B">
        <w:tc>
          <w:tcPr>
            <w:tcW w:w="2224" w:type="dxa"/>
            <w:tcBorders>
              <w:top w:val="nil"/>
              <w:bottom w:val="nil"/>
            </w:tcBorders>
          </w:tcPr>
          <w:p w14:paraId="3FD5635B" w14:textId="78516B94" w:rsidR="006F026B" w:rsidRDefault="006F026B" w:rsidP="006F026B">
            <w:pPr>
              <w:pStyle w:val="Tablewriting"/>
            </w:pPr>
            <w:r w:rsidRPr="00187954">
              <w:t>500mg tablet</w:t>
            </w:r>
          </w:p>
          <w:p w14:paraId="444E7EA9" w14:textId="6698FE94" w:rsidR="00647E9D" w:rsidRPr="00187954" w:rsidRDefault="006F026B" w:rsidP="006F026B">
            <w:pPr>
              <w:pStyle w:val="Tablewriting"/>
            </w:pPr>
            <w:r w:rsidRPr="00187954">
              <w:t>750mg tablet</w:t>
            </w:r>
          </w:p>
        </w:tc>
        <w:tc>
          <w:tcPr>
            <w:tcW w:w="2524" w:type="dxa"/>
            <w:tcBorders>
              <w:top w:val="nil"/>
              <w:bottom w:val="nil"/>
            </w:tcBorders>
          </w:tcPr>
          <w:p w14:paraId="33FEA199" w14:textId="77777777" w:rsidR="006F026B" w:rsidRPr="00187954" w:rsidRDefault="006F026B" w:rsidP="006F026B">
            <w:pPr>
              <w:pStyle w:val="Tablewriting"/>
            </w:pPr>
            <w:r w:rsidRPr="00187954">
              <w:t>1210Q (750mg tablet)</w:t>
            </w:r>
          </w:p>
          <w:p w14:paraId="125DE560" w14:textId="4A8A3C41" w:rsidR="00647E9D" w:rsidRPr="00187954" w:rsidRDefault="006F026B" w:rsidP="006F026B">
            <w:pPr>
              <w:pStyle w:val="Tablewriting"/>
            </w:pPr>
            <w:r w:rsidRPr="00187954">
              <w:t>(MP, NP)</w:t>
            </w:r>
          </w:p>
        </w:tc>
        <w:tc>
          <w:tcPr>
            <w:tcW w:w="4323" w:type="dxa"/>
          </w:tcPr>
          <w:p w14:paraId="37354E65" w14:textId="77777777" w:rsidR="00647E9D" w:rsidRPr="00187954" w:rsidRDefault="00647E9D" w:rsidP="00065A1D">
            <w:pPr>
              <w:pStyle w:val="Tablewriting"/>
              <w:rPr>
                <w:rFonts w:eastAsia="Times New Roman" w:cs="Times New Roman"/>
              </w:rPr>
            </w:pPr>
            <w:r w:rsidRPr="00187954">
              <w:rPr>
                <w:rFonts w:eastAsia="Times New Roman" w:cs="Times New Roman"/>
              </w:rPr>
              <w:t>Bacterial gastroenteritis in severely immunocompromised patients;</w:t>
            </w:r>
          </w:p>
        </w:tc>
      </w:tr>
      <w:tr w:rsidR="00647E9D" w:rsidRPr="00187954" w14:paraId="08CDBAEC" w14:textId="77777777" w:rsidTr="006F026B">
        <w:tc>
          <w:tcPr>
            <w:tcW w:w="2224" w:type="dxa"/>
            <w:tcBorders>
              <w:top w:val="nil"/>
              <w:bottom w:val="nil"/>
            </w:tcBorders>
          </w:tcPr>
          <w:p w14:paraId="037A2031" w14:textId="7F31A5F4" w:rsidR="006F026B" w:rsidRDefault="006F026B" w:rsidP="00065A1D">
            <w:pPr>
              <w:pStyle w:val="Tablewriting"/>
            </w:pPr>
            <w:r w:rsidRPr="00187954">
              <w:lastRenderedPageBreak/>
              <w:t>0.3% eye drops</w:t>
            </w:r>
          </w:p>
          <w:p w14:paraId="0057E644" w14:textId="3C4F5493" w:rsidR="00647E9D" w:rsidRPr="00187954" w:rsidRDefault="006F026B" w:rsidP="00065A1D">
            <w:pPr>
              <w:pStyle w:val="Tablewriting"/>
            </w:pPr>
            <w:r w:rsidRPr="00187954">
              <w:t>0.3% ear drops</w:t>
            </w:r>
          </w:p>
        </w:tc>
        <w:tc>
          <w:tcPr>
            <w:tcW w:w="2524" w:type="dxa"/>
            <w:tcBorders>
              <w:top w:val="nil"/>
              <w:bottom w:val="nil"/>
            </w:tcBorders>
          </w:tcPr>
          <w:p w14:paraId="4729636B" w14:textId="77777777" w:rsidR="00647E9D" w:rsidRPr="00187954" w:rsidRDefault="00647E9D" w:rsidP="00065A1D">
            <w:pPr>
              <w:pStyle w:val="Tablewriting"/>
            </w:pPr>
          </w:p>
        </w:tc>
        <w:tc>
          <w:tcPr>
            <w:tcW w:w="4323" w:type="dxa"/>
          </w:tcPr>
          <w:p w14:paraId="19D7D9DD" w14:textId="77777777" w:rsidR="00647E9D" w:rsidRPr="00187954" w:rsidRDefault="00647E9D" w:rsidP="00065A1D">
            <w:pPr>
              <w:pStyle w:val="Tablewriting"/>
              <w:rPr>
                <w:rFonts w:eastAsia="Times New Roman" w:cs="Times New Roman"/>
              </w:rPr>
            </w:pPr>
            <w:r w:rsidRPr="00187954">
              <w:rPr>
                <w:rFonts w:eastAsia="Times New Roman" w:cs="Times New Roman"/>
              </w:rPr>
              <w:t>Treatment of infections proven to be due to Pseudomonas aeruginosa or other gram-negative bacteria resistant to all other oral antimicrobials;</w:t>
            </w:r>
          </w:p>
        </w:tc>
      </w:tr>
      <w:tr w:rsidR="00647E9D" w:rsidRPr="00187954" w14:paraId="07343729" w14:textId="77777777" w:rsidTr="006F026B">
        <w:tc>
          <w:tcPr>
            <w:tcW w:w="2224" w:type="dxa"/>
            <w:tcBorders>
              <w:top w:val="nil"/>
              <w:bottom w:val="nil"/>
            </w:tcBorders>
          </w:tcPr>
          <w:p w14:paraId="578895B9" w14:textId="77777777" w:rsidR="00647E9D" w:rsidRPr="00187954" w:rsidRDefault="00647E9D" w:rsidP="00065A1D">
            <w:pPr>
              <w:pStyle w:val="Tablewriting"/>
            </w:pPr>
          </w:p>
        </w:tc>
        <w:tc>
          <w:tcPr>
            <w:tcW w:w="2524" w:type="dxa"/>
            <w:tcBorders>
              <w:top w:val="nil"/>
              <w:bottom w:val="nil"/>
            </w:tcBorders>
          </w:tcPr>
          <w:p w14:paraId="2DE4B792" w14:textId="77777777" w:rsidR="00647E9D" w:rsidRPr="00187954" w:rsidRDefault="00647E9D" w:rsidP="00065A1D">
            <w:pPr>
              <w:pStyle w:val="Tablewriting"/>
            </w:pPr>
          </w:p>
        </w:tc>
        <w:tc>
          <w:tcPr>
            <w:tcW w:w="4323" w:type="dxa"/>
          </w:tcPr>
          <w:p w14:paraId="3A631BF4" w14:textId="77777777" w:rsidR="00647E9D" w:rsidRPr="00187954" w:rsidRDefault="00647E9D" w:rsidP="00065A1D">
            <w:pPr>
              <w:pStyle w:val="Tablewriting"/>
              <w:rPr>
                <w:rFonts w:eastAsia="Times New Roman" w:cs="Times New Roman"/>
              </w:rPr>
            </w:pPr>
            <w:r w:rsidRPr="00187954">
              <w:rPr>
                <w:rFonts w:eastAsia="Times New Roman" w:cs="Times New Roman"/>
              </w:rPr>
              <w:t xml:space="preserve">Treatment of joint and bone infections, </w:t>
            </w:r>
            <w:proofErr w:type="spellStart"/>
            <w:r w:rsidRPr="00187954">
              <w:rPr>
                <w:rFonts w:eastAsia="Times New Roman" w:cs="Times New Roman"/>
              </w:rPr>
              <w:t>epididymo-orchitis</w:t>
            </w:r>
            <w:proofErr w:type="spellEnd"/>
            <w:r w:rsidRPr="00187954">
              <w:rPr>
                <w:rFonts w:eastAsia="Times New Roman" w:cs="Times New Roman"/>
              </w:rPr>
              <w:t xml:space="preserve">, prostatitis or </w:t>
            </w:r>
            <w:proofErr w:type="spellStart"/>
            <w:r w:rsidRPr="00187954">
              <w:rPr>
                <w:rFonts w:eastAsia="Times New Roman" w:cs="Times New Roman"/>
              </w:rPr>
              <w:t>perichondritis</w:t>
            </w:r>
            <w:proofErr w:type="spellEnd"/>
            <w:r w:rsidRPr="00187954">
              <w:rPr>
                <w:rFonts w:eastAsia="Times New Roman" w:cs="Times New Roman"/>
              </w:rPr>
              <w:t xml:space="preserve"> of the pinna, suspected or proven to be caused by gram-negative bacteria or gram-positive bacteria resistant to all other appropriate antimicrobials;</w:t>
            </w:r>
          </w:p>
        </w:tc>
      </w:tr>
      <w:tr w:rsidR="00647E9D" w:rsidRPr="00187954" w14:paraId="2C7DA4C1" w14:textId="77777777" w:rsidTr="006F026B">
        <w:tc>
          <w:tcPr>
            <w:tcW w:w="2224" w:type="dxa"/>
            <w:tcBorders>
              <w:top w:val="nil"/>
              <w:bottom w:val="nil"/>
            </w:tcBorders>
          </w:tcPr>
          <w:p w14:paraId="7934D95D" w14:textId="77777777" w:rsidR="00647E9D" w:rsidRPr="00187954" w:rsidRDefault="00647E9D" w:rsidP="00065A1D">
            <w:pPr>
              <w:pStyle w:val="Tablewriting"/>
            </w:pPr>
          </w:p>
        </w:tc>
        <w:tc>
          <w:tcPr>
            <w:tcW w:w="2524" w:type="dxa"/>
            <w:tcBorders>
              <w:top w:val="nil"/>
            </w:tcBorders>
          </w:tcPr>
          <w:p w14:paraId="7B83AAD6" w14:textId="77777777" w:rsidR="00647E9D" w:rsidRPr="00187954" w:rsidRDefault="00647E9D" w:rsidP="00065A1D">
            <w:pPr>
              <w:pStyle w:val="Tablewriting"/>
            </w:pPr>
          </w:p>
        </w:tc>
        <w:tc>
          <w:tcPr>
            <w:tcW w:w="4323" w:type="dxa"/>
          </w:tcPr>
          <w:p w14:paraId="053DBCB8" w14:textId="77777777" w:rsidR="00647E9D" w:rsidRPr="00187954" w:rsidRDefault="00647E9D" w:rsidP="00065A1D">
            <w:pPr>
              <w:pStyle w:val="Tablewriting"/>
              <w:rPr>
                <w:rFonts w:eastAsia="Times New Roman" w:cs="Times New Roman"/>
              </w:rPr>
            </w:pPr>
            <w:r w:rsidRPr="00187954">
              <w:rPr>
                <w:rFonts w:eastAsia="Times New Roman" w:cs="Times New Roman"/>
              </w:rPr>
              <w:t>Gonorrhoea (250 mg tablet only)</w:t>
            </w:r>
          </w:p>
        </w:tc>
      </w:tr>
      <w:tr w:rsidR="00647E9D" w:rsidRPr="00187954" w14:paraId="30CFE887" w14:textId="77777777" w:rsidTr="006F026B">
        <w:tc>
          <w:tcPr>
            <w:tcW w:w="2224" w:type="dxa"/>
            <w:tcBorders>
              <w:top w:val="nil"/>
              <w:bottom w:val="nil"/>
            </w:tcBorders>
          </w:tcPr>
          <w:p w14:paraId="6B2645A5" w14:textId="77777777" w:rsidR="00647E9D" w:rsidRPr="00187954" w:rsidRDefault="00647E9D" w:rsidP="00065A1D">
            <w:pPr>
              <w:pStyle w:val="Tablewriting"/>
            </w:pPr>
          </w:p>
        </w:tc>
        <w:tc>
          <w:tcPr>
            <w:tcW w:w="2524" w:type="dxa"/>
          </w:tcPr>
          <w:p w14:paraId="364ABA5C" w14:textId="77777777" w:rsidR="00647E9D" w:rsidRPr="00187954" w:rsidRDefault="00647E9D" w:rsidP="00065A1D">
            <w:pPr>
              <w:pStyle w:val="Tablewriting"/>
            </w:pPr>
            <w:r w:rsidRPr="00187954">
              <w:t>0.3% eye drops</w:t>
            </w:r>
          </w:p>
          <w:p w14:paraId="6BDC3928" w14:textId="77777777" w:rsidR="00647E9D" w:rsidRPr="00187954" w:rsidRDefault="00647E9D" w:rsidP="00065A1D">
            <w:pPr>
              <w:pStyle w:val="Tablewriting"/>
            </w:pPr>
            <w:r w:rsidRPr="00187954">
              <w:t>1217C (MP); 5564W (OP)</w:t>
            </w:r>
          </w:p>
        </w:tc>
        <w:tc>
          <w:tcPr>
            <w:tcW w:w="4323" w:type="dxa"/>
          </w:tcPr>
          <w:p w14:paraId="7A899649" w14:textId="77777777" w:rsidR="00647E9D" w:rsidRPr="00187954" w:rsidRDefault="00647E9D" w:rsidP="00065A1D">
            <w:pPr>
              <w:pStyle w:val="Tablewriting"/>
              <w:rPr>
                <w:rFonts w:eastAsia="Times New Roman" w:cs="Times New Roman"/>
              </w:rPr>
            </w:pPr>
            <w:r w:rsidRPr="00187954">
              <w:rPr>
                <w:rFonts w:eastAsia="Times New Roman" w:cs="Times New Roman"/>
              </w:rPr>
              <w:t>Bacterial keratitis</w:t>
            </w:r>
          </w:p>
          <w:p w14:paraId="0B5757CC" w14:textId="77777777" w:rsidR="00647E9D" w:rsidRPr="00187954" w:rsidRDefault="00647E9D" w:rsidP="00065A1D">
            <w:pPr>
              <w:pStyle w:val="Tablewriting"/>
              <w:rPr>
                <w:rFonts w:eastAsia="Times New Roman" w:cs="Times New Roman"/>
              </w:rPr>
            </w:pPr>
          </w:p>
        </w:tc>
      </w:tr>
      <w:tr w:rsidR="00647E9D" w:rsidRPr="00187954" w14:paraId="66C97DA2" w14:textId="77777777" w:rsidTr="006F026B">
        <w:tc>
          <w:tcPr>
            <w:tcW w:w="2224" w:type="dxa"/>
            <w:tcBorders>
              <w:top w:val="nil"/>
              <w:bottom w:val="single" w:sz="6" w:space="0" w:color="auto"/>
            </w:tcBorders>
          </w:tcPr>
          <w:p w14:paraId="33185E75" w14:textId="77777777" w:rsidR="00647E9D" w:rsidRPr="00187954" w:rsidRDefault="00647E9D" w:rsidP="00065A1D">
            <w:pPr>
              <w:pStyle w:val="Tablewriting"/>
            </w:pPr>
          </w:p>
        </w:tc>
        <w:tc>
          <w:tcPr>
            <w:tcW w:w="2524" w:type="dxa"/>
            <w:tcBorders>
              <w:bottom w:val="single" w:sz="4" w:space="0" w:color="auto"/>
            </w:tcBorders>
          </w:tcPr>
          <w:p w14:paraId="48EC790F" w14:textId="77777777" w:rsidR="00647E9D" w:rsidRPr="00187954" w:rsidRDefault="00647E9D" w:rsidP="00065A1D">
            <w:pPr>
              <w:pStyle w:val="Tablewriting"/>
            </w:pPr>
            <w:r w:rsidRPr="00187954">
              <w:t>2480M (0.3% ear drops) (MP, NP)</w:t>
            </w:r>
          </w:p>
        </w:tc>
        <w:tc>
          <w:tcPr>
            <w:tcW w:w="4323" w:type="dxa"/>
          </w:tcPr>
          <w:p w14:paraId="32ED0406" w14:textId="77777777" w:rsidR="00647E9D" w:rsidRPr="00187954" w:rsidRDefault="00647E9D" w:rsidP="00065A1D">
            <w:pPr>
              <w:pStyle w:val="Tablewriting"/>
              <w:rPr>
                <w:rFonts w:eastAsia="Times New Roman" w:cs="Times New Roman"/>
              </w:rPr>
            </w:pPr>
            <w:r w:rsidRPr="00187954">
              <w:rPr>
                <w:rFonts w:eastAsia="Times New Roman" w:cs="Times New Roman"/>
              </w:rPr>
              <w:t xml:space="preserve">Treatment of chronic </w:t>
            </w:r>
            <w:proofErr w:type="spellStart"/>
            <w:r w:rsidRPr="00187954">
              <w:rPr>
                <w:rFonts w:eastAsia="Times New Roman" w:cs="Times New Roman"/>
              </w:rPr>
              <w:t>suppurative</w:t>
            </w:r>
            <w:proofErr w:type="spellEnd"/>
            <w:r w:rsidRPr="00187954">
              <w:rPr>
                <w:rFonts w:eastAsia="Times New Roman" w:cs="Times New Roman"/>
              </w:rPr>
              <w:t xml:space="preserve"> otitis media in: </w:t>
            </w:r>
          </w:p>
          <w:p w14:paraId="49C03046" w14:textId="77777777" w:rsidR="00647E9D" w:rsidRPr="00187954" w:rsidRDefault="00647E9D" w:rsidP="00065A1D">
            <w:pPr>
              <w:pStyle w:val="Tablewriting"/>
              <w:rPr>
                <w:rFonts w:eastAsia="Times New Roman" w:cs="Times New Roman"/>
              </w:rPr>
            </w:pPr>
            <w:r w:rsidRPr="00187954">
              <w:rPr>
                <w:rFonts w:eastAsia="Times New Roman" w:cs="Times New Roman"/>
              </w:rPr>
              <w:t xml:space="preserve">an Aboriginal or a Torres Strait Islander person aged 1 month or older </w:t>
            </w:r>
          </w:p>
          <w:p w14:paraId="6D08BBF4" w14:textId="77777777" w:rsidR="00647E9D" w:rsidRPr="00187954" w:rsidRDefault="00647E9D" w:rsidP="00065A1D">
            <w:pPr>
              <w:pStyle w:val="Tablewriting"/>
              <w:rPr>
                <w:rFonts w:eastAsia="Times New Roman" w:cs="Times New Roman"/>
              </w:rPr>
            </w:pPr>
            <w:r w:rsidRPr="00187954">
              <w:rPr>
                <w:rFonts w:eastAsia="Times New Roman" w:cs="Times New Roman"/>
              </w:rPr>
              <w:t>a patient less than 18 years of age with perforation of the tympanic membrane</w:t>
            </w:r>
          </w:p>
          <w:p w14:paraId="031F6745" w14:textId="77777777" w:rsidR="00647E9D" w:rsidRPr="00187954" w:rsidRDefault="00647E9D" w:rsidP="00065A1D">
            <w:pPr>
              <w:pStyle w:val="Tablewriting"/>
              <w:rPr>
                <w:rFonts w:eastAsia="Times New Roman" w:cs="Times New Roman"/>
              </w:rPr>
            </w:pPr>
            <w:r w:rsidRPr="00187954">
              <w:rPr>
                <w:rFonts w:eastAsia="Times New Roman" w:cs="Times New Roman"/>
              </w:rPr>
              <w:t>a patient less than 18 years of age with a grommet in situ</w:t>
            </w:r>
          </w:p>
        </w:tc>
      </w:tr>
      <w:tr w:rsidR="00647E9D" w:rsidRPr="00187954" w14:paraId="19DAC9C9" w14:textId="77777777" w:rsidTr="003D2591">
        <w:tc>
          <w:tcPr>
            <w:tcW w:w="2224" w:type="dxa"/>
            <w:tcBorders>
              <w:top w:val="single" w:sz="6" w:space="0" w:color="auto"/>
              <w:left w:val="single" w:sz="6" w:space="0" w:color="auto"/>
              <w:bottom w:val="nil"/>
              <w:right w:val="single" w:sz="6" w:space="0" w:color="auto"/>
            </w:tcBorders>
          </w:tcPr>
          <w:p w14:paraId="35333935" w14:textId="4B6595EA" w:rsidR="00647E9D" w:rsidRPr="00187954" w:rsidRDefault="00647E9D" w:rsidP="00065A1D">
            <w:pPr>
              <w:pStyle w:val="Tablewriting"/>
            </w:pPr>
            <w:proofErr w:type="spellStart"/>
            <w:r w:rsidRPr="00187954">
              <w:t>Norfloxacin</w:t>
            </w:r>
            <w:proofErr w:type="spellEnd"/>
            <w:r w:rsidRPr="00187954">
              <w:t xml:space="preserve"> </w:t>
            </w:r>
          </w:p>
        </w:tc>
        <w:tc>
          <w:tcPr>
            <w:tcW w:w="2524" w:type="dxa"/>
            <w:tcBorders>
              <w:left w:val="single" w:sz="6" w:space="0" w:color="auto"/>
              <w:bottom w:val="nil"/>
            </w:tcBorders>
          </w:tcPr>
          <w:p w14:paraId="22440A77" w14:textId="566BA09E" w:rsidR="00647E9D" w:rsidRPr="00187954" w:rsidRDefault="00647E9D" w:rsidP="00E829A2">
            <w:pPr>
              <w:pStyle w:val="Tablewriting"/>
            </w:pPr>
            <w:r w:rsidRPr="00187954">
              <w:t>Authority required</w:t>
            </w:r>
          </w:p>
        </w:tc>
        <w:tc>
          <w:tcPr>
            <w:tcW w:w="4323" w:type="dxa"/>
          </w:tcPr>
          <w:p w14:paraId="275242D6" w14:textId="77777777" w:rsidR="00647E9D" w:rsidRPr="00187954" w:rsidRDefault="00647E9D" w:rsidP="00065A1D">
            <w:pPr>
              <w:pStyle w:val="Tablewriting"/>
              <w:rPr>
                <w:rFonts w:eastAsia="Times New Roman" w:cs="Times New Roman"/>
              </w:rPr>
            </w:pPr>
            <w:r w:rsidRPr="00187954">
              <w:rPr>
                <w:rFonts w:eastAsia="Times New Roman" w:cs="Times New Roman"/>
              </w:rPr>
              <w:t xml:space="preserve">Acute bacterial </w:t>
            </w:r>
            <w:proofErr w:type="spellStart"/>
            <w:r w:rsidRPr="00187954">
              <w:rPr>
                <w:rFonts w:eastAsia="Times New Roman" w:cs="Times New Roman"/>
              </w:rPr>
              <w:t>enterocolitis</w:t>
            </w:r>
            <w:proofErr w:type="spellEnd"/>
          </w:p>
        </w:tc>
      </w:tr>
      <w:tr w:rsidR="00647E9D" w:rsidRPr="00187954" w14:paraId="28709272" w14:textId="77777777" w:rsidTr="003D2591">
        <w:tc>
          <w:tcPr>
            <w:tcW w:w="2224" w:type="dxa"/>
            <w:tcBorders>
              <w:top w:val="nil"/>
            </w:tcBorders>
          </w:tcPr>
          <w:p w14:paraId="797BE6C7" w14:textId="13351FEE" w:rsidR="00647E9D" w:rsidRPr="00187954" w:rsidRDefault="00E829A2" w:rsidP="00065A1D">
            <w:pPr>
              <w:pStyle w:val="Tablewriting"/>
            </w:pPr>
            <w:r w:rsidRPr="00187954">
              <w:t>400mg tablet</w:t>
            </w:r>
          </w:p>
        </w:tc>
        <w:tc>
          <w:tcPr>
            <w:tcW w:w="2524" w:type="dxa"/>
            <w:tcBorders>
              <w:top w:val="nil"/>
            </w:tcBorders>
          </w:tcPr>
          <w:p w14:paraId="21515A6E" w14:textId="1663FA09" w:rsidR="00647E9D" w:rsidRPr="00187954" w:rsidRDefault="00E829A2" w:rsidP="00E829A2">
            <w:pPr>
              <w:pStyle w:val="Tablewriting"/>
            </w:pPr>
            <w:r w:rsidRPr="00187954">
              <w:t>3010K (MP, NP)</w:t>
            </w:r>
          </w:p>
        </w:tc>
        <w:tc>
          <w:tcPr>
            <w:tcW w:w="4323" w:type="dxa"/>
          </w:tcPr>
          <w:p w14:paraId="4906E449" w14:textId="77777777" w:rsidR="00647E9D" w:rsidRPr="00187954" w:rsidRDefault="00647E9D" w:rsidP="00065A1D">
            <w:pPr>
              <w:pStyle w:val="Tablewriting"/>
              <w:rPr>
                <w:rFonts w:eastAsia="Times New Roman" w:cs="Times New Roman"/>
              </w:rPr>
            </w:pPr>
            <w:r w:rsidRPr="00187954">
              <w:rPr>
                <w:rFonts w:eastAsia="Times New Roman" w:cs="Times New Roman"/>
              </w:rPr>
              <w:t>Complicated urinary tract infection</w:t>
            </w:r>
          </w:p>
        </w:tc>
      </w:tr>
      <w:tr w:rsidR="00647E9D" w:rsidRPr="00187954" w14:paraId="01D6E31C" w14:textId="77777777" w:rsidTr="00BE5D29">
        <w:trPr>
          <w:cantSplit/>
        </w:trPr>
        <w:tc>
          <w:tcPr>
            <w:tcW w:w="2224" w:type="dxa"/>
          </w:tcPr>
          <w:p w14:paraId="01AEF5A9" w14:textId="77777777" w:rsidR="00647E9D" w:rsidRPr="00187954" w:rsidRDefault="00647E9D" w:rsidP="00065A1D">
            <w:pPr>
              <w:pStyle w:val="Tablewriting"/>
            </w:pPr>
            <w:proofErr w:type="spellStart"/>
            <w:r w:rsidRPr="00187954">
              <w:t>Ofloxacin</w:t>
            </w:r>
            <w:proofErr w:type="spellEnd"/>
          </w:p>
          <w:p w14:paraId="30130A7E" w14:textId="77777777" w:rsidR="00647E9D" w:rsidRPr="00187954" w:rsidRDefault="00647E9D" w:rsidP="00065A1D">
            <w:pPr>
              <w:pStyle w:val="Tablewriting"/>
            </w:pPr>
            <w:r w:rsidRPr="00187954">
              <w:t>0.3% eye drops</w:t>
            </w:r>
          </w:p>
        </w:tc>
        <w:tc>
          <w:tcPr>
            <w:tcW w:w="2524" w:type="dxa"/>
          </w:tcPr>
          <w:p w14:paraId="65866328" w14:textId="77777777" w:rsidR="00647E9D" w:rsidRPr="00187954" w:rsidRDefault="00647E9D" w:rsidP="00065A1D">
            <w:pPr>
              <w:pStyle w:val="Tablewriting"/>
            </w:pPr>
            <w:r w:rsidRPr="00187954">
              <w:t>Authority Required:</w:t>
            </w:r>
          </w:p>
          <w:p w14:paraId="6F96EF23" w14:textId="77777777" w:rsidR="00647E9D" w:rsidRPr="00187954" w:rsidRDefault="00647E9D" w:rsidP="00065A1D">
            <w:pPr>
              <w:pStyle w:val="Tablewriting"/>
            </w:pPr>
            <w:r w:rsidRPr="00187954">
              <w:t>5567B (OP); 8383F (MP)</w:t>
            </w:r>
          </w:p>
        </w:tc>
        <w:tc>
          <w:tcPr>
            <w:tcW w:w="4323" w:type="dxa"/>
          </w:tcPr>
          <w:p w14:paraId="0C610A5A" w14:textId="77777777" w:rsidR="00647E9D" w:rsidRPr="00187954" w:rsidRDefault="00647E9D" w:rsidP="00065A1D">
            <w:pPr>
              <w:pStyle w:val="Tablewriting"/>
              <w:rPr>
                <w:rFonts w:eastAsia="Times New Roman" w:cs="Times New Roman"/>
              </w:rPr>
            </w:pPr>
            <w:r w:rsidRPr="00187954">
              <w:rPr>
                <w:rFonts w:eastAsia="Times New Roman" w:cs="Times New Roman"/>
              </w:rPr>
              <w:t>Bacterial keratitis</w:t>
            </w:r>
          </w:p>
        </w:tc>
      </w:tr>
      <w:tr w:rsidR="00647E9D" w:rsidRPr="00187954" w14:paraId="2423EDEC" w14:textId="77777777" w:rsidTr="003D2591">
        <w:tc>
          <w:tcPr>
            <w:tcW w:w="2224" w:type="dxa"/>
          </w:tcPr>
          <w:p w14:paraId="2BD3566E" w14:textId="77777777" w:rsidR="00647E9D" w:rsidRPr="00187954" w:rsidRDefault="00647E9D" w:rsidP="00065A1D">
            <w:pPr>
              <w:pStyle w:val="Tablewriting"/>
            </w:pPr>
            <w:proofErr w:type="spellStart"/>
            <w:r w:rsidRPr="00187954">
              <w:t>Rifaximin</w:t>
            </w:r>
            <w:proofErr w:type="spellEnd"/>
            <w:r w:rsidRPr="00187954">
              <w:t xml:space="preserve"> </w:t>
            </w:r>
          </w:p>
          <w:p w14:paraId="65A788B6" w14:textId="77777777" w:rsidR="00647E9D" w:rsidRPr="00187954" w:rsidRDefault="00647E9D" w:rsidP="00065A1D">
            <w:pPr>
              <w:pStyle w:val="Tablewriting"/>
            </w:pPr>
            <w:r w:rsidRPr="00187954">
              <w:t>550mg tablet</w:t>
            </w:r>
          </w:p>
        </w:tc>
        <w:tc>
          <w:tcPr>
            <w:tcW w:w="2524" w:type="dxa"/>
          </w:tcPr>
          <w:p w14:paraId="67349B49" w14:textId="77777777" w:rsidR="00647E9D" w:rsidRPr="00187954" w:rsidRDefault="00647E9D" w:rsidP="00065A1D">
            <w:pPr>
              <w:pStyle w:val="Tablewriting"/>
            </w:pPr>
            <w:r w:rsidRPr="00187954">
              <w:t xml:space="preserve">Authority Required: </w:t>
            </w:r>
          </w:p>
          <w:p w14:paraId="6836324F" w14:textId="77777777" w:rsidR="00647E9D" w:rsidRPr="00187954" w:rsidRDefault="00647E9D" w:rsidP="00065A1D">
            <w:pPr>
              <w:pStyle w:val="Tablewriting"/>
            </w:pPr>
            <w:r w:rsidRPr="00187954">
              <w:t>10001J (MP)</w:t>
            </w:r>
          </w:p>
        </w:tc>
        <w:tc>
          <w:tcPr>
            <w:tcW w:w="4323" w:type="dxa"/>
          </w:tcPr>
          <w:p w14:paraId="0234E508" w14:textId="77777777" w:rsidR="00647E9D" w:rsidRPr="00187954" w:rsidRDefault="00647E9D" w:rsidP="00065A1D">
            <w:pPr>
              <w:pStyle w:val="Tablewriting"/>
              <w:rPr>
                <w:rFonts w:eastAsia="Times New Roman" w:cs="Times New Roman"/>
              </w:rPr>
            </w:pPr>
            <w:r w:rsidRPr="00187954">
              <w:rPr>
                <w:rFonts w:eastAsia="Times New Roman" w:cs="Times New Roman"/>
              </w:rPr>
              <w:t>Prevention of hepatic encephalopathy</w:t>
            </w:r>
          </w:p>
          <w:p w14:paraId="42431FB3" w14:textId="77777777" w:rsidR="00647E9D" w:rsidRPr="00187954" w:rsidRDefault="00647E9D" w:rsidP="00065A1D">
            <w:pPr>
              <w:pStyle w:val="Tablewriting"/>
              <w:rPr>
                <w:rFonts w:eastAsia="Times New Roman" w:cs="Times New Roman"/>
              </w:rPr>
            </w:pPr>
          </w:p>
        </w:tc>
      </w:tr>
      <w:tr w:rsidR="00647E9D" w:rsidRPr="00187954" w14:paraId="5F333C08" w14:textId="77777777" w:rsidTr="00455ADF">
        <w:tc>
          <w:tcPr>
            <w:tcW w:w="2224" w:type="dxa"/>
          </w:tcPr>
          <w:p w14:paraId="116B43B0" w14:textId="77777777" w:rsidR="00647E9D" w:rsidRPr="00187954" w:rsidRDefault="00647E9D" w:rsidP="00065A1D">
            <w:pPr>
              <w:pStyle w:val="Tablewriting"/>
            </w:pPr>
            <w:proofErr w:type="spellStart"/>
            <w:r w:rsidRPr="00187954">
              <w:t>Vancomycin</w:t>
            </w:r>
            <w:proofErr w:type="spellEnd"/>
          </w:p>
          <w:p w14:paraId="5B107F51" w14:textId="77777777" w:rsidR="00647E9D" w:rsidRPr="00187954" w:rsidRDefault="00647E9D" w:rsidP="00065A1D">
            <w:pPr>
              <w:pStyle w:val="Tablewriting"/>
            </w:pPr>
            <w:r w:rsidRPr="00187954">
              <w:t>125mg capsule</w:t>
            </w:r>
          </w:p>
          <w:p w14:paraId="22F1321A" w14:textId="77777777" w:rsidR="00647E9D" w:rsidRPr="00187954" w:rsidRDefault="00647E9D" w:rsidP="00065A1D">
            <w:pPr>
              <w:pStyle w:val="Tablewriting"/>
            </w:pPr>
            <w:r w:rsidRPr="00187954">
              <w:t>250mg capsule</w:t>
            </w:r>
          </w:p>
        </w:tc>
        <w:tc>
          <w:tcPr>
            <w:tcW w:w="2524" w:type="dxa"/>
            <w:tcBorders>
              <w:bottom w:val="single" w:sz="4" w:space="0" w:color="auto"/>
            </w:tcBorders>
          </w:tcPr>
          <w:p w14:paraId="1A1BC399" w14:textId="77777777" w:rsidR="00647E9D" w:rsidRPr="00187954" w:rsidRDefault="00647E9D" w:rsidP="00065A1D">
            <w:pPr>
              <w:pStyle w:val="Tablewriting"/>
            </w:pPr>
            <w:r w:rsidRPr="00187954">
              <w:t>Authority Required:</w:t>
            </w:r>
          </w:p>
          <w:p w14:paraId="362B883E" w14:textId="77777777" w:rsidR="00647E9D" w:rsidRPr="00187954" w:rsidRDefault="00647E9D" w:rsidP="00065A1D">
            <w:pPr>
              <w:pStyle w:val="Tablewriting"/>
            </w:pPr>
            <w:r w:rsidRPr="00187954">
              <w:t>3113W, 3114X (MP)</w:t>
            </w:r>
          </w:p>
        </w:tc>
        <w:tc>
          <w:tcPr>
            <w:tcW w:w="4323" w:type="dxa"/>
            <w:tcBorders>
              <w:bottom w:val="single" w:sz="4" w:space="0" w:color="auto"/>
            </w:tcBorders>
          </w:tcPr>
          <w:p w14:paraId="3F168D30" w14:textId="77777777" w:rsidR="00647E9D" w:rsidRPr="00187954" w:rsidRDefault="00647E9D" w:rsidP="00065A1D">
            <w:pPr>
              <w:pStyle w:val="Tablewriting"/>
              <w:rPr>
                <w:rFonts w:eastAsia="Times New Roman" w:cs="Times New Roman"/>
              </w:rPr>
            </w:pPr>
            <w:r w:rsidRPr="00187954">
              <w:rPr>
                <w:rFonts w:eastAsia="Times New Roman" w:cs="Times New Roman"/>
              </w:rPr>
              <w:t>Antibiotic associated pseudomembranous colitis due to Clostridium difficile which is unresponsive to metronidazole or where there is intolerance to metronidazole</w:t>
            </w:r>
          </w:p>
        </w:tc>
      </w:tr>
      <w:tr w:rsidR="00E829A2" w:rsidRPr="00187954" w14:paraId="603513A5" w14:textId="77777777" w:rsidTr="00455ADF">
        <w:tc>
          <w:tcPr>
            <w:tcW w:w="2224" w:type="dxa"/>
            <w:tcBorders>
              <w:right w:val="nil"/>
            </w:tcBorders>
          </w:tcPr>
          <w:p w14:paraId="6A7FC73B" w14:textId="77777777" w:rsidR="00E829A2" w:rsidRPr="00187954" w:rsidRDefault="00E829A2" w:rsidP="00065A1D">
            <w:pPr>
              <w:pStyle w:val="Tablewriting"/>
              <w:rPr>
                <w:rFonts w:eastAsia="Times New Roman" w:cs="Times New Roman"/>
                <w:b/>
              </w:rPr>
            </w:pPr>
            <w:r w:rsidRPr="00187954">
              <w:rPr>
                <w:b/>
              </w:rPr>
              <w:t xml:space="preserve">S100 </w:t>
            </w:r>
            <w:r>
              <w:rPr>
                <w:b/>
              </w:rPr>
              <w:t>Highly Specialised Drugs Program</w:t>
            </w:r>
          </w:p>
        </w:tc>
        <w:tc>
          <w:tcPr>
            <w:tcW w:w="2524" w:type="dxa"/>
            <w:tcBorders>
              <w:left w:val="nil"/>
              <w:right w:val="nil"/>
            </w:tcBorders>
          </w:tcPr>
          <w:p w14:paraId="430B0557" w14:textId="77777777" w:rsidR="00E829A2" w:rsidRPr="00187954" w:rsidRDefault="00E829A2" w:rsidP="00065A1D">
            <w:pPr>
              <w:pStyle w:val="Tablewriting"/>
              <w:rPr>
                <w:rFonts w:eastAsia="Times New Roman" w:cs="Times New Roman"/>
                <w:b/>
              </w:rPr>
            </w:pPr>
          </w:p>
        </w:tc>
        <w:tc>
          <w:tcPr>
            <w:tcW w:w="4323" w:type="dxa"/>
            <w:tcBorders>
              <w:left w:val="nil"/>
            </w:tcBorders>
          </w:tcPr>
          <w:p w14:paraId="4B92F7B1" w14:textId="687EFB69" w:rsidR="00E829A2" w:rsidRPr="00187954" w:rsidRDefault="00E829A2" w:rsidP="00065A1D">
            <w:pPr>
              <w:pStyle w:val="Tablewriting"/>
              <w:rPr>
                <w:rFonts w:eastAsia="Times New Roman" w:cs="Times New Roman"/>
                <w:b/>
              </w:rPr>
            </w:pPr>
          </w:p>
        </w:tc>
      </w:tr>
      <w:tr w:rsidR="00647E9D" w:rsidRPr="00187954" w14:paraId="01F5F026" w14:textId="77777777" w:rsidTr="003D2591">
        <w:tc>
          <w:tcPr>
            <w:tcW w:w="2224" w:type="dxa"/>
          </w:tcPr>
          <w:p w14:paraId="6F3F92AE" w14:textId="77777777" w:rsidR="00647E9D" w:rsidRPr="00187954" w:rsidRDefault="00647E9D" w:rsidP="00065A1D">
            <w:pPr>
              <w:pStyle w:val="Tablewriting"/>
            </w:pPr>
            <w:r w:rsidRPr="00187954">
              <w:t>Clarithromycin</w:t>
            </w:r>
          </w:p>
          <w:p w14:paraId="74EB1312" w14:textId="77777777" w:rsidR="00647E9D" w:rsidRPr="00187954" w:rsidRDefault="00647E9D" w:rsidP="00065A1D">
            <w:pPr>
              <w:pStyle w:val="Tablewriting"/>
            </w:pPr>
            <w:r w:rsidRPr="00187954">
              <w:t>250mg tablet</w:t>
            </w:r>
          </w:p>
          <w:p w14:paraId="79478F19" w14:textId="77777777" w:rsidR="00647E9D" w:rsidRPr="00187954" w:rsidRDefault="00647E9D" w:rsidP="00065A1D">
            <w:pPr>
              <w:pStyle w:val="Tablewriting"/>
            </w:pPr>
            <w:r w:rsidRPr="00187954">
              <w:t>500mg tablet</w:t>
            </w:r>
          </w:p>
        </w:tc>
        <w:tc>
          <w:tcPr>
            <w:tcW w:w="2524" w:type="dxa"/>
          </w:tcPr>
          <w:p w14:paraId="4949B222" w14:textId="77777777" w:rsidR="00647E9D" w:rsidRPr="00187954" w:rsidRDefault="00647E9D" w:rsidP="00065A1D">
            <w:pPr>
              <w:pStyle w:val="Tablewriting"/>
            </w:pPr>
            <w:r w:rsidRPr="00187954">
              <w:t xml:space="preserve">6151R, 6152T (private hospital, Authority Required); </w:t>
            </w:r>
          </w:p>
          <w:p w14:paraId="2B43AC87" w14:textId="77777777" w:rsidR="00647E9D" w:rsidRPr="00187954" w:rsidRDefault="00647E9D" w:rsidP="00065A1D">
            <w:pPr>
              <w:pStyle w:val="Tablewriting"/>
            </w:pPr>
            <w:r w:rsidRPr="00187954">
              <w:t xml:space="preserve">5624B, 5625C (public hospital, Authority Required (STREAMLINED) </w:t>
            </w:r>
          </w:p>
          <w:p w14:paraId="5E3E7947" w14:textId="77777777" w:rsidR="00647E9D" w:rsidRPr="00187954" w:rsidRDefault="00647E9D" w:rsidP="00065A1D">
            <w:pPr>
              <w:pStyle w:val="Tablewriting"/>
            </w:pPr>
            <w:r w:rsidRPr="00187954">
              <w:t>(MP)</w:t>
            </w:r>
          </w:p>
        </w:tc>
        <w:tc>
          <w:tcPr>
            <w:tcW w:w="4323" w:type="dxa"/>
          </w:tcPr>
          <w:p w14:paraId="1DBF8883" w14:textId="77777777" w:rsidR="00647E9D" w:rsidRPr="00187954" w:rsidRDefault="00647E9D" w:rsidP="00065A1D">
            <w:pPr>
              <w:pStyle w:val="Tablewriting"/>
            </w:pPr>
            <w:r w:rsidRPr="00187954">
              <w:t xml:space="preserve">Treatment of Mycobacterium </w:t>
            </w:r>
            <w:proofErr w:type="spellStart"/>
            <w:r w:rsidRPr="00187954">
              <w:t>avium</w:t>
            </w:r>
            <w:proofErr w:type="spellEnd"/>
            <w:r w:rsidRPr="00187954">
              <w:t xml:space="preserve"> complex infections (higher quantity than other listings) </w:t>
            </w:r>
          </w:p>
          <w:p w14:paraId="57E4DCC2" w14:textId="77777777" w:rsidR="00647E9D" w:rsidRPr="00187954" w:rsidRDefault="00647E9D" w:rsidP="00065A1D">
            <w:pPr>
              <w:pStyle w:val="Tablewriting"/>
              <w:rPr>
                <w:rFonts w:eastAsia="Times New Roman" w:cs="Times New Roman"/>
              </w:rPr>
            </w:pPr>
          </w:p>
        </w:tc>
      </w:tr>
      <w:tr w:rsidR="00647E9D" w:rsidRPr="00187954" w14:paraId="315CD75B" w14:textId="77777777" w:rsidTr="003D2591">
        <w:tc>
          <w:tcPr>
            <w:tcW w:w="2224" w:type="dxa"/>
          </w:tcPr>
          <w:p w14:paraId="530A83F9" w14:textId="77777777" w:rsidR="00647E9D" w:rsidRPr="00187954" w:rsidRDefault="00647E9D" w:rsidP="00065A1D">
            <w:pPr>
              <w:pStyle w:val="Tablewriting"/>
            </w:pPr>
            <w:r w:rsidRPr="00187954">
              <w:t>Azithromycin</w:t>
            </w:r>
          </w:p>
          <w:p w14:paraId="5575BAB4" w14:textId="77777777" w:rsidR="00647E9D" w:rsidRPr="00187954" w:rsidRDefault="00647E9D" w:rsidP="00065A1D">
            <w:pPr>
              <w:pStyle w:val="Tablewriting"/>
            </w:pPr>
            <w:r w:rsidRPr="00187954">
              <w:t>600mg tablet</w:t>
            </w:r>
          </w:p>
        </w:tc>
        <w:tc>
          <w:tcPr>
            <w:tcW w:w="2524" w:type="dxa"/>
          </w:tcPr>
          <w:p w14:paraId="208874AB" w14:textId="77777777" w:rsidR="00647E9D" w:rsidRPr="00187954" w:rsidRDefault="00647E9D" w:rsidP="00065A1D">
            <w:pPr>
              <w:pStyle w:val="Tablewriting"/>
            </w:pPr>
            <w:r w:rsidRPr="00187954">
              <w:t xml:space="preserve">6221K (private hospital, Authority Required); </w:t>
            </w:r>
          </w:p>
          <w:p w14:paraId="2DF07F77" w14:textId="77777777" w:rsidR="00647E9D" w:rsidRPr="00187954" w:rsidRDefault="00647E9D" w:rsidP="00065A1D">
            <w:pPr>
              <w:pStyle w:val="Tablewriting"/>
            </w:pPr>
            <w:r w:rsidRPr="00187954">
              <w:t xml:space="preserve">5616N (public hospital, Authority Required (STREAMLINED) </w:t>
            </w:r>
          </w:p>
          <w:p w14:paraId="7E56CCAC" w14:textId="77777777" w:rsidR="00647E9D" w:rsidRPr="00187954" w:rsidRDefault="00647E9D" w:rsidP="00065A1D">
            <w:pPr>
              <w:pStyle w:val="Tablewriting"/>
            </w:pPr>
            <w:r w:rsidRPr="00187954">
              <w:t>(MP)</w:t>
            </w:r>
          </w:p>
        </w:tc>
        <w:tc>
          <w:tcPr>
            <w:tcW w:w="4323" w:type="dxa"/>
          </w:tcPr>
          <w:p w14:paraId="62F6D785" w14:textId="77777777" w:rsidR="00647E9D" w:rsidRPr="00187954" w:rsidRDefault="00647E9D" w:rsidP="00065A1D">
            <w:pPr>
              <w:pStyle w:val="Tablewriting"/>
            </w:pPr>
            <w:r w:rsidRPr="00187954">
              <w:t xml:space="preserve">Prophylaxis against Mycobacterium </w:t>
            </w:r>
            <w:proofErr w:type="spellStart"/>
            <w:r w:rsidRPr="00187954">
              <w:t>avium</w:t>
            </w:r>
            <w:proofErr w:type="spellEnd"/>
            <w:r w:rsidRPr="00187954">
              <w:t xml:space="preserve"> complex infections in HIV-positive patients with CD4 cell counts of less than 75 per cubic millimetre (higher quantity than other listings)</w:t>
            </w:r>
          </w:p>
          <w:p w14:paraId="32B6FEE1" w14:textId="77777777" w:rsidR="00647E9D" w:rsidRPr="00187954" w:rsidRDefault="00647E9D" w:rsidP="00065A1D">
            <w:pPr>
              <w:pStyle w:val="Tablewriting"/>
              <w:rPr>
                <w:rFonts w:eastAsia="Times New Roman" w:cs="Times New Roman"/>
              </w:rPr>
            </w:pPr>
          </w:p>
        </w:tc>
      </w:tr>
    </w:tbl>
    <w:p w14:paraId="51BE7AD3" w14:textId="77777777" w:rsidR="00647E9D" w:rsidRPr="000337B6" w:rsidRDefault="00647E9D" w:rsidP="00647E9D">
      <w:pPr>
        <w:rPr>
          <w:sz w:val="20"/>
          <w:szCs w:val="20"/>
        </w:rPr>
      </w:pPr>
      <w:r w:rsidRPr="000337B6">
        <w:rPr>
          <w:sz w:val="20"/>
          <w:szCs w:val="20"/>
        </w:rPr>
        <w:lastRenderedPageBreak/>
        <w:t>MP: Medical Practitioner; OP: optometrist; NP: nurse practitioner</w:t>
      </w:r>
    </w:p>
    <w:p w14:paraId="383E312E" w14:textId="391486DA" w:rsidR="00736041" w:rsidRDefault="00C41246" w:rsidP="00A430ED">
      <w:pPr>
        <w:pStyle w:val="Heading4"/>
      </w:pPr>
      <w:r w:rsidRPr="006C4620">
        <w:t xml:space="preserve">Relevant aspects of </w:t>
      </w:r>
      <w:r w:rsidR="0063021F" w:rsidRPr="006C4620">
        <w:t xml:space="preserve">the PBAC </w:t>
      </w:r>
      <w:r w:rsidR="00736041" w:rsidRPr="006C4620">
        <w:t>consideration</w:t>
      </w:r>
    </w:p>
    <w:p w14:paraId="0A05B8E5" w14:textId="77777777" w:rsidR="00647E9D" w:rsidRDefault="00647E9D" w:rsidP="007A119C">
      <w:r>
        <w:t>The PBAC has always considered the potential for developing antibiotic resistance when listing antibiotics on the PBS and sought information from relevant bodies such as the Joint Expert Technical Advisory Committee on Antibiotic Resistance (JETACAR), and the Expert Advisory Group on Antimicrobial Resistance (EAGAR); and more recently the Antimicrobial Resistance Standing Committee (AMRSC).</w:t>
      </w:r>
    </w:p>
    <w:p w14:paraId="49292547" w14:textId="4A87E890" w:rsidR="00A91BBC" w:rsidRDefault="00A91BBC" w:rsidP="007A119C">
      <w:r>
        <w:t>The most recent PBAC considerations are summarised in Appendix A.</w:t>
      </w:r>
    </w:p>
    <w:p w14:paraId="0312FFEC" w14:textId="5C6A9662" w:rsidR="00E677DD" w:rsidRDefault="00E677DD" w:rsidP="00A430ED">
      <w:pPr>
        <w:pStyle w:val="Heading3"/>
      </w:pPr>
      <w:r w:rsidRPr="005E22C2">
        <w:t>Method</w:t>
      </w:r>
      <w:r w:rsidR="001B5D37" w:rsidRPr="005E22C2">
        <w:t>s</w:t>
      </w:r>
    </w:p>
    <w:p w14:paraId="4395DF51" w14:textId="3031DEE2" w:rsidR="00DE3CF5" w:rsidRPr="00BC33E0" w:rsidRDefault="00985516" w:rsidP="00DE3CF5">
      <w:r w:rsidRPr="00384C1E">
        <w:t xml:space="preserve">Data for prescriptions, benefits and </w:t>
      </w:r>
      <w:r w:rsidR="00800DA6">
        <w:t>defined daily dose (DDD)</w:t>
      </w:r>
      <w:r w:rsidRPr="00384C1E">
        <w:t xml:space="preserve"> per 1000 people per day were extracted from the DUSC database by date of supply for the months January 1994 to March 2014 inclusive for all antibiotic ATC codes. </w:t>
      </w:r>
    </w:p>
    <w:p w14:paraId="77E77D77" w14:textId="6F0C3B70" w:rsidR="00985516" w:rsidRDefault="00985516" w:rsidP="00DE3CF5">
      <w:r>
        <w:t>Department of Human Services (DHS) Medicare Pharmacy claims data</w:t>
      </w:r>
      <w:r w:rsidR="00211C1D">
        <w:t xml:space="preserve"> for </w:t>
      </w:r>
      <w:r w:rsidR="009327E2">
        <w:t>2013</w:t>
      </w:r>
      <w:r w:rsidR="00211C1D">
        <w:t xml:space="preserve"> were used to determine</w:t>
      </w:r>
      <w:r>
        <w:t>:</w:t>
      </w:r>
    </w:p>
    <w:p w14:paraId="7E1646D8" w14:textId="4D5AE3D3" w:rsidR="00484318" w:rsidRDefault="00484318" w:rsidP="000409B2">
      <w:pPr>
        <w:pStyle w:val="dotpoint"/>
      </w:pPr>
      <w:r>
        <w:t>Count of people supplied an antibiotic based on de</w:t>
      </w:r>
      <w:r w:rsidR="009327E2">
        <w:t>-</w:t>
      </w:r>
      <w:r>
        <w:t>identified patient</w:t>
      </w:r>
      <w:r w:rsidR="009327E2">
        <w:t xml:space="preserve"> numbers</w:t>
      </w:r>
      <w:r>
        <w:t>;</w:t>
      </w:r>
    </w:p>
    <w:p w14:paraId="5E3FDC94" w14:textId="2ED2B319" w:rsidR="00484318" w:rsidRDefault="009327E2" w:rsidP="000409B2">
      <w:pPr>
        <w:pStyle w:val="dotpoint"/>
      </w:pPr>
      <w:r>
        <w:t>Use of antibiotics by a</w:t>
      </w:r>
      <w:r w:rsidR="00484318">
        <w:t>ge of patients</w:t>
      </w:r>
      <w:r>
        <w:t>;</w:t>
      </w:r>
    </w:p>
    <w:p w14:paraId="1D57A608" w14:textId="642D973A" w:rsidR="009327E2" w:rsidRDefault="009327E2" w:rsidP="000409B2">
      <w:pPr>
        <w:pStyle w:val="dotpoint"/>
      </w:pPr>
      <w:r>
        <w:t xml:space="preserve">Number of antibiotics supplied per person </w:t>
      </w:r>
    </w:p>
    <w:p w14:paraId="21E45DDB" w14:textId="3DEF43A0" w:rsidR="009327E2" w:rsidRDefault="00770795" w:rsidP="009327E2">
      <w:pPr>
        <w:pStyle w:val="dotpoint"/>
        <w:numPr>
          <w:ilvl w:val="0"/>
          <w:numId w:val="0"/>
        </w:numPr>
      </w:pPr>
      <w:r>
        <w:t xml:space="preserve">For a subset of commonly supplied antibiotics, </w:t>
      </w:r>
      <w:r w:rsidR="009327E2">
        <w:t>DHS Medicare Pharmacy claims data were also used to determine:</w:t>
      </w:r>
    </w:p>
    <w:p w14:paraId="06C523D6" w14:textId="528469B0" w:rsidR="00985516" w:rsidRPr="006874BA" w:rsidRDefault="00985516" w:rsidP="000409B2">
      <w:pPr>
        <w:pStyle w:val="dotpoint"/>
      </w:pPr>
      <w:r w:rsidRPr="006874BA">
        <w:t>proportion of antibiotic prescription</w:t>
      </w:r>
      <w:r w:rsidR="000C70E6">
        <w:t>s</w:t>
      </w:r>
      <w:r w:rsidRPr="006874BA">
        <w:t xml:space="preserve"> where repeats were prescribed; and the proportion of order</w:t>
      </w:r>
      <w:r w:rsidR="00770795">
        <w:t>ed repeats that were dispensed; and</w:t>
      </w:r>
    </w:p>
    <w:p w14:paraId="53F9EF57" w14:textId="1F021C35" w:rsidR="00770795" w:rsidRDefault="00985516" w:rsidP="009327E2">
      <w:pPr>
        <w:pStyle w:val="dotpoint"/>
      </w:pPr>
      <w:proofErr w:type="gramStart"/>
      <w:r w:rsidRPr="006874BA">
        <w:t>number</w:t>
      </w:r>
      <w:proofErr w:type="gramEnd"/>
      <w:r w:rsidRPr="006874BA">
        <w:t xml:space="preserve"> of days between the original supply of an antibiotic </w:t>
      </w:r>
      <w:r w:rsidR="00770795">
        <w:t>and the first repeat supply.</w:t>
      </w:r>
    </w:p>
    <w:p w14:paraId="19F6ADD8" w14:textId="2F45B307" w:rsidR="00985516" w:rsidRDefault="00611B9C" w:rsidP="009327E2">
      <w:pPr>
        <w:pStyle w:val="dotpoint"/>
        <w:numPr>
          <w:ilvl w:val="0"/>
          <w:numId w:val="0"/>
        </w:numPr>
      </w:pPr>
      <w:r w:rsidRPr="00BC33E0">
        <w:t>The proportion of private prescriptions of total prescriptions for the last available year of the private estimate data (2011) was determined from the DUSC database.</w:t>
      </w:r>
    </w:p>
    <w:p w14:paraId="71113501" w14:textId="77777777" w:rsidR="009327E2" w:rsidRDefault="009327E2" w:rsidP="009327E2">
      <w:pPr>
        <w:pStyle w:val="dotpoint"/>
        <w:numPr>
          <w:ilvl w:val="0"/>
          <w:numId w:val="0"/>
        </w:numPr>
      </w:pPr>
      <w:r>
        <w:t xml:space="preserve">Major specialty type of prescriber was determined from DHS Medicare pharmacy claims data. </w:t>
      </w:r>
    </w:p>
    <w:p w14:paraId="45559A1A" w14:textId="3C2B56B5" w:rsidR="009327E2" w:rsidRPr="006874BA" w:rsidRDefault="009327E2" w:rsidP="009327E2">
      <w:pPr>
        <w:pStyle w:val="dotpoint"/>
        <w:numPr>
          <w:ilvl w:val="0"/>
          <w:numId w:val="0"/>
        </w:numPr>
      </w:pPr>
      <w:r>
        <w:t xml:space="preserve">Aboriginal health services data were accessed to determine the number of packs of antibiotics and the most commonly processed antibiotics through these services.  </w:t>
      </w:r>
    </w:p>
    <w:p w14:paraId="4F91A98A" w14:textId="00180E30" w:rsidR="00C714D0" w:rsidRPr="005E22C2" w:rsidRDefault="00C714D0" w:rsidP="00A430ED">
      <w:pPr>
        <w:pStyle w:val="Heading3"/>
      </w:pPr>
      <w:r w:rsidRPr="005E22C2">
        <w:lastRenderedPageBreak/>
        <w:t>Results</w:t>
      </w:r>
    </w:p>
    <w:p w14:paraId="2221FF19" w14:textId="336CE8B2" w:rsidR="00736041" w:rsidRDefault="001B5D37" w:rsidP="00A430ED">
      <w:pPr>
        <w:pStyle w:val="Heading4"/>
      </w:pPr>
      <w:r w:rsidRPr="005E22C2">
        <w:t xml:space="preserve">Analysis </w:t>
      </w:r>
      <w:r w:rsidR="00736041" w:rsidRPr="005E22C2">
        <w:t xml:space="preserve">of </w:t>
      </w:r>
      <w:r w:rsidR="0063631C">
        <w:t>d</w:t>
      </w:r>
      <w:r w:rsidR="00E677DD" w:rsidRPr="005E22C2">
        <w:t xml:space="preserve">rug </w:t>
      </w:r>
      <w:r w:rsidR="0063631C">
        <w:t>u</w:t>
      </w:r>
      <w:r w:rsidR="00E677DD" w:rsidRPr="005E22C2">
        <w:t>tilisation</w:t>
      </w:r>
    </w:p>
    <w:p w14:paraId="05279A42" w14:textId="0CF0F0E0" w:rsidR="00065A1D" w:rsidRPr="00065A1D" w:rsidRDefault="00065A1D" w:rsidP="006874BA">
      <w:r w:rsidRPr="00065A1D">
        <w:t>10,441,015 unique patients (45% of the Australian population</w:t>
      </w:r>
      <w:r w:rsidRPr="00065A1D">
        <w:rPr>
          <w:vertAlign w:val="superscript"/>
        </w:rPr>
        <w:footnoteReference w:id="7"/>
      </w:r>
      <w:r w:rsidRPr="00065A1D">
        <w:t>) were supplied at least one antibiotic under the PBS/RPBS in 2013</w:t>
      </w:r>
      <w:r w:rsidRPr="00065A1D">
        <w:rPr>
          <w:vertAlign w:val="superscript"/>
        </w:rPr>
        <w:footnoteReference w:id="8"/>
      </w:r>
      <w:r w:rsidRPr="00065A1D">
        <w:t>.</w:t>
      </w:r>
      <w:r w:rsidR="00751FE9">
        <w:t xml:space="preserve"> </w:t>
      </w:r>
      <w:r w:rsidRPr="00065A1D">
        <w:t>18% (n=4,199,137) of the Australian population had only one antibioti</w:t>
      </w:r>
      <w:r w:rsidR="00E355D2">
        <w:t xml:space="preserve">c prescription supplied in 2013 and </w:t>
      </w:r>
      <w:r w:rsidRPr="00065A1D">
        <w:t>3.5% (n=807,870) had greater than six antibiotic prescriptions dispensed (Figure 1). By way of comparison, 25% (n=5,934,693) of the Australian population were supplied with just one antibiotic me</w:t>
      </w:r>
      <w:r w:rsidR="00E355D2">
        <w:t>dicine on one or more occasions whilst</w:t>
      </w:r>
      <w:r w:rsidRPr="00065A1D">
        <w:t xml:space="preserve"> 0.1% (n=32,808) had greater than six different antibiotics supplied. </w:t>
      </w:r>
    </w:p>
    <w:p w14:paraId="3ABA6C06" w14:textId="77777777" w:rsidR="00065A1D" w:rsidRPr="00065A1D" w:rsidRDefault="00065A1D" w:rsidP="00065A1D">
      <w:pPr>
        <w:rPr>
          <w:b/>
          <w:bCs/>
          <w:iCs/>
          <w:lang w:val="en-US"/>
        </w:rPr>
      </w:pPr>
      <w:r w:rsidRPr="00065A1D">
        <w:rPr>
          <w:b/>
          <w:bCs/>
          <w:iCs/>
          <w:noProof/>
        </w:rPr>
        <w:drawing>
          <wp:inline distT="0" distB="0" distL="0" distR="0" wp14:anchorId="57468D1D" wp14:editId="50D794D8">
            <wp:extent cx="5581935" cy="3425588"/>
            <wp:effectExtent l="0" t="0" r="19050" b="22860"/>
            <wp:docPr id="7" name="Chart 7" descr="The highest number of antibiotic drugs and antibiotic prescriptions per person is 1." title="Figure 1 shows the number of antibiotic drugs and antibiotic prescriptions supplied per person under the PBS/RPBS in 2013 by percentage of the Australian populat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B39E267" w14:textId="25517BB6" w:rsidR="00065A1D" w:rsidRDefault="00065A1D" w:rsidP="006874BA">
      <w:pPr>
        <w:pStyle w:val="Figurecaption"/>
        <w:rPr>
          <w:bCs/>
          <w:iCs/>
          <w:lang w:val="en-US"/>
        </w:rPr>
      </w:pPr>
      <w:r w:rsidRPr="006874BA">
        <w:rPr>
          <w:rStyle w:val="FiguretitleChar"/>
        </w:rPr>
        <w:t>Figure 1: Number of antibiotic drugs and antibiotic prescriptions supplied per person under the PBS/RPBS in 2013 by percentage of the Australian population.</w:t>
      </w:r>
      <w:r w:rsidRPr="00065A1D">
        <w:rPr>
          <w:b/>
          <w:bCs/>
          <w:iCs/>
          <w:lang w:val="en-US"/>
        </w:rPr>
        <w:br/>
      </w:r>
      <w:r w:rsidRPr="006874BA">
        <w:rPr>
          <w:rStyle w:val="FigurecaptionChar"/>
        </w:rPr>
        <w:t>Based on December 2013 Australian population = 23,319,400 people.</w:t>
      </w:r>
      <w:r w:rsidRPr="00065A1D">
        <w:rPr>
          <w:b/>
          <w:bCs/>
          <w:iCs/>
          <w:lang w:val="en-US"/>
        </w:rPr>
        <w:t xml:space="preserve"> </w:t>
      </w:r>
      <w:r w:rsidR="00D13D33">
        <w:rPr>
          <w:b/>
          <w:bCs/>
          <w:iCs/>
          <w:lang w:val="en-US"/>
        </w:rPr>
        <w:br/>
      </w:r>
      <w:r w:rsidRPr="00065A1D">
        <w:rPr>
          <w:bCs/>
          <w:iCs/>
          <w:lang w:val="en-US"/>
        </w:rPr>
        <w:t>Source: DHS Supplied prescriptions database, August 2014.</w:t>
      </w:r>
    </w:p>
    <w:p w14:paraId="11E727FF" w14:textId="07FFE1FA" w:rsidR="006874BA" w:rsidRDefault="006874BA" w:rsidP="00065A1D">
      <w:pPr>
        <w:rPr>
          <w:rStyle w:val="FigurecaptionChar"/>
        </w:rPr>
      </w:pPr>
    </w:p>
    <w:p w14:paraId="5B470330" w14:textId="77777777" w:rsidR="00065A1D" w:rsidRPr="00065A1D" w:rsidRDefault="00065A1D" w:rsidP="00065A1D">
      <w:pPr>
        <w:rPr>
          <w:b/>
          <w:bCs/>
          <w:iCs/>
          <w:lang w:val="en-US"/>
        </w:rPr>
      </w:pPr>
      <w:r w:rsidRPr="00065A1D">
        <w:rPr>
          <w:b/>
          <w:bCs/>
          <w:iCs/>
          <w:noProof/>
        </w:rPr>
        <w:lastRenderedPageBreak/>
        <w:drawing>
          <wp:inline distT="0" distB="0" distL="0" distR="0" wp14:anchorId="7CA541E9" wp14:editId="33271846">
            <wp:extent cx="5583600" cy="3409950"/>
            <wp:effectExtent l="0" t="0" r="17145" b="19050"/>
            <wp:docPr id="9" name="Chart 9" descr="It is expressed as prescriptions and DDDs per 1000 people per day" title="Figure 3 shows the quantity of antibiotics dispensed under the PBS/RPBS per year from 1994 to 20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E522EDD" w14:textId="61834EE3" w:rsidR="00065A1D" w:rsidRPr="00065A1D" w:rsidRDefault="00065A1D" w:rsidP="006874BA">
      <w:pPr>
        <w:rPr>
          <w:lang w:val="en-US"/>
        </w:rPr>
      </w:pPr>
      <w:r w:rsidRPr="006874BA">
        <w:rPr>
          <w:rStyle w:val="FiguretitleChar"/>
        </w:rPr>
        <w:t xml:space="preserve">Figure </w:t>
      </w:r>
      <w:r w:rsidR="000C70E6">
        <w:rPr>
          <w:rStyle w:val="FiguretitleChar"/>
        </w:rPr>
        <w:t>2</w:t>
      </w:r>
      <w:r w:rsidRPr="006874BA">
        <w:rPr>
          <w:rStyle w:val="FiguretitleChar"/>
        </w:rPr>
        <w:t>: Quantity of antibiotics dispensed under the PBS/RPBS per year from 1994-2013 expressed as prescriptions and DDDs per 1000 people per day.</w:t>
      </w:r>
      <w:r w:rsidRPr="00065A1D">
        <w:rPr>
          <w:b/>
          <w:lang w:val="en-US"/>
        </w:rPr>
        <w:t xml:space="preserve"> </w:t>
      </w:r>
      <w:r w:rsidRPr="00065A1D">
        <w:rPr>
          <w:b/>
          <w:lang w:val="en-US"/>
        </w:rPr>
        <w:br/>
      </w:r>
      <w:proofErr w:type="gramStart"/>
      <w:r w:rsidRPr="006874BA">
        <w:rPr>
          <w:rStyle w:val="FigurecaptionChar"/>
        </w:rPr>
        <w:t>Excludes private estimate.</w:t>
      </w:r>
      <w:proofErr w:type="gramEnd"/>
      <w:r w:rsidRPr="006874BA">
        <w:rPr>
          <w:rStyle w:val="FigurecaptionChar"/>
        </w:rPr>
        <w:t xml:space="preserve"> Includes under co-payment estimate and actual. The DDDs/1000/day </w:t>
      </w:r>
      <w:proofErr w:type="gramStart"/>
      <w:r w:rsidRPr="006874BA">
        <w:rPr>
          <w:rStyle w:val="FigurecaptionChar"/>
        </w:rPr>
        <w:t>are</w:t>
      </w:r>
      <w:proofErr w:type="gramEnd"/>
      <w:r w:rsidRPr="006874BA">
        <w:rPr>
          <w:rStyle w:val="FigurecaptionChar"/>
        </w:rPr>
        <w:t xml:space="preserve"> almost identical for systemic antibiotics (J01) and all antibiotic ATC, therefore only the total is depicted. DDD/1000/Day excludes some items for which there is no DDD defined. Source: DUSC database, August 2014.</w:t>
      </w:r>
    </w:p>
    <w:p w14:paraId="4BCE5F40" w14:textId="32D580B7" w:rsidR="00065A1D" w:rsidRPr="00065A1D" w:rsidRDefault="00065A1D" w:rsidP="006874BA">
      <w:r w:rsidRPr="00065A1D">
        <w:t>In 2013, the use of PBS/RPBS systemic antibiotics (J01) was 26,436,021 prescriptions</w:t>
      </w:r>
      <w:r w:rsidR="000C70E6">
        <w:t xml:space="preserve"> and 22.8 DDD/1000/day (Figure 2</w:t>
      </w:r>
      <w:r w:rsidRPr="00065A1D">
        <w:t xml:space="preserve">). Over the same year, 29,227,581 prescriptions were supplied for any PBS/RPBS antibiotic, also accounting for 22.8 DDD/1000/day, noting that </w:t>
      </w:r>
      <w:r w:rsidR="00DD469E">
        <w:t xml:space="preserve">some </w:t>
      </w:r>
      <w:r w:rsidR="003E23BA">
        <w:t>non-</w:t>
      </w:r>
      <w:r w:rsidR="00ED5883">
        <w:t xml:space="preserve">systemic antibiotics </w:t>
      </w:r>
      <w:r w:rsidRPr="00065A1D">
        <w:t>do not have a DDD assigned by the World Health Organization.</w:t>
      </w:r>
    </w:p>
    <w:p w14:paraId="4729010D" w14:textId="77777777" w:rsidR="00065A1D" w:rsidRPr="00065A1D" w:rsidRDefault="00065A1D" w:rsidP="006874BA">
      <w:r w:rsidRPr="00065A1D">
        <w:t xml:space="preserve">The ten most commonly supplied antibiotics by number of prescriptions supplied in 2013 are shown in Table 3. The number of prescriptions is inclusive of all forms and strengths applicable to the listed ATC code. </w:t>
      </w:r>
    </w:p>
    <w:p w14:paraId="7A67B870" w14:textId="77777777" w:rsidR="000A6AD9" w:rsidRDefault="000A6AD9">
      <w:pPr>
        <w:spacing w:before="0" w:after="200" w:line="276" w:lineRule="auto"/>
        <w:rPr>
          <w:rFonts w:eastAsiaTheme="majorEastAsia" w:cstheme="majorBidi"/>
          <w:b/>
          <w:bCs/>
        </w:rPr>
      </w:pPr>
      <w:r>
        <w:br w:type="page"/>
      </w:r>
    </w:p>
    <w:p w14:paraId="06EFBD05" w14:textId="4A1A9F8D" w:rsidR="00065A1D" w:rsidRPr="00065A1D" w:rsidRDefault="00065A1D" w:rsidP="00A430ED">
      <w:pPr>
        <w:pStyle w:val="Tabletitle"/>
      </w:pPr>
      <w:r w:rsidRPr="00065A1D">
        <w:lastRenderedPageBreak/>
        <w:t xml:space="preserve">Table 3: Ten most commonly supplied antibiotics by number of prescriptions in 2013. </w:t>
      </w:r>
    </w:p>
    <w:tbl>
      <w:tblPr>
        <w:tblW w:w="7128" w:type="dxa"/>
        <w:tblInd w:w="93" w:type="dxa"/>
        <w:tblLook w:val="04A0" w:firstRow="1" w:lastRow="0" w:firstColumn="1" w:lastColumn="0" w:noHBand="0" w:noVBand="1"/>
        <w:tblCaption w:val="Table 3 shows the ten most commonly supplied antibiotics by number of prescriptions in 2013"/>
      </w:tblPr>
      <w:tblGrid>
        <w:gridCol w:w="460"/>
        <w:gridCol w:w="1091"/>
        <w:gridCol w:w="3300"/>
        <w:gridCol w:w="2277"/>
      </w:tblGrid>
      <w:tr w:rsidR="00065A1D" w:rsidRPr="00065A1D" w14:paraId="47B727FD" w14:textId="77777777" w:rsidTr="006874BA">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32B21" w14:textId="77777777" w:rsidR="00065A1D" w:rsidRPr="00065A1D" w:rsidRDefault="00065A1D" w:rsidP="006874BA">
            <w:pPr>
              <w:pStyle w:val="Tablewriting"/>
            </w:pPr>
            <w:r w:rsidRPr="00065A1D">
              <w:t> </w:t>
            </w:r>
          </w:p>
        </w:tc>
        <w:tc>
          <w:tcPr>
            <w:tcW w:w="1091" w:type="dxa"/>
            <w:tcBorders>
              <w:top w:val="single" w:sz="4" w:space="0" w:color="auto"/>
              <w:left w:val="nil"/>
              <w:bottom w:val="single" w:sz="4" w:space="0" w:color="auto"/>
              <w:right w:val="single" w:sz="4" w:space="0" w:color="auto"/>
            </w:tcBorders>
            <w:shd w:val="clear" w:color="auto" w:fill="auto"/>
            <w:noWrap/>
            <w:vAlign w:val="bottom"/>
            <w:hideMark/>
          </w:tcPr>
          <w:p w14:paraId="640A614F" w14:textId="77777777" w:rsidR="00065A1D" w:rsidRPr="00065A1D" w:rsidRDefault="00065A1D" w:rsidP="006874BA">
            <w:pPr>
              <w:pStyle w:val="Tablewriting"/>
              <w:rPr>
                <w:b/>
                <w:bCs/>
              </w:rPr>
            </w:pPr>
            <w:r w:rsidRPr="00065A1D">
              <w:rPr>
                <w:b/>
                <w:bCs/>
              </w:rPr>
              <w:t>ATC</w:t>
            </w:r>
          </w:p>
        </w:tc>
        <w:tc>
          <w:tcPr>
            <w:tcW w:w="3300" w:type="dxa"/>
            <w:tcBorders>
              <w:top w:val="single" w:sz="4" w:space="0" w:color="auto"/>
              <w:left w:val="nil"/>
              <w:bottom w:val="single" w:sz="4" w:space="0" w:color="auto"/>
              <w:right w:val="single" w:sz="4" w:space="0" w:color="auto"/>
            </w:tcBorders>
            <w:shd w:val="clear" w:color="auto" w:fill="auto"/>
            <w:noWrap/>
            <w:vAlign w:val="bottom"/>
            <w:hideMark/>
          </w:tcPr>
          <w:p w14:paraId="7D44091C" w14:textId="77777777" w:rsidR="00065A1D" w:rsidRPr="00065A1D" w:rsidRDefault="00065A1D" w:rsidP="006874BA">
            <w:pPr>
              <w:pStyle w:val="Tablewriting"/>
              <w:rPr>
                <w:b/>
                <w:bCs/>
              </w:rPr>
            </w:pPr>
            <w:r w:rsidRPr="00065A1D">
              <w:rPr>
                <w:b/>
                <w:bCs/>
              </w:rPr>
              <w:t>Drug Name</w:t>
            </w:r>
          </w:p>
        </w:tc>
        <w:tc>
          <w:tcPr>
            <w:tcW w:w="2277" w:type="dxa"/>
            <w:tcBorders>
              <w:top w:val="single" w:sz="4" w:space="0" w:color="auto"/>
              <w:left w:val="nil"/>
              <w:bottom w:val="single" w:sz="4" w:space="0" w:color="auto"/>
              <w:right w:val="single" w:sz="4" w:space="0" w:color="auto"/>
            </w:tcBorders>
            <w:shd w:val="clear" w:color="auto" w:fill="auto"/>
            <w:noWrap/>
            <w:vAlign w:val="bottom"/>
            <w:hideMark/>
          </w:tcPr>
          <w:p w14:paraId="361E6937" w14:textId="77777777" w:rsidR="00065A1D" w:rsidRPr="00065A1D" w:rsidRDefault="00065A1D" w:rsidP="006874BA">
            <w:pPr>
              <w:pStyle w:val="Tablewriting"/>
              <w:rPr>
                <w:b/>
                <w:bCs/>
              </w:rPr>
            </w:pPr>
            <w:r w:rsidRPr="00065A1D">
              <w:rPr>
                <w:b/>
                <w:bCs/>
              </w:rPr>
              <w:t>Prescriptions 2013</w:t>
            </w:r>
          </w:p>
        </w:tc>
      </w:tr>
      <w:tr w:rsidR="00065A1D" w:rsidRPr="00065A1D" w14:paraId="5C58D36D" w14:textId="77777777" w:rsidTr="006874BA">
        <w:trPr>
          <w:trHeight w:val="300"/>
        </w:trPr>
        <w:tc>
          <w:tcPr>
            <w:tcW w:w="460" w:type="dxa"/>
            <w:tcBorders>
              <w:top w:val="nil"/>
              <w:left w:val="single" w:sz="4" w:space="0" w:color="auto"/>
              <w:bottom w:val="single" w:sz="4" w:space="0" w:color="auto"/>
              <w:right w:val="single" w:sz="4" w:space="0" w:color="auto"/>
            </w:tcBorders>
            <w:shd w:val="clear" w:color="000000" w:fill="D9D9D9"/>
            <w:noWrap/>
            <w:vAlign w:val="bottom"/>
            <w:hideMark/>
          </w:tcPr>
          <w:p w14:paraId="5885F9EA" w14:textId="77777777" w:rsidR="00065A1D" w:rsidRPr="00065A1D" w:rsidRDefault="00065A1D" w:rsidP="006874BA">
            <w:pPr>
              <w:pStyle w:val="Tablewriting"/>
            </w:pPr>
            <w:r w:rsidRPr="00065A1D">
              <w:t>1</w:t>
            </w:r>
          </w:p>
        </w:tc>
        <w:tc>
          <w:tcPr>
            <w:tcW w:w="1091" w:type="dxa"/>
            <w:tcBorders>
              <w:top w:val="nil"/>
              <w:left w:val="nil"/>
              <w:bottom w:val="single" w:sz="4" w:space="0" w:color="auto"/>
              <w:right w:val="single" w:sz="4" w:space="0" w:color="auto"/>
            </w:tcBorders>
            <w:shd w:val="clear" w:color="000000" w:fill="D9D9D9"/>
            <w:noWrap/>
            <w:vAlign w:val="bottom"/>
            <w:hideMark/>
          </w:tcPr>
          <w:p w14:paraId="26D15A27" w14:textId="77777777" w:rsidR="00065A1D" w:rsidRPr="00065A1D" w:rsidRDefault="00065A1D" w:rsidP="006874BA">
            <w:pPr>
              <w:pStyle w:val="Tablewriting"/>
            </w:pPr>
            <w:r w:rsidRPr="00065A1D">
              <w:t>J01CA04</w:t>
            </w:r>
          </w:p>
        </w:tc>
        <w:tc>
          <w:tcPr>
            <w:tcW w:w="3300" w:type="dxa"/>
            <w:tcBorders>
              <w:top w:val="nil"/>
              <w:left w:val="nil"/>
              <w:bottom w:val="single" w:sz="4" w:space="0" w:color="auto"/>
              <w:right w:val="single" w:sz="4" w:space="0" w:color="auto"/>
            </w:tcBorders>
            <w:shd w:val="clear" w:color="000000" w:fill="D9D9D9"/>
            <w:noWrap/>
            <w:vAlign w:val="bottom"/>
            <w:hideMark/>
          </w:tcPr>
          <w:p w14:paraId="487C6355" w14:textId="77777777" w:rsidR="00065A1D" w:rsidRPr="00065A1D" w:rsidRDefault="00065A1D" w:rsidP="006874BA">
            <w:pPr>
              <w:pStyle w:val="Tablewriting"/>
            </w:pPr>
            <w:r w:rsidRPr="00065A1D">
              <w:t>AMOXYCILLIN</w:t>
            </w:r>
          </w:p>
        </w:tc>
        <w:tc>
          <w:tcPr>
            <w:tcW w:w="2277" w:type="dxa"/>
            <w:tcBorders>
              <w:top w:val="nil"/>
              <w:left w:val="nil"/>
              <w:bottom w:val="single" w:sz="4" w:space="0" w:color="auto"/>
              <w:right w:val="single" w:sz="4" w:space="0" w:color="auto"/>
            </w:tcBorders>
            <w:shd w:val="clear" w:color="000000" w:fill="D9D9D9"/>
            <w:noWrap/>
            <w:vAlign w:val="bottom"/>
            <w:hideMark/>
          </w:tcPr>
          <w:p w14:paraId="66FB938F" w14:textId="15C53EA6" w:rsidR="00065A1D" w:rsidRPr="00065A1D" w:rsidRDefault="00065A1D" w:rsidP="00B53B53">
            <w:pPr>
              <w:pStyle w:val="Tablewriting"/>
              <w:jc w:val="right"/>
            </w:pPr>
            <w:r w:rsidRPr="00065A1D">
              <w:t xml:space="preserve">5,665,810 </w:t>
            </w:r>
          </w:p>
        </w:tc>
      </w:tr>
      <w:tr w:rsidR="00065A1D" w:rsidRPr="00065A1D" w14:paraId="5E73EB43" w14:textId="77777777" w:rsidTr="006874BA">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6B3EDD0" w14:textId="77777777" w:rsidR="00065A1D" w:rsidRPr="00065A1D" w:rsidRDefault="00065A1D" w:rsidP="006874BA">
            <w:pPr>
              <w:pStyle w:val="Tablewriting"/>
            </w:pPr>
            <w:r w:rsidRPr="00065A1D">
              <w:t>2</w:t>
            </w:r>
          </w:p>
        </w:tc>
        <w:tc>
          <w:tcPr>
            <w:tcW w:w="1091" w:type="dxa"/>
            <w:tcBorders>
              <w:top w:val="nil"/>
              <w:left w:val="nil"/>
              <w:bottom w:val="single" w:sz="4" w:space="0" w:color="auto"/>
              <w:right w:val="single" w:sz="4" w:space="0" w:color="auto"/>
            </w:tcBorders>
            <w:shd w:val="clear" w:color="auto" w:fill="auto"/>
            <w:noWrap/>
            <w:vAlign w:val="bottom"/>
            <w:hideMark/>
          </w:tcPr>
          <w:p w14:paraId="4FB73002" w14:textId="77777777" w:rsidR="00065A1D" w:rsidRPr="00065A1D" w:rsidRDefault="00065A1D" w:rsidP="006874BA">
            <w:pPr>
              <w:pStyle w:val="Tablewriting"/>
            </w:pPr>
            <w:r w:rsidRPr="00065A1D">
              <w:t>J01DB01</w:t>
            </w:r>
          </w:p>
        </w:tc>
        <w:tc>
          <w:tcPr>
            <w:tcW w:w="3300" w:type="dxa"/>
            <w:tcBorders>
              <w:top w:val="nil"/>
              <w:left w:val="nil"/>
              <w:bottom w:val="single" w:sz="4" w:space="0" w:color="auto"/>
              <w:right w:val="single" w:sz="4" w:space="0" w:color="auto"/>
            </w:tcBorders>
            <w:shd w:val="clear" w:color="auto" w:fill="auto"/>
            <w:noWrap/>
            <w:vAlign w:val="bottom"/>
            <w:hideMark/>
          </w:tcPr>
          <w:p w14:paraId="41B9A8B3" w14:textId="77777777" w:rsidR="00065A1D" w:rsidRPr="00065A1D" w:rsidRDefault="00065A1D" w:rsidP="006874BA">
            <w:pPr>
              <w:pStyle w:val="Tablewriting"/>
            </w:pPr>
            <w:r w:rsidRPr="00065A1D">
              <w:t>CEPHALEXIN</w:t>
            </w:r>
          </w:p>
        </w:tc>
        <w:tc>
          <w:tcPr>
            <w:tcW w:w="2277" w:type="dxa"/>
            <w:tcBorders>
              <w:top w:val="nil"/>
              <w:left w:val="nil"/>
              <w:bottom w:val="single" w:sz="4" w:space="0" w:color="auto"/>
              <w:right w:val="single" w:sz="4" w:space="0" w:color="auto"/>
            </w:tcBorders>
            <w:shd w:val="clear" w:color="auto" w:fill="auto"/>
            <w:noWrap/>
            <w:vAlign w:val="bottom"/>
            <w:hideMark/>
          </w:tcPr>
          <w:p w14:paraId="0A89AB0E" w14:textId="62F14638" w:rsidR="00065A1D" w:rsidRPr="00065A1D" w:rsidRDefault="00065A1D" w:rsidP="00B53B53">
            <w:pPr>
              <w:pStyle w:val="Tablewriting"/>
              <w:jc w:val="right"/>
            </w:pPr>
            <w:r w:rsidRPr="00065A1D">
              <w:t xml:space="preserve">5,413,046 </w:t>
            </w:r>
          </w:p>
        </w:tc>
      </w:tr>
      <w:tr w:rsidR="00065A1D" w:rsidRPr="00065A1D" w14:paraId="79F1BDB0" w14:textId="77777777" w:rsidTr="006874BA">
        <w:trPr>
          <w:trHeight w:val="300"/>
        </w:trPr>
        <w:tc>
          <w:tcPr>
            <w:tcW w:w="460" w:type="dxa"/>
            <w:tcBorders>
              <w:top w:val="nil"/>
              <w:left w:val="single" w:sz="4" w:space="0" w:color="auto"/>
              <w:bottom w:val="single" w:sz="4" w:space="0" w:color="auto"/>
              <w:right w:val="single" w:sz="4" w:space="0" w:color="auto"/>
            </w:tcBorders>
            <w:shd w:val="clear" w:color="000000" w:fill="D9D9D9"/>
            <w:noWrap/>
            <w:vAlign w:val="bottom"/>
            <w:hideMark/>
          </w:tcPr>
          <w:p w14:paraId="20154581" w14:textId="77777777" w:rsidR="00065A1D" w:rsidRPr="00065A1D" w:rsidRDefault="00065A1D" w:rsidP="006874BA">
            <w:pPr>
              <w:pStyle w:val="Tablewriting"/>
            </w:pPr>
            <w:r w:rsidRPr="00065A1D">
              <w:t>3</w:t>
            </w:r>
          </w:p>
        </w:tc>
        <w:tc>
          <w:tcPr>
            <w:tcW w:w="1091" w:type="dxa"/>
            <w:tcBorders>
              <w:top w:val="nil"/>
              <w:left w:val="nil"/>
              <w:bottom w:val="single" w:sz="4" w:space="0" w:color="auto"/>
              <w:right w:val="single" w:sz="4" w:space="0" w:color="auto"/>
            </w:tcBorders>
            <w:shd w:val="clear" w:color="000000" w:fill="D9D9D9"/>
            <w:noWrap/>
            <w:vAlign w:val="bottom"/>
            <w:hideMark/>
          </w:tcPr>
          <w:p w14:paraId="6B18295F" w14:textId="77777777" w:rsidR="00065A1D" w:rsidRPr="00065A1D" w:rsidRDefault="00065A1D" w:rsidP="006874BA">
            <w:pPr>
              <w:pStyle w:val="Tablewriting"/>
            </w:pPr>
            <w:r w:rsidRPr="00065A1D">
              <w:t>J01CR02</w:t>
            </w:r>
          </w:p>
        </w:tc>
        <w:tc>
          <w:tcPr>
            <w:tcW w:w="3300" w:type="dxa"/>
            <w:tcBorders>
              <w:top w:val="nil"/>
              <w:left w:val="nil"/>
              <w:bottom w:val="single" w:sz="4" w:space="0" w:color="auto"/>
              <w:right w:val="single" w:sz="4" w:space="0" w:color="auto"/>
            </w:tcBorders>
            <w:shd w:val="clear" w:color="000000" w:fill="D9D9D9"/>
            <w:noWrap/>
            <w:vAlign w:val="bottom"/>
            <w:hideMark/>
          </w:tcPr>
          <w:p w14:paraId="18F8149B" w14:textId="77777777" w:rsidR="00065A1D" w:rsidRPr="00065A1D" w:rsidRDefault="00065A1D" w:rsidP="006874BA">
            <w:pPr>
              <w:pStyle w:val="Tablewriting"/>
            </w:pPr>
            <w:r w:rsidRPr="00065A1D">
              <w:t>AMOXYCILLIN + CLAVULANIC ACID</w:t>
            </w:r>
          </w:p>
        </w:tc>
        <w:tc>
          <w:tcPr>
            <w:tcW w:w="2277" w:type="dxa"/>
            <w:tcBorders>
              <w:top w:val="nil"/>
              <w:left w:val="nil"/>
              <w:bottom w:val="single" w:sz="4" w:space="0" w:color="auto"/>
              <w:right w:val="single" w:sz="4" w:space="0" w:color="auto"/>
            </w:tcBorders>
            <w:shd w:val="clear" w:color="000000" w:fill="D9D9D9"/>
            <w:noWrap/>
            <w:vAlign w:val="bottom"/>
            <w:hideMark/>
          </w:tcPr>
          <w:p w14:paraId="003B31CA" w14:textId="5D1FBE8A" w:rsidR="00065A1D" w:rsidRPr="00065A1D" w:rsidRDefault="00065A1D" w:rsidP="00B53B53">
            <w:pPr>
              <w:pStyle w:val="Tablewriting"/>
              <w:jc w:val="right"/>
            </w:pPr>
            <w:r w:rsidRPr="00065A1D">
              <w:t xml:space="preserve">4,512,149 </w:t>
            </w:r>
          </w:p>
        </w:tc>
      </w:tr>
      <w:tr w:rsidR="00065A1D" w:rsidRPr="00065A1D" w14:paraId="496B0B9A" w14:textId="77777777" w:rsidTr="006874BA">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A0708B1" w14:textId="77777777" w:rsidR="00065A1D" w:rsidRPr="00065A1D" w:rsidRDefault="00065A1D" w:rsidP="006874BA">
            <w:pPr>
              <w:pStyle w:val="Tablewriting"/>
            </w:pPr>
            <w:r w:rsidRPr="00065A1D">
              <w:t>4</w:t>
            </w:r>
          </w:p>
        </w:tc>
        <w:tc>
          <w:tcPr>
            <w:tcW w:w="1091" w:type="dxa"/>
            <w:tcBorders>
              <w:top w:val="nil"/>
              <w:left w:val="nil"/>
              <w:bottom w:val="single" w:sz="4" w:space="0" w:color="auto"/>
              <w:right w:val="single" w:sz="4" w:space="0" w:color="auto"/>
            </w:tcBorders>
            <w:shd w:val="clear" w:color="auto" w:fill="auto"/>
            <w:noWrap/>
            <w:vAlign w:val="bottom"/>
            <w:hideMark/>
          </w:tcPr>
          <w:p w14:paraId="0AE54AD7" w14:textId="77777777" w:rsidR="00065A1D" w:rsidRPr="00065A1D" w:rsidRDefault="00065A1D" w:rsidP="006874BA">
            <w:pPr>
              <w:pStyle w:val="Tablewriting"/>
            </w:pPr>
            <w:r w:rsidRPr="00065A1D">
              <w:t>J01FA06</w:t>
            </w:r>
          </w:p>
        </w:tc>
        <w:tc>
          <w:tcPr>
            <w:tcW w:w="3300" w:type="dxa"/>
            <w:tcBorders>
              <w:top w:val="nil"/>
              <w:left w:val="nil"/>
              <w:bottom w:val="single" w:sz="4" w:space="0" w:color="auto"/>
              <w:right w:val="single" w:sz="4" w:space="0" w:color="auto"/>
            </w:tcBorders>
            <w:shd w:val="clear" w:color="auto" w:fill="auto"/>
            <w:noWrap/>
            <w:vAlign w:val="bottom"/>
            <w:hideMark/>
          </w:tcPr>
          <w:p w14:paraId="1974DA19" w14:textId="77777777" w:rsidR="00065A1D" w:rsidRPr="00065A1D" w:rsidRDefault="00065A1D" w:rsidP="006874BA">
            <w:pPr>
              <w:pStyle w:val="Tablewriting"/>
            </w:pPr>
            <w:r w:rsidRPr="00065A1D">
              <w:t>ROXITHROMYCIN</w:t>
            </w:r>
          </w:p>
        </w:tc>
        <w:tc>
          <w:tcPr>
            <w:tcW w:w="2277" w:type="dxa"/>
            <w:tcBorders>
              <w:top w:val="nil"/>
              <w:left w:val="nil"/>
              <w:bottom w:val="single" w:sz="4" w:space="0" w:color="auto"/>
              <w:right w:val="single" w:sz="4" w:space="0" w:color="auto"/>
            </w:tcBorders>
            <w:shd w:val="clear" w:color="auto" w:fill="auto"/>
            <w:noWrap/>
            <w:vAlign w:val="bottom"/>
            <w:hideMark/>
          </w:tcPr>
          <w:p w14:paraId="32DFA934" w14:textId="25DD9910" w:rsidR="00065A1D" w:rsidRPr="00065A1D" w:rsidRDefault="00065A1D" w:rsidP="00B53B53">
            <w:pPr>
              <w:pStyle w:val="Tablewriting"/>
              <w:jc w:val="right"/>
            </w:pPr>
            <w:r w:rsidRPr="00065A1D">
              <w:t xml:space="preserve">1,826,038 </w:t>
            </w:r>
          </w:p>
        </w:tc>
      </w:tr>
      <w:tr w:rsidR="00065A1D" w:rsidRPr="00065A1D" w14:paraId="1AAFD3CA" w14:textId="77777777" w:rsidTr="006874BA">
        <w:trPr>
          <w:trHeight w:val="300"/>
        </w:trPr>
        <w:tc>
          <w:tcPr>
            <w:tcW w:w="460" w:type="dxa"/>
            <w:tcBorders>
              <w:top w:val="nil"/>
              <w:left w:val="single" w:sz="4" w:space="0" w:color="auto"/>
              <w:bottom w:val="single" w:sz="4" w:space="0" w:color="auto"/>
              <w:right w:val="single" w:sz="4" w:space="0" w:color="auto"/>
            </w:tcBorders>
            <w:shd w:val="clear" w:color="000000" w:fill="D9D9D9"/>
            <w:noWrap/>
            <w:vAlign w:val="bottom"/>
            <w:hideMark/>
          </w:tcPr>
          <w:p w14:paraId="2AA8F960" w14:textId="77777777" w:rsidR="00065A1D" w:rsidRPr="00065A1D" w:rsidRDefault="00065A1D" w:rsidP="006874BA">
            <w:pPr>
              <w:pStyle w:val="Tablewriting"/>
            </w:pPr>
            <w:r w:rsidRPr="00065A1D">
              <w:t>5</w:t>
            </w:r>
          </w:p>
        </w:tc>
        <w:tc>
          <w:tcPr>
            <w:tcW w:w="1091" w:type="dxa"/>
            <w:tcBorders>
              <w:top w:val="nil"/>
              <w:left w:val="nil"/>
              <w:bottom w:val="single" w:sz="4" w:space="0" w:color="auto"/>
              <w:right w:val="single" w:sz="4" w:space="0" w:color="auto"/>
            </w:tcBorders>
            <w:shd w:val="clear" w:color="000000" w:fill="D9D9D9"/>
            <w:noWrap/>
            <w:vAlign w:val="bottom"/>
            <w:hideMark/>
          </w:tcPr>
          <w:p w14:paraId="2F7396F7" w14:textId="77777777" w:rsidR="00065A1D" w:rsidRPr="00065A1D" w:rsidRDefault="00065A1D" w:rsidP="006874BA">
            <w:pPr>
              <w:pStyle w:val="Tablewriting"/>
            </w:pPr>
            <w:r w:rsidRPr="00065A1D">
              <w:t>J01AA02</w:t>
            </w:r>
          </w:p>
        </w:tc>
        <w:tc>
          <w:tcPr>
            <w:tcW w:w="3300" w:type="dxa"/>
            <w:tcBorders>
              <w:top w:val="nil"/>
              <w:left w:val="nil"/>
              <w:bottom w:val="single" w:sz="4" w:space="0" w:color="auto"/>
              <w:right w:val="single" w:sz="4" w:space="0" w:color="auto"/>
            </w:tcBorders>
            <w:shd w:val="clear" w:color="000000" w:fill="D9D9D9"/>
            <w:noWrap/>
            <w:vAlign w:val="bottom"/>
            <w:hideMark/>
          </w:tcPr>
          <w:p w14:paraId="00735953" w14:textId="77777777" w:rsidR="00065A1D" w:rsidRPr="00065A1D" w:rsidRDefault="00065A1D" w:rsidP="006874BA">
            <w:pPr>
              <w:pStyle w:val="Tablewriting"/>
            </w:pPr>
            <w:r w:rsidRPr="00065A1D">
              <w:t>DOXYCYCLINE</w:t>
            </w:r>
          </w:p>
        </w:tc>
        <w:tc>
          <w:tcPr>
            <w:tcW w:w="2277" w:type="dxa"/>
            <w:tcBorders>
              <w:top w:val="nil"/>
              <w:left w:val="nil"/>
              <w:bottom w:val="single" w:sz="4" w:space="0" w:color="auto"/>
              <w:right w:val="single" w:sz="4" w:space="0" w:color="auto"/>
            </w:tcBorders>
            <w:shd w:val="clear" w:color="000000" w:fill="D9D9D9"/>
            <w:noWrap/>
            <w:vAlign w:val="bottom"/>
            <w:hideMark/>
          </w:tcPr>
          <w:p w14:paraId="64368597" w14:textId="42C4E779" w:rsidR="00065A1D" w:rsidRPr="00065A1D" w:rsidRDefault="00065A1D" w:rsidP="00B53B53">
            <w:pPr>
              <w:pStyle w:val="Tablewriting"/>
              <w:jc w:val="right"/>
            </w:pPr>
            <w:r w:rsidRPr="00065A1D">
              <w:t xml:space="preserve">1,804,790 </w:t>
            </w:r>
          </w:p>
        </w:tc>
      </w:tr>
      <w:tr w:rsidR="00065A1D" w:rsidRPr="00065A1D" w14:paraId="51F33225" w14:textId="77777777" w:rsidTr="006874BA">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65CBAD5" w14:textId="77777777" w:rsidR="00065A1D" w:rsidRPr="00065A1D" w:rsidRDefault="00065A1D" w:rsidP="006874BA">
            <w:pPr>
              <w:pStyle w:val="Tablewriting"/>
            </w:pPr>
            <w:r w:rsidRPr="00065A1D">
              <w:t>6</w:t>
            </w:r>
          </w:p>
        </w:tc>
        <w:tc>
          <w:tcPr>
            <w:tcW w:w="1091" w:type="dxa"/>
            <w:tcBorders>
              <w:top w:val="nil"/>
              <w:left w:val="nil"/>
              <w:bottom w:val="single" w:sz="4" w:space="0" w:color="auto"/>
              <w:right w:val="single" w:sz="4" w:space="0" w:color="auto"/>
            </w:tcBorders>
            <w:shd w:val="clear" w:color="auto" w:fill="auto"/>
            <w:noWrap/>
            <w:vAlign w:val="bottom"/>
            <w:hideMark/>
          </w:tcPr>
          <w:p w14:paraId="0E785E0A" w14:textId="77777777" w:rsidR="00065A1D" w:rsidRPr="00065A1D" w:rsidRDefault="00065A1D" w:rsidP="006874BA">
            <w:pPr>
              <w:pStyle w:val="Tablewriting"/>
            </w:pPr>
            <w:r w:rsidRPr="00065A1D">
              <w:t>S01AA01</w:t>
            </w:r>
          </w:p>
        </w:tc>
        <w:tc>
          <w:tcPr>
            <w:tcW w:w="3300" w:type="dxa"/>
            <w:tcBorders>
              <w:top w:val="nil"/>
              <w:left w:val="nil"/>
              <w:bottom w:val="single" w:sz="4" w:space="0" w:color="auto"/>
              <w:right w:val="single" w:sz="4" w:space="0" w:color="auto"/>
            </w:tcBorders>
            <w:shd w:val="clear" w:color="auto" w:fill="auto"/>
            <w:noWrap/>
            <w:vAlign w:val="bottom"/>
            <w:hideMark/>
          </w:tcPr>
          <w:p w14:paraId="3ABC653F" w14:textId="77777777" w:rsidR="00065A1D" w:rsidRPr="00065A1D" w:rsidRDefault="00065A1D" w:rsidP="006874BA">
            <w:pPr>
              <w:pStyle w:val="Tablewriting"/>
            </w:pPr>
            <w:r w:rsidRPr="00065A1D">
              <w:t>CHLORAMPHENICOL</w:t>
            </w:r>
          </w:p>
        </w:tc>
        <w:tc>
          <w:tcPr>
            <w:tcW w:w="2277" w:type="dxa"/>
            <w:tcBorders>
              <w:top w:val="nil"/>
              <w:left w:val="nil"/>
              <w:bottom w:val="single" w:sz="4" w:space="0" w:color="auto"/>
              <w:right w:val="single" w:sz="4" w:space="0" w:color="auto"/>
            </w:tcBorders>
            <w:shd w:val="clear" w:color="auto" w:fill="auto"/>
            <w:noWrap/>
            <w:vAlign w:val="bottom"/>
            <w:hideMark/>
          </w:tcPr>
          <w:p w14:paraId="688503E4" w14:textId="382C4C6C" w:rsidR="00065A1D" w:rsidRPr="00065A1D" w:rsidRDefault="00065A1D" w:rsidP="00B53B53">
            <w:pPr>
              <w:pStyle w:val="Tablewriting"/>
              <w:jc w:val="right"/>
            </w:pPr>
            <w:r w:rsidRPr="00065A1D">
              <w:t xml:space="preserve">1,353,514 </w:t>
            </w:r>
          </w:p>
        </w:tc>
      </w:tr>
      <w:tr w:rsidR="00065A1D" w:rsidRPr="00065A1D" w14:paraId="4314F823" w14:textId="77777777" w:rsidTr="006874BA">
        <w:trPr>
          <w:trHeight w:val="300"/>
        </w:trPr>
        <w:tc>
          <w:tcPr>
            <w:tcW w:w="460" w:type="dxa"/>
            <w:tcBorders>
              <w:top w:val="nil"/>
              <w:left w:val="single" w:sz="4" w:space="0" w:color="auto"/>
              <w:bottom w:val="single" w:sz="4" w:space="0" w:color="auto"/>
              <w:right w:val="single" w:sz="4" w:space="0" w:color="auto"/>
            </w:tcBorders>
            <w:shd w:val="clear" w:color="000000" w:fill="D9D9D9"/>
            <w:noWrap/>
            <w:vAlign w:val="bottom"/>
            <w:hideMark/>
          </w:tcPr>
          <w:p w14:paraId="79D799FE" w14:textId="77777777" w:rsidR="00065A1D" w:rsidRPr="00065A1D" w:rsidRDefault="00065A1D" w:rsidP="006874BA">
            <w:pPr>
              <w:pStyle w:val="Tablewriting"/>
            </w:pPr>
            <w:r w:rsidRPr="00065A1D">
              <w:t>7</w:t>
            </w:r>
          </w:p>
        </w:tc>
        <w:tc>
          <w:tcPr>
            <w:tcW w:w="1091" w:type="dxa"/>
            <w:tcBorders>
              <w:top w:val="nil"/>
              <w:left w:val="nil"/>
              <w:bottom w:val="single" w:sz="4" w:space="0" w:color="auto"/>
              <w:right w:val="single" w:sz="4" w:space="0" w:color="auto"/>
            </w:tcBorders>
            <w:shd w:val="clear" w:color="000000" w:fill="D9D9D9"/>
            <w:noWrap/>
            <w:vAlign w:val="bottom"/>
            <w:hideMark/>
          </w:tcPr>
          <w:p w14:paraId="5F3B9C55" w14:textId="77777777" w:rsidR="00065A1D" w:rsidRPr="00065A1D" w:rsidRDefault="00065A1D" w:rsidP="006874BA">
            <w:pPr>
              <w:pStyle w:val="Tablewriting"/>
            </w:pPr>
            <w:r w:rsidRPr="00065A1D">
              <w:t>J01FA09</w:t>
            </w:r>
          </w:p>
        </w:tc>
        <w:tc>
          <w:tcPr>
            <w:tcW w:w="3300" w:type="dxa"/>
            <w:tcBorders>
              <w:top w:val="nil"/>
              <w:left w:val="nil"/>
              <w:bottom w:val="single" w:sz="4" w:space="0" w:color="auto"/>
              <w:right w:val="single" w:sz="4" w:space="0" w:color="auto"/>
            </w:tcBorders>
            <w:shd w:val="clear" w:color="000000" w:fill="D9D9D9"/>
            <w:noWrap/>
            <w:vAlign w:val="bottom"/>
            <w:hideMark/>
          </w:tcPr>
          <w:p w14:paraId="0CE95AD9" w14:textId="77777777" w:rsidR="00065A1D" w:rsidRPr="00065A1D" w:rsidRDefault="00065A1D" w:rsidP="006874BA">
            <w:pPr>
              <w:pStyle w:val="Tablewriting"/>
            </w:pPr>
            <w:r w:rsidRPr="00065A1D">
              <w:t>CLARITHROMYCIN</w:t>
            </w:r>
          </w:p>
        </w:tc>
        <w:tc>
          <w:tcPr>
            <w:tcW w:w="2277" w:type="dxa"/>
            <w:tcBorders>
              <w:top w:val="nil"/>
              <w:left w:val="nil"/>
              <w:bottom w:val="single" w:sz="4" w:space="0" w:color="auto"/>
              <w:right w:val="single" w:sz="4" w:space="0" w:color="auto"/>
            </w:tcBorders>
            <w:shd w:val="clear" w:color="000000" w:fill="D9D9D9"/>
            <w:noWrap/>
            <w:vAlign w:val="bottom"/>
            <w:hideMark/>
          </w:tcPr>
          <w:p w14:paraId="6F4EF4DF" w14:textId="167CA274" w:rsidR="00065A1D" w:rsidRPr="00065A1D" w:rsidRDefault="00065A1D" w:rsidP="00B53B53">
            <w:pPr>
              <w:pStyle w:val="Tablewriting"/>
              <w:jc w:val="right"/>
            </w:pPr>
            <w:r w:rsidRPr="00065A1D">
              <w:t xml:space="preserve">932,640 </w:t>
            </w:r>
          </w:p>
        </w:tc>
      </w:tr>
      <w:tr w:rsidR="00065A1D" w:rsidRPr="00065A1D" w14:paraId="2901C71C" w14:textId="77777777" w:rsidTr="006874BA">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6802A90" w14:textId="77777777" w:rsidR="00065A1D" w:rsidRPr="00065A1D" w:rsidRDefault="00065A1D" w:rsidP="006874BA">
            <w:pPr>
              <w:pStyle w:val="Tablewriting"/>
            </w:pPr>
            <w:r w:rsidRPr="00065A1D">
              <w:t>8</w:t>
            </w:r>
          </w:p>
        </w:tc>
        <w:tc>
          <w:tcPr>
            <w:tcW w:w="1091" w:type="dxa"/>
            <w:tcBorders>
              <w:top w:val="nil"/>
              <w:left w:val="nil"/>
              <w:bottom w:val="single" w:sz="4" w:space="0" w:color="auto"/>
              <w:right w:val="single" w:sz="4" w:space="0" w:color="auto"/>
            </w:tcBorders>
            <w:shd w:val="clear" w:color="auto" w:fill="auto"/>
            <w:noWrap/>
            <w:vAlign w:val="bottom"/>
            <w:hideMark/>
          </w:tcPr>
          <w:p w14:paraId="4DED939A" w14:textId="77777777" w:rsidR="00065A1D" w:rsidRPr="00065A1D" w:rsidRDefault="00065A1D" w:rsidP="006874BA">
            <w:pPr>
              <w:pStyle w:val="Tablewriting"/>
            </w:pPr>
            <w:r w:rsidRPr="00065A1D">
              <w:t>J01EA01</w:t>
            </w:r>
          </w:p>
        </w:tc>
        <w:tc>
          <w:tcPr>
            <w:tcW w:w="3300" w:type="dxa"/>
            <w:tcBorders>
              <w:top w:val="nil"/>
              <w:left w:val="nil"/>
              <w:bottom w:val="single" w:sz="4" w:space="0" w:color="auto"/>
              <w:right w:val="single" w:sz="4" w:space="0" w:color="auto"/>
            </w:tcBorders>
            <w:shd w:val="clear" w:color="auto" w:fill="auto"/>
            <w:noWrap/>
            <w:vAlign w:val="bottom"/>
            <w:hideMark/>
          </w:tcPr>
          <w:p w14:paraId="2E446B1D" w14:textId="77777777" w:rsidR="00065A1D" w:rsidRPr="00065A1D" w:rsidRDefault="00065A1D" w:rsidP="006874BA">
            <w:pPr>
              <w:pStyle w:val="Tablewriting"/>
            </w:pPr>
            <w:r w:rsidRPr="00065A1D">
              <w:t>TRIMETHOPRIM</w:t>
            </w:r>
          </w:p>
        </w:tc>
        <w:tc>
          <w:tcPr>
            <w:tcW w:w="2277" w:type="dxa"/>
            <w:tcBorders>
              <w:top w:val="nil"/>
              <w:left w:val="nil"/>
              <w:bottom w:val="single" w:sz="4" w:space="0" w:color="auto"/>
              <w:right w:val="single" w:sz="4" w:space="0" w:color="auto"/>
            </w:tcBorders>
            <w:shd w:val="clear" w:color="auto" w:fill="auto"/>
            <w:noWrap/>
            <w:vAlign w:val="bottom"/>
            <w:hideMark/>
          </w:tcPr>
          <w:p w14:paraId="11CE0E28" w14:textId="4671001A" w:rsidR="00065A1D" w:rsidRPr="00065A1D" w:rsidRDefault="00065A1D" w:rsidP="00B53B53">
            <w:pPr>
              <w:pStyle w:val="Tablewriting"/>
              <w:jc w:val="right"/>
            </w:pPr>
            <w:r w:rsidRPr="00065A1D">
              <w:t xml:space="preserve">899,007 </w:t>
            </w:r>
          </w:p>
        </w:tc>
      </w:tr>
      <w:tr w:rsidR="00065A1D" w:rsidRPr="00065A1D" w14:paraId="317473FB" w14:textId="77777777" w:rsidTr="006874BA">
        <w:trPr>
          <w:trHeight w:val="300"/>
        </w:trPr>
        <w:tc>
          <w:tcPr>
            <w:tcW w:w="460" w:type="dxa"/>
            <w:tcBorders>
              <w:top w:val="nil"/>
              <w:left w:val="single" w:sz="4" w:space="0" w:color="auto"/>
              <w:bottom w:val="single" w:sz="4" w:space="0" w:color="auto"/>
              <w:right w:val="single" w:sz="4" w:space="0" w:color="auto"/>
            </w:tcBorders>
            <w:shd w:val="clear" w:color="000000" w:fill="D9D9D9"/>
            <w:noWrap/>
            <w:vAlign w:val="bottom"/>
            <w:hideMark/>
          </w:tcPr>
          <w:p w14:paraId="444047F3" w14:textId="77777777" w:rsidR="00065A1D" w:rsidRPr="00065A1D" w:rsidRDefault="00065A1D" w:rsidP="006874BA">
            <w:pPr>
              <w:pStyle w:val="Tablewriting"/>
            </w:pPr>
            <w:r w:rsidRPr="00065A1D">
              <w:t>9</w:t>
            </w:r>
          </w:p>
        </w:tc>
        <w:tc>
          <w:tcPr>
            <w:tcW w:w="1091" w:type="dxa"/>
            <w:tcBorders>
              <w:top w:val="nil"/>
              <w:left w:val="nil"/>
              <w:bottom w:val="single" w:sz="4" w:space="0" w:color="auto"/>
              <w:right w:val="single" w:sz="4" w:space="0" w:color="auto"/>
            </w:tcBorders>
            <w:shd w:val="clear" w:color="000000" w:fill="D9D9D9"/>
            <w:noWrap/>
            <w:vAlign w:val="bottom"/>
            <w:hideMark/>
          </w:tcPr>
          <w:p w14:paraId="711519C1" w14:textId="77777777" w:rsidR="00065A1D" w:rsidRPr="00065A1D" w:rsidRDefault="00065A1D" w:rsidP="006874BA">
            <w:pPr>
              <w:pStyle w:val="Tablewriting"/>
            </w:pPr>
            <w:r w:rsidRPr="00065A1D">
              <w:t>J01FA01</w:t>
            </w:r>
          </w:p>
        </w:tc>
        <w:tc>
          <w:tcPr>
            <w:tcW w:w="3300" w:type="dxa"/>
            <w:tcBorders>
              <w:top w:val="nil"/>
              <w:left w:val="nil"/>
              <w:bottom w:val="single" w:sz="4" w:space="0" w:color="auto"/>
              <w:right w:val="single" w:sz="4" w:space="0" w:color="auto"/>
            </w:tcBorders>
            <w:shd w:val="clear" w:color="000000" w:fill="D9D9D9"/>
            <w:noWrap/>
            <w:vAlign w:val="bottom"/>
            <w:hideMark/>
          </w:tcPr>
          <w:p w14:paraId="5189F135" w14:textId="77777777" w:rsidR="00065A1D" w:rsidRPr="00065A1D" w:rsidRDefault="00065A1D" w:rsidP="006874BA">
            <w:pPr>
              <w:pStyle w:val="Tablewriting"/>
            </w:pPr>
            <w:r w:rsidRPr="00065A1D">
              <w:t>ERYTHROMYCIN</w:t>
            </w:r>
          </w:p>
        </w:tc>
        <w:tc>
          <w:tcPr>
            <w:tcW w:w="2277" w:type="dxa"/>
            <w:tcBorders>
              <w:top w:val="nil"/>
              <w:left w:val="nil"/>
              <w:bottom w:val="single" w:sz="4" w:space="0" w:color="auto"/>
              <w:right w:val="single" w:sz="4" w:space="0" w:color="auto"/>
            </w:tcBorders>
            <w:shd w:val="clear" w:color="000000" w:fill="D9D9D9"/>
            <w:noWrap/>
            <w:vAlign w:val="bottom"/>
            <w:hideMark/>
          </w:tcPr>
          <w:p w14:paraId="33F74DE7" w14:textId="781DB59E" w:rsidR="00065A1D" w:rsidRPr="00065A1D" w:rsidRDefault="00065A1D" w:rsidP="00B53B53">
            <w:pPr>
              <w:pStyle w:val="Tablewriting"/>
              <w:jc w:val="right"/>
            </w:pPr>
            <w:r w:rsidRPr="00065A1D">
              <w:t xml:space="preserve">856,504 </w:t>
            </w:r>
          </w:p>
        </w:tc>
      </w:tr>
      <w:tr w:rsidR="00065A1D" w:rsidRPr="00065A1D" w14:paraId="38000D95" w14:textId="77777777" w:rsidTr="006874BA">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B922E96" w14:textId="77777777" w:rsidR="00065A1D" w:rsidRPr="00065A1D" w:rsidRDefault="00065A1D" w:rsidP="006874BA">
            <w:pPr>
              <w:pStyle w:val="Tablewriting"/>
            </w:pPr>
            <w:r w:rsidRPr="00065A1D">
              <w:t>10</w:t>
            </w:r>
          </w:p>
        </w:tc>
        <w:tc>
          <w:tcPr>
            <w:tcW w:w="1091" w:type="dxa"/>
            <w:tcBorders>
              <w:top w:val="nil"/>
              <w:left w:val="nil"/>
              <w:bottom w:val="single" w:sz="4" w:space="0" w:color="auto"/>
              <w:right w:val="single" w:sz="4" w:space="0" w:color="auto"/>
            </w:tcBorders>
            <w:shd w:val="clear" w:color="auto" w:fill="auto"/>
            <w:noWrap/>
            <w:vAlign w:val="bottom"/>
            <w:hideMark/>
          </w:tcPr>
          <w:p w14:paraId="1212187F" w14:textId="77777777" w:rsidR="00065A1D" w:rsidRPr="00065A1D" w:rsidRDefault="00065A1D" w:rsidP="006874BA">
            <w:pPr>
              <w:pStyle w:val="Tablewriting"/>
            </w:pPr>
            <w:r w:rsidRPr="00065A1D">
              <w:t>J01DC04</w:t>
            </w:r>
          </w:p>
        </w:tc>
        <w:tc>
          <w:tcPr>
            <w:tcW w:w="3300" w:type="dxa"/>
            <w:tcBorders>
              <w:top w:val="nil"/>
              <w:left w:val="nil"/>
              <w:bottom w:val="single" w:sz="4" w:space="0" w:color="auto"/>
              <w:right w:val="single" w:sz="4" w:space="0" w:color="auto"/>
            </w:tcBorders>
            <w:shd w:val="clear" w:color="auto" w:fill="auto"/>
            <w:noWrap/>
            <w:vAlign w:val="bottom"/>
            <w:hideMark/>
          </w:tcPr>
          <w:p w14:paraId="5B42781B" w14:textId="77777777" w:rsidR="00065A1D" w:rsidRPr="00065A1D" w:rsidRDefault="00065A1D" w:rsidP="006874BA">
            <w:pPr>
              <w:pStyle w:val="Tablewriting"/>
            </w:pPr>
            <w:r w:rsidRPr="00065A1D">
              <w:t>CEFACLOR</w:t>
            </w:r>
          </w:p>
        </w:tc>
        <w:tc>
          <w:tcPr>
            <w:tcW w:w="2277" w:type="dxa"/>
            <w:tcBorders>
              <w:top w:val="nil"/>
              <w:left w:val="nil"/>
              <w:bottom w:val="single" w:sz="4" w:space="0" w:color="auto"/>
              <w:right w:val="single" w:sz="4" w:space="0" w:color="auto"/>
            </w:tcBorders>
            <w:shd w:val="clear" w:color="auto" w:fill="auto"/>
            <w:noWrap/>
            <w:vAlign w:val="bottom"/>
            <w:hideMark/>
          </w:tcPr>
          <w:p w14:paraId="200697F3" w14:textId="256DBB96" w:rsidR="00065A1D" w:rsidRPr="00065A1D" w:rsidRDefault="00065A1D" w:rsidP="00B53B53">
            <w:pPr>
              <w:pStyle w:val="Tablewriting"/>
              <w:jc w:val="right"/>
            </w:pPr>
            <w:r w:rsidRPr="00065A1D">
              <w:t xml:space="preserve">674,772 </w:t>
            </w:r>
          </w:p>
        </w:tc>
      </w:tr>
    </w:tbl>
    <w:p w14:paraId="7515F1D4" w14:textId="3D42890D" w:rsidR="00065A1D" w:rsidRPr="00065A1D" w:rsidRDefault="00065A1D" w:rsidP="006874BA">
      <w:pPr>
        <w:pStyle w:val="Tablecaption"/>
      </w:pPr>
      <w:proofErr w:type="gramStart"/>
      <w:r w:rsidRPr="00065A1D">
        <w:t xml:space="preserve">Includes actual under </w:t>
      </w:r>
      <w:r w:rsidR="004A56F9" w:rsidRPr="00065A1D">
        <w:t>co-payment</w:t>
      </w:r>
      <w:r w:rsidRPr="00065A1D">
        <w:t xml:space="preserve"> prescriptions.</w:t>
      </w:r>
      <w:proofErr w:type="gramEnd"/>
      <w:r w:rsidRPr="00065A1D">
        <w:t xml:space="preserve"> </w:t>
      </w:r>
      <w:proofErr w:type="gramStart"/>
      <w:r w:rsidRPr="00065A1D">
        <w:t>Private prescription estimate not available for 2013.</w:t>
      </w:r>
      <w:proofErr w:type="gramEnd"/>
      <w:r w:rsidRPr="00065A1D">
        <w:t xml:space="preserve"> Source: DUSC database, August 2014.</w:t>
      </w:r>
    </w:p>
    <w:p w14:paraId="65EB5703" w14:textId="7921FCD3" w:rsidR="00065A1D" w:rsidRPr="00065A1D" w:rsidRDefault="00065A1D" w:rsidP="00065A1D">
      <w:r w:rsidRPr="00065A1D">
        <w:t>In 2013, 98% of community antibiotic prescriptions (i.e. not including public hospital admitted patients) were supplied from a community pharmacy (including 4% from friendly society pharmacies). 1% of antibiotic prescriptions were supplied from a private hospital pharmacy and 1% of antibiotic prescriptions were supplied from a public hospital to inpatients on discharge</w:t>
      </w:r>
      <w:r w:rsidR="00E355D2" w:rsidRPr="00E355D2">
        <w:t xml:space="preserve"> </w:t>
      </w:r>
      <w:r w:rsidR="00E355D2" w:rsidRPr="00065A1D">
        <w:t>or public hospital outpatients</w:t>
      </w:r>
      <w:r w:rsidRPr="00065A1D">
        <w:t>.</w:t>
      </w:r>
      <w:r w:rsidR="00751FE9">
        <w:t xml:space="preserve"> </w:t>
      </w:r>
      <w:r w:rsidRPr="00065A1D">
        <w:t>A previous analysis from the DUSC Database presented to the AMR</w:t>
      </w:r>
      <w:r w:rsidR="00B50A48">
        <w:t>S</w:t>
      </w:r>
      <w:r w:rsidRPr="00065A1D">
        <w:t>C in 2013 showed that the percentage of total PBS antibiotic use by DDD/1000 population/day from hospital dispensaries was 2.16% in 2005.</w:t>
      </w:r>
    </w:p>
    <w:p w14:paraId="1075F7D1" w14:textId="09DB729F" w:rsidR="00065A1D" w:rsidRPr="00065A1D" w:rsidRDefault="00065A1D" w:rsidP="00065A1D">
      <w:r w:rsidRPr="00065A1D">
        <w:t>Under co</w:t>
      </w:r>
      <w:r w:rsidR="00E76CA0">
        <w:t>-</w:t>
      </w:r>
      <w:r w:rsidRPr="00065A1D">
        <w:t xml:space="preserve">payment prescriptions accounted for 52% of antibiotics supplied in 2013. </w:t>
      </w:r>
    </w:p>
    <w:p w14:paraId="6E88EE1A" w14:textId="77777777" w:rsidR="000C70E6" w:rsidRDefault="000C70E6">
      <w:pPr>
        <w:spacing w:before="0" w:after="200" w:line="276" w:lineRule="auto"/>
        <w:rPr>
          <w:rFonts w:eastAsiaTheme="majorEastAsia" w:cstheme="majorBidi"/>
          <w:b/>
          <w:bCs/>
          <w:i/>
        </w:rPr>
      </w:pPr>
      <w:r>
        <w:br w:type="page"/>
      </w:r>
    </w:p>
    <w:p w14:paraId="07295F2A" w14:textId="14B49370" w:rsidR="000C70E6" w:rsidRPr="00065A1D" w:rsidRDefault="000C70E6" w:rsidP="000C70E6">
      <w:pPr>
        <w:pStyle w:val="Heading5"/>
      </w:pPr>
      <w:r w:rsidRPr="00065A1D">
        <w:lastRenderedPageBreak/>
        <w:t>Utilisation by age</w:t>
      </w:r>
    </w:p>
    <w:p w14:paraId="59347CA3" w14:textId="3C59BF63" w:rsidR="000C70E6" w:rsidRPr="00065A1D" w:rsidRDefault="000C70E6" w:rsidP="000C70E6">
      <w:r w:rsidRPr="00065A1D">
        <w:t xml:space="preserve">The proportion of people in each age group who were supplied an antibiotic under the PBS/RPBS in 2013 is shown in Figure </w:t>
      </w:r>
      <w:r>
        <w:t>3</w:t>
      </w:r>
      <w:r w:rsidRPr="00065A1D">
        <w:t>.</w:t>
      </w:r>
    </w:p>
    <w:p w14:paraId="4D9E63C3" w14:textId="77777777" w:rsidR="000C70E6" w:rsidRPr="00065A1D" w:rsidRDefault="000C70E6" w:rsidP="000C70E6">
      <w:pPr>
        <w:rPr>
          <w:b/>
          <w:bCs/>
          <w:iCs/>
          <w:lang w:val="en-US"/>
        </w:rPr>
      </w:pPr>
      <w:r w:rsidRPr="00065A1D">
        <w:rPr>
          <w:b/>
          <w:bCs/>
          <w:iCs/>
          <w:noProof/>
        </w:rPr>
        <w:drawing>
          <wp:inline distT="0" distB="0" distL="0" distR="0" wp14:anchorId="072BA818" wp14:editId="30DC5A7D">
            <wp:extent cx="5583600" cy="4086000"/>
            <wp:effectExtent l="0" t="0" r="17145" b="10160"/>
            <wp:docPr id="8" name="Chart 8" title="Figure 9 shows the use of antibiotics in different age groups in 20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06614EB" w14:textId="78F00F9C" w:rsidR="000C70E6" w:rsidRPr="00CA078F" w:rsidRDefault="000C70E6" w:rsidP="000C70E6">
      <w:pPr>
        <w:rPr>
          <w:sz w:val="20"/>
          <w:szCs w:val="20"/>
          <w:lang w:eastAsia="en-US"/>
        </w:rPr>
      </w:pPr>
      <w:r w:rsidRPr="006874BA">
        <w:rPr>
          <w:rStyle w:val="FiguretitleChar"/>
        </w:rPr>
        <w:t xml:space="preserve">Figure </w:t>
      </w:r>
      <w:r>
        <w:rPr>
          <w:rStyle w:val="FiguretitleChar"/>
        </w:rPr>
        <w:t>3</w:t>
      </w:r>
      <w:r w:rsidRPr="006874BA">
        <w:rPr>
          <w:rStyle w:val="FiguretitleChar"/>
        </w:rPr>
        <w:t>: Use of antibiotics by age group in 2013.</w:t>
      </w:r>
      <w:r w:rsidRPr="00065A1D">
        <w:rPr>
          <w:b/>
          <w:bCs/>
          <w:iCs/>
          <w:lang w:val="en-US"/>
        </w:rPr>
        <w:t xml:space="preserve"> </w:t>
      </w:r>
      <w:r w:rsidRPr="00065A1D">
        <w:rPr>
          <w:b/>
          <w:bCs/>
          <w:iCs/>
          <w:lang w:val="en-US"/>
        </w:rPr>
        <w:br/>
      </w:r>
      <w:r w:rsidRPr="006874BA">
        <w:rPr>
          <w:rStyle w:val="FigurecaptionChar"/>
        </w:rPr>
        <w:t>Percentage of people in each age bracket who were supplied at least one PBS/RPBS antibiotic in 2013.</w:t>
      </w:r>
      <w:r>
        <w:rPr>
          <w:rStyle w:val="FigurecaptionChar"/>
        </w:rPr>
        <w:t xml:space="preserve"> </w:t>
      </w:r>
      <w:r w:rsidRPr="006874BA">
        <w:rPr>
          <w:rStyle w:val="FigurecaptionChar"/>
        </w:rPr>
        <w:t>Age standardised based on the estimated resident population by age at 30 June 2013.</w:t>
      </w:r>
      <w:r>
        <w:rPr>
          <w:rStyle w:val="FigurecaptionChar"/>
        </w:rPr>
        <w:br/>
      </w:r>
      <w:r w:rsidRPr="006874BA">
        <w:rPr>
          <w:rStyle w:val="FigurecaptionChar"/>
        </w:rPr>
        <w:t>Source: DHS Supplied prescriptions database, August 2014.</w:t>
      </w:r>
    </w:p>
    <w:p w14:paraId="773D567B" w14:textId="77777777" w:rsidR="000C70E6" w:rsidRPr="00D12EE6" w:rsidRDefault="000C70E6" w:rsidP="000C70E6">
      <w:pPr>
        <w:pStyle w:val="Figurecaption"/>
        <w:rPr>
          <w:sz w:val="24"/>
          <w:szCs w:val="24"/>
          <w:lang w:eastAsia="en-AU"/>
        </w:rPr>
      </w:pPr>
      <w:r w:rsidRPr="00D12EE6">
        <w:rPr>
          <w:sz w:val="24"/>
          <w:szCs w:val="24"/>
          <w:lang w:eastAsia="en-AU"/>
        </w:rPr>
        <w:t>The use of antibiotics was more common in the youngest and oldest age groups. 58% of persons aged 0-4 years and 59% of persons aged 65 years and over were supplied at least one antibiotic in 2013; compared with an overall population figure of 45%. In 2013, 70% of people aged 85 years and over were supplied at least one antibiotic.</w:t>
      </w:r>
    </w:p>
    <w:p w14:paraId="57CFDAD1" w14:textId="77777777" w:rsidR="00A438FC" w:rsidRDefault="00A438FC">
      <w:pPr>
        <w:spacing w:before="0" w:after="200" w:line="276" w:lineRule="auto"/>
        <w:rPr>
          <w:b/>
          <w:bCs/>
          <w:i/>
          <w:iCs/>
        </w:rPr>
      </w:pPr>
      <w:r>
        <w:rPr>
          <w:b/>
          <w:bCs/>
          <w:i/>
          <w:iCs/>
        </w:rPr>
        <w:br w:type="page"/>
      </w:r>
    </w:p>
    <w:p w14:paraId="51840D90" w14:textId="654D0BF0" w:rsidR="00065A1D" w:rsidRPr="00065A1D" w:rsidRDefault="00D13D33" w:rsidP="00065A1D">
      <w:pPr>
        <w:rPr>
          <w:b/>
          <w:bCs/>
          <w:i/>
          <w:iCs/>
        </w:rPr>
      </w:pPr>
      <w:r>
        <w:rPr>
          <w:b/>
          <w:bCs/>
          <w:i/>
          <w:iCs/>
        </w:rPr>
        <w:lastRenderedPageBreak/>
        <w:t>U</w:t>
      </w:r>
      <w:r w:rsidR="00065A1D" w:rsidRPr="00065A1D">
        <w:rPr>
          <w:b/>
          <w:bCs/>
          <w:i/>
          <w:iCs/>
        </w:rPr>
        <w:t>tilisation by antibiotic class</w:t>
      </w:r>
    </w:p>
    <w:p w14:paraId="52091E3C" w14:textId="77777777" w:rsidR="00065A1D" w:rsidRPr="00065A1D" w:rsidRDefault="00065A1D" w:rsidP="00065A1D">
      <w:r w:rsidRPr="00065A1D">
        <w:t>Figure 4 shows the number of systemic antibiotic prescriptions per year by ATC level 3.</w:t>
      </w:r>
    </w:p>
    <w:p w14:paraId="42D9C43B" w14:textId="77777777" w:rsidR="00065A1D" w:rsidRPr="00065A1D" w:rsidRDefault="00065A1D" w:rsidP="00065A1D">
      <w:r w:rsidRPr="00065A1D">
        <w:rPr>
          <w:noProof/>
        </w:rPr>
        <w:drawing>
          <wp:inline distT="0" distB="0" distL="0" distR="0" wp14:anchorId="75030D87" wp14:editId="131C779F">
            <wp:extent cx="5581815" cy="4826442"/>
            <wp:effectExtent l="0" t="0" r="19050" b="12700"/>
            <wp:docPr id="3" name="Chart 3" title="Figure 4 shows the number of systemic antibiotic prescriptions per year by ATC level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79D2F3C" w14:textId="42C8E600" w:rsidR="00065A1D" w:rsidRPr="00065A1D" w:rsidRDefault="00065A1D" w:rsidP="006874BA">
      <w:pPr>
        <w:pStyle w:val="Figurecaption"/>
      </w:pPr>
      <w:r w:rsidRPr="006874BA">
        <w:rPr>
          <w:rStyle w:val="FiguretitleChar"/>
        </w:rPr>
        <w:t>Figure 4: Contribution to prescriptions per year by ATC 3 for systemic antibiotics (J01).</w:t>
      </w:r>
      <w:r w:rsidRPr="00065A1D">
        <w:rPr>
          <w:b/>
          <w:lang w:val="en-US"/>
        </w:rPr>
        <w:t xml:space="preserve"> </w:t>
      </w:r>
      <w:r w:rsidRPr="00065A1D">
        <w:rPr>
          <w:lang w:val="en-US"/>
        </w:rPr>
        <w:t xml:space="preserve">‘Other antibiotics’ includes </w:t>
      </w:r>
      <w:proofErr w:type="spellStart"/>
      <w:r w:rsidRPr="00065A1D">
        <w:rPr>
          <w:lang w:val="en-US"/>
        </w:rPr>
        <w:t>amphenicols</w:t>
      </w:r>
      <w:proofErr w:type="spellEnd"/>
      <w:r w:rsidRPr="00065A1D">
        <w:rPr>
          <w:lang w:val="en-US"/>
        </w:rPr>
        <w:t xml:space="preserve"> (J01B), aminoglycoside </w:t>
      </w:r>
      <w:proofErr w:type="spellStart"/>
      <w:r w:rsidRPr="00065A1D">
        <w:rPr>
          <w:lang w:val="en-US"/>
        </w:rPr>
        <w:t>antibacterials</w:t>
      </w:r>
      <w:proofErr w:type="spellEnd"/>
      <w:r w:rsidRPr="00065A1D">
        <w:rPr>
          <w:lang w:val="en-US"/>
        </w:rPr>
        <w:t xml:space="preserve"> (J01G) and other </w:t>
      </w:r>
      <w:proofErr w:type="spellStart"/>
      <w:r w:rsidRPr="00065A1D">
        <w:rPr>
          <w:lang w:val="en-US"/>
        </w:rPr>
        <w:t>antibacterials</w:t>
      </w:r>
      <w:proofErr w:type="spellEnd"/>
      <w:r w:rsidRPr="00065A1D">
        <w:rPr>
          <w:lang w:val="en-US"/>
        </w:rPr>
        <w:t xml:space="preserve"> (J01X). Private estimate included; under co</w:t>
      </w:r>
      <w:r w:rsidR="00E76CA0">
        <w:rPr>
          <w:lang w:val="en-US"/>
        </w:rPr>
        <w:t>-</w:t>
      </w:r>
      <w:r w:rsidRPr="00065A1D">
        <w:rPr>
          <w:lang w:val="en-US"/>
        </w:rPr>
        <w:t>payment estimate and actual included.</w:t>
      </w:r>
      <w:r w:rsidR="006874BA">
        <w:rPr>
          <w:lang w:val="en-US"/>
        </w:rPr>
        <w:br/>
      </w:r>
      <w:r w:rsidRPr="00065A1D">
        <w:t>Source: DUSC database, August 2014.</w:t>
      </w:r>
    </w:p>
    <w:p w14:paraId="5429D9A0" w14:textId="77777777" w:rsidR="00065A1D" w:rsidRPr="00065A1D" w:rsidRDefault="00065A1D" w:rsidP="00065A1D">
      <w:r w:rsidRPr="00065A1D">
        <w:t xml:space="preserve">In 2013, there were 11,756,220 prescriptions supplied for penicillins; and 6,341,961 prescriptions for </w:t>
      </w:r>
      <w:proofErr w:type="spellStart"/>
      <w:r w:rsidRPr="00065A1D">
        <w:t>cephalosporins</w:t>
      </w:r>
      <w:proofErr w:type="spellEnd"/>
      <w:r w:rsidRPr="00065A1D">
        <w:t xml:space="preserve"> (Figure 4).</w:t>
      </w:r>
    </w:p>
    <w:p w14:paraId="648EBE3E" w14:textId="7E8CE066" w:rsidR="00065A1D" w:rsidRPr="00065A1D" w:rsidRDefault="00065A1D" w:rsidP="00065A1D">
      <w:r w:rsidRPr="00065A1D">
        <w:t>Penicillins have been the largest contributor in each year over the period from 1994 (46%) to 2013 (44%). The relative contribution of each antibiotic group has not changed markedly over the study period.</w:t>
      </w:r>
      <w:r w:rsidR="00751FE9">
        <w:t xml:space="preserve"> </w:t>
      </w:r>
    </w:p>
    <w:p w14:paraId="3B968E25" w14:textId="32773C29" w:rsidR="00065A1D" w:rsidRPr="00065A1D" w:rsidRDefault="00065A1D" w:rsidP="006874BA">
      <w:r w:rsidRPr="00065A1D">
        <w:t xml:space="preserve">Figure </w:t>
      </w:r>
      <w:r w:rsidR="00D12EE6">
        <w:t>5</w:t>
      </w:r>
      <w:r w:rsidR="00D12EE6" w:rsidRPr="00065A1D">
        <w:t xml:space="preserve"> </w:t>
      </w:r>
      <w:r w:rsidRPr="00065A1D">
        <w:t>depict</w:t>
      </w:r>
      <w:r w:rsidR="00B50A48">
        <w:t>s</w:t>
      </w:r>
      <w:r w:rsidRPr="00065A1D">
        <w:t xml:space="preserve"> use of ophthalmological and otological antibiotics by prescriptions per year from 1994 to 2013. </w:t>
      </w:r>
    </w:p>
    <w:p w14:paraId="19D7FF1B" w14:textId="77777777" w:rsidR="00065A1D" w:rsidRPr="00065A1D" w:rsidRDefault="00065A1D" w:rsidP="00065A1D">
      <w:r w:rsidRPr="00065A1D">
        <w:rPr>
          <w:noProof/>
        </w:rPr>
        <w:lastRenderedPageBreak/>
        <w:drawing>
          <wp:inline distT="0" distB="0" distL="0" distR="0" wp14:anchorId="4C0D80B1" wp14:editId="15C4790C">
            <wp:extent cx="5581815" cy="5589767"/>
            <wp:effectExtent l="0" t="0" r="19050" b="11430"/>
            <wp:docPr id="5" name="Chart 5" title="Figure 6 depicts the contribution to prescriptions per year by ATC level for opthalmological and otological antibiotics."/>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FAC18D4" w14:textId="2DAD5FF8" w:rsidR="00065A1D" w:rsidRPr="00065A1D" w:rsidRDefault="00065A1D" w:rsidP="00065A1D">
      <w:r w:rsidRPr="006874BA">
        <w:rPr>
          <w:rStyle w:val="FiguretitleChar"/>
        </w:rPr>
        <w:t xml:space="preserve">Figure </w:t>
      </w:r>
      <w:r w:rsidR="00D12EE6">
        <w:rPr>
          <w:rStyle w:val="FiguretitleChar"/>
        </w:rPr>
        <w:t>5</w:t>
      </w:r>
      <w:r w:rsidRPr="006874BA">
        <w:rPr>
          <w:rStyle w:val="FiguretitleChar"/>
        </w:rPr>
        <w:t xml:space="preserve">: Contribution to prescriptions per year by ATC for ophthalmological and otological antibiotics (S01AA, S01AE, S02AA, S02CA, </w:t>
      </w:r>
      <w:proofErr w:type="gramStart"/>
      <w:r w:rsidRPr="006874BA">
        <w:rPr>
          <w:rStyle w:val="FiguretitleChar"/>
        </w:rPr>
        <w:t>S03AA</w:t>
      </w:r>
      <w:proofErr w:type="gramEnd"/>
      <w:r w:rsidRPr="006874BA">
        <w:rPr>
          <w:rStyle w:val="FiguretitleChar"/>
        </w:rPr>
        <w:t>).</w:t>
      </w:r>
      <w:r w:rsidRPr="00065A1D">
        <w:rPr>
          <w:b/>
          <w:bCs/>
          <w:iCs/>
          <w:lang w:val="en-US"/>
        </w:rPr>
        <w:br/>
      </w:r>
      <w:r w:rsidRPr="006874BA">
        <w:rPr>
          <w:rStyle w:val="FigurecaptionChar"/>
        </w:rPr>
        <w:t xml:space="preserve">Private estimate included; under </w:t>
      </w:r>
      <w:r w:rsidR="004A56F9" w:rsidRPr="006874BA">
        <w:rPr>
          <w:rStyle w:val="FigurecaptionChar"/>
        </w:rPr>
        <w:t>co-payment</w:t>
      </w:r>
      <w:r w:rsidRPr="006874BA">
        <w:rPr>
          <w:rStyle w:val="FigurecaptionChar"/>
        </w:rPr>
        <w:t xml:space="preserve"> estimate and actual included. </w:t>
      </w:r>
      <w:r w:rsidR="006874BA" w:rsidRPr="006874BA">
        <w:rPr>
          <w:rStyle w:val="FigurecaptionChar"/>
        </w:rPr>
        <w:br/>
      </w:r>
      <w:r w:rsidRPr="006874BA">
        <w:rPr>
          <w:rStyle w:val="FigurecaptionChar"/>
        </w:rPr>
        <w:t>Source: DUSC database, August 2014.</w:t>
      </w:r>
    </w:p>
    <w:p w14:paraId="0DE5C40C" w14:textId="5B875485" w:rsidR="00065A1D" w:rsidRPr="00065A1D" w:rsidRDefault="00065A1D" w:rsidP="006874BA">
      <w:r w:rsidRPr="00065A1D">
        <w:t>Chloramphenicol eye drops dominate supply in each year of the study period; although combination corticosteroid and anti-infective ear drops also contribute a large proportion. Chloramphenicol eye drops and eye ointment are also available without a prescription as pharmacist only supply (since May 2010</w:t>
      </w:r>
      <w:r w:rsidRPr="00065A1D">
        <w:rPr>
          <w:vertAlign w:val="superscript"/>
        </w:rPr>
        <w:footnoteReference w:id="9"/>
      </w:r>
      <w:r w:rsidRPr="00065A1D">
        <w:t>); this use is not included in the analysis.</w:t>
      </w:r>
    </w:p>
    <w:p w14:paraId="600F2BC3" w14:textId="77777777" w:rsidR="00065A1D" w:rsidRPr="00065A1D" w:rsidRDefault="00065A1D" w:rsidP="00635714">
      <w:pPr>
        <w:pStyle w:val="Heading5"/>
      </w:pPr>
      <w:r w:rsidRPr="00065A1D">
        <w:lastRenderedPageBreak/>
        <w:t xml:space="preserve">Narrow versus broad spectrum </w:t>
      </w:r>
    </w:p>
    <w:p w14:paraId="410EC5FC" w14:textId="466C20BF" w:rsidR="00065A1D" w:rsidRPr="00065A1D" w:rsidRDefault="00065A1D" w:rsidP="006874BA">
      <w:r w:rsidRPr="00065A1D">
        <w:t xml:space="preserve">Figure </w:t>
      </w:r>
      <w:r w:rsidR="00D12EE6">
        <w:t>6</w:t>
      </w:r>
      <w:r w:rsidR="00D12EE6" w:rsidRPr="00065A1D">
        <w:t xml:space="preserve"> </w:t>
      </w:r>
      <w:r w:rsidRPr="00065A1D">
        <w:t xml:space="preserve">shows the number of prescriptions supplied in 2013 for penicillins (J01C) and </w:t>
      </w:r>
      <w:proofErr w:type="spellStart"/>
      <w:r w:rsidRPr="00065A1D">
        <w:t>cephalosporins</w:t>
      </w:r>
      <w:proofErr w:type="spellEnd"/>
      <w:r w:rsidRPr="00065A1D">
        <w:t xml:space="preserve"> (J01D) by spectrum of activity. The classification of antibiotics by spectrum of activity varies between sources. For appropriate application to the Australian context, the classification for</w:t>
      </w:r>
      <w:r w:rsidR="0076216D">
        <w:t xml:space="preserve"> Figure 6</w:t>
      </w:r>
      <w:r w:rsidRPr="00065A1D">
        <w:t xml:space="preserve"> was referenced from the Therapeutic Guidelines.</w:t>
      </w:r>
      <w:r w:rsidRPr="00065A1D">
        <w:rPr>
          <w:vertAlign w:val="superscript"/>
        </w:rPr>
        <w:footnoteReference w:id="10"/>
      </w:r>
      <w:r w:rsidRPr="00065A1D">
        <w:t xml:space="preserve"> </w:t>
      </w:r>
    </w:p>
    <w:p w14:paraId="6ECE2ED5" w14:textId="3D35A7EC" w:rsidR="00065A1D" w:rsidRPr="00065A1D" w:rsidRDefault="00065A1D" w:rsidP="00065A1D">
      <w:pPr>
        <w:rPr>
          <w:b/>
          <w:bCs/>
          <w:iCs/>
          <w:lang w:val="en-US"/>
        </w:rPr>
      </w:pPr>
      <w:r w:rsidRPr="00065A1D">
        <w:rPr>
          <w:noProof/>
        </w:rPr>
        <w:drawing>
          <wp:inline distT="0" distB="0" distL="0" distR="0" wp14:anchorId="7B4B60C6" wp14:editId="4E77CFD7">
            <wp:extent cx="5583600" cy="4086000"/>
            <wp:effectExtent l="0" t="0" r="17145" b="10160"/>
            <wp:docPr id="14" name="Chart 14" title="Figure 8 shows the number of prescrptions of penicillin and cephalosporin supplied in 2013 classified by spectrum of activity."/>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6E79CDC" w14:textId="4A62B8FD" w:rsidR="00065A1D" w:rsidRPr="00065A1D" w:rsidRDefault="00065A1D" w:rsidP="00065A1D">
      <w:r w:rsidRPr="006874BA">
        <w:rPr>
          <w:rStyle w:val="FiguretitleChar"/>
        </w:rPr>
        <w:t xml:space="preserve">Figure </w:t>
      </w:r>
      <w:r w:rsidR="00D12EE6">
        <w:rPr>
          <w:rStyle w:val="FiguretitleChar"/>
        </w:rPr>
        <w:t>6</w:t>
      </w:r>
      <w:r w:rsidRPr="006874BA">
        <w:rPr>
          <w:rStyle w:val="FiguretitleChar"/>
        </w:rPr>
        <w:t>: Penicillin and cephalosporin prescriptions supplied in 2013 classified by spectrum of activity.</w:t>
      </w:r>
      <w:r w:rsidRPr="00065A1D">
        <w:rPr>
          <w:b/>
          <w:bCs/>
          <w:iCs/>
          <w:lang w:val="en-US"/>
        </w:rPr>
        <w:br/>
      </w:r>
      <w:proofErr w:type="gramStart"/>
      <w:r w:rsidRPr="006874BA">
        <w:rPr>
          <w:rStyle w:val="FigurecaptionChar"/>
        </w:rPr>
        <w:t xml:space="preserve">Includes actual under </w:t>
      </w:r>
      <w:r w:rsidR="004A56F9" w:rsidRPr="006874BA">
        <w:rPr>
          <w:rStyle w:val="FigurecaptionChar"/>
        </w:rPr>
        <w:t>co-payment</w:t>
      </w:r>
      <w:r w:rsidRPr="006874BA">
        <w:rPr>
          <w:rStyle w:val="FigurecaptionChar"/>
        </w:rPr>
        <w:t xml:space="preserve"> prescriptions.</w:t>
      </w:r>
      <w:proofErr w:type="gramEnd"/>
      <w:r w:rsidRPr="006874BA">
        <w:rPr>
          <w:rStyle w:val="FigurecaptionChar"/>
        </w:rPr>
        <w:t xml:space="preserve"> </w:t>
      </w:r>
      <w:proofErr w:type="gramStart"/>
      <w:r w:rsidRPr="006874BA">
        <w:rPr>
          <w:rStyle w:val="FigurecaptionChar"/>
        </w:rPr>
        <w:t>Private prescription estimate not available for 2013.</w:t>
      </w:r>
      <w:proofErr w:type="gramEnd"/>
      <w:r w:rsidRPr="006874BA">
        <w:rPr>
          <w:rStyle w:val="FigurecaptionChar"/>
        </w:rPr>
        <w:t xml:space="preserve"> Source: DUSC database, August 2014.</w:t>
      </w:r>
    </w:p>
    <w:p w14:paraId="2E798AF3" w14:textId="485FACFC" w:rsidR="00065A1D" w:rsidRPr="00065A1D" w:rsidRDefault="00065A1D" w:rsidP="00065A1D">
      <w:r w:rsidRPr="00065A1D">
        <w:t xml:space="preserve">Of penicillin and cephalosporin prescriptions supplied in 2013, narrow spectrum antibiotics accounted for 9% of use, moderate spectrum accounted for 66% of use, and broad spectrum for 25% of use (Figure </w:t>
      </w:r>
      <w:r w:rsidR="00D12EE6">
        <w:t>6</w:t>
      </w:r>
      <w:r w:rsidRPr="00065A1D">
        <w:t>).</w:t>
      </w:r>
    </w:p>
    <w:p w14:paraId="5D5E9E39" w14:textId="5DC27113" w:rsidR="00065A1D" w:rsidRPr="00065A1D" w:rsidRDefault="00065A1D" w:rsidP="006874BA">
      <w:r w:rsidRPr="00065A1D">
        <w:t xml:space="preserve"> </w:t>
      </w:r>
    </w:p>
    <w:p w14:paraId="11E8E4C6" w14:textId="77777777" w:rsidR="00065A1D" w:rsidRPr="00065A1D" w:rsidRDefault="00065A1D" w:rsidP="0052233C">
      <w:pPr>
        <w:pStyle w:val="Heading5"/>
      </w:pPr>
      <w:r w:rsidRPr="00065A1D">
        <w:lastRenderedPageBreak/>
        <w:t xml:space="preserve">Analysis of prior amoxycillin use in patients supplied </w:t>
      </w:r>
      <w:r w:rsidRPr="0052233C">
        <w:t>amoxycillin</w:t>
      </w:r>
      <w:r w:rsidRPr="00065A1D">
        <w:t xml:space="preserve"> + </w:t>
      </w:r>
      <w:proofErr w:type="spellStart"/>
      <w:r w:rsidRPr="00065A1D">
        <w:t>clavulanic</w:t>
      </w:r>
      <w:proofErr w:type="spellEnd"/>
      <w:r w:rsidRPr="00065A1D">
        <w:t xml:space="preserve"> acid</w:t>
      </w:r>
    </w:p>
    <w:p w14:paraId="2E9D4145" w14:textId="13709A10" w:rsidR="00065A1D" w:rsidRPr="00065A1D" w:rsidRDefault="00065A1D" w:rsidP="006874BA">
      <w:r w:rsidRPr="00065A1D">
        <w:t xml:space="preserve">Of patients supplied amoxycillin with </w:t>
      </w:r>
      <w:proofErr w:type="spellStart"/>
      <w:r w:rsidRPr="00065A1D">
        <w:t>clavu</w:t>
      </w:r>
      <w:r w:rsidR="000E29E2">
        <w:t>lanic</w:t>
      </w:r>
      <w:proofErr w:type="spellEnd"/>
      <w:r w:rsidR="000E29E2">
        <w:t xml:space="preserve"> acid in 2013, 6% had amoxy</w:t>
      </w:r>
      <w:r w:rsidRPr="00065A1D">
        <w:t>cillin supplied in the preceding month. The restriction for</w:t>
      </w:r>
      <w:r w:rsidR="00CA078F">
        <w:t xml:space="preserve"> amoxycillin with</w:t>
      </w:r>
      <w:r w:rsidRPr="00065A1D">
        <w:t xml:space="preserve"> </w:t>
      </w:r>
      <w:proofErr w:type="spellStart"/>
      <w:r w:rsidRPr="00065A1D">
        <w:t>clavulanic</w:t>
      </w:r>
      <w:proofErr w:type="spellEnd"/>
      <w:r w:rsidRPr="00065A1D">
        <w:t xml:space="preserve"> acid r</w:t>
      </w:r>
      <w:r w:rsidR="00AF5FCF">
        <w:t>equires that resistance to amoxy</w:t>
      </w:r>
      <w:r w:rsidRPr="00065A1D">
        <w:t>cillin is suspected or proven. The patient having completed a course of amox</w:t>
      </w:r>
      <w:r w:rsidR="00AF5FCF">
        <w:t>y</w:t>
      </w:r>
      <w:r w:rsidRPr="00065A1D">
        <w:t>cillin is one way of determinin</w:t>
      </w:r>
      <w:r w:rsidR="00AF5FCF">
        <w:t>g whether the infection is amoxy</w:t>
      </w:r>
      <w:r w:rsidRPr="00065A1D">
        <w:t xml:space="preserve">cillin-resistant; however resistance may be suspected or proven by other means. </w:t>
      </w:r>
    </w:p>
    <w:p w14:paraId="61DDB687" w14:textId="60098A5C" w:rsidR="00065A1D" w:rsidRPr="00635714" w:rsidRDefault="00065A1D" w:rsidP="00635714">
      <w:pPr>
        <w:pStyle w:val="Heading5"/>
      </w:pPr>
      <w:r w:rsidRPr="00065A1D">
        <w:t>Time to supply analysi</w:t>
      </w:r>
      <w:r w:rsidRPr="00635714">
        <w:t>s</w:t>
      </w:r>
    </w:p>
    <w:p w14:paraId="530AD485" w14:textId="3E61942D" w:rsidR="00065A1D" w:rsidRPr="00065A1D" w:rsidRDefault="00065A1D" w:rsidP="007944F1">
      <w:r w:rsidRPr="00065A1D">
        <w:t>Prescriptions for most medicines, including antibiotics, are valid for one year from the date of prescribing. The PBS prescription claim data does not provide information on the proportion of prescriptions written that are never dispensed. For those that are supplied the time between prescribin</w:t>
      </w:r>
      <w:r w:rsidR="00971325">
        <w:t>g and supply can be determined.</w:t>
      </w:r>
    </w:p>
    <w:p w14:paraId="6187CD47" w14:textId="5D569420" w:rsidR="00065A1D" w:rsidRDefault="00B50A48" w:rsidP="007944F1">
      <w:r>
        <w:t>I</w:t>
      </w:r>
      <w:r w:rsidR="00065A1D" w:rsidRPr="00065A1D">
        <w:t xml:space="preserve">n the majority of cases, prescriptions for antibiotics are supplied within one day of when they are written. For amoxycillin 500mg capsules for example, 81% of original prescriptions were dispensed on the day the prescription was written, and 92% </w:t>
      </w:r>
      <w:r w:rsidR="00426DD8">
        <w:t>were</w:t>
      </w:r>
      <w:r w:rsidR="00065A1D" w:rsidRPr="00065A1D">
        <w:t xml:space="preserve"> supplied by the third day after prescribing (Table 4). However, the distribution</w:t>
      </w:r>
      <w:r>
        <w:t xml:space="preserve"> (not shown)</w:t>
      </w:r>
      <w:r w:rsidR="00065A1D" w:rsidRPr="00065A1D">
        <w:t xml:space="preserve"> has a long tail, which shows that some original prescriptions were supplied many weeks or months after the date of prescribing. For example, 2% (n=46,285) of original prescriptions supplied for amoxycillin 500mg capsules were supplied more than 60 days after</w:t>
      </w:r>
      <w:r w:rsidR="00971325">
        <w:t xml:space="preserve"> the prescription was written.</w:t>
      </w:r>
    </w:p>
    <w:p w14:paraId="73031681" w14:textId="28015A9D" w:rsidR="00D12EE6" w:rsidRPr="00065A1D" w:rsidRDefault="00D12EE6" w:rsidP="00D12EE6">
      <w:pPr>
        <w:pStyle w:val="Tabletitle"/>
      </w:pPr>
      <w:r w:rsidRPr="00065A1D">
        <w:t>Table 4: Time</w:t>
      </w:r>
      <w:r w:rsidR="00A31FFF">
        <w:t xml:space="preserve"> from date of prescribing</w:t>
      </w:r>
      <w:r w:rsidRPr="00065A1D">
        <w:t xml:space="preserve"> to </w:t>
      </w:r>
      <w:r w:rsidR="00A31FFF">
        <w:t xml:space="preserve">original </w:t>
      </w:r>
      <w:r w:rsidRPr="00065A1D">
        <w:t xml:space="preserve">supply </w:t>
      </w:r>
      <w:r w:rsidR="00A31FFF">
        <w:t>for commonly used antibiotics</w:t>
      </w:r>
    </w:p>
    <w:tbl>
      <w:tblPr>
        <w:tblW w:w="86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5"/>
        <w:gridCol w:w="2520"/>
        <w:gridCol w:w="1260"/>
        <w:gridCol w:w="1440"/>
        <w:gridCol w:w="1800"/>
      </w:tblGrid>
      <w:tr w:rsidR="00464352" w:rsidRPr="007944F1" w14:paraId="5AF46625" w14:textId="77777777" w:rsidTr="00464352">
        <w:trPr>
          <w:trHeight w:val="318"/>
        </w:trPr>
        <w:tc>
          <w:tcPr>
            <w:tcW w:w="1635" w:type="dxa"/>
            <w:shd w:val="clear" w:color="auto" w:fill="BFBFBF" w:themeFill="background1" w:themeFillShade="BF"/>
            <w:noWrap/>
            <w:vAlign w:val="center"/>
          </w:tcPr>
          <w:p w14:paraId="1F5D0859" w14:textId="77777777" w:rsidR="00464352" w:rsidRPr="007944F1" w:rsidRDefault="00464352" w:rsidP="00426DD8">
            <w:pPr>
              <w:pStyle w:val="Tableheading"/>
              <w:spacing w:before="0" w:after="0"/>
              <w:rPr>
                <w:sz w:val="20"/>
                <w:szCs w:val="20"/>
              </w:rPr>
            </w:pPr>
            <w:r w:rsidRPr="007944F1">
              <w:rPr>
                <w:sz w:val="20"/>
                <w:szCs w:val="20"/>
              </w:rPr>
              <w:t>Drug</w:t>
            </w:r>
          </w:p>
        </w:tc>
        <w:tc>
          <w:tcPr>
            <w:tcW w:w="2520" w:type="dxa"/>
            <w:shd w:val="clear" w:color="auto" w:fill="BFBFBF" w:themeFill="background1" w:themeFillShade="BF"/>
            <w:noWrap/>
            <w:vAlign w:val="center"/>
          </w:tcPr>
          <w:p w14:paraId="4F160CA2" w14:textId="77777777" w:rsidR="00464352" w:rsidRPr="007944F1" w:rsidRDefault="00464352" w:rsidP="00426DD8">
            <w:pPr>
              <w:pStyle w:val="Tableheading"/>
              <w:spacing w:before="0" w:after="0"/>
              <w:rPr>
                <w:sz w:val="20"/>
                <w:szCs w:val="20"/>
              </w:rPr>
            </w:pPr>
            <w:r w:rsidRPr="007944F1">
              <w:rPr>
                <w:sz w:val="20"/>
                <w:szCs w:val="20"/>
              </w:rPr>
              <w:t>Form and Strength</w:t>
            </w:r>
          </w:p>
        </w:tc>
        <w:tc>
          <w:tcPr>
            <w:tcW w:w="1260" w:type="dxa"/>
            <w:shd w:val="clear" w:color="auto" w:fill="BFBFBF" w:themeFill="background1" w:themeFillShade="BF"/>
            <w:noWrap/>
            <w:vAlign w:val="center"/>
          </w:tcPr>
          <w:p w14:paraId="1BEF7593" w14:textId="77777777" w:rsidR="00464352" w:rsidRPr="007944F1" w:rsidRDefault="00464352" w:rsidP="00426DD8">
            <w:pPr>
              <w:pStyle w:val="Tableheading"/>
              <w:rPr>
                <w:sz w:val="20"/>
                <w:szCs w:val="20"/>
              </w:rPr>
            </w:pPr>
            <w:r w:rsidRPr="007944F1">
              <w:rPr>
                <w:sz w:val="20"/>
                <w:szCs w:val="20"/>
              </w:rPr>
              <w:t>Item number</w:t>
            </w:r>
          </w:p>
        </w:tc>
        <w:tc>
          <w:tcPr>
            <w:tcW w:w="1440" w:type="dxa"/>
            <w:shd w:val="clear" w:color="auto" w:fill="BFBFBF" w:themeFill="background1" w:themeFillShade="BF"/>
            <w:vAlign w:val="center"/>
          </w:tcPr>
          <w:p w14:paraId="24D9D53C" w14:textId="77777777" w:rsidR="00464352" w:rsidRPr="007944F1" w:rsidRDefault="00464352" w:rsidP="00426DD8">
            <w:pPr>
              <w:pStyle w:val="Tableheading"/>
              <w:rPr>
                <w:sz w:val="20"/>
                <w:szCs w:val="20"/>
              </w:rPr>
            </w:pPr>
            <w:r w:rsidRPr="007944F1">
              <w:rPr>
                <w:sz w:val="20"/>
                <w:szCs w:val="20"/>
              </w:rPr>
              <w:t>% originals supplied on day of prescribing</w:t>
            </w:r>
          </w:p>
        </w:tc>
        <w:tc>
          <w:tcPr>
            <w:tcW w:w="1800" w:type="dxa"/>
            <w:shd w:val="clear" w:color="auto" w:fill="BFBFBF" w:themeFill="background1" w:themeFillShade="BF"/>
            <w:vAlign w:val="center"/>
          </w:tcPr>
          <w:p w14:paraId="53D62FCB" w14:textId="77777777" w:rsidR="00464352" w:rsidRPr="007944F1" w:rsidRDefault="00464352" w:rsidP="00426DD8">
            <w:pPr>
              <w:pStyle w:val="Tableheading"/>
              <w:rPr>
                <w:sz w:val="20"/>
                <w:szCs w:val="20"/>
              </w:rPr>
            </w:pPr>
            <w:r w:rsidRPr="007944F1">
              <w:rPr>
                <w:sz w:val="20"/>
                <w:szCs w:val="20"/>
              </w:rPr>
              <w:t>% originals supplied &lt;4days after date of prescribing</w:t>
            </w:r>
          </w:p>
        </w:tc>
      </w:tr>
      <w:tr w:rsidR="00464352" w:rsidRPr="00065A1D" w14:paraId="1A66FECB" w14:textId="77777777" w:rsidTr="00464352">
        <w:trPr>
          <w:trHeight w:val="310"/>
        </w:trPr>
        <w:tc>
          <w:tcPr>
            <w:tcW w:w="1635" w:type="dxa"/>
            <w:shd w:val="clear" w:color="auto" w:fill="auto"/>
            <w:noWrap/>
            <w:vAlign w:val="center"/>
          </w:tcPr>
          <w:p w14:paraId="6CFF8CC1" w14:textId="77777777" w:rsidR="00464352" w:rsidRPr="00065A1D" w:rsidRDefault="00464352" w:rsidP="00426DD8">
            <w:pPr>
              <w:pStyle w:val="Tablewriting"/>
              <w:spacing w:before="0" w:after="0"/>
            </w:pPr>
            <w:r w:rsidRPr="00065A1D">
              <w:t>Amoxycillin</w:t>
            </w:r>
          </w:p>
        </w:tc>
        <w:tc>
          <w:tcPr>
            <w:tcW w:w="2520" w:type="dxa"/>
            <w:shd w:val="clear" w:color="auto" w:fill="auto"/>
            <w:noWrap/>
            <w:vAlign w:val="center"/>
          </w:tcPr>
          <w:p w14:paraId="22C7B6DC" w14:textId="77777777" w:rsidR="00464352" w:rsidRPr="00065A1D" w:rsidRDefault="00464352" w:rsidP="00426DD8">
            <w:pPr>
              <w:pStyle w:val="Tablewriting"/>
              <w:spacing w:before="0" w:after="0"/>
            </w:pPr>
            <w:r w:rsidRPr="00065A1D">
              <w:t>Capsule 500 mg</w:t>
            </w:r>
          </w:p>
        </w:tc>
        <w:tc>
          <w:tcPr>
            <w:tcW w:w="1260" w:type="dxa"/>
            <w:shd w:val="clear" w:color="auto" w:fill="auto"/>
            <w:noWrap/>
            <w:vAlign w:val="center"/>
          </w:tcPr>
          <w:p w14:paraId="62BEDB3B" w14:textId="77777777" w:rsidR="00464352" w:rsidRPr="00065A1D" w:rsidRDefault="00464352" w:rsidP="00426DD8">
            <w:pPr>
              <w:pStyle w:val="Tablewriting"/>
            </w:pPr>
            <w:r w:rsidRPr="00065A1D">
              <w:t>01889K</w:t>
            </w:r>
          </w:p>
        </w:tc>
        <w:tc>
          <w:tcPr>
            <w:tcW w:w="1440" w:type="dxa"/>
            <w:vAlign w:val="center"/>
          </w:tcPr>
          <w:p w14:paraId="7EE16DEF" w14:textId="77777777" w:rsidR="00464352" w:rsidRPr="00065A1D" w:rsidRDefault="00464352" w:rsidP="00426DD8">
            <w:pPr>
              <w:pStyle w:val="Tablewriting"/>
            </w:pPr>
            <w:r w:rsidRPr="00065A1D">
              <w:t>81%</w:t>
            </w:r>
          </w:p>
        </w:tc>
        <w:tc>
          <w:tcPr>
            <w:tcW w:w="1800" w:type="dxa"/>
            <w:vAlign w:val="center"/>
          </w:tcPr>
          <w:p w14:paraId="29436ADA" w14:textId="77777777" w:rsidR="00464352" w:rsidRPr="00065A1D" w:rsidRDefault="00464352" w:rsidP="00426DD8">
            <w:pPr>
              <w:pStyle w:val="Tablewriting"/>
            </w:pPr>
            <w:r w:rsidRPr="00065A1D">
              <w:t>92%</w:t>
            </w:r>
          </w:p>
        </w:tc>
      </w:tr>
      <w:tr w:rsidR="00464352" w:rsidRPr="00065A1D" w14:paraId="0AF411FA" w14:textId="77777777" w:rsidTr="00464352">
        <w:trPr>
          <w:trHeight w:val="318"/>
        </w:trPr>
        <w:tc>
          <w:tcPr>
            <w:tcW w:w="1635" w:type="dxa"/>
            <w:shd w:val="clear" w:color="auto" w:fill="auto"/>
            <w:noWrap/>
            <w:vAlign w:val="center"/>
          </w:tcPr>
          <w:p w14:paraId="7C49842A" w14:textId="77777777" w:rsidR="00464352" w:rsidRPr="00065A1D" w:rsidRDefault="00464352" w:rsidP="00426DD8">
            <w:pPr>
              <w:pStyle w:val="Tablewriting"/>
              <w:spacing w:before="0" w:after="0"/>
            </w:pPr>
            <w:r w:rsidRPr="00065A1D">
              <w:t>Cephalexin</w:t>
            </w:r>
          </w:p>
        </w:tc>
        <w:tc>
          <w:tcPr>
            <w:tcW w:w="2520" w:type="dxa"/>
            <w:shd w:val="clear" w:color="auto" w:fill="auto"/>
            <w:noWrap/>
            <w:vAlign w:val="center"/>
          </w:tcPr>
          <w:p w14:paraId="2B6037F8" w14:textId="77777777" w:rsidR="00464352" w:rsidRPr="00065A1D" w:rsidRDefault="00464352" w:rsidP="00426DD8">
            <w:pPr>
              <w:pStyle w:val="Tablewriting"/>
              <w:spacing w:before="0" w:after="0"/>
            </w:pPr>
            <w:r w:rsidRPr="00065A1D">
              <w:t>Capsule 500 mg</w:t>
            </w:r>
          </w:p>
        </w:tc>
        <w:tc>
          <w:tcPr>
            <w:tcW w:w="1260" w:type="dxa"/>
            <w:shd w:val="clear" w:color="auto" w:fill="auto"/>
            <w:noWrap/>
            <w:vAlign w:val="center"/>
          </w:tcPr>
          <w:p w14:paraId="254FF08C" w14:textId="77777777" w:rsidR="00464352" w:rsidRPr="00065A1D" w:rsidRDefault="00464352" w:rsidP="00426DD8">
            <w:pPr>
              <w:pStyle w:val="Tablewriting"/>
            </w:pPr>
            <w:r w:rsidRPr="00065A1D">
              <w:t>03119E</w:t>
            </w:r>
          </w:p>
        </w:tc>
        <w:tc>
          <w:tcPr>
            <w:tcW w:w="1440" w:type="dxa"/>
            <w:vAlign w:val="center"/>
          </w:tcPr>
          <w:p w14:paraId="5B5BBE84" w14:textId="77777777" w:rsidR="00464352" w:rsidRPr="00065A1D" w:rsidRDefault="00464352" w:rsidP="00426DD8">
            <w:pPr>
              <w:pStyle w:val="Tablewriting"/>
            </w:pPr>
            <w:r w:rsidRPr="00065A1D">
              <w:t>79%</w:t>
            </w:r>
          </w:p>
        </w:tc>
        <w:tc>
          <w:tcPr>
            <w:tcW w:w="1800" w:type="dxa"/>
            <w:vAlign w:val="center"/>
          </w:tcPr>
          <w:p w14:paraId="69A8C756" w14:textId="77777777" w:rsidR="00464352" w:rsidRPr="00065A1D" w:rsidRDefault="00464352" w:rsidP="00426DD8">
            <w:pPr>
              <w:pStyle w:val="Tablewriting"/>
            </w:pPr>
            <w:r w:rsidRPr="00065A1D">
              <w:t>92%</w:t>
            </w:r>
          </w:p>
        </w:tc>
      </w:tr>
      <w:tr w:rsidR="00464352" w:rsidRPr="00065A1D" w14:paraId="2A087BFB" w14:textId="77777777" w:rsidTr="00464352">
        <w:trPr>
          <w:trHeight w:val="318"/>
        </w:trPr>
        <w:tc>
          <w:tcPr>
            <w:tcW w:w="1635" w:type="dxa"/>
            <w:shd w:val="clear" w:color="auto" w:fill="auto"/>
            <w:noWrap/>
            <w:vAlign w:val="center"/>
          </w:tcPr>
          <w:p w14:paraId="50624E3B" w14:textId="77777777" w:rsidR="00464352" w:rsidRPr="00065A1D" w:rsidRDefault="00464352" w:rsidP="00426DD8">
            <w:pPr>
              <w:pStyle w:val="Tablewriting"/>
              <w:spacing w:before="0" w:after="0"/>
            </w:pPr>
            <w:r w:rsidRPr="00065A1D">
              <w:t xml:space="preserve">Amoxycillin/ </w:t>
            </w:r>
            <w:proofErr w:type="spellStart"/>
            <w:r w:rsidRPr="00065A1D">
              <w:t>Clavulanic</w:t>
            </w:r>
            <w:proofErr w:type="spellEnd"/>
            <w:r w:rsidRPr="00065A1D">
              <w:t xml:space="preserve"> acid</w:t>
            </w:r>
          </w:p>
        </w:tc>
        <w:tc>
          <w:tcPr>
            <w:tcW w:w="2520" w:type="dxa"/>
            <w:shd w:val="clear" w:color="auto" w:fill="auto"/>
            <w:noWrap/>
            <w:vAlign w:val="center"/>
          </w:tcPr>
          <w:p w14:paraId="665FFFED" w14:textId="77777777" w:rsidR="00464352" w:rsidRPr="00065A1D" w:rsidRDefault="00464352" w:rsidP="00426DD8">
            <w:pPr>
              <w:pStyle w:val="Tablewriting"/>
              <w:spacing w:before="0" w:after="0"/>
            </w:pPr>
            <w:r w:rsidRPr="00065A1D">
              <w:t>875 mg/125 mg tablet</w:t>
            </w:r>
          </w:p>
        </w:tc>
        <w:tc>
          <w:tcPr>
            <w:tcW w:w="1260" w:type="dxa"/>
            <w:shd w:val="clear" w:color="auto" w:fill="auto"/>
            <w:noWrap/>
            <w:vAlign w:val="center"/>
          </w:tcPr>
          <w:p w14:paraId="0BEA26C7" w14:textId="77777777" w:rsidR="00464352" w:rsidRPr="00065A1D" w:rsidRDefault="00464352" w:rsidP="00426DD8">
            <w:pPr>
              <w:pStyle w:val="Tablewriting"/>
            </w:pPr>
            <w:r w:rsidRPr="00065A1D">
              <w:t>08254K</w:t>
            </w:r>
          </w:p>
        </w:tc>
        <w:tc>
          <w:tcPr>
            <w:tcW w:w="1440" w:type="dxa"/>
            <w:vAlign w:val="center"/>
          </w:tcPr>
          <w:p w14:paraId="5F375C18" w14:textId="77777777" w:rsidR="00464352" w:rsidRPr="00065A1D" w:rsidRDefault="00464352" w:rsidP="00426DD8">
            <w:pPr>
              <w:pStyle w:val="Tablewriting"/>
            </w:pPr>
            <w:r w:rsidRPr="00065A1D">
              <w:t>80%</w:t>
            </w:r>
          </w:p>
        </w:tc>
        <w:tc>
          <w:tcPr>
            <w:tcW w:w="1800" w:type="dxa"/>
            <w:vAlign w:val="center"/>
          </w:tcPr>
          <w:p w14:paraId="69D4F6AF" w14:textId="77777777" w:rsidR="00464352" w:rsidRPr="00065A1D" w:rsidRDefault="00464352" w:rsidP="00426DD8">
            <w:pPr>
              <w:pStyle w:val="Tablewriting"/>
            </w:pPr>
            <w:r w:rsidRPr="00065A1D">
              <w:t>92%</w:t>
            </w:r>
          </w:p>
        </w:tc>
      </w:tr>
      <w:tr w:rsidR="00464352" w:rsidRPr="00065A1D" w14:paraId="718FBF75" w14:textId="77777777" w:rsidTr="00464352">
        <w:trPr>
          <w:trHeight w:val="318"/>
        </w:trPr>
        <w:tc>
          <w:tcPr>
            <w:tcW w:w="1635" w:type="dxa"/>
            <w:shd w:val="clear" w:color="auto" w:fill="auto"/>
            <w:noWrap/>
            <w:vAlign w:val="center"/>
          </w:tcPr>
          <w:p w14:paraId="22890EF2" w14:textId="77777777" w:rsidR="00464352" w:rsidRPr="00065A1D" w:rsidRDefault="00464352" w:rsidP="00426DD8">
            <w:pPr>
              <w:pStyle w:val="Tablewriting"/>
              <w:spacing w:before="0" w:after="0"/>
            </w:pPr>
            <w:proofErr w:type="spellStart"/>
            <w:r w:rsidRPr="00065A1D">
              <w:t>Roxithromycin</w:t>
            </w:r>
            <w:proofErr w:type="spellEnd"/>
          </w:p>
        </w:tc>
        <w:tc>
          <w:tcPr>
            <w:tcW w:w="2520" w:type="dxa"/>
            <w:shd w:val="clear" w:color="auto" w:fill="auto"/>
            <w:noWrap/>
            <w:vAlign w:val="center"/>
          </w:tcPr>
          <w:p w14:paraId="7F0F2DAE" w14:textId="77777777" w:rsidR="00464352" w:rsidRPr="00065A1D" w:rsidRDefault="00464352" w:rsidP="00426DD8">
            <w:pPr>
              <w:pStyle w:val="Tablewriting"/>
              <w:spacing w:before="0" w:after="0"/>
            </w:pPr>
            <w:r w:rsidRPr="00065A1D">
              <w:t>300mg tablet</w:t>
            </w:r>
          </w:p>
        </w:tc>
        <w:tc>
          <w:tcPr>
            <w:tcW w:w="1260" w:type="dxa"/>
            <w:shd w:val="clear" w:color="auto" w:fill="auto"/>
            <w:noWrap/>
            <w:vAlign w:val="center"/>
          </w:tcPr>
          <w:p w14:paraId="04586F44" w14:textId="77777777" w:rsidR="00464352" w:rsidRPr="00065A1D" w:rsidRDefault="00464352" w:rsidP="00426DD8">
            <w:pPr>
              <w:pStyle w:val="Tablewriting"/>
            </w:pPr>
            <w:r w:rsidRPr="00065A1D">
              <w:t>08016X</w:t>
            </w:r>
          </w:p>
        </w:tc>
        <w:tc>
          <w:tcPr>
            <w:tcW w:w="1440" w:type="dxa"/>
            <w:vAlign w:val="center"/>
          </w:tcPr>
          <w:p w14:paraId="5AD885D1" w14:textId="77777777" w:rsidR="00464352" w:rsidRPr="00065A1D" w:rsidRDefault="00464352" w:rsidP="00426DD8">
            <w:pPr>
              <w:pStyle w:val="Tablewriting"/>
            </w:pPr>
            <w:r w:rsidRPr="00065A1D">
              <w:t>81%</w:t>
            </w:r>
          </w:p>
        </w:tc>
        <w:tc>
          <w:tcPr>
            <w:tcW w:w="1800" w:type="dxa"/>
            <w:vAlign w:val="center"/>
          </w:tcPr>
          <w:p w14:paraId="3F927B44" w14:textId="77777777" w:rsidR="00464352" w:rsidRPr="00065A1D" w:rsidRDefault="00464352" w:rsidP="00426DD8">
            <w:pPr>
              <w:pStyle w:val="Tablewriting"/>
            </w:pPr>
            <w:r w:rsidRPr="00065A1D">
              <w:t>93%</w:t>
            </w:r>
          </w:p>
        </w:tc>
      </w:tr>
      <w:tr w:rsidR="00464352" w:rsidRPr="00065A1D" w14:paraId="7FB8EAA3" w14:textId="77777777" w:rsidTr="00464352">
        <w:trPr>
          <w:trHeight w:val="318"/>
        </w:trPr>
        <w:tc>
          <w:tcPr>
            <w:tcW w:w="1635" w:type="dxa"/>
            <w:shd w:val="clear" w:color="auto" w:fill="auto"/>
            <w:noWrap/>
            <w:vAlign w:val="center"/>
          </w:tcPr>
          <w:p w14:paraId="32B0F0F4" w14:textId="77777777" w:rsidR="00464352" w:rsidRPr="00065A1D" w:rsidRDefault="00464352" w:rsidP="00426DD8">
            <w:pPr>
              <w:pStyle w:val="Tablewriting"/>
              <w:spacing w:before="0" w:after="0"/>
            </w:pPr>
            <w:r w:rsidRPr="00065A1D">
              <w:t>Doxycycline</w:t>
            </w:r>
          </w:p>
        </w:tc>
        <w:tc>
          <w:tcPr>
            <w:tcW w:w="2520" w:type="dxa"/>
            <w:shd w:val="clear" w:color="auto" w:fill="auto"/>
            <w:noWrap/>
            <w:vAlign w:val="center"/>
          </w:tcPr>
          <w:p w14:paraId="49188773" w14:textId="77777777" w:rsidR="00464352" w:rsidRPr="00065A1D" w:rsidRDefault="00464352" w:rsidP="00426DD8">
            <w:pPr>
              <w:pStyle w:val="Tablewriting"/>
              <w:spacing w:before="0" w:after="0"/>
            </w:pPr>
            <w:r w:rsidRPr="00065A1D">
              <w:t>Tablet 50 mg (as monohydrate)</w:t>
            </w:r>
          </w:p>
        </w:tc>
        <w:tc>
          <w:tcPr>
            <w:tcW w:w="1260" w:type="dxa"/>
            <w:shd w:val="clear" w:color="auto" w:fill="auto"/>
            <w:noWrap/>
            <w:vAlign w:val="center"/>
          </w:tcPr>
          <w:p w14:paraId="4D111334" w14:textId="77777777" w:rsidR="00464352" w:rsidRPr="00065A1D" w:rsidRDefault="00464352" w:rsidP="00426DD8">
            <w:pPr>
              <w:pStyle w:val="Tablewriting"/>
            </w:pPr>
            <w:r w:rsidRPr="00065A1D">
              <w:t>09106G</w:t>
            </w:r>
          </w:p>
        </w:tc>
        <w:tc>
          <w:tcPr>
            <w:tcW w:w="1440" w:type="dxa"/>
            <w:vAlign w:val="center"/>
          </w:tcPr>
          <w:p w14:paraId="4E01C480" w14:textId="77777777" w:rsidR="00464352" w:rsidRPr="00065A1D" w:rsidRDefault="00464352" w:rsidP="00426DD8">
            <w:pPr>
              <w:pStyle w:val="Tablewriting"/>
            </w:pPr>
            <w:r w:rsidRPr="00065A1D">
              <w:t>56%</w:t>
            </w:r>
          </w:p>
        </w:tc>
        <w:tc>
          <w:tcPr>
            <w:tcW w:w="1800" w:type="dxa"/>
            <w:vAlign w:val="center"/>
          </w:tcPr>
          <w:p w14:paraId="34DC3A64" w14:textId="77777777" w:rsidR="00464352" w:rsidRPr="00065A1D" w:rsidRDefault="00464352" w:rsidP="00426DD8">
            <w:pPr>
              <w:pStyle w:val="Tablewriting"/>
            </w:pPr>
            <w:r w:rsidRPr="00065A1D">
              <w:t>73%</w:t>
            </w:r>
          </w:p>
        </w:tc>
      </w:tr>
      <w:tr w:rsidR="00464352" w:rsidRPr="00065A1D" w14:paraId="584CE2AB" w14:textId="77777777" w:rsidTr="00464352">
        <w:trPr>
          <w:trHeight w:val="318"/>
        </w:trPr>
        <w:tc>
          <w:tcPr>
            <w:tcW w:w="1635" w:type="dxa"/>
            <w:shd w:val="clear" w:color="auto" w:fill="auto"/>
            <w:noWrap/>
            <w:vAlign w:val="center"/>
          </w:tcPr>
          <w:p w14:paraId="740E6706" w14:textId="77777777" w:rsidR="00464352" w:rsidRPr="00065A1D" w:rsidRDefault="00464352" w:rsidP="00426DD8">
            <w:pPr>
              <w:pStyle w:val="Tablewriting"/>
              <w:spacing w:before="0" w:after="0"/>
            </w:pPr>
            <w:r w:rsidRPr="00065A1D">
              <w:t>Doxycycline</w:t>
            </w:r>
          </w:p>
        </w:tc>
        <w:tc>
          <w:tcPr>
            <w:tcW w:w="2520" w:type="dxa"/>
            <w:shd w:val="clear" w:color="auto" w:fill="auto"/>
            <w:noWrap/>
            <w:vAlign w:val="center"/>
          </w:tcPr>
          <w:p w14:paraId="67933C1A" w14:textId="77777777" w:rsidR="00464352" w:rsidRPr="00065A1D" w:rsidRDefault="00464352" w:rsidP="00426DD8">
            <w:pPr>
              <w:pStyle w:val="Tablewriting"/>
              <w:spacing w:before="0" w:after="0"/>
            </w:pPr>
            <w:r w:rsidRPr="00065A1D">
              <w:t>Capsule 100 mg (as hydrochloride) (containing enteric coated pellets)</w:t>
            </w:r>
          </w:p>
        </w:tc>
        <w:tc>
          <w:tcPr>
            <w:tcW w:w="1260" w:type="dxa"/>
            <w:shd w:val="clear" w:color="auto" w:fill="auto"/>
            <w:noWrap/>
            <w:vAlign w:val="center"/>
          </w:tcPr>
          <w:p w14:paraId="16759314" w14:textId="77777777" w:rsidR="00464352" w:rsidRPr="00065A1D" w:rsidRDefault="00464352" w:rsidP="00426DD8">
            <w:pPr>
              <w:pStyle w:val="Tablewriting"/>
            </w:pPr>
            <w:r w:rsidRPr="00065A1D">
              <w:t>02708M</w:t>
            </w:r>
          </w:p>
        </w:tc>
        <w:tc>
          <w:tcPr>
            <w:tcW w:w="1440" w:type="dxa"/>
            <w:vAlign w:val="center"/>
          </w:tcPr>
          <w:p w14:paraId="6505D2D1" w14:textId="77777777" w:rsidR="00464352" w:rsidRPr="00065A1D" w:rsidRDefault="00464352" w:rsidP="00426DD8">
            <w:pPr>
              <w:pStyle w:val="Tablewriting"/>
            </w:pPr>
            <w:r w:rsidRPr="00065A1D">
              <w:t>79%</w:t>
            </w:r>
          </w:p>
        </w:tc>
        <w:tc>
          <w:tcPr>
            <w:tcW w:w="1800" w:type="dxa"/>
            <w:vAlign w:val="center"/>
          </w:tcPr>
          <w:p w14:paraId="2B75911D" w14:textId="77777777" w:rsidR="00464352" w:rsidRPr="00065A1D" w:rsidRDefault="00464352" w:rsidP="00426DD8">
            <w:pPr>
              <w:pStyle w:val="Tablewriting"/>
            </w:pPr>
            <w:r w:rsidRPr="00065A1D">
              <w:t>91%</w:t>
            </w:r>
          </w:p>
        </w:tc>
      </w:tr>
      <w:tr w:rsidR="00464352" w:rsidRPr="00065A1D" w14:paraId="47DED8E6" w14:textId="77777777" w:rsidTr="00464352">
        <w:trPr>
          <w:trHeight w:val="318"/>
        </w:trPr>
        <w:tc>
          <w:tcPr>
            <w:tcW w:w="1635" w:type="dxa"/>
            <w:shd w:val="clear" w:color="auto" w:fill="auto"/>
            <w:noWrap/>
            <w:vAlign w:val="center"/>
          </w:tcPr>
          <w:p w14:paraId="18A0B1DC" w14:textId="77777777" w:rsidR="00464352" w:rsidRPr="00065A1D" w:rsidRDefault="00464352" w:rsidP="00426DD8">
            <w:pPr>
              <w:pStyle w:val="Tablewriting"/>
              <w:spacing w:before="0" w:after="0"/>
            </w:pPr>
            <w:r w:rsidRPr="00065A1D">
              <w:t>Chloramphenicol</w:t>
            </w:r>
          </w:p>
        </w:tc>
        <w:tc>
          <w:tcPr>
            <w:tcW w:w="2520" w:type="dxa"/>
            <w:shd w:val="clear" w:color="auto" w:fill="auto"/>
            <w:noWrap/>
            <w:vAlign w:val="center"/>
          </w:tcPr>
          <w:p w14:paraId="67D40270" w14:textId="77777777" w:rsidR="00464352" w:rsidRPr="00065A1D" w:rsidRDefault="00464352" w:rsidP="00426DD8">
            <w:pPr>
              <w:pStyle w:val="Tablewriting"/>
              <w:spacing w:before="0" w:after="0"/>
            </w:pPr>
            <w:r w:rsidRPr="00065A1D">
              <w:t>Eye drops 5 mg per mL, 10 mL</w:t>
            </w:r>
          </w:p>
        </w:tc>
        <w:tc>
          <w:tcPr>
            <w:tcW w:w="1260" w:type="dxa"/>
            <w:shd w:val="clear" w:color="auto" w:fill="auto"/>
            <w:noWrap/>
            <w:vAlign w:val="center"/>
          </w:tcPr>
          <w:p w14:paraId="4B6E6166" w14:textId="77777777" w:rsidR="00464352" w:rsidRPr="00065A1D" w:rsidRDefault="00464352" w:rsidP="00426DD8">
            <w:pPr>
              <w:pStyle w:val="Tablewriting"/>
            </w:pPr>
            <w:r w:rsidRPr="00065A1D">
              <w:t>02360F</w:t>
            </w:r>
          </w:p>
        </w:tc>
        <w:tc>
          <w:tcPr>
            <w:tcW w:w="1440" w:type="dxa"/>
            <w:vAlign w:val="center"/>
          </w:tcPr>
          <w:p w14:paraId="3564C0C4" w14:textId="77777777" w:rsidR="00464352" w:rsidRPr="00065A1D" w:rsidRDefault="00464352" w:rsidP="00426DD8">
            <w:pPr>
              <w:pStyle w:val="Tablewriting"/>
            </w:pPr>
            <w:r w:rsidRPr="00065A1D">
              <w:t>73%</w:t>
            </w:r>
          </w:p>
        </w:tc>
        <w:tc>
          <w:tcPr>
            <w:tcW w:w="1800" w:type="dxa"/>
            <w:vAlign w:val="center"/>
          </w:tcPr>
          <w:p w14:paraId="7543DF6A" w14:textId="77777777" w:rsidR="00464352" w:rsidRPr="00065A1D" w:rsidRDefault="00464352" w:rsidP="00426DD8">
            <w:pPr>
              <w:pStyle w:val="Tablewriting"/>
            </w:pPr>
            <w:r w:rsidRPr="00065A1D">
              <w:t>84%</w:t>
            </w:r>
          </w:p>
        </w:tc>
      </w:tr>
      <w:tr w:rsidR="00464352" w:rsidRPr="00065A1D" w14:paraId="65A3AD7C" w14:textId="77777777" w:rsidTr="00464352">
        <w:trPr>
          <w:trHeight w:val="318"/>
        </w:trPr>
        <w:tc>
          <w:tcPr>
            <w:tcW w:w="1635" w:type="dxa"/>
            <w:shd w:val="clear" w:color="auto" w:fill="auto"/>
            <w:noWrap/>
            <w:vAlign w:val="center"/>
          </w:tcPr>
          <w:p w14:paraId="4B33BEE7" w14:textId="77777777" w:rsidR="00464352" w:rsidRPr="00065A1D" w:rsidRDefault="00464352" w:rsidP="00426DD8">
            <w:pPr>
              <w:pStyle w:val="Tablewriting"/>
              <w:spacing w:before="0" w:after="0"/>
            </w:pPr>
            <w:r w:rsidRPr="00065A1D">
              <w:t>Clarithromycin</w:t>
            </w:r>
          </w:p>
        </w:tc>
        <w:tc>
          <w:tcPr>
            <w:tcW w:w="2520" w:type="dxa"/>
            <w:shd w:val="clear" w:color="auto" w:fill="auto"/>
            <w:noWrap/>
            <w:vAlign w:val="center"/>
          </w:tcPr>
          <w:p w14:paraId="1B2F8B79" w14:textId="77777777" w:rsidR="00464352" w:rsidRPr="00065A1D" w:rsidRDefault="00464352" w:rsidP="00426DD8">
            <w:pPr>
              <w:pStyle w:val="Tablewriting"/>
              <w:spacing w:before="0" w:after="0"/>
            </w:pPr>
            <w:r w:rsidRPr="00065A1D">
              <w:t>Tablet 250 mg</w:t>
            </w:r>
          </w:p>
        </w:tc>
        <w:tc>
          <w:tcPr>
            <w:tcW w:w="1260" w:type="dxa"/>
            <w:shd w:val="clear" w:color="auto" w:fill="auto"/>
            <w:noWrap/>
            <w:vAlign w:val="center"/>
          </w:tcPr>
          <w:p w14:paraId="0A06557C" w14:textId="77777777" w:rsidR="00464352" w:rsidRPr="00065A1D" w:rsidRDefault="00464352" w:rsidP="00426DD8">
            <w:pPr>
              <w:pStyle w:val="Tablewriting"/>
            </w:pPr>
            <w:r w:rsidRPr="00065A1D">
              <w:t>08318T</w:t>
            </w:r>
          </w:p>
        </w:tc>
        <w:tc>
          <w:tcPr>
            <w:tcW w:w="1440" w:type="dxa"/>
            <w:vAlign w:val="center"/>
          </w:tcPr>
          <w:p w14:paraId="12CD9580" w14:textId="77777777" w:rsidR="00464352" w:rsidRPr="00065A1D" w:rsidRDefault="00464352" w:rsidP="00426DD8">
            <w:pPr>
              <w:pStyle w:val="Tablewriting"/>
            </w:pPr>
            <w:r w:rsidRPr="00065A1D">
              <w:t>83%</w:t>
            </w:r>
          </w:p>
        </w:tc>
        <w:tc>
          <w:tcPr>
            <w:tcW w:w="1800" w:type="dxa"/>
            <w:vAlign w:val="center"/>
          </w:tcPr>
          <w:p w14:paraId="73ECFC9B" w14:textId="77777777" w:rsidR="00464352" w:rsidRPr="00065A1D" w:rsidRDefault="00464352" w:rsidP="00426DD8">
            <w:pPr>
              <w:pStyle w:val="Tablewriting"/>
            </w:pPr>
            <w:r w:rsidRPr="00065A1D">
              <w:t>93%</w:t>
            </w:r>
          </w:p>
        </w:tc>
      </w:tr>
      <w:tr w:rsidR="00464352" w:rsidRPr="00065A1D" w14:paraId="03C306FE" w14:textId="77777777" w:rsidTr="00464352">
        <w:trPr>
          <w:trHeight w:val="318"/>
        </w:trPr>
        <w:tc>
          <w:tcPr>
            <w:tcW w:w="1635" w:type="dxa"/>
            <w:shd w:val="clear" w:color="auto" w:fill="auto"/>
            <w:noWrap/>
            <w:vAlign w:val="center"/>
          </w:tcPr>
          <w:p w14:paraId="53434C88" w14:textId="77777777" w:rsidR="00464352" w:rsidRPr="00065A1D" w:rsidRDefault="00464352" w:rsidP="00426DD8">
            <w:pPr>
              <w:pStyle w:val="Tablewriting"/>
              <w:spacing w:before="0" w:after="0"/>
            </w:pPr>
            <w:r w:rsidRPr="00065A1D">
              <w:t>Trimethoprim</w:t>
            </w:r>
          </w:p>
        </w:tc>
        <w:tc>
          <w:tcPr>
            <w:tcW w:w="2520" w:type="dxa"/>
            <w:shd w:val="clear" w:color="auto" w:fill="auto"/>
            <w:noWrap/>
            <w:vAlign w:val="center"/>
          </w:tcPr>
          <w:p w14:paraId="57DBD91E" w14:textId="77777777" w:rsidR="00464352" w:rsidRPr="00065A1D" w:rsidRDefault="00464352" w:rsidP="00426DD8">
            <w:pPr>
              <w:pStyle w:val="Tablewriting"/>
              <w:spacing w:before="0" w:after="0"/>
            </w:pPr>
            <w:r w:rsidRPr="00065A1D">
              <w:t>Tablet 300 mg</w:t>
            </w:r>
          </w:p>
        </w:tc>
        <w:tc>
          <w:tcPr>
            <w:tcW w:w="1260" w:type="dxa"/>
            <w:shd w:val="clear" w:color="auto" w:fill="auto"/>
            <w:noWrap/>
            <w:vAlign w:val="center"/>
          </w:tcPr>
          <w:p w14:paraId="28253A54" w14:textId="77777777" w:rsidR="00464352" w:rsidRPr="00065A1D" w:rsidRDefault="00464352" w:rsidP="00426DD8">
            <w:pPr>
              <w:pStyle w:val="Tablewriting"/>
            </w:pPr>
            <w:r w:rsidRPr="00065A1D">
              <w:t>02922T</w:t>
            </w:r>
          </w:p>
        </w:tc>
        <w:tc>
          <w:tcPr>
            <w:tcW w:w="1440" w:type="dxa"/>
            <w:vAlign w:val="center"/>
          </w:tcPr>
          <w:p w14:paraId="7D027CE5" w14:textId="77777777" w:rsidR="00464352" w:rsidRPr="00065A1D" w:rsidRDefault="00464352" w:rsidP="00426DD8">
            <w:pPr>
              <w:pStyle w:val="Tablewriting"/>
            </w:pPr>
            <w:r w:rsidRPr="00065A1D">
              <w:t>78%</w:t>
            </w:r>
          </w:p>
        </w:tc>
        <w:tc>
          <w:tcPr>
            <w:tcW w:w="1800" w:type="dxa"/>
            <w:vAlign w:val="center"/>
          </w:tcPr>
          <w:p w14:paraId="637E6A5B" w14:textId="77777777" w:rsidR="00464352" w:rsidRPr="00065A1D" w:rsidRDefault="00464352" w:rsidP="00426DD8">
            <w:pPr>
              <w:pStyle w:val="Tablewriting"/>
            </w:pPr>
            <w:r w:rsidRPr="00065A1D">
              <w:t>91%</w:t>
            </w:r>
          </w:p>
        </w:tc>
      </w:tr>
      <w:tr w:rsidR="00464352" w:rsidRPr="00065A1D" w14:paraId="53222B8A" w14:textId="77777777" w:rsidTr="00464352">
        <w:trPr>
          <w:trHeight w:val="318"/>
        </w:trPr>
        <w:tc>
          <w:tcPr>
            <w:tcW w:w="1635" w:type="dxa"/>
            <w:shd w:val="clear" w:color="auto" w:fill="auto"/>
            <w:noWrap/>
            <w:vAlign w:val="center"/>
          </w:tcPr>
          <w:p w14:paraId="6BF00142" w14:textId="77777777" w:rsidR="00464352" w:rsidRPr="00065A1D" w:rsidRDefault="00464352" w:rsidP="00426DD8">
            <w:pPr>
              <w:pStyle w:val="Tablewriting"/>
              <w:spacing w:before="0" w:after="0"/>
            </w:pPr>
            <w:r w:rsidRPr="00065A1D">
              <w:t>Erythromycin</w:t>
            </w:r>
          </w:p>
        </w:tc>
        <w:tc>
          <w:tcPr>
            <w:tcW w:w="2520" w:type="dxa"/>
            <w:shd w:val="clear" w:color="auto" w:fill="auto"/>
            <w:noWrap/>
            <w:vAlign w:val="center"/>
          </w:tcPr>
          <w:p w14:paraId="716D29A6" w14:textId="77777777" w:rsidR="00464352" w:rsidRPr="00065A1D" w:rsidRDefault="00464352" w:rsidP="00426DD8">
            <w:pPr>
              <w:pStyle w:val="Tablewriting"/>
              <w:spacing w:before="0" w:after="0"/>
            </w:pPr>
            <w:r w:rsidRPr="00065A1D">
              <w:t>Tablet 400 mg (as ethyl succinate)</w:t>
            </w:r>
          </w:p>
        </w:tc>
        <w:tc>
          <w:tcPr>
            <w:tcW w:w="1260" w:type="dxa"/>
            <w:shd w:val="clear" w:color="auto" w:fill="auto"/>
            <w:noWrap/>
            <w:vAlign w:val="center"/>
          </w:tcPr>
          <w:p w14:paraId="03E3BC12" w14:textId="77777777" w:rsidR="00464352" w:rsidRPr="00065A1D" w:rsidRDefault="00464352" w:rsidP="00426DD8">
            <w:pPr>
              <w:pStyle w:val="Tablewriting"/>
            </w:pPr>
            <w:r w:rsidRPr="00065A1D">
              <w:t>02750R</w:t>
            </w:r>
          </w:p>
        </w:tc>
        <w:tc>
          <w:tcPr>
            <w:tcW w:w="1440" w:type="dxa"/>
            <w:vAlign w:val="center"/>
          </w:tcPr>
          <w:p w14:paraId="2BD45B98" w14:textId="77777777" w:rsidR="00464352" w:rsidRPr="00065A1D" w:rsidRDefault="00464352" w:rsidP="00426DD8">
            <w:pPr>
              <w:pStyle w:val="Tablewriting"/>
            </w:pPr>
            <w:r w:rsidRPr="00065A1D">
              <w:t>83%</w:t>
            </w:r>
          </w:p>
        </w:tc>
        <w:tc>
          <w:tcPr>
            <w:tcW w:w="1800" w:type="dxa"/>
            <w:vAlign w:val="center"/>
          </w:tcPr>
          <w:p w14:paraId="0CCA977C" w14:textId="77777777" w:rsidR="00464352" w:rsidRPr="00065A1D" w:rsidRDefault="00464352" w:rsidP="00426DD8">
            <w:pPr>
              <w:pStyle w:val="Tablewriting"/>
            </w:pPr>
            <w:r w:rsidRPr="00065A1D">
              <w:t>93%</w:t>
            </w:r>
          </w:p>
        </w:tc>
      </w:tr>
      <w:tr w:rsidR="00464352" w:rsidRPr="00065A1D" w14:paraId="4D40B82B" w14:textId="77777777" w:rsidTr="00464352">
        <w:trPr>
          <w:trHeight w:val="318"/>
        </w:trPr>
        <w:tc>
          <w:tcPr>
            <w:tcW w:w="1635" w:type="dxa"/>
            <w:shd w:val="clear" w:color="auto" w:fill="auto"/>
            <w:noWrap/>
            <w:vAlign w:val="center"/>
          </w:tcPr>
          <w:p w14:paraId="60ED2F83" w14:textId="77777777" w:rsidR="00464352" w:rsidRPr="00065A1D" w:rsidRDefault="00464352" w:rsidP="00426DD8">
            <w:pPr>
              <w:pStyle w:val="Tablewriting"/>
              <w:spacing w:before="0" w:after="0"/>
            </w:pPr>
            <w:proofErr w:type="spellStart"/>
            <w:r w:rsidRPr="00065A1D">
              <w:t>Cefaclor</w:t>
            </w:r>
            <w:proofErr w:type="spellEnd"/>
          </w:p>
        </w:tc>
        <w:tc>
          <w:tcPr>
            <w:tcW w:w="2520" w:type="dxa"/>
            <w:shd w:val="clear" w:color="auto" w:fill="auto"/>
            <w:noWrap/>
            <w:vAlign w:val="center"/>
          </w:tcPr>
          <w:p w14:paraId="0644A164" w14:textId="77777777" w:rsidR="00464352" w:rsidRPr="00065A1D" w:rsidRDefault="00464352" w:rsidP="00426DD8">
            <w:pPr>
              <w:pStyle w:val="Tablewriting"/>
              <w:spacing w:before="0" w:after="0"/>
            </w:pPr>
            <w:r w:rsidRPr="00065A1D">
              <w:t>Tablet (sustained release) 375 mg (as monohydrate)</w:t>
            </w:r>
          </w:p>
        </w:tc>
        <w:tc>
          <w:tcPr>
            <w:tcW w:w="1260" w:type="dxa"/>
            <w:shd w:val="clear" w:color="auto" w:fill="auto"/>
            <w:noWrap/>
            <w:vAlign w:val="center"/>
          </w:tcPr>
          <w:p w14:paraId="11F022EB" w14:textId="77777777" w:rsidR="00464352" w:rsidRPr="00065A1D" w:rsidRDefault="00464352" w:rsidP="00426DD8">
            <w:pPr>
              <w:pStyle w:val="Tablewriting"/>
            </w:pPr>
            <w:r w:rsidRPr="00065A1D">
              <w:t>01169M</w:t>
            </w:r>
          </w:p>
        </w:tc>
        <w:tc>
          <w:tcPr>
            <w:tcW w:w="1440" w:type="dxa"/>
            <w:vAlign w:val="center"/>
          </w:tcPr>
          <w:p w14:paraId="53DF370C" w14:textId="77777777" w:rsidR="00464352" w:rsidRPr="00065A1D" w:rsidRDefault="00464352" w:rsidP="00426DD8">
            <w:pPr>
              <w:pStyle w:val="Tablewriting"/>
            </w:pPr>
            <w:r w:rsidRPr="00065A1D">
              <w:t>83%</w:t>
            </w:r>
          </w:p>
        </w:tc>
        <w:tc>
          <w:tcPr>
            <w:tcW w:w="1800" w:type="dxa"/>
            <w:vAlign w:val="center"/>
          </w:tcPr>
          <w:p w14:paraId="354FB0DC" w14:textId="77777777" w:rsidR="00464352" w:rsidRPr="00065A1D" w:rsidRDefault="00464352" w:rsidP="00426DD8">
            <w:pPr>
              <w:pStyle w:val="Tablewriting"/>
            </w:pPr>
            <w:r w:rsidRPr="00065A1D">
              <w:t>93%</w:t>
            </w:r>
          </w:p>
        </w:tc>
      </w:tr>
    </w:tbl>
    <w:p w14:paraId="10FC11E4" w14:textId="77777777" w:rsidR="00D12EE6" w:rsidRPr="00846A19" w:rsidRDefault="00D12EE6" w:rsidP="00D12EE6">
      <w:pPr>
        <w:pStyle w:val="Heading5"/>
      </w:pPr>
      <w:r w:rsidRPr="00846A19">
        <w:lastRenderedPageBreak/>
        <w:t>Repeat prescription analysis</w:t>
      </w:r>
    </w:p>
    <w:p w14:paraId="3146FFB1" w14:textId="77777777" w:rsidR="00D12EE6" w:rsidRPr="004E6093" w:rsidRDefault="00D12EE6" w:rsidP="00D12EE6">
      <w:r w:rsidRPr="004E6093">
        <w:t xml:space="preserve">Table </w:t>
      </w:r>
      <w:r>
        <w:t>5</w:t>
      </w:r>
      <w:r w:rsidRPr="004E6093">
        <w:t xml:space="preserve"> shows the proportion of antibiotic prescriptions where repeats were prescribed; and the proportion of ordered repeats that were dispensed. </w:t>
      </w:r>
    </w:p>
    <w:p w14:paraId="0BCBF50F" w14:textId="2FDF04EC" w:rsidR="00D12EE6" w:rsidRPr="004E6093" w:rsidRDefault="00D12EE6" w:rsidP="00D12EE6">
      <w:pPr>
        <w:pStyle w:val="Tabletitle"/>
      </w:pPr>
      <w:r w:rsidRPr="004E6093">
        <w:t xml:space="preserve">Table </w:t>
      </w:r>
      <w:r>
        <w:t>5</w:t>
      </w:r>
      <w:r w:rsidRPr="004E6093">
        <w:t xml:space="preserve">: Repeats ordered on original prescriptions </w:t>
      </w:r>
      <w:r w:rsidR="00426DD8">
        <w:t>for commonly used antibiotics</w:t>
      </w:r>
    </w:p>
    <w:tbl>
      <w:tblPr>
        <w:tblW w:w="88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8 shows the repeats ordered on original antibiotic prescriptions"/>
      </w:tblPr>
      <w:tblGrid>
        <w:gridCol w:w="1740"/>
        <w:gridCol w:w="1646"/>
        <w:gridCol w:w="1646"/>
        <w:gridCol w:w="1646"/>
        <w:gridCol w:w="2126"/>
      </w:tblGrid>
      <w:tr w:rsidR="00D12EE6" w:rsidRPr="004E6093" w14:paraId="03C379BA" w14:textId="77777777" w:rsidTr="00426DD8">
        <w:trPr>
          <w:trHeight w:val="300"/>
        </w:trPr>
        <w:tc>
          <w:tcPr>
            <w:tcW w:w="1740" w:type="dxa"/>
            <w:shd w:val="clear" w:color="auto" w:fill="F2F2F2" w:themeFill="background1" w:themeFillShade="F2"/>
            <w:noWrap/>
            <w:vAlign w:val="bottom"/>
            <w:hideMark/>
          </w:tcPr>
          <w:p w14:paraId="2A84E611" w14:textId="77777777" w:rsidR="00D12EE6" w:rsidRPr="004E6093" w:rsidRDefault="00D12EE6" w:rsidP="00426DD8">
            <w:pPr>
              <w:pStyle w:val="Tablewriting"/>
            </w:pPr>
            <w:r w:rsidRPr="004E6093">
              <w:t>Antibiotic</w:t>
            </w:r>
          </w:p>
        </w:tc>
        <w:tc>
          <w:tcPr>
            <w:tcW w:w="1646" w:type="dxa"/>
            <w:shd w:val="clear" w:color="auto" w:fill="F2F2F2" w:themeFill="background1" w:themeFillShade="F2"/>
          </w:tcPr>
          <w:p w14:paraId="477AD4B2" w14:textId="77777777" w:rsidR="00D12EE6" w:rsidRPr="004E6093" w:rsidRDefault="00D12EE6" w:rsidP="00426DD8">
            <w:pPr>
              <w:pStyle w:val="Tablewriting"/>
            </w:pPr>
            <w:r w:rsidRPr="004E6093">
              <w:t>Number of original prescriptions with no repeat ordered</w:t>
            </w:r>
          </w:p>
        </w:tc>
        <w:tc>
          <w:tcPr>
            <w:tcW w:w="1646" w:type="dxa"/>
            <w:shd w:val="clear" w:color="auto" w:fill="F2F2F2" w:themeFill="background1" w:themeFillShade="F2"/>
            <w:noWrap/>
            <w:hideMark/>
          </w:tcPr>
          <w:p w14:paraId="4E3E852F" w14:textId="77777777" w:rsidR="00D12EE6" w:rsidRPr="004E6093" w:rsidRDefault="00D12EE6" w:rsidP="00426DD8">
            <w:pPr>
              <w:pStyle w:val="Tablewriting"/>
            </w:pPr>
            <w:r w:rsidRPr="004E6093">
              <w:t>Number of original prescriptions with repeats ordered</w:t>
            </w:r>
          </w:p>
        </w:tc>
        <w:tc>
          <w:tcPr>
            <w:tcW w:w="1646" w:type="dxa"/>
            <w:shd w:val="clear" w:color="auto" w:fill="F2F2F2" w:themeFill="background1" w:themeFillShade="F2"/>
          </w:tcPr>
          <w:p w14:paraId="4F8831B7" w14:textId="77777777" w:rsidR="00D12EE6" w:rsidRPr="004E6093" w:rsidRDefault="00D12EE6" w:rsidP="00426DD8">
            <w:pPr>
              <w:pStyle w:val="Tablewriting"/>
            </w:pPr>
            <w:r w:rsidRPr="004E6093">
              <w:t>Number of original prescriptions</w:t>
            </w:r>
          </w:p>
        </w:tc>
        <w:tc>
          <w:tcPr>
            <w:tcW w:w="2126" w:type="dxa"/>
            <w:shd w:val="clear" w:color="auto" w:fill="F2F2F2" w:themeFill="background1" w:themeFillShade="F2"/>
          </w:tcPr>
          <w:p w14:paraId="36E82AEC" w14:textId="77777777" w:rsidR="00D12EE6" w:rsidRPr="004E6093" w:rsidRDefault="00D12EE6" w:rsidP="00426DD8">
            <w:pPr>
              <w:pStyle w:val="Tablewriting"/>
            </w:pPr>
            <w:r w:rsidRPr="004E6093">
              <w:t>Original prescriptions with repeats ordered as a proportion of original prescriptions</w:t>
            </w:r>
          </w:p>
        </w:tc>
      </w:tr>
      <w:tr w:rsidR="00D12EE6" w:rsidRPr="004E6093" w14:paraId="2386281D" w14:textId="77777777" w:rsidTr="00426DD8">
        <w:trPr>
          <w:trHeight w:val="300"/>
        </w:trPr>
        <w:tc>
          <w:tcPr>
            <w:tcW w:w="1740" w:type="dxa"/>
            <w:shd w:val="clear" w:color="auto" w:fill="auto"/>
            <w:noWrap/>
            <w:vAlign w:val="bottom"/>
            <w:hideMark/>
          </w:tcPr>
          <w:p w14:paraId="7D218DD0" w14:textId="77777777" w:rsidR="00D12EE6" w:rsidRPr="004E6093" w:rsidRDefault="00D12EE6" w:rsidP="00426DD8">
            <w:pPr>
              <w:pStyle w:val="Tablewriting"/>
            </w:pPr>
            <w:r w:rsidRPr="004E6093">
              <w:t>Amoxycillin</w:t>
            </w:r>
          </w:p>
        </w:tc>
        <w:tc>
          <w:tcPr>
            <w:tcW w:w="1646" w:type="dxa"/>
            <w:vAlign w:val="bottom"/>
          </w:tcPr>
          <w:p w14:paraId="0B4A5C14" w14:textId="77777777" w:rsidR="00D12EE6" w:rsidRPr="004E6093" w:rsidRDefault="00D12EE6" w:rsidP="00426DD8">
            <w:pPr>
              <w:pStyle w:val="Tablewriting"/>
              <w:rPr>
                <w:bCs/>
              </w:rPr>
            </w:pPr>
            <w:r w:rsidRPr="004E6093">
              <w:rPr>
                <w:bCs/>
              </w:rPr>
              <w:t>2,270,614</w:t>
            </w:r>
          </w:p>
        </w:tc>
        <w:tc>
          <w:tcPr>
            <w:tcW w:w="1646" w:type="dxa"/>
            <w:shd w:val="clear" w:color="auto" w:fill="auto"/>
            <w:noWrap/>
            <w:vAlign w:val="bottom"/>
          </w:tcPr>
          <w:p w14:paraId="3EBB13F4" w14:textId="77777777" w:rsidR="00D12EE6" w:rsidRPr="004E6093" w:rsidRDefault="00D12EE6" w:rsidP="00426DD8">
            <w:pPr>
              <w:pStyle w:val="Tablewriting"/>
              <w:rPr>
                <w:bCs/>
              </w:rPr>
            </w:pPr>
            <w:r w:rsidRPr="004E6093">
              <w:rPr>
                <w:bCs/>
              </w:rPr>
              <w:t>1,521,208</w:t>
            </w:r>
          </w:p>
        </w:tc>
        <w:tc>
          <w:tcPr>
            <w:tcW w:w="1646" w:type="dxa"/>
            <w:vAlign w:val="bottom"/>
          </w:tcPr>
          <w:p w14:paraId="29F94352" w14:textId="77777777" w:rsidR="00D12EE6" w:rsidRPr="004E6093" w:rsidRDefault="00D12EE6" w:rsidP="00426DD8">
            <w:pPr>
              <w:pStyle w:val="Tablewriting"/>
              <w:rPr>
                <w:bCs/>
              </w:rPr>
            </w:pPr>
            <w:r w:rsidRPr="004E6093">
              <w:rPr>
                <w:bCs/>
              </w:rPr>
              <w:t>3,791,822</w:t>
            </w:r>
          </w:p>
        </w:tc>
        <w:tc>
          <w:tcPr>
            <w:tcW w:w="2126" w:type="dxa"/>
            <w:vAlign w:val="bottom"/>
          </w:tcPr>
          <w:p w14:paraId="5A9865CC" w14:textId="77777777" w:rsidR="00D12EE6" w:rsidRPr="004E6093" w:rsidRDefault="00D12EE6" w:rsidP="00426DD8">
            <w:pPr>
              <w:pStyle w:val="Tablewriting"/>
            </w:pPr>
            <w:r w:rsidRPr="004E6093">
              <w:t>40%</w:t>
            </w:r>
          </w:p>
        </w:tc>
      </w:tr>
      <w:tr w:rsidR="00D12EE6" w:rsidRPr="004E6093" w14:paraId="6CC422FD" w14:textId="77777777" w:rsidTr="00426DD8">
        <w:trPr>
          <w:trHeight w:val="300"/>
        </w:trPr>
        <w:tc>
          <w:tcPr>
            <w:tcW w:w="1740" w:type="dxa"/>
            <w:shd w:val="clear" w:color="auto" w:fill="auto"/>
            <w:noWrap/>
            <w:vAlign w:val="bottom"/>
            <w:hideMark/>
          </w:tcPr>
          <w:p w14:paraId="6CBDB4AD" w14:textId="77777777" w:rsidR="00D12EE6" w:rsidRPr="004E6093" w:rsidRDefault="00D12EE6" w:rsidP="00426DD8">
            <w:pPr>
              <w:pStyle w:val="Tablewriting"/>
            </w:pPr>
            <w:r w:rsidRPr="004E6093">
              <w:t xml:space="preserve">Amoxycillin + </w:t>
            </w:r>
            <w:proofErr w:type="spellStart"/>
            <w:r w:rsidRPr="004E6093">
              <w:t>Clavulanic</w:t>
            </w:r>
            <w:proofErr w:type="spellEnd"/>
            <w:r w:rsidRPr="004E6093">
              <w:t xml:space="preserve"> Acid</w:t>
            </w:r>
          </w:p>
        </w:tc>
        <w:tc>
          <w:tcPr>
            <w:tcW w:w="1646" w:type="dxa"/>
            <w:vAlign w:val="bottom"/>
          </w:tcPr>
          <w:p w14:paraId="44C95060" w14:textId="77777777" w:rsidR="00D12EE6" w:rsidRPr="004E6093" w:rsidRDefault="00D12EE6" w:rsidP="00426DD8">
            <w:pPr>
              <w:pStyle w:val="Tablewriting"/>
              <w:rPr>
                <w:bCs/>
              </w:rPr>
            </w:pPr>
            <w:r w:rsidRPr="004E6093">
              <w:rPr>
                <w:bCs/>
              </w:rPr>
              <w:t>950,129</w:t>
            </w:r>
          </w:p>
        </w:tc>
        <w:tc>
          <w:tcPr>
            <w:tcW w:w="1646" w:type="dxa"/>
            <w:shd w:val="clear" w:color="auto" w:fill="auto"/>
            <w:noWrap/>
            <w:vAlign w:val="bottom"/>
          </w:tcPr>
          <w:p w14:paraId="7A1D528E" w14:textId="77777777" w:rsidR="00D12EE6" w:rsidRPr="004E6093" w:rsidRDefault="00D12EE6" w:rsidP="00426DD8">
            <w:pPr>
              <w:pStyle w:val="Tablewriting"/>
              <w:rPr>
                <w:bCs/>
              </w:rPr>
            </w:pPr>
            <w:r w:rsidRPr="004E6093">
              <w:rPr>
                <w:bCs/>
              </w:rPr>
              <w:t>2,064,644</w:t>
            </w:r>
          </w:p>
        </w:tc>
        <w:tc>
          <w:tcPr>
            <w:tcW w:w="1646" w:type="dxa"/>
            <w:vAlign w:val="bottom"/>
          </w:tcPr>
          <w:p w14:paraId="51F51010" w14:textId="77777777" w:rsidR="00D12EE6" w:rsidRPr="004E6093" w:rsidRDefault="00D12EE6" w:rsidP="00426DD8">
            <w:pPr>
              <w:pStyle w:val="Tablewriting"/>
              <w:rPr>
                <w:bCs/>
              </w:rPr>
            </w:pPr>
            <w:r w:rsidRPr="004E6093">
              <w:rPr>
                <w:bCs/>
              </w:rPr>
              <w:t>3,014,773</w:t>
            </w:r>
          </w:p>
        </w:tc>
        <w:tc>
          <w:tcPr>
            <w:tcW w:w="2126" w:type="dxa"/>
            <w:vAlign w:val="bottom"/>
          </w:tcPr>
          <w:p w14:paraId="41762708" w14:textId="77777777" w:rsidR="00D12EE6" w:rsidRPr="004E6093" w:rsidRDefault="00D12EE6" w:rsidP="00426DD8">
            <w:pPr>
              <w:pStyle w:val="Tablewriting"/>
            </w:pPr>
            <w:r w:rsidRPr="004E6093">
              <w:t>68%</w:t>
            </w:r>
          </w:p>
        </w:tc>
      </w:tr>
      <w:tr w:rsidR="00D12EE6" w:rsidRPr="004E6093" w14:paraId="3BAF967C" w14:textId="77777777" w:rsidTr="00426DD8">
        <w:trPr>
          <w:trHeight w:val="300"/>
        </w:trPr>
        <w:tc>
          <w:tcPr>
            <w:tcW w:w="1740" w:type="dxa"/>
            <w:shd w:val="clear" w:color="auto" w:fill="auto"/>
            <w:noWrap/>
            <w:vAlign w:val="bottom"/>
            <w:hideMark/>
          </w:tcPr>
          <w:p w14:paraId="3B7F2FE2" w14:textId="77777777" w:rsidR="00D12EE6" w:rsidRPr="004E6093" w:rsidRDefault="00D12EE6" w:rsidP="00426DD8">
            <w:pPr>
              <w:pStyle w:val="Tablewriting"/>
            </w:pPr>
            <w:r w:rsidRPr="004E6093">
              <w:t>Cephalexin</w:t>
            </w:r>
          </w:p>
        </w:tc>
        <w:tc>
          <w:tcPr>
            <w:tcW w:w="1646" w:type="dxa"/>
            <w:vAlign w:val="bottom"/>
          </w:tcPr>
          <w:p w14:paraId="195CC134" w14:textId="77777777" w:rsidR="00D12EE6" w:rsidRPr="004E6093" w:rsidRDefault="00D12EE6" w:rsidP="00426DD8">
            <w:pPr>
              <w:pStyle w:val="Tablewriting"/>
              <w:rPr>
                <w:bCs/>
              </w:rPr>
            </w:pPr>
            <w:r w:rsidRPr="004E6093">
              <w:rPr>
                <w:bCs/>
              </w:rPr>
              <w:t>1,677,748</w:t>
            </w:r>
          </w:p>
        </w:tc>
        <w:tc>
          <w:tcPr>
            <w:tcW w:w="1646" w:type="dxa"/>
            <w:shd w:val="clear" w:color="auto" w:fill="auto"/>
            <w:noWrap/>
            <w:vAlign w:val="bottom"/>
          </w:tcPr>
          <w:p w14:paraId="166CA20A" w14:textId="77777777" w:rsidR="00D12EE6" w:rsidRPr="004E6093" w:rsidRDefault="00D12EE6" w:rsidP="00426DD8">
            <w:pPr>
              <w:pStyle w:val="Tablewriting"/>
              <w:rPr>
                <w:bCs/>
              </w:rPr>
            </w:pPr>
            <w:r w:rsidRPr="004E6093">
              <w:rPr>
                <w:bCs/>
              </w:rPr>
              <w:t>1,908,106</w:t>
            </w:r>
          </w:p>
        </w:tc>
        <w:tc>
          <w:tcPr>
            <w:tcW w:w="1646" w:type="dxa"/>
            <w:vAlign w:val="bottom"/>
          </w:tcPr>
          <w:p w14:paraId="60910B4F" w14:textId="77777777" w:rsidR="00D12EE6" w:rsidRPr="004E6093" w:rsidRDefault="00D12EE6" w:rsidP="00426DD8">
            <w:pPr>
              <w:pStyle w:val="Tablewriting"/>
              <w:rPr>
                <w:bCs/>
              </w:rPr>
            </w:pPr>
            <w:r w:rsidRPr="004E6093">
              <w:rPr>
                <w:bCs/>
              </w:rPr>
              <w:t>3,585,854</w:t>
            </w:r>
          </w:p>
        </w:tc>
        <w:tc>
          <w:tcPr>
            <w:tcW w:w="2126" w:type="dxa"/>
            <w:vAlign w:val="bottom"/>
          </w:tcPr>
          <w:p w14:paraId="376BBFF3" w14:textId="77777777" w:rsidR="00D12EE6" w:rsidRPr="004E6093" w:rsidRDefault="00D12EE6" w:rsidP="00426DD8">
            <w:pPr>
              <w:pStyle w:val="Tablewriting"/>
            </w:pPr>
            <w:r w:rsidRPr="004E6093">
              <w:t>53%</w:t>
            </w:r>
          </w:p>
        </w:tc>
      </w:tr>
      <w:tr w:rsidR="00D12EE6" w:rsidRPr="004E6093" w14:paraId="365A17E3" w14:textId="77777777" w:rsidTr="00426DD8">
        <w:trPr>
          <w:trHeight w:val="300"/>
        </w:trPr>
        <w:tc>
          <w:tcPr>
            <w:tcW w:w="1740" w:type="dxa"/>
            <w:shd w:val="clear" w:color="auto" w:fill="auto"/>
            <w:noWrap/>
            <w:vAlign w:val="bottom"/>
            <w:hideMark/>
          </w:tcPr>
          <w:p w14:paraId="5A2CD848" w14:textId="77777777" w:rsidR="00D12EE6" w:rsidRPr="004E6093" w:rsidRDefault="00D12EE6" w:rsidP="00426DD8">
            <w:pPr>
              <w:pStyle w:val="Tablewriting"/>
            </w:pPr>
            <w:r w:rsidRPr="004E6093">
              <w:t>Chloramphenicol</w:t>
            </w:r>
          </w:p>
        </w:tc>
        <w:tc>
          <w:tcPr>
            <w:tcW w:w="1646" w:type="dxa"/>
            <w:vAlign w:val="bottom"/>
          </w:tcPr>
          <w:p w14:paraId="057215B5" w14:textId="77777777" w:rsidR="00D12EE6" w:rsidRPr="004E6093" w:rsidRDefault="00D12EE6" w:rsidP="00426DD8">
            <w:pPr>
              <w:pStyle w:val="Tablewriting"/>
            </w:pPr>
            <w:r w:rsidRPr="004E6093">
              <w:t>462,805</w:t>
            </w:r>
          </w:p>
        </w:tc>
        <w:tc>
          <w:tcPr>
            <w:tcW w:w="1646" w:type="dxa"/>
            <w:shd w:val="clear" w:color="auto" w:fill="auto"/>
            <w:noWrap/>
            <w:vAlign w:val="bottom"/>
            <w:hideMark/>
          </w:tcPr>
          <w:p w14:paraId="04B7622D" w14:textId="77777777" w:rsidR="00D12EE6" w:rsidRPr="004E6093" w:rsidRDefault="00D12EE6" w:rsidP="00426DD8">
            <w:pPr>
              <w:pStyle w:val="Tablewriting"/>
            </w:pPr>
            <w:r w:rsidRPr="004E6093">
              <w:t>181,681</w:t>
            </w:r>
          </w:p>
        </w:tc>
        <w:tc>
          <w:tcPr>
            <w:tcW w:w="1646" w:type="dxa"/>
            <w:vAlign w:val="bottom"/>
          </w:tcPr>
          <w:p w14:paraId="0A3E0C47" w14:textId="77777777" w:rsidR="00D12EE6" w:rsidRPr="004E6093" w:rsidRDefault="00D12EE6" w:rsidP="00426DD8">
            <w:pPr>
              <w:pStyle w:val="Tablewriting"/>
            </w:pPr>
            <w:r w:rsidRPr="004E6093">
              <w:t xml:space="preserve">644,486 </w:t>
            </w:r>
          </w:p>
        </w:tc>
        <w:tc>
          <w:tcPr>
            <w:tcW w:w="2126" w:type="dxa"/>
            <w:vAlign w:val="bottom"/>
          </w:tcPr>
          <w:p w14:paraId="0969AE8D" w14:textId="77777777" w:rsidR="00D12EE6" w:rsidRPr="004E6093" w:rsidRDefault="00D12EE6" w:rsidP="00426DD8">
            <w:pPr>
              <w:pStyle w:val="Tablewriting"/>
            </w:pPr>
            <w:r w:rsidRPr="004E6093">
              <w:t>28%</w:t>
            </w:r>
          </w:p>
        </w:tc>
      </w:tr>
      <w:tr w:rsidR="00D12EE6" w:rsidRPr="004E6093" w14:paraId="74929EE8" w14:textId="77777777" w:rsidTr="00426DD8">
        <w:trPr>
          <w:trHeight w:val="300"/>
        </w:trPr>
        <w:tc>
          <w:tcPr>
            <w:tcW w:w="1740" w:type="dxa"/>
            <w:shd w:val="clear" w:color="auto" w:fill="auto"/>
            <w:noWrap/>
            <w:vAlign w:val="bottom"/>
            <w:hideMark/>
          </w:tcPr>
          <w:p w14:paraId="39532FF0" w14:textId="77777777" w:rsidR="00D12EE6" w:rsidRPr="004E6093" w:rsidRDefault="00D12EE6" w:rsidP="00426DD8">
            <w:pPr>
              <w:pStyle w:val="Tablewriting"/>
            </w:pPr>
            <w:proofErr w:type="spellStart"/>
            <w:r w:rsidRPr="004E6093">
              <w:t>Roxithromycin</w:t>
            </w:r>
            <w:proofErr w:type="spellEnd"/>
          </w:p>
        </w:tc>
        <w:tc>
          <w:tcPr>
            <w:tcW w:w="1646" w:type="dxa"/>
            <w:vAlign w:val="bottom"/>
          </w:tcPr>
          <w:p w14:paraId="4762E72C" w14:textId="77777777" w:rsidR="00D12EE6" w:rsidRPr="004E6093" w:rsidRDefault="00D12EE6" w:rsidP="00426DD8">
            <w:pPr>
              <w:pStyle w:val="Tablewriting"/>
              <w:rPr>
                <w:bCs/>
              </w:rPr>
            </w:pPr>
            <w:r w:rsidRPr="004E6093">
              <w:rPr>
                <w:bCs/>
              </w:rPr>
              <w:t>436,087</w:t>
            </w:r>
          </w:p>
        </w:tc>
        <w:tc>
          <w:tcPr>
            <w:tcW w:w="1646" w:type="dxa"/>
            <w:shd w:val="clear" w:color="auto" w:fill="auto"/>
            <w:noWrap/>
            <w:vAlign w:val="bottom"/>
          </w:tcPr>
          <w:p w14:paraId="384B6CC9" w14:textId="77777777" w:rsidR="00D12EE6" w:rsidRPr="004E6093" w:rsidRDefault="00D12EE6" w:rsidP="00426DD8">
            <w:pPr>
              <w:pStyle w:val="Tablewriting"/>
              <w:rPr>
                <w:bCs/>
              </w:rPr>
            </w:pPr>
            <w:r w:rsidRPr="004E6093">
              <w:rPr>
                <w:bCs/>
              </w:rPr>
              <w:t>1,046,601</w:t>
            </w:r>
          </w:p>
        </w:tc>
        <w:tc>
          <w:tcPr>
            <w:tcW w:w="1646" w:type="dxa"/>
            <w:vAlign w:val="bottom"/>
          </w:tcPr>
          <w:p w14:paraId="409920C7" w14:textId="77777777" w:rsidR="00D12EE6" w:rsidRPr="004E6093" w:rsidRDefault="00D12EE6" w:rsidP="00426DD8">
            <w:pPr>
              <w:pStyle w:val="Tablewriting"/>
              <w:rPr>
                <w:bCs/>
              </w:rPr>
            </w:pPr>
            <w:r w:rsidRPr="004E6093">
              <w:rPr>
                <w:bCs/>
              </w:rPr>
              <w:t>1,482,688</w:t>
            </w:r>
          </w:p>
        </w:tc>
        <w:tc>
          <w:tcPr>
            <w:tcW w:w="2126" w:type="dxa"/>
            <w:vAlign w:val="bottom"/>
          </w:tcPr>
          <w:p w14:paraId="4D8B5041" w14:textId="77777777" w:rsidR="00D12EE6" w:rsidRPr="004E6093" w:rsidRDefault="00D12EE6" w:rsidP="00426DD8">
            <w:pPr>
              <w:pStyle w:val="Tablewriting"/>
            </w:pPr>
            <w:r w:rsidRPr="004E6093">
              <w:t>71%</w:t>
            </w:r>
          </w:p>
        </w:tc>
      </w:tr>
    </w:tbl>
    <w:p w14:paraId="0EE302E2" w14:textId="12E961B1" w:rsidR="00A073CF" w:rsidRPr="00A073CF" w:rsidRDefault="00A073CF" w:rsidP="00247368">
      <w:pPr>
        <w:spacing w:before="0"/>
        <w:rPr>
          <w:rStyle w:val="FigurecaptionChar"/>
        </w:rPr>
      </w:pPr>
      <w:r>
        <w:rPr>
          <w:rStyle w:val="FigurecaptionChar"/>
        </w:rPr>
        <w:t xml:space="preserve">Source: </w:t>
      </w:r>
      <w:r w:rsidRPr="00A073CF">
        <w:rPr>
          <w:rStyle w:val="FigurecaptionChar"/>
        </w:rPr>
        <w:t>DHS Medicare Pharmacy Claims database based on the date of supply</w:t>
      </w:r>
      <w:r>
        <w:rPr>
          <w:rStyle w:val="FigurecaptionChar"/>
        </w:rPr>
        <w:t>. Includes</w:t>
      </w:r>
      <w:r w:rsidR="00247368">
        <w:rPr>
          <w:rStyle w:val="FigurecaptionChar"/>
        </w:rPr>
        <w:t xml:space="preserve"> </w:t>
      </w:r>
      <w:r w:rsidRPr="00A073CF">
        <w:rPr>
          <w:rStyle w:val="FigurecaptionChar"/>
        </w:rPr>
        <w:t>original prescription</w:t>
      </w:r>
      <w:r w:rsidR="00247368">
        <w:rPr>
          <w:rStyle w:val="FigurecaptionChar"/>
        </w:rPr>
        <w:t>s</w:t>
      </w:r>
      <w:r w:rsidRPr="00A073CF">
        <w:rPr>
          <w:rStyle w:val="FigurecaptionChar"/>
        </w:rPr>
        <w:t xml:space="preserve"> </w:t>
      </w:r>
      <w:r w:rsidR="00247368">
        <w:rPr>
          <w:rStyle w:val="FigurecaptionChar"/>
        </w:rPr>
        <w:t>supplied</w:t>
      </w:r>
      <w:r w:rsidRPr="00A073CF">
        <w:rPr>
          <w:rStyle w:val="FigurecaptionChar"/>
        </w:rPr>
        <w:t xml:space="preserve"> in the 2012-13 financial year</w:t>
      </w:r>
      <w:r w:rsidR="00247368">
        <w:rPr>
          <w:rStyle w:val="FigurecaptionChar"/>
        </w:rPr>
        <w:t>.</w:t>
      </w:r>
    </w:p>
    <w:p w14:paraId="37E72D8E" w14:textId="58940704" w:rsidR="00D12EE6" w:rsidRDefault="00D12EE6" w:rsidP="00D12EE6">
      <w:r w:rsidRPr="004E6093">
        <w:t xml:space="preserve">The ordering of repeats on an original prescription was variable across the five medicines (Table </w:t>
      </w:r>
      <w:r w:rsidR="00426DD8">
        <w:t>5</w:t>
      </w:r>
      <w:r w:rsidRPr="004E6093">
        <w:t xml:space="preserve">). Only 28% of chloramphenicol original prescriptions had repeats ordered. Contrastingly, 71% of </w:t>
      </w:r>
      <w:proofErr w:type="spellStart"/>
      <w:r w:rsidRPr="004E6093">
        <w:t>roxithromycin</w:t>
      </w:r>
      <w:proofErr w:type="spellEnd"/>
      <w:r w:rsidRPr="004E6093">
        <w:t xml:space="preserve"> original prescriptions had repeats ordered. </w:t>
      </w:r>
    </w:p>
    <w:p w14:paraId="50521DC2" w14:textId="77777777" w:rsidR="00426DD8" w:rsidRPr="004E6093" w:rsidRDefault="00426DD8" w:rsidP="00426DD8">
      <w:r w:rsidRPr="004E6093">
        <w:t xml:space="preserve">Where repeats were ordered on the original prescription, the proportion of these repeats dispensed was fairly constant across the five medicines, at around 20% for oral preparations and 25% for chloramphenicol (Table </w:t>
      </w:r>
      <w:r>
        <w:t>6</w:t>
      </w:r>
      <w:r w:rsidRPr="004E6093">
        <w:t xml:space="preserve">). </w:t>
      </w:r>
    </w:p>
    <w:p w14:paraId="7D27A645" w14:textId="2F5E191F" w:rsidR="00464352" w:rsidRPr="004E6093" w:rsidRDefault="00464352" w:rsidP="00464352">
      <w:pPr>
        <w:pStyle w:val="Tabletitle"/>
      </w:pPr>
      <w:r w:rsidRPr="004E6093">
        <w:t xml:space="preserve">Table </w:t>
      </w:r>
      <w:r>
        <w:t>6</w:t>
      </w:r>
      <w:r w:rsidRPr="004E6093">
        <w:t xml:space="preserve">: </w:t>
      </w:r>
      <w:r w:rsidR="00426DD8">
        <w:t>R</w:t>
      </w:r>
      <w:r w:rsidRPr="004E6093">
        <w:t>epeats filled</w:t>
      </w:r>
      <w:r w:rsidR="00426DD8">
        <w:t xml:space="preserve"> for commonly used antibiotics</w:t>
      </w:r>
    </w:p>
    <w:tbl>
      <w:tblPr>
        <w:tblW w:w="79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9 shows the proportion of repeats dispensed when repeats were ordered on the original prescription"/>
      </w:tblPr>
      <w:tblGrid>
        <w:gridCol w:w="1740"/>
        <w:gridCol w:w="2235"/>
        <w:gridCol w:w="1620"/>
        <w:gridCol w:w="2340"/>
      </w:tblGrid>
      <w:tr w:rsidR="00464352" w:rsidRPr="004E6093" w14:paraId="593254F9" w14:textId="77777777" w:rsidTr="00426DD8">
        <w:trPr>
          <w:trHeight w:val="300"/>
          <w:tblHeader/>
        </w:trPr>
        <w:tc>
          <w:tcPr>
            <w:tcW w:w="1740" w:type="dxa"/>
            <w:shd w:val="clear" w:color="auto" w:fill="F2F2F2" w:themeFill="background1" w:themeFillShade="F2"/>
            <w:noWrap/>
            <w:vAlign w:val="bottom"/>
            <w:hideMark/>
          </w:tcPr>
          <w:p w14:paraId="7522AC62" w14:textId="77777777" w:rsidR="00464352" w:rsidRPr="00517CB8" w:rsidRDefault="00464352" w:rsidP="00426DD8">
            <w:pPr>
              <w:pStyle w:val="Tablewriting"/>
            </w:pPr>
            <w:r w:rsidRPr="00517CB8">
              <w:t>Antibiotic</w:t>
            </w:r>
          </w:p>
        </w:tc>
        <w:tc>
          <w:tcPr>
            <w:tcW w:w="2235" w:type="dxa"/>
            <w:shd w:val="clear" w:color="auto" w:fill="F2F2F2" w:themeFill="background1" w:themeFillShade="F2"/>
            <w:noWrap/>
            <w:vAlign w:val="bottom"/>
            <w:hideMark/>
          </w:tcPr>
          <w:p w14:paraId="4E3C2D74" w14:textId="77777777" w:rsidR="00464352" w:rsidRPr="00517CB8" w:rsidRDefault="00464352" w:rsidP="00426DD8">
            <w:pPr>
              <w:pStyle w:val="Tablewriting"/>
            </w:pPr>
            <w:r w:rsidRPr="00517CB8">
              <w:t>Number of original prescriptions with repeats ordered</w:t>
            </w:r>
          </w:p>
        </w:tc>
        <w:tc>
          <w:tcPr>
            <w:tcW w:w="1620" w:type="dxa"/>
            <w:shd w:val="clear" w:color="auto" w:fill="F2F2F2" w:themeFill="background1" w:themeFillShade="F2"/>
            <w:noWrap/>
            <w:vAlign w:val="bottom"/>
            <w:hideMark/>
          </w:tcPr>
          <w:p w14:paraId="75A88CBC" w14:textId="77777777" w:rsidR="00464352" w:rsidRPr="00517CB8" w:rsidRDefault="00464352" w:rsidP="00426DD8">
            <w:pPr>
              <w:pStyle w:val="Tablewriting"/>
            </w:pPr>
            <w:r w:rsidRPr="00517CB8">
              <w:t>Number of repeats filled</w:t>
            </w:r>
          </w:p>
        </w:tc>
        <w:tc>
          <w:tcPr>
            <w:tcW w:w="2340" w:type="dxa"/>
            <w:shd w:val="clear" w:color="auto" w:fill="F2F2F2" w:themeFill="background1" w:themeFillShade="F2"/>
            <w:noWrap/>
            <w:vAlign w:val="bottom"/>
            <w:hideMark/>
          </w:tcPr>
          <w:p w14:paraId="5E2C0114" w14:textId="77777777" w:rsidR="00464352" w:rsidRPr="00517CB8" w:rsidRDefault="00464352" w:rsidP="00426DD8">
            <w:pPr>
              <w:pStyle w:val="Tablewriting"/>
            </w:pPr>
            <w:r w:rsidRPr="00517CB8">
              <w:t>Filled repeats as a proportion of ordered repeats</w:t>
            </w:r>
          </w:p>
        </w:tc>
      </w:tr>
      <w:tr w:rsidR="00464352" w:rsidRPr="004E6093" w14:paraId="64C7F758" w14:textId="77777777" w:rsidTr="00426DD8">
        <w:trPr>
          <w:trHeight w:val="300"/>
        </w:trPr>
        <w:tc>
          <w:tcPr>
            <w:tcW w:w="1740" w:type="dxa"/>
            <w:shd w:val="clear" w:color="auto" w:fill="auto"/>
            <w:noWrap/>
            <w:vAlign w:val="bottom"/>
            <w:hideMark/>
          </w:tcPr>
          <w:p w14:paraId="7AF2C632" w14:textId="77777777" w:rsidR="00464352" w:rsidRPr="00517CB8" w:rsidRDefault="00464352" w:rsidP="00426DD8">
            <w:pPr>
              <w:pStyle w:val="Tablewriting"/>
            </w:pPr>
            <w:r w:rsidRPr="00517CB8">
              <w:t>Amoxycillin</w:t>
            </w:r>
          </w:p>
        </w:tc>
        <w:tc>
          <w:tcPr>
            <w:tcW w:w="2235" w:type="dxa"/>
            <w:shd w:val="clear" w:color="auto" w:fill="auto"/>
            <w:noWrap/>
            <w:vAlign w:val="bottom"/>
          </w:tcPr>
          <w:p w14:paraId="4EAA6207" w14:textId="77777777" w:rsidR="00464352" w:rsidRPr="00517CB8" w:rsidRDefault="00464352" w:rsidP="00426DD8">
            <w:pPr>
              <w:pStyle w:val="Tablewriting"/>
            </w:pPr>
            <w:r w:rsidRPr="00517CB8">
              <w:t>1,521,208</w:t>
            </w:r>
          </w:p>
        </w:tc>
        <w:tc>
          <w:tcPr>
            <w:tcW w:w="1620" w:type="dxa"/>
            <w:shd w:val="clear" w:color="auto" w:fill="auto"/>
            <w:noWrap/>
            <w:vAlign w:val="bottom"/>
          </w:tcPr>
          <w:p w14:paraId="797F75BD" w14:textId="77777777" w:rsidR="00464352" w:rsidRPr="00517CB8" w:rsidRDefault="00464352" w:rsidP="00426DD8">
            <w:pPr>
              <w:pStyle w:val="Tablewriting"/>
            </w:pPr>
            <w:r w:rsidRPr="00517CB8">
              <w:t>288,448</w:t>
            </w:r>
          </w:p>
        </w:tc>
        <w:tc>
          <w:tcPr>
            <w:tcW w:w="2340" w:type="dxa"/>
            <w:shd w:val="clear" w:color="auto" w:fill="auto"/>
            <w:noWrap/>
            <w:vAlign w:val="bottom"/>
          </w:tcPr>
          <w:p w14:paraId="29D4D3A4" w14:textId="77777777" w:rsidR="00464352" w:rsidRPr="00517CB8" w:rsidRDefault="00464352" w:rsidP="00426DD8">
            <w:pPr>
              <w:pStyle w:val="Tablewriting"/>
            </w:pPr>
            <w:r w:rsidRPr="00517CB8">
              <w:t>19%</w:t>
            </w:r>
          </w:p>
        </w:tc>
      </w:tr>
      <w:tr w:rsidR="00464352" w:rsidRPr="004E6093" w14:paraId="6A520870" w14:textId="77777777" w:rsidTr="00426DD8">
        <w:trPr>
          <w:trHeight w:val="300"/>
        </w:trPr>
        <w:tc>
          <w:tcPr>
            <w:tcW w:w="1740" w:type="dxa"/>
            <w:shd w:val="clear" w:color="auto" w:fill="auto"/>
            <w:noWrap/>
            <w:vAlign w:val="bottom"/>
            <w:hideMark/>
          </w:tcPr>
          <w:p w14:paraId="6668D0B8" w14:textId="77777777" w:rsidR="00464352" w:rsidRPr="00517CB8" w:rsidRDefault="00464352" w:rsidP="00426DD8">
            <w:pPr>
              <w:pStyle w:val="Tablewriting"/>
            </w:pPr>
            <w:r w:rsidRPr="00517CB8">
              <w:t xml:space="preserve">Amoxycillin + </w:t>
            </w:r>
            <w:proofErr w:type="spellStart"/>
            <w:r w:rsidRPr="00517CB8">
              <w:t>Clavulanic</w:t>
            </w:r>
            <w:proofErr w:type="spellEnd"/>
            <w:r w:rsidRPr="00517CB8">
              <w:t xml:space="preserve"> Acid</w:t>
            </w:r>
          </w:p>
        </w:tc>
        <w:tc>
          <w:tcPr>
            <w:tcW w:w="2235" w:type="dxa"/>
            <w:shd w:val="clear" w:color="auto" w:fill="auto"/>
            <w:noWrap/>
            <w:vAlign w:val="bottom"/>
          </w:tcPr>
          <w:p w14:paraId="5E1C164F" w14:textId="77777777" w:rsidR="00464352" w:rsidRPr="00517CB8" w:rsidRDefault="00464352" w:rsidP="00426DD8">
            <w:pPr>
              <w:pStyle w:val="Tablewriting"/>
            </w:pPr>
            <w:r w:rsidRPr="00517CB8">
              <w:t>2,064,644</w:t>
            </w:r>
          </w:p>
        </w:tc>
        <w:tc>
          <w:tcPr>
            <w:tcW w:w="1620" w:type="dxa"/>
            <w:shd w:val="clear" w:color="auto" w:fill="auto"/>
            <w:noWrap/>
            <w:vAlign w:val="bottom"/>
          </w:tcPr>
          <w:p w14:paraId="7690AB03" w14:textId="77777777" w:rsidR="00464352" w:rsidRPr="00517CB8" w:rsidRDefault="00464352" w:rsidP="00426DD8">
            <w:pPr>
              <w:pStyle w:val="Tablewriting"/>
            </w:pPr>
            <w:r w:rsidRPr="00517CB8">
              <w:t>420,693</w:t>
            </w:r>
          </w:p>
        </w:tc>
        <w:tc>
          <w:tcPr>
            <w:tcW w:w="2340" w:type="dxa"/>
            <w:shd w:val="clear" w:color="auto" w:fill="auto"/>
            <w:noWrap/>
            <w:vAlign w:val="bottom"/>
          </w:tcPr>
          <w:p w14:paraId="26FD9BE3" w14:textId="77777777" w:rsidR="00464352" w:rsidRPr="00517CB8" w:rsidRDefault="00464352" w:rsidP="00426DD8">
            <w:pPr>
              <w:pStyle w:val="Tablewriting"/>
            </w:pPr>
            <w:r w:rsidRPr="00517CB8">
              <w:t>20%</w:t>
            </w:r>
          </w:p>
        </w:tc>
      </w:tr>
      <w:tr w:rsidR="00464352" w:rsidRPr="004E6093" w14:paraId="19309840" w14:textId="77777777" w:rsidTr="00426DD8">
        <w:trPr>
          <w:trHeight w:val="300"/>
        </w:trPr>
        <w:tc>
          <w:tcPr>
            <w:tcW w:w="1740" w:type="dxa"/>
            <w:shd w:val="clear" w:color="auto" w:fill="auto"/>
            <w:noWrap/>
            <w:vAlign w:val="bottom"/>
            <w:hideMark/>
          </w:tcPr>
          <w:p w14:paraId="681A9AA2" w14:textId="77777777" w:rsidR="00464352" w:rsidRPr="00517CB8" w:rsidRDefault="00464352" w:rsidP="00426DD8">
            <w:pPr>
              <w:pStyle w:val="Tablewriting"/>
            </w:pPr>
            <w:r w:rsidRPr="00517CB8">
              <w:t>Cephalexin</w:t>
            </w:r>
          </w:p>
        </w:tc>
        <w:tc>
          <w:tcPr>
            <w:tcW w:w="2235" w:type="dxa"/>
            <w:shd w:val="clear" w:color="auto" w:fill="auto"/>
            <w:noWrap/>
            <w:vAlign w:val="bottom"/>
          </w:tcPr>
          <w:p w14:paraId="5FAB32E8" w14:textId="77777777" w:rsidR="00464352" w:rsidRPr="00517CB8" w:rsidRDefault="00464352" w:rsidP="00426DD8">
            <w:pPr>
              <w:pStyle w:val="Tablewriting"/>
            </w:pPr>
            <w:r w:rsidRPr="00517CB8">
              <w:t>1,908,106</w:t>
            </w:r>
          </w:p>
        </w:tc>
        <w:tc>
          <w:tcPr>
            <w:tcW w:w="1620" w:type="dxa"/>
            <w:shd w:val="clear" w:color="auto" w:fill="auto"/>
            <w:noWrap/>
            <w:vAlign w:val="bottom"/>
          </w:tcPr>
          <w:p w14:paraId="45CCEA5D" w14:textId="77777777" w:rsidR="00464352" w:rsidRPr="00517CB8" w:rsidRDefault="00464352" w:rsidP="00426DD8">
            <w:pPr>
              <w:pStyle w:val="Tablewriting"/>
            </w:pPr>
            <w:r w:rsidRPr="00517CB8">
              <w:t>375,650</w:t>
            </w:r>
          </w:p>
        </w:tc>
        <w:tc>
          <w:tcPr>
            <w:tcW w:w="2340" w:type="dxa"/>
            <w:shd w:val="clear" w:color="auto" w:fill="auto"/>
            <w:noWrap/>
            <w:vAlign w:val="bottom"/>
          </w:tcPr>
          <w:p w14:paraId="6147C3D4" w14:textId="77777777" w:rsidR="00464352" w:rsidRPr="00517CB8" w:rsidRDefault="00464352" w:rsidP="00426DD8">
            <w:pPr>
              <w:pStyle w:val="Tablewriting"/>
            </w:pPr>
            <w:r w:rsidRPr="00517CB8">
              <w:t>20%</w:t>
            </w:r>
          </w:p>
        </w:tc>
      </w:tr>
      <w:tr w:rsidR="00464352" w:rsidRPr="004E6093" w14:paraId="4AF9DACF" w14:textId="77777777" w:rsidTr="00426DD8">
        <w:trPr>
          <w:trHeight w:val="300"/>
        </w:trPr>
        <w:tc>
          <w:tcPr>
            <w:tcW w:w="1740" w:type="dxa"/>
            <w:shd w:val="clear" w:color="auto" w:fill="auto"/>
            <w:noWrap/>
            <w:vAlign w:val="bottom"/>
            <w:hideMark/>
          </w:tcPr>
          <w:p w14:paraId="784D88DE" w14:textId="77777777" w:rsidR="00464352" w:rsidRPr="00517CB8" w:rsidRDefault="00464352" w:rsidP="00426DD8">
            <w:pPr>
              <w:pStyle w:val="Tablewriting"/>
            </w:pPr>
            <w:r w:rsidRPr="00517CB8">
              <w:t>Chloramphenicol</w:t>
            </w:r>
          </w:p>
        </w:tc>
        <w:tc>
          <w:tcPr>
            <w:tcW w:w="2235" w:type="dxa"/>
            <w:shd w:val="clear" w:color="auto" w:fill="auto"/>
            <w:noWrap/>
            <w:vAlign w:val="bottom"/>
            <w:hideMark/>
          </w:tcPr>
          <w:p w14:paraId="5188A0A3" w14:textId="77777777" w:rsidR="00464352" w:rsidRPr="00517CB8" w:rsidRDefault="00464352" w:rsidP="00426DD8">
            <w:pPr>
              <w:pStyle w:val="Tablewriting"/>
            </w:pPr>
            <w:r w:rsidRPr="00517CB8">
              <w:t>181,681</w:t>
            </w:r>
          </w:p>
        </w:tc>
        <w:tc>
          <w:tcPr>
            <w:tcW w:w="1620" w:type="dxa"/>
            <w:shd w:val="clear" w:color="auto" w:fill="auto"/>
            <w:noWrap/>
            <w:vAlign w:val="bottom"/>
            <w:hideMark/>
          </w:tcPr>
          <w:p w14:paraId="01876DF4" w14:textId="77777777" w:rsidR="00464352" w:rsidRPr="00517CB8" w:rsidRDefault="00464352" w:rsidP="00426DD8">
            <w:pPr>
              <w:pStyle w:val="Tablewriting"/>
            </w:pPr>
            <w:r w:rsidRPr="00517CB8">
              <w:t>45,846</w:t>
            </w:r>
          </w:p>
        </w:tc>
        <w:tc>
          <w:tcPr>
            <w:tcW w:w="2340" w:type="dxa"/>
            <w:shd w:val="clear" w:color="auto" w:fill="auto"/>
            <w:noWrap/>
            <w:vAlign w:val="bottom"/>
            <w:hideMark/>
          </w:tcPr>
          <w:p w14:paraId="4391C9DC" w14:textId="77777777" w:rsidR="00464352" w:rsidRPr="00517CB8" w:rsidRDefault="00464352" w:rsidP="00426DD8">
            <w:pPr>
              <w:pStyle w:val="Tablewriting"/>
            </w:pPr>
            <w:r w:rsidRPr="00517CB8">
              <w:t>25%</w:t>
            </w:r>
          </w:p>
        </w:tc>
      </w:tr>
      <w:tr w:rsidR="00464352" w:rsidRPr="004E6093" w14:paraId="779EAFCE" w14:textId="77777777" w:rsidTr="00426DD8">
        <w:trPr>
          <w:trHeight w:val="300"/>
        </w:trPr>
        <w:tc>
          <w:tcPr>
            <w:tcW w:w="1740" w:type="dxa"/>
            <w:shd w:val="clear" w:color="auto" w:fill="auto"/>
            <w:noWrap/>
            <w:vAlign w:val="bottom"/>
            <w:hideMark/>
          </w:tcPr>
          <w:p w14:paraId="6E4C0CFD" w14:textId="77777777" w:rsidR="00464352" w:rsidRPr="00517CB8" w:rsidRDefault="00464352" w:rsidP="00426DD8">
            <w:pPr>
              <w:pStyle w:val="Tablewriting"/>
            </w:pPr>
            <w:proofErr w:type="spellStart"/>
            <w:r w:rsidRPr="00517CB8">
              <w:t>Roxithromycin</w:t>
            </w:r>
            <w:proofErr w:type="spellEnd"/>
          </w:p>
        </w:tc>
        <w:tc>
          <w:tcPr>
            <w:tcW w:w="2235" w:type="dxa"/>
            <w:shd w:val="clear" w:color="auto" w:fill="auto"/>
            <w:noWrap/>
            <w:vAlign w:val="bottom"/>
          </w:tcPr>
          <w:p w14:paraId="769B4549" w14:textId="77777777" w:rsidR="00464352" w:rsidRPr="00517CB8" w:rsidRDefault="00464352" w:rsidP="00426DD8">
            <w:pPr>
              <w:pStyle w:val="Tablewriting"/>
            </w:pPr>
            <w:r w:rsidRPr="00517CB8">
              <w:t>1,046,601</w:t>
            </w:r>
          </w:p>
        </w:tc>
        <w:tc>
          <w:tcPr>
            <w:tcW w:w="1620" w:type="dxa"/>
            <w:shd w:val="clear" w:color="auto" w:fill="auto"/>
            <w:noWrap/>
            <w:vAlign w:val="bottom"/>
          </w:tcPr>
          <w:p w14:paraId="3DBDF9A1" w14:textId="77777777" w:rsidR="00464352" w:rsidRPr="00517CB8" w:rsidRDefault="00464352" w:rsidP="00426DD8">
            <w:pPr>
              <w:pStyle w:val="Tablewriting"/>
            </w:pPr>
            <w:r w:rsidRPr="00517CB8">
              <w:t>210,173</w:t>
            </w:r>
          </w:p>
        </w:tc>
        <w:tc>
          <w:tcPr>
            <w:tcW w:w="2340" w:type="dxa"/>
            <w:shd w:val="clear" w:color="auto" w:fill="auto"/>
            <w:noWrap/>
            <w:vAlign w:val="bottom"/>
          </w:tcPr>
          <w:p w14:paraId="3C1E75EC" w14:textId="77777777" w:rsidR="00464352" w:rsidRPr="00517CB8" w:rsidRDefault="00464352" w:rsidP="00426DD8">
            <w:pPr>
              <w:pStyle w:val="Tablewriting"/>
            </w:pPr>
            <w:r w:rsidRPr="00517CB8">
              <w:t>20%</w:t>
            </w:r>
          </w:p>
        </w:tc>
      </w:tr>
    </w:tbl>
    <w:p w14:paraId="0C63B7B4" w14:textId="77777777" w:rsidR="00247368" w:rsidRPr="00A073CF" w:rsidRDefault="00247368" w:rsidP="00247368">
      <w:pPr>
        <w:spacing w:before="0"/>
        <w:rPr>
          <w:rStyle w:val="FigurecaptionChar"/>
        </w:rPr>
      </w:pPr>
      <w:r>
        <w:rPr>
          <w:rStyle w:val="FigurecaptionChar"/>
        </w:rPr>
        <w:t xml:space="preserve">Source: </w:t>
      </w:r>
      <w:r w:rsidRPr="00A073CF">
        <w:rPr>
          <w:rStyle w:val="FigurecaptionChar"/>
        </w:rPr>
        <w:t>DHS Medicare Pharmacy Claims database based on the date of supply</w:t>
      </w:r>
      <w:r>
        <w:rPr>
          <w:rStyle w:val="FigurecaptionChar"/>
        </w:rPr>
        <w:t xml:space="preserve">. Includes </w:t>
      </w:r>
      <w:r w:rsidRPr="00A073CF">
        <w:rPr>
          <w:rStyle w:val="FigurecaptionChar"/>
        </w:rPr>
        <w:t>original prescription</w:t>
      </w:r>
      <w:r>
        <w:rPr>
          <w:rStyle w:val="FigurecaptionChar"/>
        </w:rPr>
        <w:t>s</w:t>
      </w:r>
      <w:r w:rsidRPr="00A073CF">
        <w:rPr>
          <w:rStyle w:val="FigurecaptionChar"/>
        </w:rPr>
        <w:t xml:space="preserve"> </w:t>
      </w:r>
      <w:r>
        <w:rPr>
          <w:rStyle w:val="FigurecaptionChar"/>
        </w:rPr>
        <w:t>supplied</w:t>
      </w:r>
      <w:r w:rsidRPr="00A073CF">
        <w:rPr>
          <w:rStyle w:val="FigurecaptionChar"/>
        </w:rPr>
        <w:t xml:space="preserve"> in the 2012-13 financial year</w:t>
      </w:r>
      <w:r>
        <w:rPr>
          <w:rStyle w:val="FigurecaptionChar"/>
        </w:rPr>
        <w:t>.</w:t>
      </w:r>
    </w:p>
    <w:p w14:paraId="53E88FC3" w14:textId="77777777" w:rsidR="00E02A1E" w:rsidRDefault="00065A1D" w:rsidP="00CE14E7">
      <w:pPr>
        <w:rPr>
          <w:sz w:val="23"/>
          <w:szCs w:val="23"/>
        </w:rPr>
      </w:pPr>
      <w:r w:rsidRPr="00040107">
        <w:rPr>
          <w:sz w:val="23"/>
          <w:szCs w:val="23"/>
        </w:rPr>
        <w:t xml:space="preserve">Table </w:t>
      </w:r>
      <w:r w:rsidR="00426DD8" w:rsidRPr="00040107">
        <w:rPr>
          <w:sz w:val="23"/>
          <w:szCs w:val="23"/>
        </w:rPr>
        <w:t>7</w:t>
      </w:r>
      <w:r w:rsidRPr="00040107">
        <w:rPr>
          <w:sz w:val="23"/>
          <w:szCs w:val="23"/>
        </w:rPr>
        <w:t xml:space="preserve"> compares the days elapsed from original prescription to repeat prescription for the ten most supplied antibiotics by number of prescriptions in 2013. </w:t>
      </w:r>
    </w:p>
    <w:p w14:paraId="6C72C137" w14:textId="77777777" w:rsidR="00464352" w:rsidRDefault="00464352" w:rsidP="006E6E27">
      <w:pPr>
        <w:rPr>
          <w:sz w:val="23"/>
          <w:szCs w:val="23"/>
        </w:rPr>
      </w:pPr>
    </w:p>
    <w:p w14:paraId="68580121" w14:textId="77777777" w:rsidR="00464352" w:rsidRPr="006E6E27" w:rsidRDefault="00464352" w:rsidP="006E6E27">
      <w:pPr>
        <w:rPr>
          <w:sz w:val="23"/>
          <w:szCs w:val="23"/>
        </w:rPr>
        <w:sectPr w:rsidR="00464352" w:rsidRPr="006E6E27" w:rsidSect="00065A1D">
          <w:footerReference w:type="even" r:id="rId18"/>
          <w:footerReference w:type="default" r:id="rId19"/>
          <w:footerReference w:type="first" r:id="rId20"/>
          <w:pgSz w:w="11906" w:h="16838"/>
          <w:pgMar w:top="1644" w:right="1361" w:bottom="1644" w:left="1588" w:header="709" w:footer="709" w:gutter="0"/>
          <w:cols w:space="708"/>
          <w:docGrid w:linePitch="360"/>
        </w:sectPr>
      </w:pPr>
    </w:p>
    <w:p w14:paraId="7A3E9012" w14:textId="600EB23F" w:rsidR="00065A1D" w:rsidRPr="00065A1D" w:rsidRDefault="00065A1D" w:rsidP="00A430ED">
      <w:pPr>
        <w:pStyle w:val="Tabletitle"/>
      </w:pPr>
      <w:r w:rsidRPr="00A31FFF">
        <w:lastRenderedPageBreak/>
        <w:t xml:space="preserve">Table </w:t>
      </w:r>
      <w:r w:rsidR="00464352" w:rsidRPr="00A31FFF">
        <w:t>7</w:t>
      </w:r>
      <w:r w:rsidRPr="00A31FFF">
        <w:t xml:space="preserve">: Time </w:t>
      </w:r>
      <w:r w:rsidR="00A31FFF" w:rsidRPr="00A31FFF">
        <w:t>from</w:t>
      </w:r>
      <w:r w:rsidR="00A31FFF">
        <w:t xml:space="preserve"> original supply to first repeat supply for commonly used antibiotics</w:t>
      </w:r>
    </w:p>
    <w:tbl>
      <w:tblPr>
        <w:tblW w:w="12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4 shows the time to supply for the ten most supplied antibiotics in 2013"/>
      </w:tblPr>
      <w:tblGrid>
        <w:gridCol w:w="1882"/>
        <w:gridCol w:w="2273"/>
        <w:gridCol w:w="900"/>
        <w:gridCol w:w="1385"/>
        <w:gridCol w:w="1036"/>
        <w:gridCol w:w="1450"/>
        <w:gridCol w:w="1864"/>
        <w:gridCol w:w="1864"/>
      </w:tblGrid>
      <w:tr w:rsidR="00464352" w:rsidRPr="00065A1D" w14:paraId="49DDE386" w14:textId="77777777" w:rsidTr="00C240CB">
        <w:trPr>
          <w:trHeight w:val="302"/>
        </w:trPr>
        <w:tc>
          <w:tcPr>
            <w:tcW w:w="1882" w:type="dxa"/>
            <w:shd w:val="clear" w:color="auto" w:fill="BFBFBF" w:themeFill="background1" w:themeFillShade="BF"/>
            <w:noWrap/>
            <w:vAlign w:val="center"/>
          </w:tcPr>
          <w:p w14:paraId="4D29EF1C" w14:textId="77777777" w:rsidR="00464352" w:rsidRPr="007944F1" w:rsidRDefault="00464352" w:rsidP="007944F1">
            <w:pPr>
              <w:pStyle w:val="Tableheading"/>
              <w:spacing w:before="0" w:after="0"/>
              <w:rPr>
                <w:sz w:val="20"/>
                <w:szCs w:val="20"/>
              </w:rPr>
            </w:pPr>
            <w:r w:rsidRPr="007944F1">
              <w:rPr>
                <w:sz w:val="20"/>
                <w:szCs w:val="20"/>
              </w:rPr>
              <w:t>Drug</w:t>
            </w:r>
          </w:p>
        </w:tc>
        <w:tc>
          <w:tcPr>
            <w:tcW w:w="2273" w:type="dxa"/>
            <w:shd w:val="clear" w:color="auto" w:fill="BFBFBF" w:themeFill="background1" w:themeFillShade="BF"/>
            <w:noWrap/>
            <w:vAlign w:val="center"/>
          </w:tcPr>
          <w:p w14:paraId="5CC6E6A7" w14:textId="77777777" w:rsidR="00464352" w:rsidRPr="007944F1" w:rsidRDefault="00464352" w:rsidP="007944F1">
            <w:pPr>
              <w:pStyle w:val="Tableheading"/>
              <w:spacing w:before="0" w:after="0"/>
              <w:rPr>
                <w:sz w:val="20"/>
                <w:szCs w:val="20"/>
              </w:rPr>
            </w:pPr>
            <w:r w:rsidRPr="007944F1">
              <w:rPr>
                <w:sz w:val="20"/>
                <w:szCs w:val="20"/>
              </w:rPr>
              <w:t>Form and Strength</w:t>
            </w:r>
          </w:p>
        </w:tc>
        <w:tc>
          <w:tcPr>
            <w:tcW w:w="900" w:type="dxa"/>
            <w:shd w:val="clear" w:color="auto" w:fill="BFBFBF" w:themeFill="background1" w:themeFillShade="BF"/>
            <w:noWrap/>
            <w:vAlign w:val="center"/>
          </w:tcPr>
          <w:p w14:paraId="558B7A92" w14:textId="77777777" w:rsidR="00464352" w:rsidRPr="007944F1" w:rsidRDefault="00464352" w:rsidP="007944F1">
            <w:pPr>
              <w:pStyle w:val="Tableheading"/>
              <w:rPr>
                <w:sz w:val="20"/>
                <w:szCs w:val="20"/>
              </w:rPr>
            </w:pPr>
            <w:r w:rsidRPr="007944F1">
              <w:rPr>
                <w:sz w:val="20"/>
                <w:szCs w:val="20"/>
              </w:rPr>
              <w:t>Item number</w:t>
            </w:r>
          </w:p>
        </w:tc>
        <w:tc>
          <w:tcPr>
            <w:tcW w:w="1385" w:type="dxa"/>
            <w:shd w:val="clear" w:color="auto" w:fill="BFBFBF" w:themeFill="background1" w:themeFillShade="BF"/>
            <w:noWrap/>
            <w:vAlign w:val="center"/>
          </w:tcPr>
          <w:p w14:paraId="62EA0E13" w14:textId="77777777" w:rsidR="00464352" w:rsidRPr="007944F1" w:rsidRDefault="00464352" w:rsidP="007944F1">
            <w:pPr>
              <w:pStyle w:val="Tableheading"/>
              <w:rPr>
                <w:sz w:val="20"/>
                <w:szCs w:val="20"/>
              </w:rPr>
            </w:pPr>
            <w:r w:rsidRPr="007944F1">
              <w:rPr>
                <w:sz w:val="20"/>
                <w:szCs w:val="20"/>
              </w:rPr>
              <w:t>Quantity per prescription</w:t>
            </w:r>
          </w:p>
        </w:tc>
        <w:tc>
          <w:tcPr>
            <w:tcW w:w="1036" w:type="dxa"/>
            <w:shd w:val="clear" w:color="auto" w:fill="BFBFBF" w:themeFill="background1" w:themeFillShade="BF"/>
            <w:noWrap/>
            <w:vAlign w:val="center"/>
          </w:tcPr>
          <w:p w14:paraId="7D07473C" w14:textId="2C27C58B" w:rsidR="00464352" w:rsidRPr="007944F1" w:rsidRDefault="00464352" w:rsidP="00C240CB">
            <w:pPr>
              <w:pStyle w:val="Tableheading"/>
              <w:rPr>
                <w:sz w:val="20"/>
                <w:szCs w:val="20"/>
              </w:rPr>
            </w:pPr>
            <w:r w:rsidRPr="007944F1">
              <w:rPr>
                <w:sz w:val="20"/>
                <w:szCs w:val="20"/>
              </w:rPr>
              <w:t>Mode: days to first repeat</w:t>
            </w:r>
            <w:r w:rsidR="00C240CB">
              <w:rPr>
                <w:sz w:val="20"/>
                <w:szCs w:val="20"/>
              </w:rPr>
              <w:t xml:space="preserve"> </w:t>
            </w:r>
          </w:p>
        </w:tc>
        <w:tc>
          <w:tcPr>
            <w:tcW w:w="1450" w:type="dxa"/>
            <w:shd w:val="clear" w:color="auto" w:fill="BFBFBF" w:themeFill="background1" w:themeFillShade="BF"/>
            <w:noWrap/>
            <w:vAlign w:val="center"/>
          </w:tcPr>
          <w:p w14:paraId="1B44CF4C" w14:textId="77777777" w:rsidR="00464352" w:rsidRPr="007944F1" w:rsidRDefault="00464352" w:rsidP="007944F1">
            <w:pPr>
              <w:pStyle w:val="Tableheading"/>
              <w:rPr>
                <w:sz w:val="20"/>
                <w:szCs w:val="20"/>
              </w:rPr>
            </w:pPr>
            <w:r w:rsidRPr="007944F1">
              <w:rPr>
                <w:sz w:val="20"/>
                <w:szCs w:val="20"/>
              </w:rPr>
              <w:t>Mode % of total 1st repeats for item</w:t>
            </w:r>
          </w:p>
        </w:tc>
        <w:tc>
          <w:tcPr>
            <w:tcW w:w="1864" w:type="dxa"/>
            <w:shd w:val="clear" w:color="auto" w:fill="BFBFBF" w:themeFill="background1" w:themeFillShade="BF"/>
            <w:vAlign w:val="center"/>
          </w:tcPr>
          <w:p w14:paraId="39D14BE2" w14:textId="77777777" w:rsidR="00464352" w:rsidRPr="007944F1" w:rsidRDefault="00464352" w:rsidP="007944F1">
            <w:pPr>
              <w:pStyle w:val="Tableheading"/>
              <w:rPr>
                <w:sz w:val="20"/>
                <w:szCs w:val="20"/>
              </w:rPr>
            </w:pPr>
            <w:r w:rsidRPr="007944F1">
              <w:rPr>
                <w:sz w:val="20"/>
                <w:szCs w:val="20"/>
              </w:rPr>
              <w:t>% 1st repeats for item supplied &lt;10 days post original</w:t>
            </w:r>
          </w:p>
        </w:tc>
        <w:tc>
          <w:tcPr>
            <w:tcW w:w="1864" w:type="dxa"/>
            <w:shd w:val="clear" w:color="auto" w:fill="BFBFBF" w:themeFill="background1" w:themeFillShade="BF"/>
            <w:vAlign w:val="center"/>
          </w:tcPr>
          <w:p w14:paraId="2D58FC90" w14:textId="77777777" w:rsidR="00464352" w:rsidRPr="007944F1" w:rsidRDefault="00464352" w:rsidP="007944F1">
            <w:pPr>
              <w:pStyle w:val="Tableheading"/>
              <w:rPr>
                <w:sz w:val="20"/>
                <w:szCs w:val="20"/>
              </w:rPr>
            </w:pPr>
            <w:r w:rsidRPr="007944F1">
              <w:rPr>
                <w:sz w:val="20"/>
                <w:szCs w:val="20"/>
              </w:rPr>
              <w:t>% 1st repeats for item supplied &gt; 60 days post original</w:t>
            </w:r>
          </w:p>
        </w:tc>
      </w:tr>
      <w:tr w:rsidR="00464352" w:rsidRPr="00065A1D" w14:paraId="323B022C" w14:textId="77777777" w:rsidTr="00C240CB">
        <w:trPr>
          <w:trHeight w:val="906"/>
        </w:trPr>
        <w:tc>
          <w:tcPr>
            <w:tcW w:w="1882" w:type="dxa"/>
            <w:shd w:val="clear" w:color="auto" w:fill="auto"/>
            <w:noWrap/>
            <w:vAlign w:val="center"/>
          </w:tcPr>
          <w:p w14:paraId="606E62E5" w14:textId="77777777" w:rsidR="00464352" w:rsidRPr="00065A1D" w:rsidRDefault="00464352" w:rsidP="007944F1">
            <w:pPr>
              <w:pStyle w:val="Tablewriting"/>
              <w:spacing w:before="0" w:after="0"/>
            </w:pPr>
            <w:r w:rsidRPr="00065A1D">
              <w:t>Amoxycillin</w:t>
            </w:r>
          </w:p>
        </w:tc>
        <w:tc>
          <w:tcPr>
            <w:tcW w:w="2273" w:type="dxa"/>
            <w:shd w:val="clear" w:color="auto" w:fill="auto"/>
            <w:noWrap/>
            <w:vAlign w:val="center"/>
          </w:tcPr>
          <w:p w14:paraId="05D4D585" w14:textId="77777777" w:rsidR="00464352" w:rsidRPr="00065A1D" w:rsidRDefault="00464352" w:rsidP="007944F1">
            <w:pPr>
              <w:pStyle w:val="Tablewriting"/>
              <w:spacing w:before="0" w:after="0"/>
            </w:pPr>
            <w:r w:rsidRPr="00065A1D">
              <w:t>Capsule 500 mg</w:t>
            </w:r>
          </w:p>
        </w:tc>
        <w:tc>
          <w:tcPr>
            <w:tcW w:w="900" w:type="dxa"/>
            <w:shd w:val="clear" w:color="auto" w:fill="auto"/>
            <w:noWrap/>
            <w:vAlign w:val="center"/>
          </w:tcPr>
          <w:p w14:paraId="510FF920" w14:textId="77777777" w:rsidR="00464352" w:rsidRPr="00065A1D" w:rsidRDefault="00464352" w:rsidP="007944F1">
            <w:pPr>
              <w:pStyle w:val="Tablewriting"/>
            </w:pPr>
            <w:r w:rsidRPr="00065A1D">
              <w:t>01889K</w:t>
            </w:r>
          </w:p>
        </w:tc>
        <w:tc>
          <w:tcPr>
            <w:tcW w:w="1385" w:type="dxa"/>
            <w:shd w:val="clear" w:color="auto" w:fill="auto"/>
            <w:noWrap/>
            <w:vAlign w:val="center"/>
          </w:tcPr>
          <w:p w14:paraId="6CD52819" w14:textId="77777777" w:rsidR="00464352" w:rsidRPr="00065A1D" w:rsidRDefault="00464352" w:rsidP="00C240CB">
            <w:pPr>
              <w:pStyle w:val="Tablewriting"/>
              <w:jc w:val="center"/>
            </w:pPr>
            <w:r w:rsidRPr="00065A1D">
              <w:t>20</w:t>
            </w:r>
          </w:p>
        </w:tc>
        <w:tc>
          <w:tcPr>
            <w:tcW w:w="1036" w:type="dxa"/>
            <w:shd w:val="clear" w:color="auto" w:fill="auto"/>
            <w:noWrap/>
            <w:vAlign w:val="center"/>
          </w:tcPr>
          <w:p w14:paraId="2F59BCD4" w14:textId="71F0111E" w:rsidR="00464352" w:rsidRPr="00065A1D" w:rsidRDefault="00464352" w:rsidP="00C240CB">
            <w:pPr>
              <w:pStyle w:val="Tablewriting"/>
              <w:jc w:val="center"/>
            </w:pPr>
            <w:r w:rsidRPr="00065A1D">
              <w:t>7</w:t>
            </w:r>
          </w:p>
        </w:tc>
        <w:tc>
          <w:tcPr>
            <w:tcW w:w="1450" w:type="dxa"/>
            <w:shd w:val="clear" w:color="auto" w:fill="auto"/>
            <w:vAlign w:val="center"/>
          </w:tcPr>
          <w:p w14:paraId="20ADE802" w14:textId="77777777" w:rsidR="00464352" w:rsidRPr="00065A1D" w:rsidRDefault="00464352" w:rsidP="00C240CB">
            <w:pPr>
              <w:pStyle w:val="Tablewriting"/>
              <w:jc w:val="center"/>
            </w:pPr>
            <w:r w:rsidRPr="00065A1D">
              <w:t>12%</w:t>
            </w:r>
          </w:p>
        </w:tc>
        <w:tc>
          <w:tcPr>
            <w:tcW w:w="1864" w:type="dxa"/>
            <w:vAlign w:val="center"/>
          </w:tcPr>
          <w:p w14:paraId="4AAA6A25" w14:textId="77777777" w:rsidR="00464352" w:rsidRPr="00065A1D" w:rsidRDefault="00464352" w:rsidP="00C240CB">
            <w:pPr>
              <w:pStyle w:val="Tablewriting"/>
              <w:jc w:val="center"/>
            </w:pPr>
            <w:r w:rsidRPr="00065A1D">
              <w:t>51%</w:t>
            </w:r>
          </w:p>
        </w:tc>
        <w:tc>
          <w:tcPr>
            <w:tcW w:w="1864" w:type="dxa"/>
            <w:vAlign w:val="center"/>
          </w:tcPr>
          <w:p w14:paraId="06B6E9FB" w14:textId="77777777" w:rsidR="00464352" w:rsidRPr="00065A1D" w:rsidRDefault="00464352" w:rsidP="00C240CB">
            <w:pPr>
              <w:pStyle w:val="Tablewriting"/>
              <w:jc w:val="center"/>
            </w:pPr>
            <w:r w:rsidRPr="00065A1D">
              <w:t>19%</w:t>
            </w:r>
          </w:p>
        </w:tc>
      </w:tr>
      <w:tr w:rsidR="00464352" w:rsidRPr="00065A1D" w14:paraId="2CED1BC3" w14:textId="77777777" w:rsidTr="00C240CB">
        <w:trPr>
          <w:trHeight w:val="302"/>
        </w:trPr>
        <w:tc>
          <w:tcPr>
            <w:tcW w:w="1882" w:type="dxa"/>
            <w:shd w:val="clear" w:color="auto" w:fill="auto"/>
            <w:noWrap/>
            <w:vAlign w:val="center"/>
          </w:tcPr>
          <w:p w14:paraId="1CCF3079" w14:textId="77777777" w:rsidR="00464352" w:rsidRPr="00065A1D" w:rsidRDefault="00464352" w:rsidP="007944F1">
            <w:pPr>
              <w:pStyle w:val="Tablewriting"/>
              <w:spacing w:before="0" w:after="0"/>
            </w:pPr>
            <w:r w:rsidRPr="00065A1D">
              <w:t>Cephalexin</w:t>
            </w:r>
          </w:p>
        </w:tc>
        <w:tc>
          <w:tcPr>
            <w:tcW w:w="2273" w:type="dxa"/>
            <w:shd w:val="clear" w:color="auto" w:fill="auto"/>
            <w:noWrap/>
            <w:vAlign w:val="center"/>
          </w:tcPr>
          <w:p w14:paraId="5383474E" w14:textId="77777777" w:rsidR="00464352" w:rsidRPr="00065A1D" w:rsidRDefault="00464352" w:rsidP="007944F1">
            <w:pPr>
              <w:pStyle w:val="Tablewriting"/>
              <w:spacing w:before="0" w:after="0"/>
            </w:pPr>
            <w:r w:rsidRPr="00065A1D">
              <w:t>Capsule 500 mg</w:t>
            </w:r>
          </w:p>
        </w:tc>
        <w:tc>
          <w:tcPr>
            <w:tcW w:w="900" w:type="dxa"/>
            <w:shd w:val="clear" w:color="auto" w:fill="auto"/>
            <w:noWrap/>
            <w:vAlign w:val="center"/>
          </w:tcPr>
          <w:p w14:paraId="6E5361C3" w14:textId="77777777" w:rsidR="00464352" w:rsidRPr="00065A1D" w:rsidRDefault="00464352" w:rsidP="007944F1">
            <w:pPr>
              <w:pStyle w:val="Tablewriting"/>
            </w:pPr>
            <w:r w:rsidRPr="00065A1D">
              <w:t>03119E</w:t>
            </w:r>
          </w:p>
        </w:tc>
        <w:tc>
          <w:tcPr>
            <w:tcW w:w="1385" w:type="dxa"/>
            <w:shd w:val="clear" w:color="auto" w:fill="auto"/>
            <w:noWrap/>
            <w:vAlign w:val="center"/>
          </w:tcPr>
          <w:p w14:paraId="0FDA5B4C" w14:textId="77777777" w:rsidR="00464352" w:rsidRPr="00065A1D" w:rsidRDefault="00464352" w:rsidP="00C240CB">
            <w:pPr>
              <w:pStyle w:val="Tablewriting"/>
              <w:jc w:val="center"/>
            </w:pPr>
            <w:r w:rsidRPr="00065A1D">
              <w:t>20</w:t>
            </w:r>
          </w:p>
        </w:tc>
        <w:tc>
          <w:tcPr>
            <w:tcW w:w="1036" w:type="dxa"/>
            <w:shd w:val="clear" w:color="auto" w:fill="auto"/>
            <w:noWrap/>
            <w:vAlign w:val="center"/>
          </w:tcPr>
          <w:p w14:paraId="074F496E" w14:textId="21CD9254" w:rsidR="00464352" w:rsidRPr="00065A1D" w:rsidRDefault="00464352" w:rsidP="00C240CB">
            <w:pPr>
              <w:pStyle w:val="Tablewriting"/>
              <w:jc w:val="center"/>
            </w:pPr>
            <w:r w:rsidRPr="00065A1D">
              <w:t>5</w:t>
            </w:r>
          </w:p>
        </w:tc>
        <w:tc>
          <w:tcPr>
            <w:tcW w:w="1450" w:type="dxa"/>
            <w:shd w:val="clear" w:color="auto" w:fill="auto"/>
            <w:noWrap/>
            <w:vAlign w:val="center"/>
          </w:tcPr>
          <w:p w14:paraId="07C0C3F3" w14:textId="77777777" w:rsidR="00464352" w:rsidRPr="00065A1D" w:rsidRDefault="00464352" w:rsidP="00C240CB">
            <w:pPr>
              <w:pStyle w:val="Tablewriting"/>
              <w:jc w:val="center"/>
            </w:pPr>
            <w:r w:rsidRPr="00065A1D">
              <w:t>13%</w:t>
            </w:r>
          </w:p>
        </w:tc>
        <w:tc>
          <w:tcPr>
            <w:tcW w:w="1864" w:type="dxa"/>
            <w:vAlign w:val="center"/>
          </w:tcPr>
          <w:p w14:paraId="092A0398" w14:textId="77777777" w:rsidR="00464352" w:rsidRPr="00065A1D" w:rsidRDefault="00464352" w:rsidP="00C240CB">
            <w:pPr>
              <w:pStyle w:val="Tablewriting"/>
              <w:jc w:val="center"/>
            </w:pPr>
            <w:r w:rsidRPr="00065A1D">
              <w:t>57%</w:t>
            </w:r>
          </w:p>
        </w:tc>
        <w:tc>
          <w:tcPr>
            <w:tcW w:w="1864" w:type="dxa"/>
            <w:vAlign w:val="center"/>
          </w:tcPr>
          <w:p w14:paraId="2BD8882E" w14:textId="77777777" w:rsidR="00464352" w:rsidRPr="00065A1D" w:rsidRDefault="00464352" w:rsidP="00C240CB">
            <w:pPr>
              <w:pStyle w:val="Tablewriting"/>
              <w:jc w:val="center"/>
            </w:pPr>
            <w:r w:rsidRPr="00065A1D">
              <w:t>15%</w:t>
            </w:r>
          </w:p>
        </w:tc>
      </w:tr>
      <w:tr w:rsidR="00464352" w:rsidRPr="00065A1D" w14:paraId="049D4F0C" w14:textId="77777777" w:rsidTr="00C240CB">
        <w:trPr>
          <w:trHeight w:val="302"/>
        </w:trPr>
        <w:tc>
          <w:tcPr>
            <w:tcW w:w="1882" w:type="dxa"/>
            <w:shd w:val="clear" w:color="auto" w:fill="auto"/>
            <w:noWrap/>
            <w:vAlign w:val="center"/>
          </w:tcPr>
          <w:p w14:paraId="1F4ED385" w14:textId="77777777" w:rsidR="00464352" w:rsidRPr="00065A1D" w:rsidRDefault="00464352" w:rsidP="007944F1">
            <w:pPr>
              <w:pStyle w:val="Tablewriting"/>
              <w:spacing w:before="0" w:after="0"/>
            </w:pPr>
            <w:r w:rsidRPr="00065A1D">
              <w:t xml:space="preserve">Amoxycillin/ </w:t>
            </w:r>
            <w:proofErr w:type="spellStart"/>
            <w:r w:rsidRPr="00065A1D">
              <w:t>Clavulanic</w:t>
            </w:r>
            <w:proofErr w:type="spellEnd"/>
            <w:r w:rsidRPr="00065A1D">
              <w:t xml:space="preserve"> acid</w:t>
            </w:r>
          </w:p>
        </w:tc>
        <w:tc>
          <w:tcPr>
            <w:tcW w:w="2273" w:type="dxa"/>
            <w:shd w:val="clear" w:color="auto" w:fill="auto"/>
            <w:noWrap/>
            <w:vAlign w:val="center"/>
          </w:tcPr>
          <w:p w14:paraId="2E155A54" w14:textId="77777777" w:rsidR="00464352" w:rsidRPr="00065A1D" w:rsidRDefault="00464352" w:rsidP="007944F1">
            <w:pPr>
              <w:pStyle w:val="Tablewriting"/>
              <w:spacing w:before="0" w:after="0"/>
            </w:pPr>
            <w:r w:rsidRPr="00065A1D">
              <w:t>875 mg/125 mg tablet</w:t>
            </w:r>
          </w:p>
        </w:tc>
        <w:tc>
          <w:tcPr>
            <w:tcW w:w="900" w:type="dxa"/>
            <w:shd w:val="clear" w:color="auto" w:fill="auto"/>
            <w:noWrap/>
            <w:vAlign w:val="center"/>
          </w:tcPr>
          <w:p w14:paraId="04370729" w14:textId="77777777" w:rsidR="00464352" w:rsidRPr="00065A1D" w:rsidRDefault="00464352" w:rsidP="007944F1">
            <w:pPr>
              <w:pStyle w:val="Tablewriting"/>
            </w:pPr>
            <w:r w:rsidRPr="00065A1D">
              <w:t>08254K</w:t>
            </w:r>
          </w:p>
        </w:tc>
        <w:tc>
          <w:tcPr>
            <w:tcW w:w="1385" w:type="dxa"/>
            <w:shd w:val="clear" w:color="auto" w:fill="auto"/>
            <w:noWrap/>
            <w:vAlign w:val="center"/>
          </w:tcPr>
          <w:p w14:paraId="4E1A5DAD" w14:textId="77777777" w:rsidR="00464352" w:rsidRPr="00065A1D" w:rsidRDefault="00464352" w:rsidP="00C240CB">
            <w:pPr>
              <w:pStyle w:val="Tablewriting"/>
              <w:jc w:val="center"/>
            </w:pPr>
            <w:r w:rsidRPr="00065A1D">
              <w:t>10</w:t>
            </w:r>
          </w:p>
        </w:tc>
        <w:tc>
          <w:tcPr>
            <w:tcW w:w="1036" w:type="dxa"/>
            <w:shd w:val="clear" w:color="auto" w:fill="auto"/>
            <w:noWrap/>
            <w:vAlign w:val="center"/>
          </w:tcPr>
          <w:p w14:paraId="5AF8950B" w14:textId="77777777" w:rsidR="00464352" w:rsidRPr="00065A1D" w:rsidRDefault="00464352" w:rsidP="00C240CB">
            <w:pPr>
              <w:pStyle w:val="Tablewriting"/>
              <w:jc w:val="center"/>
            </w:pPr>
            <w:r w:rsidRPr="00065A1D">
              <w:t>5</w:t>
            </w:r>
          </w:p>
        </w:tc>
        <w:tc>
          <w:tcPr>
            <w:tcW w:w="1450" w:type="dxa"/>
            <w:shd w:val="clear" w:color="auto" w:fill="auto"/>
            <w:noWrap/>
            <w:vAlign w:val="center"/>
          </w:tcPr>
          <w:p w14:paraId="0D7AB837" w14:textId="77777777" w:rsidR="00464352" w:rsidRPr="00065A1D" w:rsidRDefault="00464352" w:rsidP="00C240CB">
            <w:pPr>
              <w:pStyle w:val="Tablewriting"/>
              <w:jc w:val="center"/>
            </w:pPr>
            <w:r w:rsidRPr="00065A1D">
              <w:t>20%</w:t>
            </w:r>
          </w:p>
        </w:tc>
        <w:tc>
          <w:tcPr>
            <w:tcW w:w="1864" w:type="dxa"/>
            <w:vAlign w:val="center"/>
          </w:tcPr>
          <w:p w14:paraId="37F9DB11" w14:textId="77777777" w:rsidR="00464352" w:rsidRPr="00065A1D" w:rsidRDefault="00464352" w:rsidP="00C240CB">
            <w:pPr>
              <w:pStyle w:val="Tablewriting"/>
              <w:jc w:val="center"/>
            </w:pPr>
            <w:r w:rsidRPr="00065A1D">
              <w:t>67%</w:t>
            </w:r>
          </w:p>
        </w:tc>
        <w:tc>
          <w:tcPr>
            <w:tcW w:w="1864" w:type="dxa"/>
            <w:vAlign w:val="center"/>
          </w:tcPr>
          <w:p w14:paraId="0755E0CA" w14:textId="77777777" w:rsidR="00464352" w:rsidRPr="00065A1D" w:rsidRDefault="00464352" w:rsidP="00C240CB">
            <w:pPr>
              <w:pStyle w:val="Tablewriting"/>
              <w:jc w:val="center"/>
            </w:pPr>
            <w:r w:rsidRPr="00065A1D">
              <w:t>12%</w:t>
            </w:r>
          </w:p>
        </w:tc>
      </w:tr>
      <w:tr w:rsidR="00464352" w:rsidRPr="00065A1D" w14:paraId="36402591" w14:textId="77777777" w:rsidTr="00C240CB">
        <w:trPr>
          <w:trHeight w:val="302"/>
        </w:trPr>
        <w:tc>
          <w:tcPr>
            <w:tcW w:w="1882" w:type="dxa"/>
            <w:shd w:val="clear" w:color="auto" w:fill="auto"/>
            <w:noWrap/>
            <w:vAlign w:val="center"/>
          </w:tcPr>
          <w:p w14:paraId="21EE328A" w14:textId="77777777" w:rsidR="00464352" w:rsidRPr="00065A1D" w:rsidRDefault="00464352" w:rsidP="007944F1">
            <w:pPr>
              <w:pStyle w:val="Tablewriting"/>
              <w:spacing w:before="0" w:after="0"/>
            </w:pPr>
            <w:proofErr w:type="spellStart"/>
            <w:r w:rsidRPr="00065A1D">
              <w:t>Roxithromycin</w:t>
            </w:r>
            <w:proofErr w:type="spellEnd"/>
          </w:p>
        </w:tc>
        <w:tc>
          <w:tcPr>
            <w:tcW w:w="2273" w:type="dxa"/>
            <w:shd w:val="clear" w:color="auto" w:fill="auto"/>
            <w:noWrap/>
            <w:vAlign w:val="center"/>
          </w:tcPr>
          <w:p w14:paraId="4A158DEE" w14:textId="77777777" w:rsidR="00464352" w:rsidRPr="00065A1D" w:rsidRDefault="00464352" w:rsidP="007944F1">
            <w:pPr>
              <w:pStyle w:val="Tablewriting"/>
              <w:spacing w:before="0" w:after="0"/>
            </w:pPr>
            <w:r w:rsidRPr="00065A1D">
              <w:t>300mg tablet</w:t>
            </w:r>
          </w:p>
        </w:tc>
        <w:tc>
          <w:tcPr>
            <w:tcW w:w="900" w:type="dxa"/>
            <w:shd w:val="clear" w:color="auto" w:fill="auto"/>
            <w:noWrap/>
            <w:vAlign w:val="center"/>
          </w:tcPr>
          <w:p w14:paraId="37F2CD56" w14:textId="77777777" w:rsidR="00464352" w:rsidRPr="00065A1D" w:rsidRDefault="00464352" w:rsidP="007944F1">
            <w:pPr>
              <w:pStyle w:val="Tablewriting"/>
            </w:pPr>
            <w:r w:rsidRPr="00065A1D">
              <w:t>08016X</w:t>
            </w:r>
          </w:p>
        </w:tc>
        <w:tc>
          <w:tcPr>
            <w:tcW w:w="1385" w:type="dxa"/>
            <w:shd w:val="clear" w:color="auto" w:fill="auto"/>
            <w:noWrap/>
            <w:vAlign w:val="center"/>
          </w:tcPr>
          <w:p w14:paraId="78BC28F7" w14:textId="77777777" w:rsidR="00464352" w:rsidRPr="00065A1D" w:rsidRDefault="00464352" w:rsidP="00C240CB">
            <w:pPr>
              <w:pStyle w:val="Tablewriting"/>
              <w:jc w:val="center"/>
            </w:pPr>
            <w:r w:rsidRPr="00065A1D">
              <w:t>5</w:t>
            </w:r>
          </w:p>
        </w:tc>
        <w:tc>
          <w:tcPr>
            <w:tcW w:w="1036" w:type="dxa"/>
            <w:shd w:val="clear" w:color="auto" w:fill="auto"/>
            <w:noWrap/>
            <w:vAlign w:val="center"/>
          </w:tcPr>
          <w:p w14:paraId="0A41BE67" w14:textId="77777777" w:rsidR="00464352" w:rsidRPr="00065A1D" w:rsidRDefault="00464352" w:rsidP="00C240CB">
            <w:pPr>
              <w:pStyle w:val="Tablewriting"/>
              <w:jc w:val="center"/>
            </w:pPr>
            <w:r w:rsidRPr="00065A1D">
              <w:t>4</w:t>
            </w:r>
          </w:p>
        </w:tc>
        <w:tc>
          <w:tcPr>
            <w:tcW w:w="1450" w:type="dxa"/>
            <w:shd w:val="clear" w:color="auto" w:fill="auto"/>
            <w:noWrap/>
            <w:vAlign w:val="center"/>
          </w:tcPr>
          <w:p w14:paraId="17321929" w14:textId="77777777" w:rsidR="00464352" w:rsidRPr="00065A1D" w:rsidRDefault="00464352" w:rsidP="00C240CB">
            <w:pPr>
              <w:pStyle w:val="Tablewriting"/>
              <w:jc w:val="center"/>
            </w:pPr>
            <w:r w:rsidRPr="00065A1D">
              <w:t>21%</w:t>
            </w:r>
          </w:p>
        </w:tc>
        <w:tc>
          <w:tcPr>
            <w:tcW w:w="1864" w:type="dxa"/>
            <w:vAlign w:val="center"/>
          </w:tcPr>
          <w:p w14:paraId="77FC0605" w14:textId="77777777" w:rsidR="00464352" w:rsidRPr="00065A1D" w:rsidRDefault="00464352" w:rsidP="00C240CB">
            <w:pPr>
              <w:pStyle w:val="Tablewriting"/>
              <w:jc w:val="center"/>
            </w:pPr>
            <w:r w:rsidRPr="00065A1D">
              <w:t>75%</w:t>
            </w:r>
          </w:p>
        </w:tc>
        <w:tc>
          <w:tcPr>
            <w:tcW w:w="1864" w:type="dxa"/>
            <w:vAlign w:val="center"/>
          </w:tcPr>
          <w:p w14:paraId="1A7FDCA3" w14:textId="77777777" w:rsidR="00464352" w:rsidRPr="00065A1D" w:rsidRDefault="00464352" w:rsidP="00C240CB">
            <w:pPr>
              <w:pStyle w:val="Tablewriting"/>
              <w:jc w:val="center"/>
            </w:pPr>
            <w:r w:rsidRPr="00065A1D">
              <w:t>9%</w:t>
            </w:r>
          </w:p>
        </w:tc>
      </w:tr>
      <w:tr w:rsidR="00464352" w:rsidRPr="00065A1D" w14:paraId="5A61F16B" w14:textId="77777777" w:rsidTr="00C240CB">
        <w:trPr>
          <w:trHeight w:val="302"/>
        </w:trPr>
        <w:tc>
          <w:tcPr>
            <w:tcW w:w="1882" w:type="dxa"/>
            <w:shd w:val="clear" w:color="auto" w:fill="auto"/>
            <w:noWrap/>
            <w:vAlign w:val="center"/>
          </w:tcPr>
          <w:p w14:paraId="55EE0909" w14:textId="77777777" w:rsidR="00464352" w:rsidRPr="00065A1D" w:rsidRDefault="00464352" w:rsidP="007944F1">
            <w:pPr>
              <w:pStyle w:val="Tablewriting"/>
              <w:spacing w:before="0" w:after="0"/>
            </w:pPr>
            <w:r w:rsidRPr="00065A1D">
              <w:t>Doxycycline</w:t>
            </w:r>
          </w:p>
        </w:tc>
        <w:tc>
          <w:tcPr>
            <w:tcW w:w="2273" w:type="dxa"/>
            <w:shd w:val="clear" w:color="auto" w:fill="auto"/>
            <w:noWrap/>
            <w:vAlign w:val="center"/>
          </w:tcPr>
          <w:p w14:paraId="27DD848C" w14:textId="77777777" w:rsidR="00464352" w:rsidRPr="00065A1D" w:rsidRDefault="00464352" w:rsidP="007944F1">
            <w:pPr>
              <w:pStyle w:val="Tablewriting"/>
              <w:spacing w:before="0" w:after="0"/>
            </w:pPr>
            <w:r w:rsidRPr="00065A1D">
              <w:t>Tablet 50 mg (as monohydrate)</w:t>
            </w:r>
          </w:p>
        </w:tc>
        <w:tc>
          <w:tcPr>
            <w:tcW w:w="900" w:type="dxa"/>
            <w:shd w:val="clear" w:color="auto" w:fill="auto"/>
            <w:noWrap/>
            <w:vAlign w:val="center"/>
          </w:tcPr>
          <w:p w14:paraId="7832C65F" w14:textId="77777777" w:rsidR="00464352" w:rsidRPr="00065A1D" w:rsidRDefault="00464352" w:rsidP="007944F1">
            <w:pPr>
              <w:pStyle w:val="Tablewriting"/>
            </w:pPr>
            <w:r w:rsidRPr="00065A1D">
              <w:t>09106G</w:t>
            </w:r>
          </w:p>
        </w:tc>
        <w:tc>
          <w:tcPr>
            <w:tcW w:w="1385" w:type="dxa"/>
            <w:shd w:val="clear" w:color="auto" w:fill="auto"/>
            <w:noWrap/>
            <w:vAlign w:val="center"/>
          </w:tcPr>
          <w:p w14:paraId="4EF130B5" w14:textId="77777777" w:rsidR="00464352" w:rsidRPr="00065A1D" w:rsidRDefault="00464352" w:rsidP="00C240CB">
            <w:pPr>
              <w:pStyle w:val="Tablewriting"/>
              <w:jc w:val="center"/>
            </w:pPr>
            <w:r w:rsidRPr="00065A1D">
              <w:t>25</w:t>
            </w:r>
          </w:p>
        </w:tc>
        <w:tc>
          <w:tcPr>
            <w:tcW w:w="1036" w:type="dxa"/>
            <w:shd w:val="clear" w:color="auto" w:fill="auto"/>
            <w:noWrap/>
            <w:vAlign w:val="center"/>
          </w:tcPr>
          <w:p w14:paraId="0936834A" w14:textId="77777777" w:rsidR="00464352" w:rsidRPr="00065A1D" w:rsidRDefault="00464352" w:rsidP="00C240CB">
            <w:pPr>
              <w:pStyle w:val="Tablewriting"/>
              <w:jc w:val="center"/>
            </w:pPr>
            <w:r w:rsidRPr="00065A1D">
              <w:t>25</w:t>
            </w:r>
          </w:p>
        </w:tc>
        <w:tc>
          <w:tcPr>
            <w:tcW w:w="1450" w:type="dxa"/>
            <w:shd w:val="clear" w:color="auto" w:fill="auto"/>
            <w:noWrap/>
            <w:vAlign w:val="center"/>
          </w:tcPr>
          <w:p w14:paraId="0B576CD3" w14:textId="77777777" w:rsidR="00464352" w:rsidRPr="00065A1D" w:rsidRDefault="00464352" w:rsidP="00C240CB">
            <w:pPr>
              <w:pStyle w:val="Tablewriting"/>
              <w:jc w:val="center"/>
            </w:pPr>
            <w:r w:rsidRPr="00065A1D">
              <w:t>5%</w:t>
            </w:r>
          </w:p>
        </w:tc>
        <w:tc>
          <w:tcPr>
            <w:tcW w:w="1864" w:type="dxa"/>
            <w:vAlign w:val="center"/>
          </w:tcPr>
          <w:p w14:paraId="33F6A44F" w14:textId="77777777" w:rsidR="00464352" w:rsidRPr="00065A1D" w:rsidRDefault="00464352" w:rsidP="00C240CB">
            <w:pPr>
              <w:pStyle w:val="Tablewriting"/>
              <w:jc w:val="center"/>
            </w:pPr>
            <w:r w:rsidRPr="00065A1D">
              <w:t>7%</w:t>
            </w:r>
          </w:p>
        </w:tc>
        <w:tc>
          <w:tcPr>
            <w:tcW w:w="1864" w:type="dxa"/>
            <w:vAlign w:val="center"/>
          </w:tcPr>
          <w:p w14:paraId="180A3362" w14:textId="77777777" w:rsidR="00464352" w:rsidRPr="00065A1D" w:rsidRDefault="00464352" w:rsidP="00C240CB">
            <w:pPr>
              <w:pStyle w:val="Tablewriting"/>
              <w:jc w:val="center"/>
            </w:pPr>
            <w:r w:rsidRPr="00065A1D">
              <w:t>12%</w:t>
            </w:r>
          </w:p>
        </w:tc>
      </w:tr>
      <w:tr w:rsidR="00464352" w:rsidRPr="00065A1D" w14:paraId="14766B22" w14:textId="77777777" w:rsidTr="00C240CB">
        <w:trPr>
          <w:trHeight w:val="302"/>
        </w:trPr>
        <w:tc>
          <w:tcPr>
            <w:tcW w:w="1882" w:type="dxa"/>
            <w:shd w:val="clear" w:color="auto" w:fill="auto"/>
            <w:noWrap/>
            <w:vAlign w:val="center"/>
          </w:tcPr>
          <w:p w14:paraId="7A778643" w14:textId="77777777" w:rsidR="00464352" w:rsidRPr="00065A1D" w:rsidRDefault="00464352" w:rsidP="007944F1">
            <w:pPr>
              <w:pStyle w:val="Tablewriting"/>
              <w:spacing w:before="0" w:after="0"/>
            </w:pPr>
            <w:r w:rsidRPr="00065A1D">
              <w:t>Doxycycline</w:t>
            </w:r>
          </w:p>
        </w:tc>
        <w:tc>
          <w:tcPr>
            <w:tcW w:w="2273" w:type="dxa"/>
            <w:shd w:val="clear" w:color="auto" w:fill="auto"/>
            <w:noWrap/>
            <w:vAlign w:val="center"/>
          </w:tcPr>
          <w:p w14:paraId="5666A3DC" w14:textId="77777777" w:rsidR="00464352" w:rsidRPr="00065A1D" w:rsidRDefault="00464352" w:rsidP="007944F1">
            <w:pPr>
              <w:pStyle w:val="Tablewriting"/>
              <w:spacing w:before="0" w:after="0"/>
            </w:pPr>
            <w:r w:rsidRPr="00065A1D">
              <w:t>Capsule 100 mg (as hydrochloride) (containing enteric coated pellets)</w:t>
            </w:r>
          </w:p>
        </w:tc>
        <w:tc>
          <w:tcPr>
            <w:tcW w:w="900" w:type="dxa"/>
            <w:shd w:val="clear" w:color="auto" w:fill="auto"/>
            <w:noWrap/>
            <w:vAlign w:val="center"/>
          </w:tcPr>
          <w:p w14:paraId="3AA921F0" w14:textId="77777777" w:rsidR="00464352" w:rsidRPr="00065A1D" w:rsidRDefault="00464352" w:rsidP="007944F1">
            <w:pPr>
              <w:pStyle w:val="Tablewriting"/>
            </w:pPr>
            <w:r w:rsidRPr="00065A1D">
              <w:t>02708M</w:t>
            </w:r>
          </w:p>
        </w:tc>
        <w:tc>
          <w:tcPr>
            <w:tcW w:w="1385" w:type="dxa"/>
            <w:shd w:val="clear" w:color="auto" w:fill="auto"/>
            <w:noWrap/>
            <w:vAlign w:val="center"/>
          </w:tcPr>
          <w:p w14:paraId="0587C710" w14:textId="77777777" w:rsidR="00464352" w:rsidRPr="00065A1D" w:rsidRDefault="00464352" w:rsidP="00C240CB">
            <w:pPr>
              <w:pStyle w:val="Tablewriting"/>
              <w:jc w:val="center"/>
            </w:pPr>
            <w:r w:rsidRPr="00065A1D">
              <w:t>7</w:t>
            </w:r>
          </w:p>
        </w:tc>
        <w:tc>
          <w:tcPr>
            <w:tcW w:w="1036" w:type="dxa"/>
            <w:shd w:val="clear" w:color="auto" w:fill="auto"/>
            <w:noWrap/>
            <w:vAlign w:val="center"/>
          </w:tcPr>
          <w:p w14:paraId="7BD596E0" w14:textId="77777777" w:rsidR="00464352" w:rsidRPr="00065A1D" w:rsidRDefault="00464352" w:rsidP="00C240CB">
            <w:pPr>
              <w:pStyle w:val="Tablewriting"/>
              <w:jc w:val="center"/>
            </w:pPr>
            <w:r w:rsidRPr="00065A1D">
              <w:t>5</w:t>
            </w:r>
          </w:p>
        </w:tc>
        <w:tc>
          <w:tcPr>
            <w:tcW w:w="1450" w:type="dxa"/>
            <w:shd w:val="clear" w:color="auto" w:fill="auto"/>
            <w:noWrap/>
            <w:vAlign w:val="center"/>
          </w:tcPr>
          <w:p w14:paraId="4C0A1618" w14:textId="77777777" w:rsidR="00464352" w:rsidRPr="00065A1D" w:rsidRDefault="00464352" w:rsidP="00C240CB">
            <w:pPr>
              <w:pStyle w:val="Tablewriting"/>
              <w:jc w:val="center"/>
            </w:pPr>
            <w:r w:rsidRPr="00065A1D">
              <w:t>14%</w:t>
            </w:r>
          </w:p>
        </w:tc>
        <w:tc>
          <w:tcPr>
            <w:tcW w:w="1864" w:type="dxa"/>
            <w:vAlign w:val="center"/>
          </w:tcPr>
          <w:p w14:paraId="39FE8730" w14:textId="77777777" w:rsidR="00464352" w:rsidRPr="00065A1D" w:rsidRDefault="00464352" w:rsidP="00C240CB">
            <w:pPr>
              <w:pStyle w:val="Tablewriting"/>
              <w:jc w:val="center"/>
            </w:pPr>
            <w:r w:rsidRPr="00065A1D">
              <w:t>67%</w:t>
            </w:r>
          </w:p>
        </w:tc>
        <w:tc>
          <w:tcPr>
            <w:tcW w:w="1864" w:type="dxa"/>
            <w:vAlign w:val="center"/>
          </w:tcPr>
          <w:p w14:paraId="74950890" w14:textId="77777777" w:rsidR="00464352" w:rsidRPr="00065A1D" w:rsidRDefault="00464352" w:rsidP="00C240CB">
            <w:pPr>
              <w:pStyle w:val="Tablewriting"/>
              <w:jc w:val="center"/>
            </w:pPr>
            <w:r w:rsidRPr="00065A1D">
              <w:t>10%</w:t>
            </w:r>
          </w:p>
        </w:tc>
      </w:tr>
      <w:tr w:rsidR="00464352" w:rsidRPr="00065A1D" w14:paraId="3B961CA5" w14:textId="77777777" w:rsidTr="00C240CB">
        <w:trPr>
          <w:trHeight w:val="302"/>
        </w:trPr>
        <w:tc>
          <w:tcPr>
            <w:tcW w:w="1882" w:type="dxa"/>
            <w:shd w:val="clear" w:color="auto" w:fill="auto"/>
            <w:noWrap/>
            <w:vAlign w:val="center"/>
          </w:tcPr>
          <w:p w14:paraId="1DF8C3B5" w14:textId="77777777" w:rsidR="00464352" w:rsidRPr="00065A1D" w:rsidRDefault="00464352" w:rsidP="007944F1">
            <w:pPr>
              <w:pStyle w:val="Tablewriting"/>
              <w:spacing w:before="0" w:after="0"/>
            </w:pPr>
            <w:r w:rsidRPr="00065A1D">
              <w:t>Chloramphenicol</w:t>
            </w:r>
          </w:p>
        </w:tc>
        <w:tc>
          <w:tcPr>
            <w:tcW w:w="2273" w:type="dxa"/>
            <w:shd w:val="clear" w:color="auto" w:fill="auto"/>
            <w:noWrap/>
            <w:vAlign w:val="center"/>
          </w:tcPr>
          <w:p w14:paraId="6B78ADC0" w14:textId="77777777" w:rsidR="00464352" w:rsidRPr="00065A1D" w:rsidRDefault="00464352" w:rsidP="007944F1">
            <w:pPr>
              <w:pStyle w:val="Tablewriting"/>
              <w:spacing w:before="0" w:after="0"/>
            </w:pPr>
            <w:r w:rsidRPr="00065A1D">
              <w:t>Eye drops 5 mg per mL, 10 mL</w:t>
            </w:r>
          </w:p>
        </w:tc>
        <w:tc>
          <w:tcPr>
            <w:tcW w:w="900" w:type="dxa"/>
            <w:shd w:val="clear" w:color="auto" w:fill="auto"/>
            <w:noWrap/>
            <w:vAlign w:val="center"/>
          </w:tcPr>
          <w:p w14:paraId="0FAE8508" w14:textId="77777777" w:rsidR="00464352" w:rsidRPr="00065A1D" w:rsidRDefault="00464352" w:rsidP="007944F1">
            <w:pPr>
              <w:pStyle w:val="Tablewriting"/>
            </w:pPr>
            <w:r w:rsidRPr="00065A1D">
              <w:t>02360F</w:t>
            </w:r>
          </w:p>
        </w:tc>
        <w:tc>
          <w:tcPr>
            <w:tcW w:w="1385" w:type="dxa"/>
            <w:shd w:val="clear" w:color="auto" w:fill="auto"/>
            <w:noWrap/>
            <w:vAlign w:val="center"/>
          </w:tcPr>
          <w:p w14:paraId="35323523" w14:textId="77777777" w:rsidR="00464352" w:rsidRPr="00065A1D" w:rsidRDefault="00464352" w:rsidP="00C240CB">
            <w:pPr>
              <w:pStyle w:val="Tablewriting"/>
              <w:jc w:val="center"/>
            </w:pPr>
            <w:r w:rsidRPr="00065A1D">
              <w:t>-</w:t>
            </w:r>
          </w:p>
        </w:tc>
        <w:tc>
          <w:tcPr>
            <w:tcW w:w="1036" w:type="dxa"/>
            <w:shd w:val="clear" w:color="auto" w:fill="auto"/>
            <w:noWrap/>
            <w:vAlign w:val="center"/>
          </w:tcPr>
          <w:p w14:paraId="76417A6E" w14:textId="77777777" w:rsidR="00464352" w:rsidRPr="00065A1D" w:rsidRDefault="00464352" w:rsidP="00C240CB">
            <w:pPr>
              <w:pStyle w:val="Tablewriting"/>
              <w:jc w:val="center"/>
            </w:pPr>
            <w:r w:rsidRPr="00065A1D">
              <w:t>7</w:t>
            </w:r>
          </w:p>
        </w:tc>
        <w:tc>
          <w:tcPr>
            <w:tcW w:w="1450" w:type="dxa"/>
            <w:shd w:val="clear" w:color="auto" w:fill="auto"/>
            <w:noWrap/>
            <w:vAlign w:val="center"/>
          </w:tcPr>
          <w:p w14:paraId="4902B6A3" w14:textId="77777777" w:rsidR="00464352" w:rsidRPr="00065A1D" w:rsidRDefault="00464352" w:rsidP="00C240CB">
            <w:pPr>
              <w:pStyle w:val="Tablewriting"/>
              <w:jc w:val="center"/>
            </w:pPr>
            <w:r w:rsidRPr="00065A1D">
              <w:t>3%</w:t>
            </w:r>
          </w:p>
        </w:tc>
        <w:tc>
          <w:tcPr>
            <w:tcW w:w="1864" w:type="dxa"/>
            <w:vAlign w:val="center"/>
          </w:tcPr>
          <w:p w14:paraId="08255B9E" w14:textId="77777777" w:rsidR="00464352" w:rsidRPr="00065A1D" w:rsidRDefault="00464352" w:rsidP="00C240CB">
            <w:pPr>
              <w:pStyle w:val="Tablewriting"/>
              <w:jc w:val="center"/>
            </w:pPr>
            <w:r w:rsidRPr="00065A1D">
              <w:t>18%</w:t>
            </w:r>
          </w:p>
        </w:tc>
        <w:tc>
          <w:tcPr>
            <w:tcW w:w="1864" w:type="dxa"/>
            <w:vAlign w:val="center"/>
          </w:tcPr>
          <w:p w14:paraId="1C386C0E" w14:textId="77777777" w:rsidR="00464352" w:rsidRPr="00065A1D" w:rsidRDefault="00464352" w:rsidP="00C240CB">
            <w:pPr>
              <w:pStyle w:val="Tablewriting"/>
              <w:jc w:val="center"/>
            </w:pPr>
            <w:r w:rsidRPr="00065A1D">
              <w:t>13%</w:t>
            </w:r>
          </w:p>
        </w:tc>
      </w:tr>
      <w:tr w:rsidR="00464352" w:rsidRPr="00065A1D" w14:paraId="2DD2E441" w14:textId="77777777" w:rsidTr="00C240CB">
        <w:trPr>
          <w:trHeight w:val="302"/>
        </w:trPr>
        <w:tc>
          <w:tcPr>
            <w:tcW w:w="1882" w:type="dxa"/>
            <w:shd w:val="clear" w:color="auto" w:fill="auto"/>
            <w:noWrap/>
            <w:vAlign w:val="center"/>
          </w:tcPr>
          <w:p w14:paraId="08D5AB54" w14:textId="77777777" w:rsidR="00464352" w:rsidRPr="00065A1D" w:rsidRDefault="00464352" w:rsidP="007944F1">
            <w:pPr>
              <w:pStyle w:val="Tablewriting"/>
              <w:spacing w:before="0" w:after="0"/>
            </w:pPr>
            <w:r w:rsidRPr="00065A1D">
              <w:t>Clarithromycin</w:t>
            </w:r>
          </w:p>
        </w:tc>
        <w:tc>
          <w:tcPr>
            <w:tcW w:w="2273" w:type="dxa"/>
            <w:shd w:val="clear" w:color="auto" w:fill="auto"/>
            <w:noWrap/>
            <w:vAlign w:val="center"/>
          </w:tcPr>
          <w:p w14:paraId="081A70A3" w14:textId="77777777" w:rsidR="00464352" w:rsidRPr="00065A1D" w:rsidRDefault="00464352" w:rsidP="007944F1">
            <w:pPr>
              <w:pStyle w:val="Tablewriting"/>
              <w:spacing w:before="0" w:after="0"/>
            </w:pPr>
            <w:r w:rsidRPr="00065A1D">
              <w:t>Tablet 250 mg</w:t>
            </w:r>
          </w:p>
        </w:tc>
        <w:tc>
          <w:tcPr>
            <w:tcW w:w="900" w:type="dxa"/>
            <w:shd w:val="clear" w:color="auto" w:fill="auto"/>
            <w:noWrap/>
            <w:vAlign w:val="center"/>
          </w:tcPr>
          <w:p w14:paraId="795FDCC0" w14:textId="77777777" w:rsidR="00464352" w:rsidRPr="00065A1D" w:rsidRDefault="00464352" w:rsidP="007944F1">
            <w:pPr>
              <w:pStyle w:val="Tablewriting"/>
            </w:pPr>
            <w:r w:rsidRPr="00065A1D">
              <w:t>08318T</w:t>
            </w:r>
          </w:p>
        </w:tc>
        <w:tc>
          <w:tcPr>
            <w:tcW w:w="1385" w:type="dxa"/>
            <w:shd w:val="clear" w:color="auto" w:fill="auto"/>
            <w:noWrap/>
            <w:vAlign w:val="center"/>
          </w:tcPr>
          <w:p w14:paraId="6DA4B326" w14:textId="77777777" w:rsidR="00464352" w:rsidRPr="00065A1D" w:rsidRDefault="00464352" w:rsidP="00C240CB">
            <w:pPr>
              <w:pStyle w:val="Tablewriting"/>
              <w:jc w:val="center"/>
            </w:pPr>
            <w:r w:rsidRPr="00065A1D">
              <w:t>14</w:t>
            </w:r>
          </w:p>
        </w:tc>
        <w:tc>
          <w:tcPr>
            <w:tcW w:w="1036" w:type="dxa"/>
            <w:shd w:val="clear" w:color="auto" w:fill="auto"/>
            <w:noWrap/>
            <w:vAlign w:val="center"/>
          </w:tcPr>
          <w:p w14:paraId="6495A25F" w14:textId="77777777" w:rsidR="00464352" w:rsidRPr="00065A1D" w:rsidRDefault="00464352" w:rsidP="00C240CB">
            <w:pPr>
              <w:pStyle w:val="Tablewriting"/>
              <w:jc w:val="center"/>
            </w:pPr>
            <w:r w:rsidRPr="00065A1D">
              <w:t>7</w:t>
            </w:r>
          </w:p>
        </w:tc>
        <w:tc>
          <w:tcPr>
            <w:tcW w:w="1450" w:type="dxa"/>
            <w:shd w:val="clear" w:color="auto" w:fill="auto"/>
            <w:noWrap/>
            <w:vAlign w:val="center"/>
          </w:tcPr>
          <w:p w14:paraId="5B82F2E6" w14:textId="77777777" w:rsidR="00464352" w:rsidRPr="00065A1D" w:rsidRDefault="00464352" w:rsidP="00C240CB">
            <w:pPr>
              <w:pStyle w:val="Tablewriting"/>
              <w:jc w:val="center"/>
            </w:pPr>
            <w:r w:rsidRPr="00065A1D">
              <w:t>16%</w:t>
            </w:r>
          </w:p>
        </w:tc>
        <w:tc>
          <w:tcPr>
            <w:tcW w:w="1864" w:type="dxa"/>
            <w:vAlign w:val="center"/>
          </w:tcPr>
          <w:p w14:paraId="49AD39F8" w14:textId="77777777" w:rsidR="00464352" w:rsidRPr="00065A1D" w:rsidRDefault="00464352" w:rsidP="00C240CB">
            <w:pPr>
              <w:pStyle w:val="Tablewriting"/>
              <w:jc w:val="center"/>
            </w:pPr>
            <w:r w:rsidRPr="00065A1D">
              <w:t>61%</w:t>
            </w:r>
          </w:p>
        </w:tc>
        <w:tc>
          <w:tcPr>
            <w:tcW w:w="1864" w:type="dxa"/>
            <w:vAlign w:val="center"/>
          </w:tcPr>
          <w:p w14:paraId="1595C5D3" w14:textId="77777777" w:rsidR="00464352" w:rsidRPr="00065A1D" w:rsidRDefault="00464352" w:rsidP="00C240CB">
            <w:pPr>
              <w:pStyle w:val="Tablewriting"/>
              <w:jc w:val="center"/>
            </w:pPr>
            <w:r w:rsidRPr="00065A1D">
              <w:t>12%</w:t>
            </w:r>
          </w:p>
        </w:tc>
      </w:tr>
      <w:tr w:rsidR="00464352" w:rsidRPr="00065A1D" w14:paraId="505BF8E3" w14:textId="77777777" w:rsidTr="00C240CB">
        <w:trPr>
          <w:trHeight w:val="302"/>
        </w:trPr>
        <w:tc>
          <w:tcPr>
            <w:tcW w:w="1882" w:type="dxa"/>
            <w:shd w:val="clear" w:color="auto" w:fill="auto"/>
            <w:noWrap/>
            <w:vAlign w:val="center"/>
          </w:tcPr>
          <w:p w14:paraId="0E8B58B9" w14:textId="77777777" w:rsidR="00464352" w:rsidRPr="00065A1D" w:rsidRDefault="00464352" w:rsidP="007944F1">
            <w:pPr>
              <w:pStyle w:val="Tablewriting"/>
              <w:spacing w:before="0" w:after="0"/>
            </w:pPr>
            <w:r w:rsidRPr="00065A1D">
              <w:t>Trimethoprim</w:t>
            </w:r>
          </w:p>
        </w:tc>
        <w:tc>
          <w:tcPr>
            <w:tcW w:w="2273" w:type="dxa"/>
            <w:shd w:val="clear" w:color="auto" w:fill="auto"/>
            <w:noWrap/>
            <w:vAlign w:val="center"/>
          </w:tcPr>
          <w:p w14:paraId="12D77326" w14:textId="77777777" w:rsidR="00464352" w:rsidRPr="00065A1D" w:rsidRDefault="00464352" w:rsidP="007944F1">
            <w:pPr>
              <w:pStyle w:val="Tablewriting"/>
              <w:spacing w:before="0" w:after="0"/>
            </w:pPr>
            <w:r w:rsidRPr="00065A1D">
              <w:t>Tablet 300 mg</w:t>
            </w:r>
          </w:p>
        </w:tc>
        <w:tc>
          <w:tcPr>
            <w:tcW w:w="900" w:type="dxa"/>
            <w:shd w:val="clear" w:color="auto" w:fill="auto"/>
            <w:noWrap/>
            <w:vAlign w:val="center"/>
          </w:tcPr>
          <w:p w14:paraId="6E692649" w14:textId="77777777" w:rsidR="00464352" w:rsidRPr="00065A1D" w:rsidRDefault="00464352" w:rsidP="007944F1">
            <w:pPr>
              <w:pStyle w:val="Tablewriting"/>
            </w:pPr>
            <w:r w:rsidRPr="00065A1D">
              <w:t>02922T</w:t>
            </w:r>
          </w:p>
        </w:tc>
        <w:tc>
          <w:tcPr>
            <w:tcW w:w="1385" w:type="dxa"/>
            <w:shd w:val="clear" w:color="auto" w:fill="auto"/>
            <w:noWrap/>
            <w:vAlign w:val="center"/>
          </w:tcPr>
          <w:p w14:paraId="52EEA22C" w14:textId="77777777" w:rsidR="00464352" w:rsidRPr="00065A1D" w:rsidRDefault="00464352" w:rsidP="00C240CB">
            <w:pPr>
              <w:pStyle w:val="Tablewriting"/>
              <w:jc w:val="center"/>
            </w:pPr>
            <w:r w:rsidRPr="00065A1D">
              <w:t>7</w:t>
            </w:r>
          </w:p>
        </w:tc>
        <w:tc>
          <w:tcPr>
            <w:tcW w:w="1036" w:type="dxa"/>
            <w:shd w:val="clear" w:color="auto" w:fill="auto"/>
            <w:noWrap/>
            <w:vAlign w:val="center"/>
          </w:tcPr>
          <w:p w14:paraId="6FBF1FF5" w14:textId="77777777" w:rsidR="00464352" w:rsidRPr="00065A1D" w:rsidRDefault="00464352" w:rsidP="00C240CB">
            <w:pPr>
              <w:pStyle w:val="Tablewriting"/>
              <w:jc w:val="center"/>
            </w:pPr>
            <w:r w:rsidRPr="00065A1D">
              <w:t>7</w:t>
            </w:r>
          </w:p>
        </w:tc>
        <w:tc>
          <w:tcPr>
            <w:tcW w:w="1450" w:type="dxa"/>
            <w:shd w:val="clear" w:color="auto" w:fill="auto"/>
            <w:noWrap/>
            <w:vAlign w:val="center"/>
          </w:tcPr>
          <w:p w14:paraId="1239EB26" w14:textId="77777777" w:rsidR="00464352" w:rsidRPr="00065A1D" w:rsidRDefault="00464352" w:rsidP="00C240CB">
            <w:pPr>
              <w:pStyle w:val="Tablewriting"/>
              <w:jc w:val="center"/>
            </w:pPr>
            <w:r w:rsidRPr="00065A1D">
              <w:t>12%</w:t>
            </w:r>
          </w:p>
        </w:tc>
        <w:tc>
          <w:tcPr>
            <w:tcW w:w="1864" w:type="dxa"/>
            <w:vAlign w:val="center"/>
          </w:tcPr>
          <w:p w14:paraId="52FEDD4E" w14:textId="77777777" w:rsidR="00464352" w:rsidRPr="00065A1D" w:rsidRDefault="00464352" w:rsidP="00C240CB">
            <w:pPr>
              <w:pStyle w:val="Tablewriting"/>
              <w:jc w:val="center"/>
            </w:pPr>
            <w:r w:rsidRPr="00065A1D">
              <w:t>47%</w:t>
            </w:r>
          </w:p>
        </w:tc>
        <w:tc>
          <w:tcPr>
            <w:tcW w:w="1864" w:type="dxa"/>
            <w:vAlign w:val="center"/>
          </w:tcPr>
          <w:p w14:paraId="167CE4A3" w14:textId="77777777" w:rsidR="00464352" w:rsidRPr="00065A1D" w:rsidRDefault="00464352" w:rsidP="00C240CB">
            <w:pPr>
              <w:pStyle w:val="Tablewriting"/>
              <w:jc w:val="center"/>
            </w:pPr>
            <w:r w:rsidRPr="00065A1D">
              <w:t>20%</w:t>
            </w:r>
          </w:p>
        </w:tc>
      </w:tr>
      <w:tr w:rsidR="00464352" w:rsidRPr="00065A1D" w14:paraId="08AE6094" w14:textId="77777777" w:rsidTr="00C240CB">
        <w:trPr>
          <w:trHeight w:val="302"/>
        </w:trPr>
        <w:tc>
          <w:tcPr>
            <w:tcW w:w="1882" w:type="dxa"/>
            <w:shd w:val="clear" w:color="auto" w:fill="auto"/>
            <w:noWrap/>
            <w:vAlign w:val="center"/>
          </w:tcPr>
          <w:p w14:paraId="7367F4BA" w14:textId="77777777" w:rsidR="00464352" w:rsidRPr="00065A1D" w:rsidRDefault="00464352" w:rsidP="007944F1">
            <w:pPr>
              <w:pStyle w:val="Tablewriting"/>
              <w:spacing w:before="0" w:after="0"/>
            </w:pPr>
            <w:r w:rsidRPr="00065A1D">
              <w:t>Erythromycin</w:t>
            </w:r>
          </w:p>
        </w:tc>
        <w:tc>
          <w:tcPr>
            <w:tcW w:w="2273" w:type="dxa"/>
            <w:shd w:val="clear" w:color="auto" w:fill="auto"/>
            <w:noWrap/>
            <w:vAlign w:val="center"/>
          </w:tcPr>
          <w:p w14:paraId="762482B8" w14:textId="77777777" w:rsidR="00464352" w:rsidRPr="00065A1D" w:rsidRDefault="00464352" w:rsidP="007944F1">
            <w:pPr>
              <w:pStyle w:val="Tablewriting"/>
              <w:spacing w:before="0" w:after="0"/>
            </w:pPr>
            <w:r w:rsidRPr="00065A1D">
              <w:t>Tablet 400 mg (as ethyl succinate)</w:t>
            </w:r>
          </w:p>
        </w:tc>
        <w:tc>
          <w:tcPr>
            <w:tcW w:w="900" w:type="dxa"/>
            <w:shd w:val="clear" w:color="auto" w:fill="auto"/>
            <w:noWrap/>
            <w:vAlign w:val="center"/>
          </w:tcPr>
          <w:p w14:paraId="71B7D67C" w14:textId="77777777" w:rsidR="00464352" w:rsidRPr="00065A1D" w:rsidRDefault="00464352" w:rsidP="007944F1">
            <w:pPr>
              <w:pStyle w:val="Tablewriting"/>
            </w:pPr>
            <w:r w:rsidRPr="00065A1D">
              <w:t>02750R</w:t>
            </w:r>
          </w:p>
        </w:tc>
        <w:tc>
          <w:tcPr>
            <w:tcW w:w="1385" w:type="dxa"/>
            <w:shd w:val="clear" w:color="auto" w:fill="auto"/>
            <w:noWrap/>
            <w:vAlign w:val="center"/>
          </w:tcPr>
          <w:p w14:paraId="34AC46D0" w14:textId="77777777" w:rsidR="00464352" w:rsidRPr="00065A1D" w:rsidRDefault="00464352" w:rsidP="00C240CB">
            <w:pPr>
              <w:pStyle w:val="Tablewriting"/>
              <w:jc w:val="center"/>
            </w:pPr>
            <w:r w:rsidRPr="00065A1D">
              <w:t>25</w:t>
            </w:r>
          </w:p>
        </w:tc>
        <w:tc>
          <w:tcPr>
            <w:tcW w:w="1036" w:type="dxa"/>
            <w:shd w:val="clear" w:color="auto" w:fill="auto"/>
            <w:noWrap/>
            <w:vAlign w:val="center"/>
          </w:tcPr>
          <w:p w14:paraId="671F4414" w14:textId="77777777" w:rsidR="00464352" w:rsidRPr="00065A1D" w:rsidRDefault="00464352" w:rsidP="00C240CB">
            <w:pPr>
              <w:pStyle w:val="Tablewriting"/>
              <w:jc w:val="center"/>
            </w:pPr>
            <w:r w:rsidRPr="00065A1D">
              <w:t>6</w:t>
            </w:r>
          </w:p>
        </w:tc>
        <w:tc>
          <w:tcPr>
            <w:tcW w:w="1450" w:type="dxa"/>
            <w:shd w:val="clear" w:color="auto" w:fill="auto"/>
            <w:noWrap/>
            <w:vAlign w:val="center"/>
          </w:tcPr>
          <w:p w14:paraId="3583AEE6" w14:textId="77777777" w:rsidR="00464352" w:rsidRPr="00065A1D" w:rsidRDefault="00464352" w:rsidP="00C240CB">
            <w:pPr>
              <w:pStyle w:val="Tablewriting"/>
              <w:jc w:val="center"/>
            </w:pPr>
            <w:r w:rsidRPr="00065A1D">
              <w:t>12%</w:t>
            </w:r>
          </w:p>
        </w:tc>
        <w:tc>
          <w:tcPr>
            <w:tcW w:w="1864" w:type="dxa"/>
            <w:vAlign w:val="center"/>
          </w:tcPr>
          <w:p w14:paraId="17D97C28" w14:textId="77777777" w:rsidR="00464352" w:rsidRPr="00065A1D" w:rsidRDefault="00464352" w:rsidP="00C240CB">
            <w:pPr>
              <w:pStyle w:val="Tablewriting"/>
              <w:jc w:val="center"/>
            </w:pPr>
            <w:r w:rsidRPr="00065A1D">
              <w:t>47%</w:t>
            </w:r>
          </w:p>
        </w:tc>
        <w:tc>
          <w:tcPr>
            <w:tcW w:w="1864" w:type="dxa"/>
            <w:vAlign w:val="center"/>
          </w:tcPr>
          <w:p w14:paraId="0D7CD2C4" w14:textId="77777777" w:rsidR="00464352" w:rsidRPr="00065A1D" w:rsidRDefault="00464352" w:rsidP="00C240CB">
            <w:pPr>
              <w:pStyle w:val="Tablewriting"/>
              <w:jc w:val="center"/>
            </w:pPr>
            <w:r w:rsidRPr="00065A1D">
              <w:t>14%</w:t>
            </w:r>
          </w:p>
        </w:tc>
      </w:tr>
      <w:tr w:rsidR="00464352" w:rsidRPr="00065A1D" w14:paraId="313CCA0F" w14:textId="77777777" w:rsidTr="00C240CB">
        <w:trPr>
          <w:trHeight w:val="302"/>
        </w:trPr>
        <w:tc>
          <w:tcPr>
            <w:tcW w:w="1882" w:type="dxa"/>
            <w:shd w:val="clear" w:color="auto" w:fill="auto"/>
            <w:noWrap/>
            <w:vAlign w:val="center"/>
          </w:tcPr>
          <w:p w14:paraId="24BBCA29" w14:textId="77777777" w:rsidR="00464352" w:rsidRPr="00065A1D" w:rsidRDefault="00464352" w:rsidP="007944F1">
            <w:pPr>
              <w:pStyle w:val="Tablewriting"/>
              <w:spacing w:before="0" w:after="0"/>
            </w:pPr>
            <w:proofErr w:type="spellStart"/>
            <w:r w:rsidRPr="00065A1D">
              <w:t>Cefaclor</w:t>
            </w:r>
            <w:proofErr w:type="spellEnd"/>
          </w:p>
        </w:tc>
        <w:tc>
          <w:tcPr>
            <w:tcW w:w="2273" w:type="dxa"/>
            <w:shd w:val="clear" w:color="auto" w:fill="auto"/>
            <w:noWrap/>
            <w:vAlign w:val="center"/>
          </w:tcPr>
          <w:p w14:paraId="534749CE" w14:textId="77777777" w:rsidR="00464352" w:rsidRPr="00065A1D" w:rsidRDefault="00464352" w:rsidP="007944F1">
            <w:pPr>
              <w:pStyle w:val="Tablewriting"/>
              <w:spacing w:before="0" w:after="0"/>
            </w:pPr>
            <w:r w:rsidRPr="00065A1D">
              <w:t>Tablet (sustained release) 375 mg (as monohydrate)</w:t>
            </w:r>
          </w:p>
        </w:tc>
        <w:tc>
          <w:tcPr>
            <w:tcW w:w="900" w:type="dxa"/>
            <w:shd w:val="clear" w:color="auto" w:fill="auto"/>
            <w:noWrap/>
            <w:vAlign w:val="center"/>
          </w:tcPr>
          <w:p w14:paraId="70E7458A" w14:textId="77777777" w:rsidR="00464352" w:rsidRPr="00065A1D" w:rsidRDefault="00464352" w:rsidP="007944F1">
            <w:pPr>
              <w:pStyle w:val="Tablewriting"/>
            </w:pPr>
            <w:r w:rsidRPr="00065A1D">
              <w:t>01169M</w:t>
            </w:r>
          </w:p>
        </w:tc>
        <w:tc>
          <w:tcPr>
            <w:tcW w:w="1385" w:type="dxa"/>
            <w:shd w:val="clear" w:color="auto" w:fill="auto"/>
            <w:noWrap/>
            <w:vAlign w:val="center"/>
          </w:tcPr>
          <w:p w14:paraId="7363B9F0" w14:textId="77777777" w:rsidR="00464352" w:rsidRPr="00065A1D" w:rsidRDefault="00464352" w:rsidP="00C240CB">
            <w:pPr>
              <w:pStyle w:val="Tablewriting"/>
              <w:jc w:val="center"/>
            </w:pPr>
            <w:r w:rsidRPr="00065A1D">
              <w:t>10</w:t>
            </w:r>
          </w:p>
        </w:tc>
        <w:tc>
          <w:tcPr>
            <w:tcW w:w="1036" w:type="dxa"/>
            <w:shd w:val="clear" w:color="auto" w:fill="auto"/>
            <w:noWrap/>
            <w:vAlign w:val="center"/>
          </w:tcPr>
          <w:p w14:paraId="414FE371" w14:textId="77777777" w:rsidR="00464352" w:rsidRPr="00065A1D" w:rsidRDefault="00464352" w:rsidP="00C240CB">
            <w:pPr>
              <w:pStyle w:val="Tablewriting"/>
              <w:jc w:val="center"/>
            </w:pPr>
            <w:r w:rsidRPr="00065A1D">
              <w:t>5</w:t>
            </w:r>
          </w:p>
        </w:tc>
        <w:tc>
          <w:tcPr>
            <w:tcW w:w="1450" w:type="dxa"/>
            <w:shd w:val="clear" w:color="auto" w:fill="auto"/>
            <w:noWrap/>
            <w:vAlign w:val="center"/>
          </w:tcPr>
          <w:p w14:paraId="30D54570" w14:textId="77777777" w:rsidR="00464352" w:rsidRPr="00065A1D" w:rsidRDefault="00464352" w:rsidP="00C240CB">
            <w:pPr>
              <w:pStyle w:val="Tablewriting"/>
              <w:jc w:val="center"/>
            </w:pPr>
            <w:r w:rsidRPr="00065A1D">
              <w:t>22%</w:t>
            </w:r>
          </w:p>
        </w:tc>
        <w:tc>
          <w:tcPr>
            <w:tcW w:w="1864" w:type="dxa"/>
            <w:vAlign w:val="center"/>
          </w:tcPr>
          <w:p w14:paraId="00D595EF" w14:textId="77777777" w:rsidR="00464352" w:rsidRPr="00065A1D" w:rsidRDefault="00464352" w:rsidP="00C240CB">
            <w:pPr>
              <w:pStyle w:val="Tablewriting"/>
              <w:jc w:val="center"/>
            </w:pPr>
            <w:r w:rsidRPr="00065A1D">
              <w:t>72%</w:t>
            </w:r>
          </w:p>
        </w:tc>
        <w:tc>
          <w:tcPr>
            <w:tcW w:w="1864" w:type="dxa"/>
            <w:vAlign w:val="center"/>
          </w:tcPr>
          <w:p w14:paraId="1CE5A6CD" w14:textId="77777777" w:rsidR="00464352" w:rsidRPr="00065A1D" w:rsidRDefault="00464352" w:rsidP="00C240CB">
            <w:pPr>
              <w:pStyle w:val="Tablewriting"/>
              <w:jc w:val="center"/>
            </w:pPr>
            <w:r w:rsidRPr="00065A1D">
              <w:t>10%</w:t>
            </w:r>
          </w:p>
        </w:tc>
      </w:tr>
    </w:tbl>
    <w:p w14:paraId="042080A6" w14:textId="77777777" w:rsidR="00065A1D" w:rsidRPr="00065A1D" w:rsidRDefault="00065A1D" w:rsidP="007944F1">
      <w:pPr>
        <w:pStyle w:val="Tablecaption"/>
        <w:sectPr w:rsidR="00065A1D" w:rsidRPr="00065A1D" w:rsidSect="007944F1">
          <w:pgSz w:w="16838" w:h="11906" w:orient="landscape"/>
          <w:pgMar w:top="1588" w:right="1644" w:bottom="1276" w:left="1644" w:header="709" w:footer="709" w:gutter="0"/>
          <w:cols w:space="708"/>
          <w:titlePg/>
          <w:docGrid w:linePitch="360"/>
        </w:sectPr>
      </w:pPr>
      <w:r w:rsidRPr="00065A1D">
        <w:t>Source: DHS Supplied prescriptions database, August 2014.</w:t>
      </w:r>
    </w:p>
    <w:p w14:paraId="13ABE6C7" w14:textId="77777777" w:rsidR="00E02A1E" w:rsidRPr="006E6E27" w:rsidRDefault="00E02A1E" w:rsidP="00E02A1E">
      <w:pPr>
        <w:rPr>
          <w:sz w:val="23"/>
          <w:szCs w:val="23"/>
        </w:rPr>
      </w:pPr>
      <w:r w:rsidRPr="00426DD8">
        <w:rPr>
          <w:sz w:val="23"/>
          <w:szCs w:val="23"/>
        </w:rPr>
        <w:lastRenderedPageBreak/>
        <w:t>The distribution patterns</w:t>
      </w:r>
      <w:r>
        <w:rPr>
          <w:sz w:val="23"/>
          <w:szCs w:val="23"/>
        </w:rPr>
        <w:t xml:space="preserve"> (not shown)</w:t>
      </w:r>
      <w:r w:rsidRPr="00426DD8">
        <w:rPr>
          <w:sz w:val="23"/>
          <w:szCs w:val="23"/>
        </w:rPr>
        <w:t xml:space="preserve"> for the time elapsed between the original prescription and supply of the first repeat differ from the time to original supply distributions. The pattern for amoxycillin 500mg capsule is typical of systemic antibiotics where one course is approximately one week’s treatment, with the mode being supply of the first repeat 7 days after the original prescription (Table 7).</w:t>
      </w:r>
    </w:p>
    <w:p w14:paraId="44C120F5" w14:textId="77777777" w:rsidR="00E02A1E" w:rsidRPr="00121FB7" w:rsidRDefault="00E02A1E" w:rsidP="00E02A1E">
      <w:pPr>
        <w:rPr>
          <w:sz w:val="23"/>
          <w:szCs w:val="23"/>
        </w:rPr>
      </w:pPr>
      <w:r w:rsidRPr="00121FB7">
        <w:rPr>
          <w:sz w:val="23"/>
          <w:szCs w:val="23"/>
        </w:rPr>
        <w:t xml:space="preserve">For systemic antibiotics for acute therapy, most people who have a first repeat dispensed have it dispensed within 10 days of the original prescription being supplied (Table 7). </w:t>
      </w:r>
      <w:r w:rsidRPr="00121FB7">
        <w:t>However, like the time to original supply analysis, the distribution (not shown) has a long tail, which shows that some repeat prescriptions were supplied many weeks or months after the original prescription was dispensed</w:t>
      </w:r>
      <w:r w:rsidRPr="00121FB7">
        <w:rPr>
          <w:sz w:val="23"/>
          <w:szCs w:val="23"/>
        </w:rPr>
        <w:t xml:space="preserve">. In these cases, it is unlikely that the same infection is being treated by the repeat dispensing. For the antibiotic items in Table 7, 10-20% of first repeats were supplied more than 60 days after the original prescription was dispensed. In the case of a high use item, such as amoxycillin 500mg capsules, 70,355 repeat prescriptions were supplied more than 60 days after the original prescription was dispensed. </w:t>
      </w:r>
    </w:p>
    <w:p w14:paraId="401A277A" w14:textId="77777777" w:rsidR="00E02A1E" w:rsidRPr="00121FB7" w:rsidRDefault="00E02A1E" w:rsidP="00E02A1E">
      <w:pPr>
        <w:rPr>
          <w:sz w:val="23"/>
          <w:szCs w:val="23"/>
        </w:rPr>
      </w:pPr>
      <w:r w:rsidRPr="00121FB7">
        <w:rPr>
          <w:sz w:val="23"/>
          <w:szCs w:val="23"/>
        </w:rPr>
        <w:t xml:space="preserve">Two of the doxycycline item codes had similar numbers of repeat prescriptions dispensed in 2013: both are shown in Table </w:t>
      </w:r>
      <w:r>
        <w:rPr>
          <w:sz w:val="23"/>
          <w:szCs w:val="23"/>
        </w:rPr>
        <w:t>7</w:t>
      </w:r>
      <w:r w:rsidRPr="00121FB7">
        <w:rPr>
          <w:sz w:val="23"/>
          <w:szCs w:val="23"/>
        </w:rPr>
        <w:t xml:space="preserve"> for comparison. Doxycycline item 2708M is an unrestricted listing for 7 capsules of 100mg doxycycline, while item 9106G is a restricted benefit listing for 25 tablets of 50mg doxycycline for the treatment of bronchiectasis, chronic bronchitis or severe acne. In the case of chronic therapy for an ongoing condition, it may be reasonable that a patient has their prescription dispensed after more time has elapsed. </w:t>
      </w:r>
    </w:p>
    <w:p w14:paraId="4669504E" w14:textId="77777777" w:rsidR="00E02A1E" w:rsidRPr="00121FB7" w:rsidRDefault="00E02A1E" w:rsidP="00E02A1E">
      <w:pPr>
        <w:rPr>
          <w:sz w:val="23"/>
          <w:szCs w:val="23"/>
        </w:rPr>
      </w:pPr>
      <w:r w:rsidRPr="00121FB7">
        <w:rPr>
          <w:sz w:val="23"/>
          <w:szCs w:val="23"/>
        </w:rPr>
        <w:t xml:space="preserve">The distribution for chloramphenicol eye drops (not shown) </w:t>
      </w:r>
      <w:r>
        <w:rPr>
          <w:sz w:val="23"/>
          <w:szCs w:val="23"/>
        </w:rPr>
        <w:t xml:space="preserve">displays a broader </w:t>
      </w:r>
      <w:r w:rsidRPr="00121FB7">
        <w:rPr>
          <w:sz w:val="23"/>
          <w:szCs w:val="23"/>
        </w:rPr>
        <w:t xml:space="preserve">peak than for the systemic antibiotics. This may be due to more variable dosage regimens for chloramphenicol eye drops. However, the distribution also shows that the first repeat is sometimes supplied months after the original prescription. </w:t>
      </w:r>
    </w:p>
    <w:p w14:paraId="513AAA22" w14:textId="416A886F" w:rsidR="00E02A1E" w:rsidRPr="00121FB7" w:rsidRDefault="00E02A1E" w:rsidP="00E02A1E">
      <w:pPr>
        <w:rPr>
          <w:sz w:val="23"/>
          <w:szCs w:val="23"/>
        </w:rPr>
      </w:pPr>
      <w:r w:rsidRPr="00121FB7">
        <w:rPr>
          <w:sz w:val="23"/>
          <w:szCs w:val="23"/>
        </w:rPr>
        <w:t>Prescribers can request an increased quantity or increased number of repeats by telephone authority. Although, this is not likely to account fully for the supply of first repeats more than 60 days after the origin</w:t>
      </w:r>
      <w:r w:rsidR="00392327">
        <w:rPr>
          <w:sz w:val="23"/>
          <w:szCs w:val="23"/>
        </w:rPr>
        <w:t>al prescription. For example, 19</w:t>
      </w:r>
      <w:r w:rsidRPr="00121FB7">
        <w:rPr>
          <w:sz w:val="23"/>
          <w:szCs w:val="23"/>
        </w:rPr>
        <w:t xml:space="preserve">% of </w:t>
      </w:r>
      <w:r w:rsidR="00392327">
        <w:rPr>
          <w:sz w:val="23"/>
          <w:szCs w:val="23"/>
        </w:rPr>
        <w:t>amoxycillin</w:t>
      </w:r>
      <w:r w:rsidRPr="00121FB7">
        <w:rPr>
          <w:sz w:val="23"/>
          <w:szCs w:val="23"/>
        </w:rPr>
        <w:t xml:space="preserve"> first repeats were supplied more than 60 days after the original prescription was supplied, but </w:t>
      </w:r>
      <w:r w:rsidR="00392327">
        <w:rPr>
          <w:sz w:val="23"/>
          <w:szCs w:val="23"/>
        </w:rPr>
        <w:t>less than 1</w:t>
      </w:r>
      <w:r w:rsidRPr="00121FB7">
        <w:rPr>
          <w:sz w:val="23"/>
          <w:szCs w:val="23"/>
        </w:rPr>
        <w:t xml:space="preserve">% of </w:t>
      </w:r>
      <w:r w:rsidR="00392327">
        <w:rPr>
          <w:sz w:val="23"/>
          <w:szCs w:val="23"/>
        </w:rPr>
        <w:t>amoxycillin</w:t>
      </w:r>
      <w:r w:rsidRPr="00121FB7">
        <w:rPr>
          <w:sz w:val="23"/>
          <w:szCs w:val="23"/>
        </w:rPr>
        <w:t xml:space="preserve"> prescriptions are for increased quantities or repeats.</w:t>
      </w:r>
    </w:p>
    <w:p w14:paraId="7B47E6EF" w14:textId="0C50C062" w:rsidR="00986A25" w:rsidRDefault="008C08F0" w:rsidP="00986A25">
      <w:pPr>
        <w:spacing w:after="0"/>
        <w:rPr>
          <w:rFonts w:eastAsia="Times New Roman" w:cs="Times New Roman"/>
          <w:color w:val="000000"/>
        </w:rPr>
      </w:pPr>
      <w:r w:rsidRPr="001A4B6F">
        <w:rPr>
          <w:rFonts w:eastAsia="Times New Roman" w:cs="Times New Roman"/>
          <w:color w:val="000000"/>
        </w:rPr>
        <w:t>For all antibiotic prescriptions where the first repeat was supplied in 2013, the number of days between the original</w:t>
      </w:r>
      <w:r>
        <w:rPr>
          <w:rFonts w:eastAsia="Times New Roman" w:cs="Times New Roman"/>
          <w:color w:val="000000"/>
        </w:rPr>
        <w:t xml:space="preserve"> supply and the first repeat</w:t>
      </w:r>
      <w:r w:rsidR="00986A25">
        <w:rPr>
          <w:rFonts w:eastAsia="Times New Roman" w:cs="Times New Roman"/>
          <w:color w:val="000000"/>
        </w:rPr>
        <w:t xml:space="preserve"> was determined</w:t>
      </w:r>
      <w:r>
        <w:rPr>
          <w:rFonts w:eastAsia="Times New Roman" w:cs="Times New Roman"/>
          <w:color w:val="000000"/>
        </w:rPr>
        <w:t>. Results are presented as</w:t>
      </w:r>
      <w:r w:rsidRPr="007004F8">
        <w:rPr>
          <w:rFonts w:eastAsia="Times New Roman" w:cs="Times New Roman"/>
          <w:i/>
          <w:color w:val="000000"/>
        </w:rPr>
        <w:t xml:space="preserve"> x% of first repeats supplied </w:t>
      </w:r>
      <w:r>
        <w:rPr>
          <w:rFonts w:eastAsia="Times New Roman" w:cs="Times New Roman"/>
          <w:i/>
          <w:color w:val="000000"/>
        </w:rPr>
        <w:t>y</w:t>
      </w:r>
      <w:r w:rsidRPr="007004F8">
        <w:rPr>
          <w:rFonts w:eastAsia="Times New Roman" w:cs="Times New Roman"/>
          <w:i/>
          <w:color w:val="000000"/>
        </w:rPr>
        <w:t xml:space="preserve"> days after the original prescription was </w:t>
      </w:r>
      <w:r>
        <w:rPr>
          <w:rFonts w:eastAsia="Times New Roman" w:cs="Times New Roman"/>
          <w:i/>
          <w:color w:val="000000"/>
        </w:rPr>
        <w:t xml:space="preserve">supplied </w:t>
      </w:r>
      <w:r>
        <w:rPr>
          <w:rFonts w:eastAsia="Times New Roman" w:cs="Times New Roman"/>
          <w:color w:val="000000"/>
        </w:rPr>
        <w:t>(Table 8).</w:t>
      </w:r>
      <w:r w:rsidR="00986A25" w:rsidRPr="00986A25">
        <w:rPr>
          <w:rFonts w:eastAsia="Times New Roman" w:cs="Times New Roman"/>
          <w:color w:val="000000"/>
        </w:rPr>
        <w:t xml:space="preserve"> </w:t>
      </w:r>
    </w:p>
    <w:p w14:paraId="03810A0E" w14:textId="77777777" w:rsidR="00BC1487" w:rsidRDefault="00BC1487">
      <w:pPr>
        <w:spacing w:before="0" w:after="200" w:line="276" w:lineRule="auto"/>
        <w:rPr>
          <w:rFonts w:eastAsiaTheme="majorEastAsia" w:cstheme="majorBidi"/>
          <w:b/>
          <w:bCs/>
        </w:rPr>
      </w:pPr>
      <w:r>
        <w:rPr>
          <w:rFonts w:eastAsiaTheme="majorEastAsia" w:cstheme="majorBidi"/>
          <w:b/>
          <w:bCs/>
        </w:rPr>
        <w:br w:type="page"/>
      </w:r>
    </w:p>
    <w:p w14:paraId="52A5DBD6" w14:textId="69CD4947" w:rsidR="008C08F0" w:rsidRPr="008C08F0" w:rsidRDefault="008C08F0" w:rsidP="008C08F0">
      <w:pPr>
        <w:spacing w:after="0"/>
        <w:rPr>
          <w:rFonts w:eastAsiaTheme="majorEastAsia" w:cstheme="majorBidi"/>
          <w:b/>
          <w:bCs/>
        </w:rPr>
      </w:pPr>
      <w:r w:rsidRPr="008C08F0">
        <w:rPr>
          <w:rFonts w:eastAsiaTheme="majorEastAsia" w:cstheme="majorBidi"/>
          <w:b/>
          <w:bCs/>
        </w:rPr>
        <w:lastRenderedPageBreak/>
        <w:t xml:space="preserve">Table </w:t>
      </w:r>
      <w:r>
        <w:rPr>
          <w:rFonts w:eastAsiaTheme="majorEastAsia" w:cstheme="majorBidi"/>
          <w:b/>
          <w:bCs/>
        </w:rPr>
        <w:t>8</w:t>
      </w:r>
      <w:r w:rsidRPr="008C08F0">
        <w:rPr>
          <w:rFonts w:eastAsiaTheme="majorEastAsia" w:cstheme="majorBidi"/>
          <w:b/>
          <w:bCs/>
        </w:rPr>
        <w:t xml:space="preserve">: </w:t>
      </w:r>
      <w:r w:rsidR="00497D3B">
        <w:rPr>
          <w:rFonts w:eastAsiaTheme="majorEastAsia" w:cstheme="majorBidi"/>
          <w:b/>
          <w:bCs/>
        </w:rPr>
        <w:t>D</w:t>
      </w:r>
      <w:r w:rsidRPr="008C08F0">
        <w:rPr>
          <w:rFonts w:eastAsiaTheme="majorEastAsia" w:cstheme="majorBidi"/>
          <w:b/>
          <w:bCs/>
        </w:rPr>
        <w:t xml:space="preserve">ays </w:t>
      </w:r>
      <w:r w:rsidR="00497D3B">
        <w:rPr>
          <w:rFonts w:eastAsiaTheme="majorEastAsia" w:cstheme="majorBidi"/>
          <w:b/>
          <w:bCs/>
        </w:rPr>
        <w:t>from</w:t>
      </w:r>
      <w:r w:rsidRPr="008C08F0">
        <w:rPr>
          <w:rFonts w:eastAsiaTheme="majorEastAsia" w:cstheme="majorBidi"/>
          <w:b/>
          <w:bCs/>
        </w:rPr>
        <w:t xml:space="preserve"> original </w:t>
      </w:r>
      <w:r w:rsidR="00497D3B">
        <w:rPr>
          <w:rFonts w:eastAsiaTheme="majorEastAsia" w:cstheme="majorBidi"/>
          <w:b/>
          <w:bCs/>
        </w:rPr>
        <w:t>to</w:t>
      </w:r>
      <w:r w:rsidRPr="008C08F0">
        <w:rPr>
          <w:rFonts w:eastAsiaTheme="majorEastAsia" w:cstheme="majorBidi"/>
          <w:b/>
          <w:bCs/>
        </w:rPr>
        <w:t xml:space="preserve"> repeat suppl</w:t>
      </w:r>
      <w:r w:rsidR="00497D3B">
        <w:rPr>
          <w:rFonts w:eastAsiaTheme="majorEastAsia" w:cstheme="majorBidi"/>
          <w:b/>
          <w:bCs/>
        </w:rPr>
        <w:t>y</w:t>
      </w:r>
      <w:r w:rsidRPr="008C08F0">
        <w:rPr>
          <w:rFonts w:eastAsiaTheme="majorEastAsia" w:cstheme="majorBidi"/>
          <w:b/>
          <w:bCs/>
        </w:rPr>
        <w:t xml:space="preserve"> by proportion of first repeats filled</w:t>
      </w:r>
    </w:p>
    <w:tbl>
      <w:tblPr>
        <w:tblW w:w="88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5"/>
        <w:gridCol w:w="1260"/>
        <w:gridCol w:w="1260"/>
        <w:gridCol w:w="1620"/>
        <w:gridCol w:w="1440"/>
        <w:gridCol w:w="1800"/>
      </w:tblGrid>
      <w:tr w:rsidR="00497D3B" w:rsidRPr="001A4B6F" w14:paraId="20D50752" w14:textId="77777777" w:rsidTr="00497D3B">
        <w:trPr>
          <w:trHeight w:val="551"/>
        </w:trPr>
        <w:tc>
          <w:tcPr>
            <w:tcW w:w="1455" w:type="dxa"/>
            <w:shd w:val="clear" w:color="auto" w:fill="BFBFBF" w:themeFill="background1" w:themeFillShade="BF"/>
            <w:noWrap/>
            <w:vAlign w:val="bottom"/>
            <w:hideMark/>
          </w:tcPr>
          <w:p w14:paraId="3FEF9508" w14:textId="71963AEF" w:rsidR="008C08F0" w:rsidRPr="008C08F0" w:rsidRDefault="00497D3B" w:rsidP="008C08F0">
            <w:pPr>
              <w:pStyle w:val="Tablewriting"/>
              <w:rPr>
                <w:b/>
              </w:rPr>
            </w:pPr>
            <w:r>
              <w:rPr>
                <w:b/>
              </w:rPr>
              <w:t>% 1</w:t>
            </w:r>
            <w:r w:rsidRPr="00497D3B">
              <w:rPr>
                <w:b/>
                <w:vertAlign w:val="superscript"/>
              </w:rPr>
              <w:t>st</w:t>
            </w:r>
            <w:r>
              <w:rPr>
                <w:b/>
              </w:rPr>
              <w:t xml:space="preserve"> repeats filled</w:t>
            </w:r>
          </w:p>
        </w:tc>
        <w:tc>
          <w:tcPr>
            <w:tcW w:w="1260" w:type="dxa"/>
            <w:shd w:val="clear" w:color="auto" w:fill="BFBFBF" w:themeFill="background1" w:themeFillShade="BF"/>
            <w:noWrap/>
            <w:hideMark/>
          </w:tcPr>
          <w:p w14:paraId="65352A26" w14:textId="77777777" w:rsidR="008C08F0" w:rsidRPr="008C08F0" w:rsidRDefault="008C08F0" w:rsidP="008C08F0">
            <w:pPr>
              <w:pStyle w:val="Tablewriting"/>
              <w:jc w:val="center"/>
              <w:rPr>
                <w:b/>
              </w:rPr>
            </w:pPr>
            <w:r w:rsidRPr="008C08F0">
              <w:rPr>
                <w:b/>
              </w:rPr>
              <w:t>Amoxycillin</w:t>
            </w:r>
          </w:p>
        </w:tc>
        <w:tc>
          <w:tcPr>
            <w:tcW w:w="1260" w:type="dxa"/>
            <w:shd w:val="clear" w:color="auto" w:fill="BFBFBF" w:themeFill="background1" w:themeFillShade="BF"/>
          </w:tcPr>
          <w:p w14:paraId="439ED044" w14:textId="77777777" w:rsidR="008C08F0" w:rsidRPr="008C08F0" w:rsidRDefault="008C08F0" w:rsidP="008C08F0">
            <w:pPr>
              <w:pStyle w:val="Tablewriting"/>
              <w:jc w:val="center"/>
              <w:rPr>
                <w:b/>
              </w:rPr>
            </w:pPr>
            <w:r w:rsidRPr="008C08F0">
              <w:rPr>
                <w:b/>
              </w:rPr>
              <w:t>Cephalexin</w:t>
            </w:r>
          </w:p>
        </w:tc>
        <w:tc>
          <w:tcPr>
            <w:tcW w:w="1620" w:type="dxa"/>
            <w:shd w:val="clear" w:color="auto" w:fill="BFBFBF" w:themeFill="background1" w:themeFillShade="BF"/>
          </w:tcPr>
          <w:p w14:paraId="3EA8A016" w14:textId="77777777" w:rsidR="008C08F0" w:rsidRPr="008C08F0" w:rsidRDefault="008C08F0" w:rsidP="008C08F0">
            <w:pPr>
              <w:pStyle w:val="Tablewriting"/>
              <w:jc w:val="center"/>
              <w:rPr>
                <w:b/>
              </w:rPr>
            </w:pPr>
            <w:r w:rsidRPr="008C08F0">
              <w:rPr>
                <w:b/>
              </w:rPr>
              <w:t xml:space="preserve">Amoxycillin + </w:t>
            </w:r>
            <w:proofErr w:type="spellStart"/>
            <w:r w:rsidRPr="008C08F0">
              <w:rPr>
                <w:b/>
              </w:rPr>
              <w:t>Clavulanic</w:t>
            </w:r>
            <w:proofErr w:type="spellEnd"/>
            <w:r w:rsidRPr="008C08F0">
              <w:rPr>
                <w:b/>
              </w:rPr>
              <w:t xml:space="preserve"> acid</w:t>
            </w:r>
          </w:p>
        </w:tc>
        <w:tc>
          <w:tcPr>
            <w:tcW w:w="1440" w:type="dxa"/>
            <w:shd w:val="clear" w:color="auto" w:fill="BFBFBF" w:themeFill="background1" w:themeFillShade="BF"/>
          </w:tcPr>
          <w:p w14:paraId="66124E99" w14:textId="77777777" w:rsidR="008C08F0" w:rsidRPr="008C08F0" w:rsidRDefault="008C08F0" w:rsidP="008C08F0">
            <w:pPr>
              <w:pStyle w:val="Tablewriting"/>
              <w:jc w:val="center"/>
              <w:rPr>
                <w:b/>
              </w:rPr>
            </w:pPr>
            <w:proofErr w:type="spellStart"/>
            <w:r w:rsidRPr="008C08F0">
              <w:rPr>
                <w:b/>
              </w:rPr>
              <w:t>Roxithromycin</w:t>
            </w:r>
            <w:proofErr w:type="spellEnd"/>
          </w:p>
        </w:tc>
        <w:tc>
          <w:tcPr>
            <w:tcW w:w="1800" w:type="dxa"/>
            <w:shd w:val="clear" w:color="auto" w:fill="BFBFBF" w:themeFill="background1" w:themeFillShade="BF"/>
          </w:tcPr>
          <w:p w14:paraId="675E1EEB" w14:textId="77777777" w:rsidR="008C08F0" w:rsidRPr="008C08F0" w:rsidRDefault="008C08F0" w:rsidP="008C08F0">
            <w:pPr>
              <w:pStyle w:val="Tablewriting"/>
              <w:jc w:val="center"/>
              <w:rPr>
                <w:b/>
              </w:rPr>
            </w:pPr>
            <w:r w:rsidRPr="008C08F0">
              <w:rPr>
                <w:b/>
              </w:rPr>
              <w:t>Chloramphenicol</w:t>
            </w:r>
          </w:p>
        </w:tc>
      </w:tr>
      <w:tr w:rsidR="008C08F0" w:rsidRPr="001A4B6F" w14:paraId="1228A982" w14:textId="77777777" w:rsidTr="00497D3B">
        <w:trPr>
          <w:trHeight w:val="300"/>
        </w:trPr>
        <w:tc>
          <w:tcPr>
            <w:tcW w:w="1455" w:type="dxa"/>
            <w:shd w:val="clear" w:color="auto" w:fill="auto"/>
            <w:noWrap/>
            <w:vAlign w:val="bottom"/>
            <w:hideMark/>
          </w:tcPr>
          <w:p w14:paraId="2786A87C" w14:textId="77777777" w:rsidR="008C08F0" w:rsidRPr="008C08F0" w:rsidRDefault="008C08F0" w:rsidP="008C08F0">
            <w:pPr>
              <w:pStyle w:val="Tablewriting"/>
              <w:jc w:val="center"/>
            </w:pPr>
            <w:r w:rsidRPr="008C08F0">
              <w:t>25%</w:t>
            </w:r>
          </w:p>
        </w:tc>
        <w:tc>
          <w:tcPr>
            <w:tcW w:w="1260" w:type="dxa"/>
            <w:shd w:val="clear" w:color="auto" w:fill="auto"/>
            <w:noWrap/>
            <w:vAlign w:val="bottom"/>
            <w:hideMark/>
          </w:tcPr>
          <w:p w14:paraId="73FA72C3" w14:textId="77777777" w:rsidR="008C08F0" w:rsidRPr="008C08F0" w:rsidRDefault="008C08F0" w:rsidP="008C08F0">
            <w:pPr>
              <w:pStyle w:val="Tablewriting"/>
              <w:jc w:val="center"/>
            </w:pPr>
            <w:r w:rsidRPr="008C08F0">
              <w:t>6</w:t>
            </w:r>
          </w:p>
        </w:tc>
        <w:tc>
          <w:tcPr>
            <w:tcW w:w="1260" w:type="dxa"/>
            <w:vAlign w:val="bottom"/>
          </w:tcPr>
          <w:p w14:paraId="6A119B3F" w14:textId="77777777" w:rsidR="008C08F0" w:rsidRPr="008C08F0" w:rsidRDefault="008C08F0" w:rsidP="008C08F0">
            <w:pPr>
              <w:pStyle w:val="Tablewriting"/>
              <w:jc w:val="center"/>
            </w:pPr>
            <w:r w:rsidRPr="008C08F0">
              <w:t>5</w:t>
            </w:r>
          </w:p>
        </w:tc>
        <w:tc>
          <w:tcPr>
            <w:tcW w:w="1620" w:type="dxa"/>
          </w:tcPr>
          <w:p w14:paraId="407DBC31" w14:textId="77777777" w:rsidR="008C08F0" w:rsidRPr="008C08F0" w:rsidRDefault="008C08F0" w:rsidP="008C08F0">
            <w:pPr>
              <w:pStyle w:val="Tablewriting"/>
              <w:jc w:val="center"/>
            </w:pPr>
            <w:r w:rsidRPr="008C08F0">
              <w:t>4</w:t>
            </w:r>
          </w:p>
        </w:tc>
        <w:tc>
          <w:tcPr>
            <w:tcW w:w="1440" w:type="dxa"/>
          </w:tcPr>
          <w:p w14:paraId="32A98AC1" w14:textId="77777777" w:rsidR="008C08F0" w:rsidRPr="008C08F0" w:rsidRDefault="008C08F0" w:rsidP="008C08F0">
            <w:pPr>
              <w:pStyle w:val="Tablewriting"/>
              <w:jc w:val="center"/>
            </w:pPr>
            <w:r w:rsidRPr="008C08F0">
              <w:t>4</w:t>
            </w:r>
          </w:p>
        </w:tc>
        <w:tc>
          <w:tcPr>
            <w:tcW w:w="1800" w:type="dxa"/>
          </w:tcPr>
          <w:p w14:paraId="2D3CD79F" w14:textId="77777777" w:rsidR="008C08F0" w:rsidRPr="008C08F0" w:rsidRDefault="008C08F0" w:rsidP="008C08F0">
            <w:pPr>
              <w:pStyle w:val="Tablewriting"/>
              <w:jc w:val="center"/>
            </w:pPr>
            <w:r w:rsidRPr="008C08F0">
              <w:t>12</w:t>
            </w:r>
          </w:p>
        </w:tc>
      </w:tr>
      <w:tr w:rsidR="008C08F0" w:rsidRPr="001A4B6F" w14:paraId="35C9B4D3" w14:textId="77777777" w:rsidTr="00497D3B">
        <w:trPr>
          <w:trHeight w:val="300"/>
        </w:trPr>
        <w:tc>
          <w:tcPr>
            <w:tcW w:w="1455" w:type="dxa"/>
            <w:shd w:val="clear" w:color="auto" w:fill="auto"/>
            <w:noWrap/>
            <w:vAlign w:val="bottom"/>
            <w:hideMark/>
          </w:tcPr>
          <w:p w14:paraId="3CFBA34A" w14:textId="77777777" w:rsidR="008C08F0" w:rsidRPr="008C08F0" w:rsidRDefault="008C08F0" w:rsidP="008C08F0">
            <w:pPr>
              <w:pStyle w:val="Tablewriting"/>
              <w:jc w:val="center"/>
            </w:pPr>
            <w:r w:rsidRPr="008C08F0">
              <w:t>50%</w:t>
            </w:r>
          </w:p>
        </w:tc>
        <w:tc>
          <w:tcPr>
            <w:tcW w:w="1260" w:type="dxa"/>
            <w:shd w:val="clear" w:color="auto" w:fill="auto"/>
            <w:noWrap/>
            <w:vAlign w:val="bottom"/>
            <w:hideMark/>
          </w:tcPr>
          <w:p w14:paraId="1CB4172A" w14:textId="77777777" w:rsidR="008C08F0" w:rsidRPr="008C08F0" w:rsidRDefault="008C08F0" w:rsidP="008C08F0">
            <w:pPr>
              <w:pStyle w:val="Tablewriting"/>
              <w:jc w:val="center"/>
            </w:pPr>
            <w:r w:rsidRPr="008C08F0">
              <w:t>9</w:t>
            </w:r>
          </w:p>
        </w:tc>
        <w:tc>
          <w:tcPr>
            <w:tcW w:w="1260" w:type="dxa"/>
            <w:vAlign w:val="bottom"/>
          </w:tcPr>
          <w:p w14:paraId="43E97276" w14:textId="77777777" w:rsidR="008C08F0" w:rsidRPr="008C08F0" w:rsidRDefault="008C08F0" w:rsidP="008C08F0">
            <w:pPr>
              <w:pStyle w:val="Tablewriting"/>
              <w:jc w:val="center"/>
            </w:pPr>
            <w:r w:rsidRPr="008C08F0">
              <w:t>8</w:t>
            </w:r>
          </w:p>
        </w:tc>
        <w:tc>
          <w:tcPr>
            <w:tcW w:w="1620" w:type="dxa"/>
          </w:tcPr>
          <w:p w14:paraId="6DD8E84A" w14:textId="77777777" w:rsidR="008C08F0" w:rsidRPr="008C08F0" w:rsidRDefault="008C08F0" w:rsidP="008C08F0">
            <w:pPr>
              <w:pStyle w:val="Tablewriting"/>
              <w:jc w:val="center"/>
            </w:pPr>
            <w:r w:rsidRPr="008C08F0">
              <w:t>6</w:t>
            </w:r>
          </w:p>
        </w:tc>
        <w:tc>
          <w:tcPr>
            <w:tcW w:w="1440" w:type="dxa"/>
          </w:tcPr>
          <w:p w14:paraId="35544D67" w14:textId="77777777" w:rsidR="008C08F0" w:rsidRPr="008C08F0" w:rsidRDefault="008C08F0" w:rsidP="008C08F0">
            <w:pPr>
              <w:pStyle w:val="Tablewriting"/>
              <w:jc w:val="center"/>
            </w:pPr>
            <w:r w:rsidRPr="008C08F0">
              <w:t>5</w:t>
            </w:r>
          </w:p>
        </w:tc>
        <w:tc>
          <w:tcPr>
            <w:tcW w:w="1800" w:type="dxa"/>
          </w:tcPr>
          <w:p w14:paraId="7E2A3F42" w14:textId="77777777" w:rsidR="008C08F0" w:rsidRPr="008C08F0" w:rsidRDefault="008C08F0" w:rsidP="008C08F0">
            <w:pPr>
              <w:pStyle w:val="Tablewriting"/>
              <w:jc w:val="center"/>
            </w:pPr>
            <w:r w:rsidRPr="008C08F0">
              <w:t>24</w:t>
            </w:r>
          </w:p>
        </w:tc>
      </w:tr>
      <w:tr w:rsidR="008C08F0" w:rsidRPr="001A4B6F" w14:paraId="462CB63C" w14:textId="77777777" w:rsidTr="00497D3B">
        <w:trPr>
          <w:trHeight w:val="300"/>
        </w:trPr>
        <w:tc>
          <w:tcPr>
            <w:tcW w:w="1455" w:type="dxa"/>
            <w:shd w:val="clear" w:color="auto" w:fill="auto"/>
            <w:noWrap/>
            <w:vAlign w:val="bottom"/>
            <w:hideMark/>
          </w:tcPr>
          <w:p w14:paraId="162AC112" w14:textId="77777777" w:rsidR="008C08F0" w:rsidRPr="008C08F0" w:rsidRDefault="008C08F0" w:rsidP="008C08F0">
            <w:pPr>
              <w:pStyle w:val="Tablewriting"/>
              <w:jc w:val="center"/>
            </w:pPr>
            <w:r w:rsidRPr="008C08F0">
              <w:t>75%</w:t>
            </w:r>
          </w:p>
        </w:tc>
        <w:tc>
          <w:tcPr>
            <w:tcW w:w="1260" w:type="dxa"/>
            <w:shd w:val="clear" w:color="auto" w:fill="auto"/>
            <w:noWrap/>
            <w:vAlign w:val="bottom"/>
            <w:hideMark/>
          </w:tcPr>
          <w:p w14:paraId="013D8EC8" w14:textId="77777777" w:rsidR="008C08F0" w:rsidRPr="008C08F0" w:rsidRDefault="008C08F0" w:rsidP="008C08F0">
            <w:pPr>
              <w:pStyle w:val="Tablewriting"/>
              <w:jc w:val="center"/>
            </w:pPr>
            <w:r w:rsidRPr="008C08F0">
              <w:t>34</w:t>
            </w:r>
          </w:p>
        </w:tc>
        <w:tc>
          <w:tcPr>
            <w:tcW w:w="1260" w:type="dxa"/>
            <w:vAlign w:val="bottom"/>
          </w:tcPr>
          <w:p w14:paraId="319B4DD2" w14:textId="77777777" w:rsidR="008C08F0" w:rsidRPr="008C08F0" w:rsidRDefault="008C08F0" w:rsidP="008C08F0">
            <w:pPr>
              <w:pStyle w:val="Tablewriting"/>
              <w:jc w:val="center"/>
            </w:pPr>
            <w:r w:rsidRPr="008C08F0">
              <w:t>25</w:t>
            </w:r>
          </w:p>
        </w:tc>
        <w:tc>
          <w:tcPr>
            <w:tcW w:w="1620" w:type="dxa"/>
          </w:tcPr>
          <w:p w14:paraId="2E054FDA" w14:textId="77777777" w:rsidR="008C08F0" w:rsidRPr="008C08F0" w:rsidRDefault="008C08F0" w:rsidP="008C08F0">
            <w:pPr>
              <w:pStyle w:val="Tablewriting"/>
              <w:jc w:val="center"/>
            </w:pPr>
            <w:r w:rsidRPr="008C08F0">
              <w:t>16</w:t>
            </w:r>
          </w:p>
        </w:tc>
        <w:tc>
          <w:tcPr>
            <w:tcW w:w="1440" w:type="dxa"/>
          </w:tcPr>
          <w:p w14:paraId="1CD52604" w14:textId="77777777" w:rsidR="008C08F0" w:rsidRPr="008C08F0" w:rsidRDefault="008C08F0" w:rsidP="008C08F0">
            <w:pPr>
              <w:pStyle w:val="Tablewriting"/>
              <w:jc w:val="center"/>
            </w:pPr>
            <w:r w:rsidRPr="008C08F0">
              <w:t>10</w:t>
            </w:r>
          </w:p>
        </w:tc>
        <w:tc>
          <w:tcPr>
            <w:tcW w:w="1800" w:type="dxa"/>
          </w:tcPr>
          <w:p w14:paraId="3820320C" w14:textId="77777777" w:rsidR="008C08F0" w:rsidRPr="008C08F0" w:rsidRDefault="008C08F0" w:rsidP="008C08F0">
            <w:pPr>
              <w:pStyle w:val="Tablewriting"/>
              <w:jc w:val="center"/>
            </w:pPr>
            <w:r w:rsidRPr="008C08F0">
              <w:t>42</w:t>
            </w:r>
          </w:p>
        </w:tc>
      </w:tr>
      <w:tr w:rsidR="008C08F0" w:rsidRPr="001A4B6F" w14:paraId="192FD0D0" w14:textId="77777777" w:rsidTr="00497D3B">
        <w:trPr>
          <w:trHeight w:val="300"/>
        </w:trPr>
        <w:tc>
          <w:tcPr>
            <w:tcW w:w="1455" w:type="dxa"/>
            <w:shd w:val="clear" w:color="auto" w:fill="auto"/>
            <w:noWrap/>
            <w:vAlign w:val="bottom"/>
            <w:hideMark/>
          </w:tcPr>
          <w:p w14:paraId="3C58030C" w14:textId="77777777" w:rsidR="008C08F0" w:rsidRPr="008C08F0" w:rsidRDefault="008C08F0" w:rsidP="008C08F0">
            <w:pPr>
              <w:pStyle w:val="Tablewriting"/>
              <w:jc w:val="center"/>
            </w:pPr>
            <w:r w:rsidRPr="008C08F0">
              <w:t>80%</w:t>
            </w:r>
          </w:p>
        </w:tc>
        <w:tc>
          <w:tcPr>
            <w:tcW w:w="1260" w:type="dxa"/>
            <w:shd w:val="clear" w:color="auto" w:fill="auto"/>
            <w:noWrap/>
            <w:vAlign w:val="bottom"/>
            <w:hideMark/>
          </w:tcPr>
          <w:p w14:paraId="1779C8BD" w14:textId="77777777" w:rsidR="008C08F0" w:rsidRPr="008C08F0" w:rsidRDefault="008C08F0" w:rsidP="008C08F0">
            <w:pPr>
              <w:pStyle w:val="Tablewriting"/>
              <w:jc w:val="center"/>
            </w:pPr>
            <w:r w:rsidRPr="008C08F0">
              <w:t>50</w:t>
            </w:r>
          </w:p>
        </w:tc>
        <w:tc>
          <w:tcPr>
            <w:tcW w:w="1260" w:type="dxa"/>
            <w:vAlign w:val="bottom"/>
          </w:tcPr>
          <w:p w14:paraId="3616CB49" w14:textId="77777777" w:rsidR="008C08F0" w:rsidRPr="008C08F0" w:rsidRDefault="008C08F0" w:rsidP="008C08F0">
            <w:pPr>
              <w:pStyle w:val="Tablewriting"/>
              <w:jc w:val="center"/>
            </w:pPr>
            <w:r w:rsidRPr="008C08F0">
              <w:t>35</w:t>
            </w:r>
          </w:p>
        </w:tc>
        <w:tc>
          <w:tcPr>
            <w:tcW w:w="1620" w:type="dxa"/>
          </w:tcPr>
          <w:p w14:paraId="23817415" w14:textId="77777777" w:rsidR="008C08F0" w:rsidRPr="008C08F0" w:rsidRDefault="008C08F0" w:rsidP="008C08F0">
            <w:pPr>
              <w:pStyle w:val="Tablewriting"/>
              <w:jc w:val="center"/>
            </w:pPr>
            <w:r w:rsidRPr="008C08F0">
              <w:t>25</w:t>
            </w:r>
          </w:p>
        </w:tc>
        <w:tc>
          <w:tcPr>
            <w:tcW w:w="1440" w:type="dxa"/>
          </w:tcPr>
          <w:p w14:paraId="384F04D3" w14:textId="77777777" w:rsidR="008C08F0" w:rsidRPr="008C08F0" w:rsidRDefault="008C08F0" w:rsidP="008C08F0">
            <w:pPr>
              <w:pStyle w:val="Tablewriting"/>
              <w:jc w:val="center"/>
            </w:pPr>
            <w:r w:rsidRPr="008C08F0">
              <w:t>16</w:t>
            </w:r>
          </w:p>
        </w:tc>
        <w:tc>
          <w:tcPr>
            <w:tcW w:w="1800" w:type="dxa"/>
          </w:tcPr>
          <w:p w14:paraId="4A78D929" w14:textId="77777777" w:rsidR="008C08F0" w:rsidRPr="008C08F0" w:rsidRDefault="008C08F0" w:rsidP="008C08F0">
            <w:pPr>
              <w:pStyle w:val="Tablewriting"/>
              <w:jc w:val="center"/>
            </w:pPr>
            <w:r w:rsidRPr="008C08F0">
              <w:t>49</w:t>
            </w:r>
          </w:p>
        </w:tc>
      </w:tr>
      <w:tr w:rsidR="008C08F0" w:rsidRPr="001A4B6F" w14:paraId="37D037D4" w14:textId="77777777" w:rsidTr="00497D3B">
        <w:trPr>
          <w:trHeight w:val="300"/>
        </w:trPr>
        <w:tc>
          <w:tcPr>
            <w:tcW w:w="1455" w:type="dxa"/>
            <w:shd w:val="clear" w:color="auto" w:fill="auto"/>
            <w:noWrap/>
            <w:vAlign w:val="bottom"/>
            <w:hideMark/>
          </w:tcPr>
          <w:p w14:paraId="5A6A8A03" w14:textId="77777777" w:rsidR="008C08F0" w:rsidRPr="008C08F0" w:rsidRDefault="008C08F0" w:rsidP="008C08F0">
            <w:pPr>
              <w:pStyle w:val="Tablewriting"/>
              <w:jc w:val="center"/>
            </w:pPr>
            <w:r w:rsidRPr="008C08F0">
              <w:t>90%</w:t>
            </w:r>
          </w:p>
        </w:tc>
        <w:tc>
          <w:tcPr>
            <w:tcW w:w="1260" w:type="dxa"/>
            <w:shd w:val="clear" w:color="auto" w:fill="auto"/>
            <w:noWrap/>
            <w:vAlign w:val="bottom"/>
            <w:hideMark/>
          </w:tcPr>
          <w:p w14:paraId="443D75BF" w14:textId="77777777" w:rsidR="008C08F0" w:rsidRPr="008C08F0" w:rsidRDefault="008C08F0" w:rsidP="008C08F0">
            <w:pPr>
              <w:pStyle w:val="Tablewriting"/>
              <w:jc w:val="center"/>
            </w:pPr>
            <w:r w:rsidRPr="008C08F0">
              <w:t>122</w:t>
            </w:r>
          </w:p>
        </w:tc>
        <w:tc>
          <w:tcPr>
            <w:tcW w:w="1260" w:type="dxa"/>
            <w:vAlign w:val="bottom"/>
          </w:tcPr>
          <w:p w14:paraId="04DB065E" w14:textId="77777777" w:rsidR="008C08F0" w:rsidRPr="008C08F0" w:rsidRDefault="008C08F0" w:rsidP="008C08F0">
            <w:pPr>
              <w:pStyle w:val="Tablewriting"/>
              <w:jc w:val="center"/>
            </w:pPr>
            <w:r w:rsidRPr="008C08F0">
              <w:t>91</w:t>
            </w:r>
          </w:p>
        </w:tc>
        <w:tc>
          <w:tcPr>
            <w:tcW w:w="1620" w:type="dxa"/>
          </w:tcPr>
          <w:p w14:paraId="618FFFCA" w14:textId="77777777" w:rsidR="008C08F0" w:rsidRPr="008C08F0" w:rsidRDefault="008C08F0" w:rsidP="008C08F0">
            <w:pPr>
              <w:pStyle w:val="Tablewriting"/>
              <w:jc w:val="center"/>
            </w:pPr>
            <w:r w:rsidRPr="008C08F0">
              <w:t>74</w:t>
            </w:r>
          </w:p>
        </w:tc>
        <w:tc>
          <w:tcPr>
            <w:tcW w:w="1440" w:type="dxa"/>
          </w:tcPr>
          <w:p w14:paraId="6C54D8B3" w14:textId="77777777" w:rsidR="008C08F0" w:rsidRPr="008C08F0" w:rsidRDefault="008C08F0" w:rsidP="008C08F0">
            <w:pPr>
              <w:pStyle w:val="Tablewriting"/>
              <w:jc w:val="center"/>
            </w:pPr>
            <w:r w:rsidRPr="008C08F0">
              <w:t>52</w:t>
            </w:r>
          </w:p>
        </w:tc>
        <w:tc>
          <w:tcPr>
            <w:tcW w:w="1800" w:type="dxa"/>
          </w:tcPr>
          <w:p w14:paraId="0E0A2F96" w14:textId="77777777" w:rsidR="008C08F0" w:rsidRPr="008C08F0" w:rsidRDefault="008C08F0" w:rsidP="008C08F0">
            <w:pPr>
              <w:pStyle w:val="Tablewriting"/>
              <w:jc w:val="center"/>
            </w:pPr>
            <w:r w:rsidRPr="008C08F0">
              <w:t>67</w:t>
            </w:r>
          </w:p>
        </w:tc>
      </w:tr>
    </w:tbl>
    <w:p w14:paraId="51B3249C" w14:textId="2716301A" w:rsidR="00E02A1E" w:rsidRDefault="00E02A1E" w:rsidP="00E02A1E">
      <w:pPr>
        <w:spacing w:before="0" w:after="0"/>
        <w:rPr>
          <w:rFonts w:eastAsia="Times New Roman" w:cs="Times New Roman"/>
          <w:color w:val="000000"/>
        </w:rPr>
      </w:pPr>
      <w:r w:rsidRPr="006874BA">
        <w:rPr>
          <w:rStyle w:val="FigurecaptionChar"/>
        </w:rPr>
        <w:t>Source: D</w:t>
      </w:r>
      <w:r>
        <w:rPr>
          <w:rStyle w:val="FigurecaptionChar"/>
        </w:rPr>
        <w:t xml:space="preserve">HS Supplied Prescriptions </w:t>
      </w:r>
      <w:r w:rsidRPr="006874BA">
        <w:rPr>
          <w:rStyle w:val="FigurecaptionChar"/>
        </w:rPr>
        <w:t>database, August 2014.</w:t>
      </w:r>
    </w:p>
    <w:p w14:paraId="51E2185B" w14:textId="77777777" w:rsidR="00BC1487" w:rsidRDefault="00BC1487" w:rsidP="00BC1487">
      <w:pPr>
        <w:spacing w:after="0"/>
        <w:rPr>
          <w:rFonts w:eastAsia="Times New Roman" w:cs="Times New Roman"/>
          <w:color w:val="000000"/>
        </w:rPr>
      </w:pPr>
      <w:r>
        <w:rPr>
          <w:rFonts w:eastAsia="Times New Roman" w:cs="Times New Roman"/>
          <w:color w:val="000000"/>
        </w:rPr>
        <w:t xml:space="preserve">For all of the antibiotics considered in Table 8, a number of repeats were filled well beyond the number of days covered by the original supply for a standard treatment course. For example, in most cases, the quantity of amoxycillin supplied would provide 7 days’ treatment.  25% of repeats filled for amoxycillin were supplied 6 days after the original dispensing and 50% were supplied within 9 days of dispensing. These time periods are close to the expected 7 days’ supply. However, Table 8 shows that 25% of the repeats were filled 34 days or more after the original dispensing. </w:t>
      </w:r>
    </w:p>
    <w:p w14:paraId="5526B73F" w14:textId="47CEC3F7" w:rsidR="00751D57" w:rsidRPr="005302E0" w:rsidRDefault="00986A25" w:rsidP="00986A25">
      <w:r w:rsidRPr="005302E0">
        <w:t>The time to supply analysis should be interpreted in the context that for many antibiotics the dosage varies depending on the infection being treated. For example, the adult dosage of amoxycillin for lower respiratory tract infections is 500mg three times per day, meaning a 20 capsule pack will be finished on day 7. However, a single dose of 3g amoxycillin is indicated for urinary tract infection, gonorrhoea, and as prophylaxis in some dental procedures.</w:t>
      </w:r>
      <w:r w:rsidRPr="005302E0">
        <w:rPr>
          <w:vertAlign w:val="superscript"/>
        </w:rPr>
        <w:footnoteReference w:id="11"/>
      </w:r>
      <w:r w:rsidR="00751D57" w:rsidRPr="005302E0">
        <w:t xml:space="preserve"> Additionally, </w:t>
      </w:r>
      <w:r w:rsidR="00751D57" w:rsidRPr="005302E0">
        <w:rPr>
          <w:rFonts w:ascii="Calibri" w:eastAsia="MS Mincho" w:hAnsi="Calibri" w:cs="Times New Roman"/>
        </w:rPr>
        <w:t>a limitation of the analysis is that it doesn’t assess whether patients had multiple original prescriptions prescribed within what could conceivably be one episode of care.</w:t>
      </w:r>
    </w:p>
    <w:p w14:paraId="64C0395B" w14:textId="77777777" w:rsidR="00C94A29" w:rsidRDefault="00C94A29">
      <w:pPr>
        <w:spacing w:before="0" w:after="200" w:line="276" w:lineRule="auto"/>
        <w:rPr>
          <w:rFonts w:eastAsiaTheme="majorEastAsia" w:cstheme="majorBidi"/>
          <w:b/>
          <w:bCs/>
          <w:i/>
        </w:rPr>
      </w:pPr>
      <w:r>
        <w:br w:type="page"/>
      </w:r>
      <w:bookmarkStart w:id="0" w:name="_GoBack"/>
      <w:bookmarkEnd w:id="0"/>
    </w:p>
    <w:p w14:paraId="12C5A992" w14:textId="45623CB8" w:rsidR="00B77716" w:rsidRPr="00065A1D" w:rsidRDefault="00B77716" w:rsidP="00B77716">
      <w:pPr>
        <w:pStyle w:val="Heading5"/>
      </w:pPr>
      <w:r w:rsidRPr="00065A1D">
        <w:lastRenderedPageBreak/>
        <w:t xml:space="preserve">Prescriber type </w:t>
      </w:r>
    </w:p>
    <w:p w14:paraId="44070A13" w14:textId="24E815B1" w:rsidR="00B77716" w:rsidRPr="00065A1D" w:rsidRDefault="00B77716" w:rsidP="00B77716">
      <w:r w:rsidRPr="00065A1D">
        <w:t xml:space="preserve">Table </w:t>
      </w:r>
      <w:r w:rsidR="008F495D">
        <w:t>9</w:t>
      </w:r>
      <w:r w:rsidR="00464352">
        <w:t xml:space="preserve"> </w:t>
      </w:r>
      <w:r w:rsidRPr="00065A1D">
        <w:t>shows that prescribing by approved non-medical prescribers (dentists, optometrists, midwives and nurse practitioners) represented a small proportion of the total prescriptions supplied for antibiotics in 2013.</w:t>
      </w:r>
    </w:p>
    <w:p w14:paraId="0CCE6E18" w14:textId="499C5ED1" w:rsidR="00B77716" w:rsidRPr="00065A1D" w:rsidRDefault="00B77716" w:rsidP="00B77716">
      <w:pPr>
        <w:pStyle w:val="Tabletitle"/>
      </w:pPr>
      <w:r w:rsidRPr="00065A1D">
        <w:t xml:space="preserve">Table </w:t>
      </w:r>
      <w:r w:rsidR="008F495D">
        <w:t>9</w:t>
      </w:r>
      <w:r w:rsidRPr="00065A1D">
        <w:t>: Major specialty type of prescriber for prescriptions supplied in 2013</w:t>
      </w:r>
    </w:p>
    <w:tbl>
      <w:tblPr>
        <w:tblW w:w="9015" w:type="dxa"/>
        <w:tblInd w:w="93" w:type="dxa"/>
        <w:tblLook w:val="04A0" w:firstRow="1" w:lastRow="0" w:firstColumn="1" w:lastColumn="0" w:noHBand="0" w:noVBand="1"/>
        <w:tblCaption w:val="Table 5 shows the major specialty type of prescriber for prescriptions supplied in 2013"/>
      </w:tblPr>
      <w:tblGrid>
        <w:gridCol w:w="3075"/>
        <w:gridCol w:w="2700"/>
        <w:gridCol w:w="3240"/>
      </w:tblGrid>
      <w:tr w:rsidR="00B77716" w:rsidRPr="00D1099E" w14:paraId="55854C08" w14:textId="77777777" w:rsidTr="00C45A61">
        <w:trPr>
          <w:trHeight w:val="300"/>
        </w:trPr>
        <w:tc>
          <w:tcPr>
            <w:tcW w:w="307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66623E4C" w14:textId="77777777" w:rsidR="00B77716" w:rsidRPr="00D1099E" w:rsidRDefault="00B77716" w:rsidP="00C45A61">
            <w:pPr>
              <w:pStyle w:val="Tablewriting"/>
              <w:rPr>
                <w:b/>
              </w:rPr>
            </w:pPr>
            <w:r w:rsidRPr="00D1099E">
              <w:rPr>
                <w:b/>
              </w:rPr>
              <w:t>Major specialty of prescriber</w:t>
            </w:r>
          </w:p>
        </w:tc>
        <w:tc>
          <w:tcPr>
            <w:tcW w:w="27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61FCD08F" w14:textId="77777777" w:rsidR="00B77716" w:rsidRPr="00D1099E" w:rsidRDefault="00B77716" w:rsidP="00C45A61">
            <w:pPr>
              <w:pStyle w:val="Tablewriting"/>
              <w:rPr>
                <w:b/>
              </w:rPr>
            </w:pPr>
            <w:r w:rsidRPr="00D1099E">
              <w:rPr>
                <w:b/>
              </w:rPr>
              <w:t>Prescriptions supplied</w:t>
            </w:r>
          </w:p>
        </w:tc>
        <w:tc>
          <w:tcPr>
            <w:tcW w:w="324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3AD9EDD1" w14:textId="77777777" w:rsidR="00B77716" w:rsidRPr="00D1099E" w:rsidRDefault="00B77716" w:rsidP="00C45A61">
            <w:pPr>
              <w:pStyle w:val="Tablewriting"/>
              <w:rPr>
                <w:b/>
              </w:rPr>
            </w:pPr>
            <w:r w:rsidRPr="00D1099E">
              <w:rPr>
                <w:b/>
              </w:rPr>
              <w:t xml:space="preserve">Percentage of total prescriptions </w:t>
            </w:r>
          </w:p>
        </w:tc>
      </w:tr>
      <w:tr w:rsidR="00B77716" w:rsidRPr="00065A1D" w14:paraId="6E3DE981" w14:textId="77777777" w:rsidTr="00C45A61">
        <w:trPr>
          <w:trHeight w:val="300"/>
        </w:trPr>
        <w:tc>
          <w:tcPr>
            <w:tcW w:w="3075" w:type="dxa"/>
            <w:tcBorders>
              <w:top w:val="nil"/>
              <w:left w:val="single" w:sz="4" w:space="0" w:color="auto"/>
              <w:bottom w:val="single" w:sz="4" w:space="0" w:color="auto"/>
              <w:right w:val="single" w:sz="4" w:space="0" w:color="auto"/>
            </w:tcBorders>
            <w:shd w:val="clear" w:color="auto" w:fill="auto"/>
            <w:noWrap/>
            <w:vAlign w:val="bottom"/>
            <w:hideMark/>
          </w:tcPr>
          <w:p w14:paraId="75C2B854" w14:textId="77777777" w:rsidR="00B77716" w:rsidRPr="00065A1D" w:rsidRDefault="00B77716" w:rsidP="00C45A61">
            <w:pPr>
              <w:pStyle w:val="Tablewriting"/>
            </w:pPr>
            <w:r w:rsidRPr="00065A1D">
              <w:t>GP</w:t>
            </w:r>
          </w:p>
        </w:tc>
        <w:tc>
          <w:tcPr>
            <w:tcW w:w="2700" w:type="dxa"/>
            <w:tcBorders>
              <w:top w:val="nil"/>
              <w:left w:val="nil"/>
              <w:bottom w:val="single" w:sz="4" w:space="0" w:color="auto"/>
              <w:right w:val="single" w:sz="4" w:space="0" w:color="auto"/>
            </w:tcBorders>
            <w:shd w:val="clear" w:color="auto" w:fill="auto"/>
            <w:noWrap/>
            <w:vAlign w:val="bottom"/>
            <w:hideMark/>
          </w:tcPr>
          <w:p w14:paraId="4A265E29" w14:textId="77777777" w:rsidR="00B77716" w:rsidRPr="00065A1D" w:rsidRDefault="00B77716" w:rsidP="00C45A61">
            <w:pPr>
              <w:pStyle w:val="Tablewriting"/>
              <w:jc w:val="right"/>
            </w:pPr>
            <w:r w:rsidRPr="00065A1D">
              <w:t xml:space="preserve">21,705,360 </w:t>
            </w:r>
          </w:p>
        </w:tc>
        <w:tc>
          <w:tcPr>
            <w:tcW w:w="3240" w:type="dxa"/>
            <w:tcBorders>
              <w:top w:val="nil"/>
              <w:left w:val="nil"/>
              <w:bottom w:val="single" w:sz="4" w:space="0" w:color="auto"/>
              <w:right w:val="single" w:sz="4" w:space="0" w:color="auto"/>
            </w:tcBorders>
            <w:shd w:val="clear" w:color="auto" w:fill="auto"/>
            <w:noWrap/>
            <w:vAlign w:val="bottom"/>
            <w:hideMark/>
          </w:tcPr>
          <w:p w14:paraId="3CF71719" w14:textId="77777777" w:rsidR="00B77716" w:rsidRPr="00065A1D" w:rsidRDefault="00B77716" w:rsidP="00C45A61">
            <w:pPr>
              <w:pStyle w:val="Tablewriting"/>
              <w:jc w:val="right"/>
            </w:pPr>
            <w:r w:rsidRPr="00065A1D">
              <w:t>75%</w:t>
            </w:r>
          </w:p>
        </w:tc>
      </w:tr>
      <w:tr w:rsidR="00B77716" w:rsidRPr="00065A1D" w14:paraId="767DDFF8" w14:textId="77777777" w:rsidTr="00C45A61">
        <w:trPr>
          <w:trHeight w:val="300"/>
        </w:trPr>
        <w:tc>
          <w:tcPr>
            <w:tcW w:w="3075" w:type="dxa"/>
            <w:tcBorders>
              <w:top w:val="nil"/>
              <w:left w:val="single" w:sz="4" w:space="0" w:color="auto"/>
              <w:bottom w:val="single" w:sz="4" w:space="0" w:color="auto"/>
              <w:right w:val="single" w:sz="4" w:space="0" w:color="auto"/>
            </w:tcBorders>
            <w:shd w:val="clear" w:color="auto" w:fill="auto"/>
            <w:noWrap/>
            <w:vAlign w:val="bottom"/>
            <w:hideMark/>
          </w:tcPr>
          <w:p w14:paraId="5833E862" w14:textId="77777777" w:rsidR="00B77716" w:rsidRPr="00065A1D" w:rsidRDefault="00B77716" w:rsidP="00C45A61">
            <w:pPr>
              <w:pStyle w:val="Tablewriting"/>
            </w:pPr>
            <w:r w:rsidRPr="00065A1D">
              <w:t>Other Medical</w:t>
            </w:r>
          </w:p>
        </w:tc>
        <w:tc>
          <w:tcPr>
            <w:tcW w:w="2700" w:type="dxa"/>
            <w:tcBorders>
              <w:top w:val="nil"/>
              <w:left w:val="nil"/>
              <w:bottom w:val="single" w:sz="4" w:space="0" w:color="auto"/>
              <w:right w:val="single" w:sz="4" w:space="0" w:color="auto"/>
            </w:tcBorders>
            <w:shd w:val="clear" w:color="auto" w:fill="auto"/>
            <w:noWrap/>
            <w:vAlign w:val="bottom"/>
            <w:hideMark/>
          </w:tcPr>
          <w:p w14:paraId="5A66CE71" w14:textId="77777777" w:rsidR="00B77716" w:rsidRPr="00065A1D" w:rsidRDefault="00B77716" w:rsidP="00C45A61">
            <w:pPr>
              <w:pStyle w:val="Tablewriting"/>
              <w:jc w:val="right"/>
            </w:pPr>
            <w:r w:rsidRPr="00065A1D">
              <w:t xml:space="preserve">6,209,423 </w:t>
            </w:r>
          </w:p>
        </w:tc>
        <w:tc>
          <w:tcPr>
            <w:tcW w:w="3240" w:type="dxa"/>
            <w:tcBorders>
              <w:top w:val="nil"/>
              <w:left w:val="nil"/>
              <w:bottom w:val="single" w:sz="4" w:space="0" w:color="auto"/>
              <w:right w:val="single" w:sz="4" w:space="0" w:color="auto"/>
            </w:tcBorders>
            <w:shd w:val="clear" w:color="auto" w:fill="auto"/>
            <w:noWrap/>
            <w:vAlign w:val="bottom"/>
            <w:hideMark/>
          </w:tcPr>
          <w:p w14:paraId="350AB2E6" w14:textId="77777777" w:rsidR="00B77716" w:rsidRPr="00065A1D" w:rsidRDefault="00B77716" w:rsidP="00C45A61">
            <w:pPr>
              <w:pStyle w:val="Tablewriting"/>
              <w:jc w:val="right"/>
            </w:pPr>
            <w:r w:rsidRPr="00065A1D">
              <w:t>21%</w:t>
            </w:r>
          </w:p>
        </w:tc>
      </w:tr>
      <w:tr w:rsidR="00B77716" w:rsidRPr="00065A1D" w14:paraId="2A80461B" w14:textId="77777777" w:rsidTr="00C45A61">
        <w:trPr>
          <w:trHeight w:val="300"/>
        </w:trPr>
        <w:tc>
          <w:tcPr>
            <w:tcW w:w="3075" w:type="dxa"/>
            <w:tcBorders>
              <w:top w:val="nil"/>
              <w:left w:val="single" w:sz="4" w:space="0" w:color="auto"/>
              <w:bottom w:val="single" w:sz="4" w:space="0" w:color="auto"/>
              <w:right w:val="single" w:sz="4" w:space="0" w:color="auto"/>
            </w:tcBorders>
            <w:shd w:val="clear" w:color="auto" w:fill="auto"/>
            <w:noWrap/>
            <w:vAlign w:val="bottom"/>
            <w:hideMark/>
          </w:tcPr>
          <w:p w14:paraId="560612B2" w14:textId="77777777" w:rsidR="00B77716" w:rsidRPr="00065A1D" w:rsidRDefault="00B77716" w:rsidP="00C45A61">
            <w:pPr>
              <w:pStyle w:val="Tablewriting"/>
            </w:pPr>
            <w:r w:rsidRPr="00065A1D">
              <w:t>Dentist</w:t>
            </w:r>
          </w:p>
        </w:tc>
        <w:tc>
          <w:tcPr>
            <w:tcW w:w="2700" w:type="dxa"/>
            <w:tcBorders>
              <w:top w:val="nil"/>
              <w:left w:val="nil"/>
              <w:bottom w:val="single" w:sz="4" w:space="0" w:color="auto"/>
              <w:right w:val="single" w:sz="4" w:space="0" w:color="auto"/>
            </w:tcBorders>
            <w:shd w:val="clear" w:color="auto" w:fill="auto"/>
            <w:noWrap/>
            <w:vAlign w:val="bottom"/>
            <w:hideMark/>
          </w:tcPr>
          <w:p w14:paraId="42081C31" w14:textId="77777777" w:rsidR="00B77716" w:rsidRPr="00065A1D" w:rsidRDefault="00B77716" w:rsidP="00C45A61">
            <w:pPr>
              <w:pStyle w:val="Tablewriting"/>
              <w:jc w:val="right"/>
            </w:pPr>
            <w:r w:rsidRPr="00065A1D">
              <w:t xml:space="preserve">946,540 </w:t>
            </w:r>
          </w:p>
        </w:tc>
        <w:tc>
          <w:tcPr>
            <w:tcW w:w="3240" w:type="dxa"/>
            <w:tcBorders>
              <w:top w:val="nil"/>
              <w:left w:val="nil"/>
              <w:bottom w:val="single" w:sz="4" w:space="0" w:color="auto"/>
              <w:right w:val="single" w:sz="4" w:space="0" w:color="auto"/>
            </w:tcBorders>
            <w:shd w:val="clear" w:color="auto" w:fill="auto"/>
            <w:noWrap/>
            <w:vAlign w:val="bottom"/>
            <w:hideMark/>
          </w:tcPr>
          <w:p w14:paraId="4C2E625C" w14:textId="77777777" w:rsidR="00B77716" w:rsidRPr="00065A1D" w:rsidRDefault="00B77716" w:rsidP="00C45A61">
            <w:pPr>
              <w:pStyle w:val="Tablewriting"/>
              <w:jc w:val="right"/>
            </w:pPr>
            <w:r w:rsidRPr="00065A1D">
              <w:t>3%</w:t>
            </w:r>
          </w:p>
        </w:tc>
      </w:tr>
      <w:tr w:rsidR="00B77716" w:rsidRPr="00065A1D" w14:paraId="0BAF8CF1" w14:textId="77777777" w:rsidTr="00C45A61">
        <w:trPr>
          <w:trHeight w:val="300"/>
        </w:trPr>
        <w:tc>
          <w:tcPr>
            <w:tcW w:w="3075" w:type="dxa"/>
            <w:tcBorders>
              <w:top w:val="nil"/>
              <w:left w:val="single" w:sz="4" w:space="0" w:color="auto"/>
              <w:bottom w:val="single" w:sz="4" w:space="0" w:color="auto"/>
              <w:right w:val="single" w:sz="4" w:space="0" w:color="auto"/>
            </w:tcBorders>
            <w:shd w:val="clear" w:color="auto" w:fill="auto"/>
            <w:noWrap/>
            <w:vAlign w:val="bottom"/>
            <w:hideMark/>
          </w:tcPr>
          <w:p w14:paraId="160E35C1" w14:textId="77777777" w:rsidR="00B77716" w:rsidRPr="00065A1D" w:rsidRDefault="00B77716" w:rsidP="00C45A61">
            <w:pPr>
              <w:pStyle w:val="Tablewriting"/>
            </w:pPr>
            <w:r w:rsidRPr="00065A1D">
              <w:t>Optometrist</w:t>
            </w:r>
          </w:p>
        </w:tc>
        <w:tc>
          <w:tcPr>
            <w:tcW w:w="2700" w:type="dxa"/>
            <w:tcBorders>
              <w:top w:val="nil"/>
              <w:left w:val="nil"/>
              <w:bottom w:val="single" w:sz="4" w:space="0" w:color="auto"/>
              <w:right w:val="single" w:sz="4" w:space="0" w:color="auto"/>
            </w:tcBorders>
            <w:shd w:val="clear" w:color="auto" w:fill="auto"/>
            <w:noWrap/>
            <w:vAlign w:val="bottom"/>
            <w:hideMark/>
          </w:tcPr>
          <w:p w14:paraId="3A30EC94" w14:textId="77777777" w:rsidR="00B77716" w:rsidRPr="00065A1D" w:rsidRDefault="00B77716" w:rsidP="00C45A61">
            <w:pPr>
              <w:pStyle w:val="Tablewriting"/>
              <w:jc w:val="right"/>
            </w:pPr>
            <w:r w:rsidRPr="00065A1D">
              <w:t xml:space="preserve">17,379 </w:t>
            </w:r>
          </w:p>
        </w:tc>
        <w:tc>
          <w:tcPr>
            <w:tcW w:w="3240" w:type="dxa"/>
            <w:tcBorders>
              <w:top w:val="nil"/>
              <w:left w:val="nil"/>
              <w:bottom w:val="single" w:sz="4" w:space="0" w:color="auto"/>
              <w:right w:val="single" w:sz="4" w:space="0" w:color="auto"/>
            </w:tcBorders>
            <w:shd w:val="clear" w:color="auto" w:fill="auto"/>
            <w:noWrap/>
            <w:vAlign w:val="bottom"/>
            <w:hideMark/>
          </w:tcPr>
          <w:p w14:paraId="01F0BDD7" w14:textId="77777777" w:rsidR="00B77716" w:rsidRPr="00065A1D" w:rsidRDefault="00B77716" w:rsidP="00C45A61">
            <w:pPr>
              <w:pStyle w:val="Tablewriting"/>
              <w:jc w:val="right"/>
            </w:pPr>
            <w:r w:rsidRPr="00065A1D">
              <w:t>&lt;1%</w:t>
            </w:r>
          </w:p>
        </w:tc>
      </w:tr>
      <w:tr w:rsidR="00B77716" w:rsidRPr="00065A1D" w14:paraId="3125DB07" w14:textId="77777777" w:rsidTr="00C45A61">
        <w:trPr>
          <w:trHeight w:val="300"/>
        </w:trPr>
        <w:tc>
          <w:tcPr>
            <w:tcW w:w="3075" w:type="dxa"/>
            <w:tcBorders>
              <w:top w:val="nil"/>
              <w:left w:val="single" w:sz="4" w:space="0" w:color="auto"/>
              <w:bottom w:val="single" w:sz="4" w:space="0" w:color="auto"/>
              <w:right w:val="single" w:sz="4" w:space="0" w:color="auto"/>
            </w:tcBorders>
            <w:shd w:val="clear" w:color="auto" w:fill="auto"/>
            <w:noWrap/>
            <w:vAlign w:val="bottom"/>
            <w:hideMark/>
          </w:tcPr>
          <w:p w14:paraId="68BEB6FE" w14:textId="77777777" w:rsidR="00B77716" w:rsidRPr="00065A1D" w:rsidRDefault="00B77716" w:rsidP="00C45A61">
            <w:pPr>
              <w:pStyle w:val="Tablewriting"/>
            </w:pPr>
            <w:r w:rsidRPr="00065A1D">
              <w:t>Midwife</w:t>
            </w:r>
          </w:p>
        </w:tc>
        <w:tc>
          <w:tcPr>
            <w:tcW w:w="2700" w:type="dxa"/>
            <w:tcBorders>
              <w:top w:val="nil"/>
              <w:left w:val="nil"/>
              <w:bottom w:val="single" w:sz="4" w:space="0" w:color="auto"/>
              <w:right w:val="single" w:sz="4" w:space="0" w:color="auto"/>
            </w:tcBorders>
            <w:shd w:val="clear" w:color="auto" w:fill="auto"/>
            <w:noWrap/>
            <w:vAlign w:val="bottom"/>
            <w:hideMark/>
          </w:tcPr>
          <w:p w14:paraId="777F1D01" w14:textId="77777777" w:rsidR="00B77716" w:rsidRPr="00065A1D" w:rsidRDefault="00B77716" w:rsidP="00C45A61">
            <w:pPr>
              <w:pStyle w:val="Tablewriting"/>
              <w:jc w:val="right"/>
            </w:pPr>
            <w:r w:rsidRPr="00065A1D">
              <w:t xml:space="preserve">69 </w:t>
            </w:r>
          </w:p>
        </w:tc>
        <w:tc>
          <w:tcPr>
            <w:tcW w:w="3240" w:type="dxa"/>
            <w:tcBorders>
              <w:top w:val="nil"/>
              <w:left w:val="nil"/>
              <w:bottom w:val="single" w:sz="4" w:space="0" w:color="auto"/>
              <w:right w:val="single" w:sz="4" w:space="0" w:color="auto"/>
            </w:tcBorders>
            <w:shd w:val="clear" w:color="auto" w:fill="auto"/>
            <w:noWrap/>
            <w:vAlign w:val="bottom"/>
            <w:hideMark/>
          </w:tcPr>
          <w:p w14:paraId="6288B21D" w14:textId="77777777" w:rsidR="00B77716" w:rsidRPr="00065A1D" w:rsidRDefault="00B77716" w:rsidP="00C45A61">
            <w:pPr>
              <w:pStyle w:val="Tablewriting"/>
              <w:jc w:val="right"/>
            </w:pPr>
            <w:r w:rsidRPr="00065A1D">
              <w:t>&lt;1%</w:t>
            </w:r>
          </w:p>
        </w:tc>
      </w:tr>
      <w:tr w:rsidR="00B77716" w:rsidRPr="00065A1D" w14:paraId="4098B46E" w14:textId="77777777" w:rsidTr="00C45A61">
        <w:trPr>
          <w:trHeight w:val="300"/>
        </w:trPr>
        <w:tc>
          <w:tcPr>
            <w:tcW w:w="3075" w:type="dxa"/>
            <w:tcBorders>
              <w:top w:val="nil"/>
              <w:left w:val="single" w:sz="4" w:space="0" w:color="auto"/>
              <w:bottom w:val="single" w:sz="4" w:space="0" w:color="auto"/>
              <w:right w:val="single" w:sz="4" w:space="0" w:color="auto"/>
            </w:tcBorders>
            <w:shd w:val="clear" w:color="auto" w:fill="auto"/>
            <w:noWrap/>
            <w:vAlign w:val="bottom"/>
            <w:hideMark/>
          </w:tcPr>
          <w:p w14:paraId="145062E1" w14:textId="77777777" w:rsidR="00B77716" w:rsidRPr="00065A1D" w:rsidRDefault="00B77716" w:rsidP="00C45A61">
            <w:pPr>
              <w:pStyle w:val="Tablewriting"/>
            </w:pPr>
            <w:r w:rsidRPr="00065A1D">
              <w:t>Nurse practitioner</w:t>
            </w:r>
          </w:p>
        </w:tc>
        <w:tc>
          <w:tcPr>
            <w:tcW w:w="2700" w:type="dxa"/>
            <w:tcBorders>
              <w:top w:val="nil"/>
              <w:left w:val="nil"/>
              <w:bottom w:val="single" w:sz="4" w:space="0" w:color="auto"/>
              <w:right w:val="single" w:sz="4" w:space="0" w:color="auto"/>
            </w:tcBorders>
            <w:shd w:val="clear" w:color="auto" w:fill="auto"/>
            <w:noWrap/>
            <w:vAlign w:val="bottom"/>
            <w:hideMark/>
          </w:tcPr>
          <w:p w14:paraId="6AEE0237" w14:textId="77777777" w:rsidR="00B77716" w:rsidRPr="00065A1D" w:rsidRDefault="00B77716" w:rsidP="00C45A61">
            <w:pPr>
              <w:pStyle w:val="Tablewriting"/>
              <w:jc w:val="right"/>
            </w:pPr>
            <w:r w:rsidRPr="00065A1D">
              <w:t xml:space="preserve">16,997 </w:t>
            </w:r>
          </w:p>
        </w:tc>
        <w:tc>
          <w:tcPr>
            <w:tcW w:w="3240" w:type="dxa"/>
            <w:tcBorders>
              <w:top w:val="nil"/>
              <w:left w:val="nil"/>
              <w:bottom w:val="single" w:sz="4" w:space="0" w:color="auto"/>
              <w:right w:val="single" w:sz="4" w:space="0" w:color="auto"/>
            </w:tcBorders>
            <w:shd w:val="clear" w:color="auto" w:fill="auto"/>
            <w:noWrap/>
            <w:vAlign w:val="bottom"/>
            <w:hideMark/>
          </w:tcPr>
          <w:p w14:paraId="47D7E5D3" w14:textId="77777777" w:rsidR="00B77716" w:rsidRPr="00065A1D" w:rsidRDefault="00B77716" w:rsidP="00C45A61">
            <w:pPr>
              <w:pStyle w:val="Tablewriting"/>
              <w:jc w:val="right"/>
            </w:pPr>
            <w:r w:rsidRPr="00065A1D">
              <w:t>&lt;1%</w:t>
            </w:r>
          </w:p>
        </w:tc>
      </w:tr>
      <w:tr w:rsidR="00B77716" w:rsidRPr="00065A1D" w14:paraId="4FA33470" w14:textId="77777777" w:rsidTr="00C45A61">
        <w:trPr>
          <w:trHeight w:val="85"/>
        </w:trPr>
        <w:tc>
          <w:tcPr>
            <w:tcW w:w="3075" w:type="dxa"/>
            <w:tcBorders>
              <w:top w:val="nil"/>
              <w:left w:val="single" w:sz="4" w:space="0" w:color="auto"/>
              <w:bottom w:val="single" w:sz="4" w:space="0" w:color="auto"/>
              <w:right w:val="single" w:sz="4" w:space="0" w:color="auto"/>
            </w:tcBorders>
            <w:shd w:val="clear" w:color="auto" w:fill="auto"/>
            <w:noWrap/>
            <w:vAlign w:val="bottom"/>
            <w:hideMark/>
          </w:tcPr>
          <w:p w14:paraId="3D4EC590" w14:textId="77777777" w:rsidR="00B77716" w:rsidRPr="00065A1D" w:rsidRDefault="00B77716" w:rsidP="00C45A61">
            <w:pPr>
              <w:pStyle w:val="Tablewriting"/>
            </w:pPr>
            <w:r w:rsidRPr="00065A1D">
              <w:t>Total prescriptions supplied</w:t>
            </w:r>
          </w:p>
        </w:tc>
        <w:tc>
          <w:tcPr>
            <w:tcW w:w="2700" w:type="dxa"/>
            <w:tcBorders>
              <w:top w:val="nil"/>
              <w:left w:val="nil"/>
              <w:bottom w:val="single" w:sz="4" w:space="0" w:color="auto"/>
              <w:right w:val="single" w:sz="4" w:space="0" w:color="auto"/>
            </w:tcBorders>
            <w:shd w:val="clear" w:color="auto" w:fill="auto"/>
            <w:noWrap/>
            <w:vAlign w:val="bottom"/>
            <w:hideMark/>
          </w:tcPr>
          <w:p w14:paraId="11FE0AD8" w14:textId="77777777" w:rsidR="00B77716" w:rsidRPr="00065A1D" w:rsidRDefault="00B77716" w:rsidP="00C45A61">
            <w:pPr>
              <w:pStyle w:val="Tablewriting"/>
              <w:jc w:val="right"/>
            </w:pPr>
            <w:r w:rsidRPr="00065A1D">
              <w:t xml:space="preserve">28,895,768 </w:t>
            </w:r>
          </w:p>
        </w:tc>
        <w:tc>
          <w:tcPr>
            <w:tcW w:w="3240" w:type="dxa"/>
            <w:tcBorders>
              <w:top w:val="nil"/>
              <w:left w:val="nil"/>
              <w:bottom w:val="single" w:sz="4" w:space="0" w:color="auto"/>
              <w:right w:val="single" w:sz="4" w:space="0" w:color="auto"/>
            </w:tcBorders>
            <w:shd w:val="clear" w:color="auto" w:fill="auto"/>
            <w:noWrap/>
            <w:vAlign w:val="bottom"/>
            <w:hideMark/>
          </w:tcPr>
          <w:p w14:paraId="59F2B8AA" w14:textId="77777777" w:rsidR="00B77716" w:rsidRPr="00065A1D" w:rsidRDefault="00B77716" w:rsidP="00C45A61">
            <w:pPr>
              <w:pStyle w:val="Tablewriting"/>
              <w:jc w:val="right"/>
            </w:pPr>
            <w:r w:rsidRPr="00065A1D">
              <w:t>100% </w:t>
            </w:r>
          </w:p>
        </w:tc>
      </w:tr>
    </w:tbl>
    <w:p w14:paraId="431F8EFE" w14:textId="77777777" w:rsidR="00B77716" w:rsidRPr="00065A1D" w:rsidRDefault="00B77716" w:rsidP="00B77716">
      <w:pPr>
        <w:pStyle w:val="Tablecaption"/>
      </w:pPr>
      <w:r w:rsidRPr="00065A1D">
        <w:t xml:space="preserve">Source: DHS Supplied prescriptions </w:t>
      </w:r>
      <w:r w:rsidRPr="00E76CA0">
        <w:t>database</w:t>
      </w:r>
      <w:r w:rsidRPr="00065A1D">
        <w:t>, August 2014.</w:t>
      </w:r>
    </w:p>
    <w:p w14:paraId="70A4FA4A" w14:textId="77777777" w:rsidR="00C94A29" w:rsidRDefault="00C94A29">
      <w:pPr>
        <w:spacing w:before="0" w:after="200" w:line="276" w:lineRule="auto"/>
        <w:rPr>
          <w:rFonts w:eastAsiaTheme="majorEastAsia" w:cstheme="majorBidi"/>
          <w:b/>
          <w:bCs/>
          <w:i/>
        </w:rPr>
      </w:pPr>
      <w:r>
        <w:br w:type="page"/>
      </w:r>
    </w:p>
    <w:p w14:paraId="7EB49583" w14:textId="3D654215" w:rsidR="00B77716" w:rsidRPr="00065A1D" w:rsidRDefault="00B77716" w:rsidP="00B77716">
      <w:pPr>
        <w:pStyle w:val="Heading5"/>
      </w:pPr>
      <w:r w:rsidRPr="00065A1D">
        <w:lastRenderedPageBreak/>
        <w:t>Aboriginal health services supply</w:t>
      </w:r>
    </w:p>
    <w:p w14:paraId="70D8BB26" w14:textId="48FDFD1A" w:rsidR="00B77716" w:rsidRPr="00065A1D" w:rsidRDefault="00BA480A" w:rsidP="00B77716">
      <w:r>
        <w:t xml:space="preserve">Table </w:t>
      </w:r>
      <w:r w:rsidR="008F495D">
        <w:t>10</w:t>
      </w:r>
      <w:r w:rsidR="00B77716" w:rsidRPr="00065A1D">
        <w:t xml:space="preserve"> shows the number of antibiotic packs provided by aboriginal health services (AHS) per year from 1999-2013. </w:t>
      </w:r>
    </w:p>
    <w:p w14:paraId="459084AF" w14:textId="0A85B4E0" w:rsidR="00B77716" w:rsidRPr="00065A1D" w:rsidRDefault="00BA480A" w:rsidP="00B77716">
      <w:pPr>
        <w:pStyle w:val="Tabletitle"/>
      </w:pPr>
      <w:r>
        <w:t xml:space="preserve">Table </w:t>
      </w:r>
      <w:r w:rsidR="008F495D">
        <w:t>10</w:t>
      </w:r>
      <w:r w:rsidR="00B77716" w:rsidRPr="00065A1D">
        <w:t xml:space="preserve">: Packs of antibiotics provided by aboriginal health services (AHS) </w:t>
      </w:r>
    </w:p>
    <w:tbl>
      <w:tblPr>
        <w:tblStyle w:val="TableGrid"/>
        <w:tblW w:w="0" w:type="auto"/>
        <w:tblInd w:w="108" w:type="dxa"/>
        <w:tblLayout w:type="fixed"/>
        <w:tblLook w:val="04A0" w:firstRow="1" w:lastRow="0" w:firstColumn="1" w:lastColumn="0" w:noHBand="0" w:noVBand="1"/>
        <w:tblCaption w:val="Table 6 shows the packs of antibiotics provided by aboriginal health services"/>
      </w:tblPr>
      <w:tblGrid>
        <w:gridCol w:w="2808"/>
        <w:gridCol w:w="3024"/>
      </w:tblGrid>
      <w:tr w:rsidR="00B77716" w:rsidRPr="00D1099E" w14:paraId="0C07EDE3" w14:textId="77777777" w:rsidTr="00C45A61">
        <w:trPr>
          <w:trHeight w:val="300"/>
          <w:tblHeader/>
        </w:trPr>
        <w:tc>
          <w:tcPr>
            <w:tcW w:w="2808" w:type="dxa"/>
            <w:shd w:val="clear" w:color="auto" w:fill="BFBFBF" w:themeFill="background1" w:themeFillShade="BF"/>
            <w:noWrap/>
            <w:hideMark/>
          </w:tcPr>
          <w:p w14:paraId="543F0C5C" w14:textId="77777777" w:rsidR="00B77716" w:rsidRPr="00D1099E" w:rsidRDefault="00B77716" w:rsidP="00C45A61">
            <w:pPr>
              <w:pStyle w:val="Tablewriting"/>
            </w:pPr>
            <w:r w:rsidRPr="00D1099E">
              <w:t>Year</w:t>
            </w:r>
          </w:p>
        </w:tc>
        <w:tc>
          <w:tcPr>
            <w:tcW w:w="3024" w:type="dxa"/>
            <w:shd w:val="clear" w:color="auto" w:fill="BFBFBF" w:themeFill="background1" w:themeFillShade="BF"/>
            <w:noWrap/>
            <w:hideMark/>
          </w:tcPr>
          <w:p w14:paraId="11C9F6A6" w14:textId="77777777" w:rsidR="00B77716" w:rsidRPr="00D1099E" w:rsidRDefault="00B77716" w:rsidP="00C45A61">
            <w:pPr>
              <w:pStyle w:val="Tablewriting"/>
            </w:pPr>
            <w:r w:rsidRPr="00D1099E">
              <w:t>Antibiotic packs</w:t>
            </w:r>
          </w:p>
        </w:tc>
      </w:tr>
      <w:tr w:rsidR="00B77716" w:rsidRPr="00D1099E" w14:paraId="4390E9F6" w14:textId="77777777" w:rsidTr="00C45A61">
        <w:trPr>
          <w:trHeight w:val="300"/>
        </w:trPr>
        <w:tc>
          <w:tcPr>
            <w:tcW w:w="2808" w:type="dxa"/>
            <w:noWrap/>
            <w:hideMark/>
          </w:tcPr>
          <w:p w14:paraId="273DDE0E" w14:textId="77777777" w:rsidR="00B77716" w:rsidRPr="00D1099E" w:rsidRDefault="00B77716" w:rsidP="00C45A61">
            <w:pPr>
              <w:pStyle w:val="Tablewriting"/>
            </w:pPr>
            <w:r w:rsidRPr="00D1099E">
              <w:t>1999</w:t>
            </w:r>
          </w:p>
        </w:tc>
        <w:tc>
          <w:tcPr>
            <w:tcW w:w="3024" w:type="dxa"/>
            <w:noWrap/>
            <w:hideMark/>
          </w:tcPr>
          <w:p w14:paraId="0B7C8898" w14:textId="77777777" w:rsidR="00B77716" w:rsidRPr="00D1099E" w:rsidRDefault="00B77716" w:rsidP="00C45A61">
            <w:pPr>
              <w:pStyle w:val="Tablewriting"/>
            </w:pPr>
            <w:r w:rsidRPr="00D1099E">
              <w:t>51,206</w:t>
            </w:r>
          </w:p>
        </w:tc>
      </w:tr>
      <w:tr w:rsidR="00B77716" w:rsidRPr="00D1099E" w14:paraId="49BD1CBF" w14:textId="77777777" w:rsidTr="00C45A61">
        <w:trPr>
          <w:trHeight w:val="300"/>
        </w:trPr>
        <w:tc>
          <w:tcPr>
            <w:tcW w:w="2808" w:type="dxa"/>
            <w:noWrap/>
            <w:hideMark/>
          </w:tcPr>
          <w:p w14:paraId="296C6BCB" w14:textId="77777777" w:rsidR="00B77716" w:rsidRPr="00D1099E" w:rsidRDefault="00B77716" w:rsidP="00C45A61">
            <w:pPr>
              <w:pStyle w:val="Tablewriting"/>
            </w:pPr>
            <w:r w:rsidRPr="00D1099E">
              <w:t>2000</w:t>
            </w:r>
          </w:p>
        </w:tc>
        <w:tc>
          <w:tcPr>
            <w:tcW w:w="3024" w:type="dxa"/>
            <w:noWrap/>
            <w:hideMark/>
          </w:tcPr>
          <w:p w14:paraId="3F701407" w14:textId="77777777" w:rsidR="00B77716" w:rsidRPr="00D1099E" w:rsidRDefault="00B77716" w:rsidP="00C45A61">
            <w:pPr>
              <w:pStyle w:val="Tablewriting"/>
            </w:pPr>
            <w:r w:rsidRPr="00D1099E">
              <w:t>99,526</w:t>
            </w:r>
          </w:p>
        </w:tc>
      </w:tr>
      <w:tr w:rsidR="00B77716" w:rsidRPr="00D1099E" w14:paraId="3E809AB0" w14:textId="77777777" w:rsidTr="00C45A61">
        <w:trPr>
          <w:trHeight w:val="300"/>
        </w:trPr>
        <w:tc>
          <w:tcPr>
            <w:tcW w:w="2808" w:type="dxa"/>
            <w:noWrap/>
            <w:hideMark/>
          </w:tcPr>
          <w:p w14:paraId="77049ACF" w14:textId="77777777" w:rsidR="00B77716" w:rsidRPr="00D1099E" w:rsidRDefault="00B77716" w:rsidP="00C45A61">
            <w:pPr>
              <w:pStyle w:val="Tablewriting"/>
            </w:pPr>
            <w:r w:rsidRPr="00D1099E">
              <w:t>2001</w:t>
            </w:r>
          </w:p>
        </w:tc>
        <w:tc>
          <w:tcPr>
            <w:tcW w:w="3024" w:type="dxa"/>
            <w:noWrap/>
            <w:hideMark/>
          </w:tcPr>
          <w:p w14:paraId="06B3E5B9" w14:textId="77777777" w:rsidR="00B77716" w:rsidRPr="00D1099E" w:rsidRDefault="00B77716" w:rsidP="00C45A61">
            <w:pPr>
              <w:pStyle w:val="Tablewriting"/>
            </w:pPr>
            <w:r w:rsidRPr="00D1099E">
              <w:t>198,021</w:t>
            </w:r>
          </w:p>
        </w:tc>
      </w:tr>
      <w:tr w:rsidR="00B77716" w:rsidRPr="00D1099E" w14:paraId="31317FE9" w14:textId="77777777" w:rsidTr="00C45A61">
        <w:trPr>
          <w:trHeight w:val="300"/>
        </w:trPr>
        <w:tc>
          <w:tcPr>
            <w:tcW w:w="2808" w:type="dxa"/>
            <w:noWrap/>
            <w:hideMark/>
          </w:tcPr>
          <w:p w14:paraId="66BB196B" w14:textId="77777777" w:rsidR="00B77716" w:rsidRPr="00D1099E" w:rsidRDefault="00B77716" w:rsidP="00C45A61">
            <w:pPr>
              <w:pStyle w:val="Tablewriting"/>
            </w:pPr>
            <w:r w:rsidRPr="00D1099E">
              <w:t>2002</w:t>
            </w:r>
          </w:p>
        </w:tc>
        <w:tc>
          <w:tcPr>
            <w:tcW w:w="3024" w:type="dxa"/>
            <w:noWrap/>
            <w:hideMark/>
          </w:tcPr>
          <w:p w14:paraId="32CB02A7" w14:textId="77777777" w:rsidR="00B77716" w:rsidRPr="00D1099E" w:rsidRDefault="00B77716" w:rsidP="00C45A61">
            <w:pPr>
              <w:pStyle w:val="Tablewriting"/>
            </w:pPr>
            <w:r w:rsidRPr="00D1099E">
              <w:t>239,944</w:t>
            </w:r>
          </w:p>
        </w:tc>
      </w:tr>
      <w:tr w:rsidR="00B77716" w:rsidRPr="00D1099E" w14:paraId="6B2D9828" w14:textId="77777777" w:rsidTr="00C45A61">
        <w:trPr>
          <w:trHeight w:val="300"/>
        </w:trPr>
        <w:tc>
          <w:tcPr>
            <w:tcW w:w="2808" w:type="dxa"/>
            <w:noWrap/>
            <w:hideMark/>
          </w:tcPr>
          <w:p w14:paraId="5304CCCF" w14:textId="77777777" w:rsidR="00B77716" w:rsidRPr="00D1099E" w:rsidRDefault="00B77716" w:rsidP="00C45A61">
            <w:pPr>
              <w:pStyle w:val="Tablewriting"/>
            </w:pPr>
            <w:r w:rsidRPr="00D1099E">
              <w:t>2003</w:t>
            </w:r>
          </w:p>
        </w:tc>
        <w:tc>
          <w:tcPr>
            <w:tcW w:w="3024" w:type="dxa"/>
            <w:noWrap/>
            <w:hideMark/>
          </w:tcPr>
          <w:p w14:paraId="7A31FFC1" w14:textId="77777777" w:rsidR="00B77716" w:rsidRPr="00D1099E" w:rsidRDefault="00B77716" w:rsidP="00C45A61">
            <w:pPr>
              <w:pStyle w:val="Tablewriting"/>
            </w:pPr>
            <w:r w:rsidRPr="00D1099E">
              <w:t>277,926</w:t>
            </w:r>
          </w:p>
        </w:tc>
      </w:tr>
      <w:tr w:rsidR="00B77716" w:rsidRPr="00D1099E" w14:paraId="654191DE" w14:textId="77777777" w:rsidTr="00C45A61">
        <w:trPr>
          <w:trHeight w:val="300"/>
        </w:trPr>
        <w:tc>
          <w:tcPr>
            <w:tcW w:w="2808" w:type="dxa"/>
            <w:noWrap/>
            <w:hideMark/>
          </w:tcPr>
          <w:p w14:paraId="4F3318E9" w14:textId="77777777" w:rsidR="00B77716" w:rsidRPr="00D1099E" w:rsidRDefault="00B77716" w:rsidP="00C45A61">
            <w:pPr>
              <w:pStyle w:val="Tablewriting"/>
            </w:pPr>
            <w:r w:rsidRPr="00D1099E">
              <w:t>2004</w:t>
            </w:r>
          </w:p>
        </w:tc>
        <w:tc>
          <w:tcPr>
            <w:tcW w:w="3024" w:type="dxa"/>
            <w:noWrap/>
            <w:hideMark/>
          </w:tcPr>
          <w:p w14:paraId="764F8F83" w14:textId="77777777" w:rsidR="00B77716" w:rsidRPr="00D1099E" w:rsidRDefault="00B77716" w:rsidP="00C45A61">
            <w:pPr>
              <w:pStyle w:val="Tablewriting"/>
            </w:pPr>
            <w:r w:rsidRPr="00D1099E">
              <w:t>314,236</w:t>
            </w:r>
          </w:p>
        </w:tc>
      </w:tr>
      <w:tr w:rsidR="00B77716" w:rsidRPr="00D1099E" w14:paraId="336483A8" w14:textId="77777777" w:rsidTr="00C45A61">
        <w:trPr>
          <w:trHeight w:val="300"/>
        </w:trPr>
        <w:tc>
          <w:tcPr>
            <w:tcW w:w="2808" w:type="dxa"/>
            <w:noWrap/>
            <w:hideMark/>
          </w:tcPr>
          <w:p w14:paraId="1F85E677" w14:textId="77777777" w:rsidR="00B77716" w:rsidRPr="00D1099E" w:rsidRDefault="00B77716" w:rsidP="00C45A61">
            <w:pPr>
              <w:pStyle w:val="Tablewriting"/>
            </w:pPr>
            <w:r w:rsidRPr="00D1099E">
              <w:t>2005</w:t>
            </w:r>
          </w:p>
        </w:tc>
        <w:tc>
          <w:tcPr>
            <w:tcW w:w="3024" w:type="dxa"/>
            <w:noWrap/>
            <w:hideMark/>
          </w:tcPr>
          <w:p w14:paraId="6EE71D86" w14:textId="77777777" w:rsidR="00B77716" w:rsidRPr="00D1099E" w:rsidRDefault="00B77716" w:rsidP="00C45A61">
            <w:pPr>
              <w:pStyle w:val="Tablewriting"/>
            </w:pPr>
            <w:r w:rsidRPr="00D1099E">
              <w:t>282,803</w:t>
            </w:r>
          </w:p>
        </w:tc>
      </w:tr>
      <w:tr w:rsidR="00B77716" w:rsidRPr="00D1099E" w14:paraId="17B3A3F0" w14:textId="77777777" w:rsidTr="00C45A61">
        <w:trPr>
          <w:trHeight w:val="300"/>
        </w:trPr>
        <w:tc>
          <w:tcPr>
            <w:tcW w:w="2808" w:type="dxa"/>
            <w:noWrap/>
            <w:hideMark/>
          </w:tcPr>
          <w:p w14:paraId="321BA61D" w14:textId="77777777" w:rsidR="00B77716" w:rsidRPr="00D1099E" w:rsidRDefault="00B77716" w:rsidP="00C45A61">
            <w:pPr>
              <w:pStyle w:val="Tablewriting"/>
            </w:pPr>
            <w:r w:rsidRPr="00D1099E">
              <w:t>2006</w:t>
            </w:r>
          </w:p>
        </w:tc>
        <w:tc>
          <w:tcPr>
            <w:tcW w:w="3024" w:type="dxa"/>
            <w:noWrap/>
            <w:hideMark/>
          </w:tcPr>
          <w:p w14:paraId="69C07775" w14:textId="77777777" w:rsidR="00B77716" w:rsidRPr="00D1099E" w:rsidRDefault="00B77716" w:rsidP="00C45A61">
            <w:pPr>
              <w:pStyle w:val="Tablewriting"/>
            </w:pPr>
            <w:r w:rsidRPr="00D1099E">
              <w:t>288,052</w:t>
            </w:r>
          </w:p>
        </w:tc>
      </w:tr>
      <w:tr w:rsidR="00B77716" w:rsidRPr="00D1099E" w14:paraId="115FA02A" w14:textId="77777777" w:rsidTr="00C45A61">
        <w:trPr>
          <w:trHeight w:val="300"/>
        </w:trPr>
        <w:tc>
          <w:tcPr>
            <w:tcW w:w="2808" w:type="dxa"/>
            <w:noWrap/>
            <w:hideMark/>
          </w:tcPr>
          <w:p w14:paraId="61A4FF42" w14:textId="77777777" w:rsidR="00B77716" w:rsidRPr="00D1099E" w:rsidRDefault="00B77716" w:rsidP="00C45A61">
            <w:pPr>
              <w:pStyle w:val="Tablewriting"/>
            </w:pPr>
            <w:r w:rsidRPr="00D1099E">
              <w:t>2007</w:t>
            </w:r>
          </w:p>
        </w:tc>
        <w:tc>
          <w:tcPr>
            <w:tcW w:w="3024" w:type="dxa"/>
            <w:noWrap/>
            <w:hideMark/>
          </w:tcPr>
          <w:p w14:paraId="11E17559" w14:textId="77777777" w:rsidR="00B77716" w:rsidRPr="00D1099E" w:rsidRDefault="00B77716" w:rsidP="00C45A61">
            <w:pPr>
              <w:pStyle w:val="Tablewriting"/>
            </w:pPr>
            <w:r w:rsidRPr="00D1099E">
              <w:t>302,975</w:t>
            </w:r>
          </w:p>
        </w:tc>
      </w:tr>
      <w:tr w:rsidR="00B77716" w:rsidRPr="00D1099E" w14:paraId="1A0EF36F" w14:textId="77777777" w:rsidTr="00C45A61">
        <w:trPr>
          <w:trHeight w:val="300"/>
        </w:trPr>
        <w:tc>
          <w:tcPr>
            <w:tcW w:w="2808" w:type="dxa"/>
            <w:noWrap/>
            <w:hideMark/>
          </w:tcPr>
          <w:p w14:paraId="1C903404" w14:textId="77777777" w:rsidR="00B77716" w:rsidRPr="00D1099E" w:rsidRDefault="00B77716" w:rsidP="00C45A61">
            <w:pPr>
              <w:pStyle w:val="Tablewriting"/>
            </w:pPr>
            <w:r w:rsidRPr="00D1099E">
              <w:t>2008</w:t>
            </w:r>
          </w:p>
        </w:tc>
        <w:tc>
          <w:tcPr>
            <w:tcW w:w="3024" w:type="dxa"/>
            <w:noWrap/>
            <w:hideMark/>
          </w:tcPr>
          <w:p w14:paraId="63283F3D" w14:textId="77777777" w:rsidR="00B77716" w:rsidRPr="00D1099E" w:rsidRDefault="00B77716" w:rsidP="00C45A61">
            <w:pPr>
              <w:pStyle w:val="Tablewriting"/>
            </w:pPr>
            <w:r w:rsidRPr="00D1099E">
              <w:t>295,394</w:t>
            </w:r>
          </w:p>
        </w:tc>
      </w:tr>
      <w:tr w:rsidR="00B77716" w:rsidRPr="00D1099E" w14:paraId="1694B27C" w14:textId="77777777" w:rsidTr="00C45A61">
        <w:trPr>
          <w:trHeight w:val="300"/>
        </w:trPr>
        <w:tc>
          <w:tcPr>
            <w:tcW w:w="2808" w:type="dxa"/>
            <w:noWrap/>
            <w:hideMark/>
          </w:tcPr>
          <w:p w14:paraId="4A9DAEDB" w14:textId="77777777" w:rsidR="00B77716" w:rsidRPr="00D1099E" w:rsidRDefault="00B77716" w:rsidP="00C45A61">
            <w:pPr>
              <w:pStyle w:val="Tablewriting"/>
            </w:pPr>
            <w:r w:rsidRPr="00D1099E">
              <w:t>2009</w:t>
            </w:r>
          </w:p>
        </w:tc>
        <w:tc>
          <w:tcPr>
            <w:tcW w:w="3024" w:type="dxa"/>
            <w:noWrap/>
            <w:hideMark/>
          </w:tcPr>
          <w:p w14:paraId="1E49F6FB" w14:textId="77777777" w:rsidR="00B77716" w:rsidRPr="00D1099E" w:rsidRDefault="00B77716" w:rsidP="00C45A61">
            <w:pPr>
              <w:pStyle w:val="Tablewriting"/>
            </w:pPr>
            <w:r w:rsidRPr="00D1099E">
              <w:t>297,326</w:t>
            </w:r>
          </w:p>
        </w:tc>
      </w:tr>
      <w:tr w:rsidR="00B77716" w:rsidRPr="00D1099E" w14:paraId="7907A73D" w14:textId="77777777" w:rsidTr="00C45A61">
        <w:trPr>
          <w:trHeight w:val="300"/>
        </w:trPr>
        <w:tc>
          <w:tcPr>
            <w:tcW w:w="2808" w:type="dxa"/>
            <w:noWrap/>
            <w:hideMark/>
          </w:tcPr>
          <w:p w14:paraId="618FF478" w14:textId="77777777" w:rsidR="00B77716" w:rsidRPr="00D1099E" w:rsidRDefault="00B77716" w:rsidP="00C45A61">
            <w:pPr>
              <w:pStyle w:val="Tablewriting"/>
            </w:pPr>
            <w:r w:rsidRPr="00D1099E">
              <w:t>2010</w:t>
            </w:r>
          </w:p>
        </w:tc>
        <w:tc>
          <w:tcPr>
            <w:tcW w:w="3024" w:type="dxa"/>
            <w:noWrap/>
            <w:hideMark/>
          </w:tcPr>
          <w:p w14:paraId="6AA28CFD" w14:textId="77777777" w:rsidR="00B77716" w:rsidRPr="00D1099E" w:rsidRDefault="00B77716" w:rsidP="00C45A61">
            <w:pPr>
              <w:pStyle w:val="Tablewriting"/>
            </w:pPr>
            <w:r w:rsidRPr="00D1099E">
              <w:t>286,818</w:t>
            </w:r>
          </w:p>
        </w:tc>
      </w:tr>
      <w:tr w:rsidR="00B77716" w:rsidRPr="00D1099E" w14:paraId="1D30AEA1" w14:textId="77777777" w:rsidTr="00C45A61">
        <w:trPr>
          <w:trHeight w:val="300"/>
        </w:trPr>
        <w:tc>
          <w:tcPr>
            <w:tcW w:w="2808" w:type="dxa"/>
            <w:noWrap/>
            <w:hideMark/>
          </w:tcPr>
          <w:p w14:paraId="35A7CD7D" w14:textId="77777777" w:rsidR="00B77716" w:rsidRPr="00D1099E" w:rsidRDefault="00B77716" w:rsidP="00C45A61">
            <w:pPr>
              <w:pStyle w:val="Tablewriting"/>
            </w:pPr>
            <w:r w:rsidRPr="00D1099E">
              <w:t>2011</w:t>
            </w:r>
          </w:p>
        </w:tc>
        <w:tc>
          <w:tcPr>
            <w:tcW w:w="3024" w:type="dxa"/>
            <w:noWrap/>
            <w:hideMark/>
          </w:tcPr>
          <w:p w14:paraId="018317B2" w14:textId="77777777" w:rsidR="00B77716" w:rsidRPr="00D1099E" w:rsidRDefault="00B77716" w:rsidP="00C45A61">
            <w:pPr>
              <w:pStyle w:val="Tablewriting"/>
            </w:pPr>
            <w:r w:rsidRPr="00D1099E">
              <w:t>306,160</w:t>
            </w:r>
          </w:p>
        </w:tc>
      </w:tr>
      <w:tr w:rsidR="00B77716" w:rsidRPr="00D1099E" w14:paraId="43F1EDA1" w14:textId="77777777" w:rsidTr="00C45A61">
        <w:trPr>
          <w:trHeight w:val="300"/>
        </w:trPr>
        <w:tc>
          <w:tcPr>
            <w:tcW w:w="2808" w:type="dxa"/>
            <w:noWrap/>
            <w:hideMark/>
          </w:tcPr>
          <w:p w14:paraId="6FA81B59" w14:textId="77777777" w:rsidR="00B77716" w:rsidRPr="00D1099E" w:rsidRDefault="00B77716" w:rsidP="00C45A61">
            <w:pPr>
              <w:pStyle w:val="Tablewriting"/>
            </w:pPr>
            <w:r w:rsidRPr="00D1099E">
              <w:t>2012</w:t>
            </w:r>
          </w:p>
        </w:tc>
        <w:tc>
          <w:tcPr>
            <w:tcW w:w="3024" w:type="dxa"/>
            <w:noWrap/>
            <w:hideMark/>
          </w:tcPr>
          <w:p w14:paraId="1F2E07E7" w14:textId="77777777" w:rsidR="00B77716" w:rsidRPr="00D1099E" w:rsidRDefault="00B77716" w:rsidP="00C45A61">
            <w:pPr>
              <w:pStyle w:val="Tablewriting"/>
            </w:pPr>
            <w:r w:rsidRPr="00D1099E">
              <w:t>285,491</w:t>
            </w:r>
          </w:p>
        </w:tc>
      </w:tr>
      <w:tr w:rsidR="00B77716" w:rsidRPr="00D1099E" w14:paraId="77E48035" w14:textId="77777777" w:rsidTr="00C45A61">
        <w:trPr>
          <w:trHeight w:val="300"/>
        </w:trPr>
        <w:tc>
          <w:tcPr>
            <w:tcW w:w="2808" w:type="dxa"/>
            <w:noWrap/>
            <w:hideMark/>
          </w:tcPr>
          <w:p w14:paraId="3336029F" w14:textId="77777777" w:rsidR="00B77716" w:rsidRPr="00D1099E" w:rsidRDefault="00B77716" w:rsidP="00C45A61">
            <w:pPr>
              <w:pStyle w:val="Tablewriting"/>
            </w:pPr>
            <w:r w:rsidRPr="00D1099E">
              <w:t>2013</w:t>
            </w:r>
          </w:p>
        </w:tc>
        <w:tc>
          <w:tcPr>
            <w:tcW w:w="3024" w:type="dxa"/>
            <w:noWrap/>
            <w:hideMark/>
          </w:tcPr>
          <w:p w14:paraId="3A0F4C07" w14:textId="77777777" w:rsidR="00B77716" w:rsidRPr="00D1099E" w:rsidRDefault="00B77716" w:rsidP="00C45A61">
            <w:pPr>
              <w:pStyle w:val="Tablewriting"/>
            </w:pPr>
            <w:r w:rsidRPr="00D1099E">
              <w:t>281,351</w:t>
            </w:r>
          </w:p>
        </w:tc>
      </w:tr>
    </w:tbl>
    <w:p w14:paraId="14175F07" w14:textId="77777777" w:rsidR="00B77716" w:rsidRDefault="00B77716" w:rsidP="00B77716">
      <w:pPr>
        <w:pStyle w:val="Tablecaption"/>
      </w:pPr>
      <w:r w:rsidRPr="00065A1D">
        <w:t>AHS data: August 2014.</w:t>
      </w:r>
      <w:r>
        <w:t xml:space="preserve"> </w:t>
      </w:r>
      <w:r w:rsidRPr="00065A1D">
        <w:t xml:space="preserve">AHS data is at item level by date of processing. </w:t>
      </w:r>
    </w:p>
    <w:p w14:paraId="5FA54710" w14:textId="77777777" w:rsidR="00B77716" w:rsidRPr="00065A1D" w:rsidRDefault="00B77716" w:rsidP="00B77716">
      <w:r w:rsidRPr="00065A1D">
        <w:t>The number of packs processed through AHS in 2013 was 281,351; which is 1% of the number of antibiotic prescriptions supplied through the PBS over the same year (n=28,156,700).</w:t>
      </w:r>
    </w:p>
    <w:p w14:paraId="4DA632E5" w14:textId="1F3FF5DE" w:rsidR="00B77716" w:rsidRPr="00065A1D" w:rsidRDefault="00B77716" w:rsidP="00B77716">
      <w:r w:rsidRPr="00065A1D">
        <w:t xml:space="preserve">Table </w:t>
      </w:r>
      <w:r w:rsidR="00464352">
        <w:t>1</w:t>
      </w:r>
      <w:r w:rsidR="008F495D">
        <w:t>1</w:t>
      </w:r>
      <w:r w:rsidRPr="00065A1D">
        <w:t xml:space="preserve"> shows which antibiotics were most commonly processed through AHS in 2013. </w:t>
      </w:r>
    </w:p>
    <w:p w14:paraId="66D71F48" w14:textId="77777777" w:rsidR="00A14204" w:rsidRDefault="00A14204">
      <w:pPr>
        <w:spacing w:before="0" w:after="200" w:line="276" w:lineRule="auto"/>
        <w:rPr>
          <w:b/>
        </w:rPr>
      </w:pPr>
      <w:r>
        <w:rPr>
          <w:b/>
        </w:rPr>
        <w:br w:type="page"/>
      </w:r>
    </w:p>
    <w:p w14:paraId="7BFB5DA5" w14:textId="4BC8865B" w:rsidR="00B77716" w:rsidRPr="00065A1D" w:rsidRDefault="00B77716" w:rsidP="00B77716">
      <w:pPr>
        <w:rPr>
          <w:b/>
        </w:rPr>
      </w:pPr>
      <w:r w:rsidRPr="00065A1D">
        <w:rPr>
          <w:b/>
        </w:rPr>
        <w:lastRenderedPageBreak/>
        <w:t>Table</w:t>
      </w:r>
      <w:r w:rsidR="00BA480A">
        <w:rPr>
          <w:b/>
        </w:rPr>
        <w:t xml:space="preserve"> </w:t>
      </w:r>
      <w:r w:rsidR="00464352">
        <w:rPr>
          <w:b/>
        </w:rPr>
        <w:t>1</w:t>
      </w:r>
      <w:r w:rsidR="008F495D">
        <w:rPr>
          <w:b/>
        </w:rPr>
        <w:t>1</w:t>
      </w:r>
      <w:r w:rsidRPr="00065A1D">
        <w:rPr>
          <w:b/>
        </w:rPr>
        <w:t>: Ten antibiotics most commonly processed by aboriginal health services in 2013</w:t>
      </w:r>
    </w:p>
    <w:tbl>
      <w:tblPr>
        <w:tblW w:w="7935" w:type="dxa"/>
        <w:tblInd w:w="93" w:type="dxa"/>
        <w:tblLook w:val="04A0" w:firstRow="1" w:lastRow="0" w:firstColumn="1" w:lastColumn="0" w:noHBand="0" w:noVBand="1"/>
        <w:tblCaption w:val="Table 7 shows the ten antibiotics most commonly processed by aboriginal health services in 2013"/>
      </w:tblPr>
      <w:tblGrid>
        <w:gridCol w:w="1420"/>
        <w:gridCol w:w="4175"/>
        <w:gridCol w:w="2340"/>
      </w:tblGrid>
      <w:tr w:rsidR="00B77716" w:rsidRPr="00BE7EA3" w14:paraId="4544FB6D" w14:textId="77777777" w:rsidTr="00C45A61">
        <w:trPr>
          <w:trHeight w:val="300"/>
        </w:trPr>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754476B4" w14:textId="77777777" w:rsidR="00B77716" w:rsidRPr="00BE7EA3" w:rsidRDefault="00B77716" w:rsidP="00C45A61">
            <w:pPr>
              <w:pStyle w:val="Tablewriting"/>
              <w:rPr>
                <w:b/>
              </w:rPr>
            </w:pPr>
            <w:r w:rsidRPr="00BE7EA3">
              <w:rPr>
                <w:b/>
              </w:rPr>
              <w:t>ATC</w:t>
            </w:r>
          </w:p>
        </w:tc>
        <w:tc>
          <w:tcPr>
            <w:tcW w:w="4175"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5E8AC9A8" w14:textId="77777777" w:rsidR="00B77716" w:rsidRPr="00BE7EA3" w:rsidRDefault="00B77716" w:rsidP="00C45A61">
            <w:pPr>
              <w:pStyle w:val="Tablewriting"/>
              <w:rPr>
                <w:b/>
              </w:rPr>
            </w:pPr>
            <w:r w:rsidRPr="00BE7EA3">
              <w:rPr>
                <w:b/>
              </w:rPr>
              <w:t>Antibiotic</w:t>
            </w:r>
          </w:p>
        </w:tc>
        <w:tc>
          <w:tcPr>
            <w:tcW w:w="234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0D670C06" w14:textId="77777777" w:rsidR="00B77716" w:rsidRPr="00BE7EA3" w:rsidRDefault="00B77716" w:rsidP="00C45A61">
            <w:pPr>
              <w:pStyle w:val="Tablewriting"/>
              <w:rPr>
                <w:b/>
              </w:rPr>
            </w:pPr>
            <w:r w:rsidRPr="00BE7EA3">
              <w:rPr>
                <w:b/>
              </w:rPr>
              <w:t>Sum of packs supplied</w:t>
            </w:r>
          </w:p>
        </w:tc>
      </w:tr>
      <w:tr w:rsidR="00B77716" w:rsidRPr="00065A1D" w14:paraId="33D85345" w14:textId="77777777" w:rsidTr="00C45A61">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026E55C0" w14:textId="77777777" w:rsidR="00B77716" w:rsidRPr="00065A1D" w:rsidRDefault="00B77716" w:rsidP="00C45A61">
            <w:pPr>
              <w:pStyle w:val="Tablewriting"/>
            </w:pPr>
            <w:r w:rsidRPr="00065A1D">
              <w:t>J01CA04</w:t>
            </w:r>
          </w:p>
        </w:tc>
        <w:tc>
          <w:tcPr>
            <w:tcW w:w="4175" w:type="dxa"/>
            <w:tcBorders>
              <w:top w:val="nil"/>
              <w:left w:val="nil"/>
              <w:bottom w:val="single" w:sz="4" w:space="0" w:color="auto"/>
              <w:right w:val="single" w:sz="4" w:space="0" w:color="auto"/>
            </w:tcBorders>
            <w:shd w:val="clear" w:color="auto" w:fill="auto"/>
            <w:noWrap/>
            <w:vAlign w:val="bottom"/>
            <w:hideMark/>
          </w:tcPr>
          <w:p w14:paraId="5DDC4F5C" w14:textId="77777777" w:rsidR="00B77716" w:rsidRPr="00065A1D" w:rsidRDefault="00B77716" w:rsidP="00C45A61">
            <w:pPr>
              <w:pStyle w:val="Tablewriting"/>
            </w:pPr>
            <w:r w:rsidRPr="00065A1D">
              <w:t>AMOXYCILLIN</w:t>
            </w:r>
          </w:p>
        </w:tc>
        <w:tc>
          <w:tcPr>
            <w:tcW w:w="2340" w:type="dxa"/>
            <w:tcBorders>
              <w:top w:val="nil"/>
              <w:left w:val="nil"/>
              <w:bottom w:val="single" w:sz="4" w:space="0" w:color="auto"/>
              <w:right w:val="single" w:sz="4" w:space="0" w:color="auto"/>
            </w:tcBorders>
            <w:shd w:val="clear" w:color="auto" w:fill="auto"/>
            <w:noWrap/>
            <w:vAlign w:val="bottom"/>
            <w:hideMark/>
          </w:tcPr>
          <w:p w14:paraId="67DD677F" w14:textId="77777777" w:rsidR="00B77716" w:rsidRPr="00065A1D" w:rsidRDefault="00B77716" w:rsidP="00C45A61">
            <w:pPr>
              <w:pStyle w:val="Tablewriting"/>
            </w:pPr>
            <w:r w:rsidRPr="00065A1D">
              <w:t xml:space="preserve">53,325 </w:t>
            </w:r>
          </w:p>
        </w:tc>
      </w:tr>
      <w:tr w:rsidR="00B77716" w:rsidRPr="00065A1D" w14:paraId="33EA67CC" w14:textId="77777777" w:rsidTr="00C45A61">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0CFF59A2" w14:textId="77777777" w:rsidR="00B77716" w:rsidRPr="00065A1D" w:rsidRDefault="00B77716" w:rsidP="00C45A61">
            <w:pPr>
              <w:pStyle w:val="Tablewriting"/>
            </w:pPr>
            <w:r w:rsidRPr="00065A1D">
              <w:t>J01FA10</w:t>
            </w:r>
          </w:p>
        </w:tc>
        <w:tc>
          <w:tcPr>
            <w:tcW w:w="4175" w:type="dxa"/>
            <w:tcBorders>
              <w:top w:val="nil"/>
              <w:left w:val="nil"/>
              <w:bottom w:val="single" w:sz="4" w:space="0" w:color="auto"/>
              <w:right w:val="single" w:sz="4" w:space="0" w:color="auto"/>
            </w:tcBorders>
            <w:shd w:val="clear" w:color="auto" w:fill="auto"/>
            <w:noWrap/>
            <w:vAlign w:val="bottom"/>
            <w:hideMark/>
          </w:tcPr>
          <w:p w14:paraId="3B1E4DFB" w14:textId="77777777" w:rsidR="00B77716" w:rsidRPr="00065A1D" w:rsidRDefault="00B77716" w:rsidP="00C45A61">
            <w:pPr>
              <w:pStyle w:val="Tablewriting"/>
            </w:pPr>
            <w:r w:rsidRPr="00065A1D">
              <w:t>AZITHROMYCIN</w:t>
            </w:r>
          </w:p>
        </w:tc>
        <w:tc>
          <w:tcPr>
            <w:tcW w:w="2340" w:type="dxa"/>
            <w:tcBorders>
              <w:top w:val="nil"/>
              <w:left w:val="nil"/>
              <w:bottom w:val="single" w:sz="4" w:space="0" w:color="auto"/>
              <w:right w:val="single" w:sz="4" w:space="0" w:color="auto"/>
            </w:tcBorders>
            <w:shd w:val="clear" w:color="auto" w:fill="auto"/>
            <w:noWrap/>
            <w:vAlign w:val="bottom"/>
            <w:hideMark/>
          </w:tcPr>
          <w:p w14:paraId="14A25D85" w14:textId="77777777" w:rsidR="00B77716" w:rsidRPr="00065A1D" w:rsidRDefault="00B77716" w:rsidP="00C45A61">
            <w:pPr>
              <w:pStyle w:val="Tablewriting"/>
            </w:pPr>
            <w:r w:rsidRPr="00065A1D">
              <w:t xml:space="preserve">33,731 </w:t>
            </w:r>
          </w:p>
        </w:tc>
      </w:tr>
      <w:tr w:rsidR="00B77716" w:rsidRPr="00065A1D" w14:paraId="116B84AC" w14:textId="77777777" w:rsidTr="00C45A61">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429CC497" w14:textId="77777777" w:rsidR="00B77716" w:rsidRPr="00065A1D" w:rsidRDefault="00B77716" w:rsidP="00C45A61">
            <w:pPr>
              <w:pStyle w:val="Tablewriting"/>
            </w:pPr>
            <w:r w:rsidRPr="00065A1D">
              <w:t>S01AA01</w:t>
            </w:r>
          </w:p>
        </w:tc>
        <w:tc>
          <w:tcPr>
            <w:tcW w:w="4175" w:type="dxa"/>
            <w:tcBorders>
              <w:top w:val="nil"/>
              <w:left w:val="nil"/>
              <w:bottom w:val="single" w:sz="4" w:space="0" w:color="auto"/>
              <w:right w:val="single" w:sz="4" w:space="0" w:color="auto"/>
            </w:tcBorders>
            <w:shd w:val="clear" w:color="auto" w:fill="auto"/>
            <w:noWrap/>
            <w:vAlign w:val="bottom"/>
            <w:hideMark/>
          </w:tcPr>
          <w:p w14:paraId="132EB9A3" w14:textId="77777777" w:rsidR="00B77716" w:rsidRPr="00065A1D" w:rsidRDefault="00B77716" w:rsidP="00C45A61">
            <w:pPr>
              <w:pStyle w:val="Tablewriting"/>
            </w:pPr>
            <w:r w:rsidRPr="00065A1D">
              <w:t>CHLORAMPHENICOL (EYE)</w:t>
            </w:r>
          </w:p>
        </w:tc>
        <w:tc>
          <w:tcPr>
            <w:tcW w:w="2340" w:type="dxa"/>
            <w:tcBorders>
              <w:top w:val="nil"/>
              <w:left w:val="nil"/>
              <w:bottom w:val="single" w:sz="4" w:space="0" w:color="auto"/>
              <w:right w:val="single" w:sz="4" w:space="0" w:color="auto"/>
            </w:tcBorders>
            <w:shd w:val="clear" w:color="auto" w:fill="auto"/>
            <w:noWrap/>
            <w:vAlign w:val="bottom"/>
            <w:hideMark/>
          </w:tcPr>
          <w:p w14:paraId="02946175" w14:textId="77777777" w:rsidR="00B77716" w:rsidRPr="00065A1D" w:rsidRDefault="00B77716" w:rsidP="00C45A61">
            <w:pPr>
              <w:pStyle w:val="Tablewriting"/>
            </w:pPr>
            <w:r w:rsidRPr="00065A1D">
              <w:t xml:space="preserve">29,778 </w:t>
            </w:r>
          </w:p>
        </w:tc>
      </w:tr>
      <w:tr w:rsidR="00B77716" w:rsidRPr="00065A1D" w14:paraId="04134A9E" w14:textId="77777777" w:rsidTr="00C45A61">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64CD72AE" w14:textId="77777777" w:rsidR="00B77716" w:rsidRPr="00065A1D" w:rsidRDefault="00B77716" w:rsidP="00C45A61">
            <w:pPr>
              <w:pStyle w:val="Tablewriting"/>
            </w:pPr>
            <w:r w:rsidRPr="00065A1D">
              <w:t>J01CR02</w:t>
            </w:r>
          </w:p>
        </w:tc>
        <w:tc>
          <w:tcPr>
            <w:tcW w:w="4175" w:type="dxa"/>
            <w:tcBorders>
              <w:top w:val="nil"/>
              <w:left w:val="nil"/>
              <w:bottom w:val="single" w:sz="4" w:space="0" w:color="auto"/>
              <w:right w:val="single" w:sz="4" w:space="0" w:color="auto"/>
            </w:tcBorders>
            <w:shd w:val="clear" w:color="auto" w:fill="auto"/>
            <w:noWrap/>
            <w:vAlign w:val="bottom"/>
            <w:hideMark/>
          </w:tcPr>
          <w:p w14:paraId="38B576E5" w14:textId="77777777" w:rsidR="00B77716" w:rsidRPr="00065A1D" w:rsidRDefault="00B77716" w:rsidP="00C45A61">
            <w:pPr>
              <w:pStyle w:val="Tablewriting"/>
            </w:pPr>
            <w:r w:rsidRPr="00065A1D">
              <w:t>AMOXYCILLIN + CLAVULANIC ACID</w:t>
            </w:r>
          </w:p>
        </w:tc>
        <w:tc>
          <w:tcPr>
            <w:tcW w:w="2340" w:type="dxa"/>
            <w:tcBorders>
              <w:top w:val="nil"/>
              <w:left w:val="nil"/>
              <w:bottom w:val="single" w:sz="4" w:space="0" w:color="auto"/>
              <w:right w:val="single" w:sz="4" w:space="0" w:color="auto"/>
            </w:tcBorders>
            <w:shd w:val="clear" w:color="auto" w:fill="auto"/>
            <w:noWrap/>
            <w:vAlign w:val="bottom"/>
            <w:hideMark/>
          </w:tcPr>
          <w:p w14:paraId="249F086F" w14:textId="77777777" w:rsidR="00B77716" w:rsidRPr="00065A1D" w:rsidRDefault="00B77716" w:rsidP="00C45A61">
            <w:pPr>
              <w:pStyle w:val="Tablewriting"/>
            </w:pPr>
            <w:r w:rsidRPr="00065A1D">
              <w:t xml:space="preserve">29,227 </w:t>
            </w:r>
          </w:p>
        </w:tc>
      </w:tr>
      <w:tr w:rsidR="00B77716" w:rsidRPr="00065A1D" w14:paraId="77771A28" w14:textId="77777777" w:rsidTr="00C45A61">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73223D07" w14:textId="77777777" w:rsidR="00B77716" w:rsidRPr="00065A1D" w:rsidRDefault="00B77716" w:rsidP="00C45A61">
            <w:pPr>
              <w:pStyle w:val="Tablewriting"/>
            </w:pPr>
            <w:r w:rsidRPr="00065A1D">
              <w:t>J01DB01</w:t>
            </w:r>
          </w:p>
        </w:tc>
        <w:tc>
          <w:tcPr>
            <w:tcW w:w="4175" w:type="dxa"/>
            <w:tcBorders>
              <w:top w:val="nil"/>
              <w:left w:val="nil"/>
              <w:bottom w:val="single" w:sz="4" w:space="0" w:color="auto"/>
              <w:right w:val="single" w:sz="4" w:space="0" w:color="auto"/>
            </w:tcBorders>
            <w:shd w:val="clear" w:color="auto" w:fill="auto"/>
            <w:noWrap/>
            <w:vAlign w:val="bottom"/>
            <w:hideMark/>
          </w:tcPr>
          <w:p w14:paraId="038C2723" w14:textId="77777777" w:rsidR="00B77716" w:rsidRPr="00065A1D" w:rsidRDefault="00B77716" w:rsidP="00C45A61">
            <w:pPr>
              <w:pStyle w:val="Tablewriting"/>
            </w:pPr>
            <w:r w:rsidRPr="00065A1D">
              <w:t>CEPHALEXIN</w:t>
            </w:r>
          </w:p>
        </w:tc>
        <w:tc>
          <w:tcPr>
            <w:tcW w:w="2340" w:type="dxa"/>
            <w:tcBorders>
              <w:top w:val="nil"/>
              <w:left w:val="nil"/>
              <w:bottom w:val="single" w:sz="4" w:space="0" w:color="auto"/>
              <w:right w:val="single" w:sz="4" w:space="0" w:color="auto"/>
            </w:tcBorders>
            <w:shd w:val="clear" w:color="auto" w:fill="auto"/>
            <w:noWrap/>
            <w:vAlign w:val="bottom"/>
            <w:hideMark/>
          </w:tcPr>
          <w:p w14:paraId="32C62B47" w14:textId="77777777" w:rsidR="00B77716" w:rsidRPr="00065A1D" w:rsidRDefault="00B77716" w:rsidP="00C45A61">
            <w:pPr>
              <w:pStyle w:val="Tablewriting"/>
            </w:pPr>
            <w:r w:rsidRPr="00065A1D">
              <w:t xml:space="preserve"> 21,002 </w:t>
            </w:r>
          </w:p>
        </w:tc>
      </w:tr>
      <w:tr w:rsidR="00B77716" w:rsidRPr="00065A1D" w14:paraId="3DE283AB" w14:textId="77777777" w:rsidTr="00C45A61">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2F3368CB" w14:textId="77777777" w:rsidR="00B77716" w:rsidRPr="00065A1D" w:rsidRDefault="00B77716" w:rsidP="00C45A61">
            <w:pPr>
              <w:pStyle w:val="Tablewriting"/>
            </w:pPr>
            <w:r w:rsidRPr="00065A1D">
              <w:t>J01CF05</w:t>
            </w:r>
          </w:p>
        </w:tc>
        <w:tc>
          <w:tcPr>
            <w:tcW w:w="4175" w:type="dxa"/>
            <w:tcBorders>
              <w:top w:val="nil"/>
              <w:left w:val="nil"/>
              <w:bottom w:val="single" w:sz="4" w:space="0" w:color="auto"/>
              <w:right w:val="single" w:sz="4" w:space="0" w:color="auto"/>
            </w:tcBorders>
            <w:shd w:val="clear" w:color="auto" w:fill="auto"/>
            <w:noWrap/>
            <w:vAlign w:val="bottom"/>
            <w:hideMark/>
          </w:tcPr>
          <w:p w14:paraId="6247FBC0" w14:textId="77777777" w:rsidR="00B77716" w:rsidRPr="00065A1D" w:rsidRDefault="00B77716" w:rsidP="00C45A61">
            <w:pPr>
              <w:pStyle w:val="Tablewriting"/>
            </w:pPr>
            <w:r w:rsidRPr="00065A1D">
              <w:t>FLUCLOXACILLIN</w:t>
            </w:r>
          </w:p>
        </w:tc>
        <w:tc>
          <w:tcPr>
            <w:tcW w:w="2340" w:type="dxa"/>
            <w:tcBorders>
              <w:top w:val="nil"/>
              <w:left w:val="nil"/>
              <w:bottom w:val="single" w:sz="4" w:space="0" w:color="auto"/>
              <w:right w:val="single" w:sz="4" w:space="0" w:color="auto"/>
            </w:tcBorders>
            <w:shd w:val="clear" w:color="auto" w:fill="auto"/>
            <w:noWrap/>
            <w:vAlign w:val="bottom"/>
            <w:hideMark/>
          </w:tcPr>
          <w:p w14:paraId="7E91E3F1" w14:textId="77777777" w:rsidR="00B77716" w:rsidRPr="00065A1D" w:rsidRDefault="00B77716" w:rsidP="00C45A61">
            <w:pPr>
              <w:pStyle w:val="Tablewriting"/>
            </w:pPr>
            <w:r w:rsidRPr="00065A1D">
              <w:t xml:space="preserve">18,966 </w:t>
            </w:r>
          </w:p>
        </w:tc>
      </w:tr>
      <w:tr w:rsidR="00B77716" w:rsidRPr="00065A1D" w14:paraId="7CD5E755" w14:textId="77777777" w:rsidTr="00C45A61">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35E21F59" w14:textId="77777777" w:rsidR="00B77716" w:rsidRPr="00065A1D" w:rsidRDefault="00B77716" w:rsidP="00C45A61">
            <w:pPr>
              <w:pStyle w:val="Tablewriting"/>
            </w:pPr>
            <w:r w:rsidRPr="00065A1D">
              <w:t>S02AA15</w:t>
            </w:r>
          </w:p>
        </w:tc>
        <w:tc>
          <w:tcPr>
            <w:tcW w:w="4175" w:type="dxa"/>
            <w:tcBorders>
              <w:top w:val="nil"/>
              <w:left w:val="nil"/>
              <w:bottom w:val="single" w:sz="4" w:space="0" w:color="auto"/>
              <w:right w:val="single" w:sz="4" w:space="0" w:color="auto"/>
            </w:tcBorders>
            <w:shd w:val="clear" w:color="auto" w:fill="auto"/>
            <w:noWrap/>
            <w:vAlign w:val="bottom"/>
            <w:hideMark/>
          </w:tcPr>
          <w:p w14:paraId="3ED96635" w14:textId="77777777" w:rsidR="00B77716" w:rsidRPr="00065A1D" w:rsidRDefault="00B77716" w:rsidP="00C45A61">
            <w:pPr>
              <w:pStyle w:val="Tablewriting"/>
            </w:pPr>
            <w:r w:rsidRPr="00065A1D">
              <w:t>CIPROFLOXACIN (EAR)</w:t>
            </w:r>
          </w:p>
        </w:tc>
        <w:tc>
          <w:tcPr>
            <w:tcW w:w="2340" w:type="dxa"/>
            <w:tcBorders>
              <w:top w:val="nil"/>
              <w:left w:val="nil"/>
              <w:bottom w:val="single" w:sz="4" w:space="0" w:color="auto"/>
              <w:right w:val="single" w:sz="4" w:space="0" w:color="auto"/>
            </w:tcBorders>
            <w:shd w:val="clear" w:color="auto" w:fill="auto"/>
            <w:noWrap/>
            <w:vAlign w:val="bottom"/>
            <w:hideMark/>
          </w:tcPr>
          <w:p w14:paraId="3532E708" w14:textId="77777777" w:rsidR="00B77716" w:rsidRPr="00065A1D" w:rsidRDefault="00B77716" w:rsidP="00C45A61">
            <w:pPr>
              <w:pStyle w:val="Tablewriting"/>
            </w:pPr>
            <w:r w:rsidRPr="00065A1D">
              <w:t xml:space="preserve">17,064 </w:t>
            </w:r>
          </w:p>
        </w:tc>
      </w:tr>
      <w:tr w:rsidR="00B77716" w:rsidRPr="00065A1D" w14:paraId="23BF96B7" w14:textId="77777777" w:rsidTr="00C45A61">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3518A862" w14:textId="77777777" w:rsidR="00B77716" w:rsidRPr="00065A1D" w:rsidRDefault="00B77716" w:rsidP="00C45A61">
            <w:pPr>
              <w:pStyle w:val="Tablewriting"/>
            </w:pPr>
            <w:r w:rsidRPr="00065A1D">
              <w:t>J01FA06</w:t>
            </w:r>
          </w:p>
        </w:tc>
        <w:tc>
          <w:tcPr>
            <w:tcW w:w="4175" w:type="dxa"/>
            <w:tcBorders>
              <w:top w:val="nil"/>
              <w:left w:val="nil"/>
              <w:bottom w:val="single" w:sz="4" w:space="0" w:color="auto"/>
              <w:right w:val="single" w:sz="4" w:space="0" w:color="auto"/>
            </w:tcBorders>
            <w:shd w:val="clear" w:color="auto" w:fill="auto"/>
            <w:noWrap/>
            <w:vAlign w:val="bottom"/>
            <w:hideMark/>
          </w:tcPr>
          <w:p w14:paraId="0E007EDD" w14:textId="77777777" w:rsidR="00B77716" w:rsidRPr="00065A1D" w:rsidRDefault="00B77716" w:rsidP="00C45A61">
            <w:pPr>
              <w:pStyle w:val="Tablewriting"/>
            </w:pPr>
            <w:r w:rsidRPr="00065A1D">
              <w:t>ROXITHROMYCIN</w:t>
            </w:r>
          </w:p>
        </w:tc>
        <w:tc>
          <w:tcPr>
            <w:tcW w:w="2340" w:type="dxa"/>
            <w:tcBorders>
              <w:top w:val="nil"/>
              <w:left w:val="nil"/>
              <w:bottom w:val="single" w:sz="4" w:space="0" w:color="auto"/>
              <w:right w:val="single" w:sz="4" w:space="0" w:color="auto"/>
            </w:tcBorders>
            <w:shd w:val="clear" w:color="auto" w:fill="auto"/>
            <w:noWrap/>
            <w:vAlign w:val="bottom"/>
            <w:hideMark/>
          </w:tcPr>
          <w:p w14:paraId="440F8DCC" w14:textId="77777777" w:rsidR="00B77716" w:rsidRPr="00065A1D" w:rsidRDefault="00B77716" w:rsidP="00C45A61">
            <w:pPr>
              <w:pStyle w:val="Tablewriting"/>
            </w:pPr>
            <w:r w:rsidRPr="00065A1D">
              <w:t xml:space="preserve">9,801 </w:t>
            </w:r>
          </w:p>
        </w:tc>
      </w:tr>
      <w:tr w:rsidR="00B77716" w:rsidRPr="00065A1D" w14:paraId="5FA7E5F9" w14:textId="77777777" w:rsidTr="00C45A61">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0805A886" w14:textId="77777777" w:rsidR="00B77716" w:rsidRPr="00065A1D" w:rsidRDefault="00B77716" w:rsidP="00C45A61">
            <w:pPr>
              <w:pStyle w:val="Tablewriting"/>
            </w:pPr>
            <w:r w:rsidRPr="00065A1D">
              <w:t>J01CF01</w:t>
            </w:r>
          </w:p>
        </w:tc>
        <w:tc>
          <w:tcPr>
            <w:tcW w:w="4175" w:type="dxa"/>
            <w:tcBorders>
              <w:top w:val="nil"/>
              <w:left w:val="nil"/>
              <w:bottom w:val="single" w:sz="4" w:space="0" w:color="auto"/>
              <w:right w:val="single" w:sz="4" w:space="0" w:color="auto"/>
            </w:tcBorders>
            <w:shd w:val="clear" w:color="auto" w:fill="auto"/>
            <w:noWrap/>
            <w:vAlign w:val="bottom"/>
            <w:hideMark/>
          </w:tcPr>
          <w:p w14:paraId="5C1EDF70" w14:textId="77777777" w:rsidR="00B77716" w:rsidRPr="00065A1D" w:rsidRDefault="00B77716" w:rsidP="00C45A61">
            <w:pPr>
              <w:pStyle w:val="Tablewriting"/>
            </w:pPr>
            <w:r w:rsidRPr="00065A1D">
              <w:t>DICLOXACILLIN</w:t>
            </w:r>
          </w:p>
        </w:tc>
        <w:tc>
          <w:tcPr>
            <w:tcW w:w="2340" w:type="dxa"/>
            <w:tcBorders>
              <w:top w:val="nil"/>
              <w:left w:val="nil"/>
              <w:bottom w:val="single" w:sz="4" w:space="0" w:color="auto"/>
              <w:right w:val="single" w:sz="4" w:space="0" w:color="auto"/>
            </w:tcBorders>
            <w:shd w:val="clear" w:color="auto" w:fill="auto"/>
            <w:noWrap/>
            <w:vAlign w:val="bottom"/>
            <w:hideMark/>
          </w:tcPr>
          <w:p w14:paraId="276EC5D3" w14:textId="77777777" w:rsidR="00B77716" w:rsidRPr="00065A1D" w:rsidRDefault="00B77716" w:rsidP="00C45A61">
            <w:pPr>
              <w:pStyle w:val="Tablewriting"/>
            </w:pPr>
            <w:r w:rsidRPr="00065A1D">
              <w:t xml:space="preserve">8,991 </w:t>
            </w:r>
          </w:p>
        </w:tc>
      </w:tr>
      <w:tr w:rsidR="00B77716" w:rsidRPr="00065A1D" w14:paraId="4D46FBA9" w14:textId="77777777" w:rsidTr="00C45A61">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472E75BF" w14:textId="77777777" w:rsidR="00B77716" w:rsidRPr="00065A1D" w:rsidRDefault="00B77716" w:rsidP="00C45A61">
            <w:pPr>
              <w:pStyle w:val="Tablewriting"/>
            </w:pPr>
            <w:r w:rsidRPr="00065A1D">
              <w:t>J01EE01</w:t>
            </w:r>
          </w:p>
        </w:tc>
        <w:tc>
          <w:tcPr>
            <w:tcW w:w="4175" w:type="dxa"/>
            <w:tcBorders>
              <w:top w:val="nil"/>
              <w:left w:val="nil"/>
              <w:bottom w:val="single" w:sz="4" w:space="0" w:color="auto"/>
              <w:right w:val="single" w:sz="4" w:space="0" w:color="auto"/>
            </w:tcBorders>
            <w:shd w:val="clear" w:color="auto" w:fill="auto"/>
            <w:noWrap/>
            <w:vAlign w:val="bottom"/>
            <w:hideMark/>
          </w:tcPr>
          <w:p w14:paraId="5C67F6A1" w14:textId="77777777" w:rsidR="00B77716" w:rsidRPr="00065A1D" w:rsidRDefault="00B77716" w:rsidP="00C45A61">
            <w:pPr>
              <w:pStyle w:val="Tablewriting"/>
            </w:pPr>
            <w:r w:rsidRPr="00065A1D">
              <w:t>TRIMETHOPRIM + SULFAMETHOXAZOLE</w:t>
            </w:r>
          </w:p>
        </w:tc>
        <w:tc>
          <w:tcPr>
            <w:tcW w:w="2340" w:type="dxa"/>
            <w:tcBorders>
              <w:top w:val="nil"/>
              <w:left w:val="nil"/>
              <w:bottom w:val="single" w:sz="4" w:space="0" w:color="auto"/>
              <w:right w:val="single" w:sz="4" w:space="0" w:color="auto"/>
            </w:tcBorders>
            <w:shd w:val="clear" w:color="auto" w:fill="auto"/>
            <w:noWrap/>
            <w:vAlign w:val="bottom"/>
            <w:hideMark/>
          </w:tcPr>
          <w:p w14:paraId="1B6D5AF4" w14:textId="77777777" w:rsidR="00B77716" w:rsidRPr="00065A1D" w:rsidRDefault="00B77716" w:rsidP="00C45A61">
            <w:pPr>
              <w:pStyle w:val="Tablewriting"/>
            </w:pPr>
            <w:r w:rsidRPr="00065A1D">
              <w:t xml:space="preserve">7,523 </w:t>
            </w:r>
          </w:p>
        </w:tc>
      </w:tr>
    </w:tbl>
    <w:p w14:paraId="37316500" w14:textId="77777777" w:rsidR="00B77716" w:rsidRPr="00065A1D" w:rsidRDefault="00B77716" w:rsidP="00B77716">
      <w:pPr>
        <w:pStyle w:val="Tablecaption"/>
      </w:pPr>
      <w:r w:rsidRPr="00065A1D">
        <w:t>AHS data: August 2014.</w:t>
      </w:r>
      <w:r>
        <w:t xml:space="preserve"> </w:t>
      </w:r>
      <w:r w:rsidRPr="00065A1D">
        <w:t>AHS data is at item level by date of processing</w:t>
      </w:r>
    </w:p>
    <w:p w14:paraId="7CFC8C56" w14:textId="77777777" w:rsidR="00B77716" w:rsidRPr="00065A1D" w:rsidRDefault="00B77716" w:rsidP="00B77716">
      <w:r w:rsidRPr="00065A1D">
        <w:t xml:space="preserve">Like the general population, amoxycillin was the most supplied antibiotic through AHS in 2013. Some of the differences in commonly supplied antibiotics in AHS versus the wider community are due to the prevalence of different infections in Indigenous communities. For example, azithromycin is PBS listed for the treatment of trachoma and uncomplicated urethritis due to </w:t>
      </w:r>
      <w:r w:rsidRPr="00065A1D">
        <w:rPr>
          <w:i/>
        </w:rPr>
        <w:t>Chlamydia trachomatis</w:t>
      </w:r>
      <w:r w:rsidRPr="00065A1D">
        <w:t>. Trachoma continues to be a public health problem in Aboriginal and Torres Strait Islander communities in many rural and remote areas of the NT, SA and WA; and is no longer found in Australia outside of these communities.</w:t>
      </w:r>
      <w:r w:rsidRPr="00065A1D">
        <w:rPr>
          <w:vertAlign w:val="superscript"/>
        </w:rPr>
        <w:footnoteReference w:id="12"/>
      </w:r>
      <w:r w:rsidRPr="00065A1D">
        <w:t xml:space="preserve"> The Northern Territory Emergency Response Child Health Check trachoma screening found trachoma at endemic rates (more than 5%) in the majority of regions.</w:t>
      </w:r>
      <w:r w:rsidRPr="00065A1D">
        <w:rPr>
          <w:vertAlign w:val="superscript"/>
        </w:rPr>
        <w:footnoteReference w:id="13"/>
      </w:r>
      <w:r w:rsidRPr="00065A1D">
        <w:t xml:space="preserve"> Australia is a signatory to the World Health Organization (WHO) Global Elimination of Trachoma (GET 2020) resolution. Additionally, ciprofloxacin ear drops are PBS listed for the treatment of chronic </w:t>
      </w:r>
      <w:proofErr w:type="spellStart"/>
      <w:r w:rsidRPr="00065A1D">
        <w:t>suppurative</w:t>
      </w:r>
      <w:proofErr w:type="spellEnd"/>
      <w:r w:rsidRPr="00065A1D">
        <w:t xml:space="preserve"> otitis media in an Aboriginal or a Torres Strait Islander person aged 1 month or older. Nearly 12% of children examined through the Northern Territory Emergency Response Child Health Check initiative had chronic </w:t>
      </w:r>
      <w:proofErr w:type="spellStart"/>
      <w:r w:rsidRPr="00065A1D">
        <w:t>suppurative</w:t>
      </w:r>
      <w:proofErr w:type="spellEnd"/>
      <w:r w:rsidRPr="00065A1D">
        <w:t xml:space="preserve"> otitis media.</w:t>
      </w:r>
      <w:r w:rsidRPr="00065A1D">
        <w:rPr>
          <w:vertAlign w:val="superscript"/>
        </w:rPr>
        <w:t>15</w:t>
      </w:r>
    </w:p>
    <w:p w14:paraId="0CC60E76" w14:textId="083E02BC" w:rsidR="00361870" w:rsidRPr="00361870" w:rsidRDefault="00361870" w:rsidP="00635714">
      <w:pPr>
        <w:pStyle w:val="Heading5"/>
      </w:pPr>
      <w:r w:rsidRPr="00361870">
        <w:lastRenderedPageBreak/>
        <w:t>Private prescriptions</w:t>
      </w:r>
    </w:p>
    <w:p w14:paraId="30015B9A" w14:textId="380BA85F" w:rsidR="00361870" w:rsidRPr="00361870" w:rsidRDefault="00361870" w:rsidP="00E25A73">
      <w:r w:rsidRPr="00361870">
        <w:t xml:space="preserve">The DUSC database provided an estimate of private prescriptions until August 2012. Using data extracted from the DUSC database, the proportion of private prescriptions for calendar year 2011 is shown in Table </w:t>
      </w:r>
      <w:r w:rsidR="00464352">
        <w:t>1</w:t>
      </w:r>
      <w:r w:rsidR="008F495D">
        <w:t>2</w:t>
      </w:r>
      <w:r w:rsidRPr="00361870">
        <w:t xml:space="preserve">. It is estimated that private prescriptions accounted for 7% of all antibiotic prescriptions supplied in 2011. The proportion of systemic antibiotics estimated as being supplied by private prescription in 2011 was 5%. For non-systemic (e.g. otological, </w:t>
      </w:r>
      <w:proofErr w:type="spellStart"/>
      <w:r w:rsidRPr="00361870">
        <w:t>optometrical</w:t>
      </w:r>
      <w:proofErr w:type="spellEnd"/>
      <w:r w:rsidRPr="00361870">
        <w:t>) antibiotics, a higher proportion (26%) was estimated as being supplied by private prescription.</w:t>
      </w:r>
    </w:p>
    <w:tbl>
      <w:tblPr>
        <w:tblW w:w="9015" w:type="dxa"/>
        <w:tblInd w:w="93" w:type="dxa"/>
        <w:tblLook w:val="04A0" w:firstRow="1" w:lastRow="0" w:firstColumn="1" w:lastColumn="0" w:noHBand="0" w:noVBand="1"/>
        <w:tblCaption w:val="This table shows the estimated proportion of private prescriptions supplied for antibiotics in 2011"/>
      </w:tblPr>
      <w:tblGrid>
        <w:gridCol w:w="1234"/>
        <w:gridCol w:w="2606"/>
        <w:gridCol w:w="1755"/>
        <w:gridCol w:w="3420"/>
      </w:tblGrid>
      <w:tr w:rsidR="00361870" w:rsidRPr="00361870" w14:paraId="636BD3C4" w14:textId="77777777" w:rsidTr="006E3C52">
        <w:trPr>
          <w:trHeight w:val="300"/>
        </w:trPr>
        <w:tc>
          <w:tcPr>
            <w:tcW w:w="9015" w:type="dxa"/>
            <w:gridSpan w:val="4"/>
            <w:tcBorders>
              <w:top w:val="nil"/>
              <w:left w:val="nil"/>
              <w:bottom w:val="nil"/>
              <w:right w:val="nil"/>
            </w:tcBorders>
            <w:shd w:val="clear" w:color="auto" w:fill="auto"/>
            <w:noWrap/>
            <w:vAlign w:val="bottom"/>
            <w:hideMark/>
          </w:tcPr>
          <w:p w14:paraId="3F2401F4" w14:textId="2392AFF9" w:rsidR="00361870" w:rsidRPr="00361870" w:rsidRDefault="00361870" w:rsidP="008F495D">
            <w:pPr>
              <w:pStyle w:val="Tabletitle"/>
              <w:ind w:left="-93"/>
              <w:jc w:val="both"/>
            </w:pPr>
            <w:r w:rsidRPr="00361870">
              <w:t xml:space="preserve">Table </w:t>
            </w:r>
            <w:r w:rsidR="00E25A73" w:rsidRPr="00E25A73">
              <w:t>1</w:t>
            </w:r>
            <w:r w:rsidR="008F495D">
              <w:t>2</w:t>
            </w:r>
            <w:r w:rsidRPr="00361870">
              <w:t>: estimated proportion of private prescriptions supplied for antibiotics in 2011</w:t>
            </w:r>
          </w:p>
        </w:tc>
      </w:tr>
      <w:tr w:rsidR="00361870" w:rsidRPr="00361870" w14:paraId="40BED288" w14:textId="77777777" w:rsidTr="006E3C52">
        <w:trPr>
          <w:trHeight w:val="600"/>
        </w:trPr>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7F626" w14:textId="77777777" w:rsidR="00361870" w:rsidRPr="00E25A73" w:rsidRDefault="00361870" w:rsidP="00AD53CC">
            <w:pPr>
              <w:pStyle w:val="Tablewriting"/>
            </w:pPr>
            <w:r w:rsidRPr="00E25A73">
              <w:t> </w:t>
            </w:r>
          </w:p>
        </w:tc>
        <w:tc>
          <w:tcPr>
            <w:tcW w:w="2606" w:type="dxa"/>
            <w:tcBorders>
              <w:top w:val="single" w:sz="4" w:space="0" w:color="auto"/>
              <w:left w:val="nil"/>
              <w:bottom w:val="single" w:sz="4" w:space="0" w:color="auto"/>
              <w:right w:val="single" w:sz="4" w:space="0" w:color="auto"/>
            </w:tcBorders>
            <w:shd w:val="clear" w:color="auto" w:fill="auto"/>
            <w:vAlign w:val="bottom"/>
            <w:hideMark/>
          </w:tcPr>
          <w:p w14:paraId="589AD184" w14:textId="77777777" w:rsidR="00361870" w:rsidRPr="00E25A73" w:rsidRDefault="00361870" w:rsidP="00AD53CC">
            <w:pPr>
              <w:pStyle w:val="Tablewriting"/>
            </w:pPr>
            <w:r w:rsidRPr="00E25A73">
              <w:t>PBS/RPBS including under co-payment estimate</w:t>
            </w: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14:paraId="46649A42" w14:textId="77777777" w:rsidR="00361870" w:rsidRPr="00E25A73" w:rsidRDefault="00361870" w:rsidP="00AD53CC">
            <w:pPr>
              <w:pStyle w:val="Tablewriting"/>
            </w:pPr>
            <w:r w:rsidRPr="00E25A73">
              <w:t>Private estimate</w:t>
            </w:r>
          </w:p>
        </w:tc>
        <w:tc>
          <w:tcPr>
            <w:tcW w:w="3420" w:type="dxa"/>
            <w:tcBorders>
              <w:top w:val="single" w:sz="4" w:space="0" w:color="auto"/>
              <w:left w:val="nil"/>
              <w:bottom w:val="single" w:sz="4" w:space="0" w:color="auto"/>
              <w:right w:val="single" w:sz="4" w:space="0" w:color="auto"/>
            </w:tcBorders>
            <w:shd w:val="clear" w:color="auto" w:fill="auto"/>
            <w:noWrap/>
            <w:vAlign w:val="bottom"/>
            <w:hideMark/>
          </w:tcPr>
          <w:p w14:paraId="1C7E9FA2" w14:textId="5D4AB90D" w:rsidR="00361870" w:rsidRPr="00E25A73" w:rsidRDefault="00361870" w:rsidP="00AD53CC">
            <w:pPr>
              <w:pStyle w:val="Tablewriting"/>
            </w:pPr>
            <w:r w:rsidRPr="00E25A73">
              <w:t> </w:t>
            </w:r>
            <w:r w:rsidR="004A56F9" w:rsidRPr="00E25A73">
              <w:t>Total prescriptions supplied (inclu</w:t>
            </w:r>
            <w:r w:rsidR="004A56F9">
              <w:t xml:space="preserve">ding private and under </w:t>
            </w:r>
            <w:r w:rsidR="004A56F9" w:rsidRPr="00E25A73">
              <w:t>co</w:t>
            </w:r>
            <w:r w:rsidR="004A56F9">
              <w:t>-</w:t>
            </w:r>
            <w:r w:rsidR="004A56F9" w:rsidRPr="00E25A73">
              <w:t>payment estimates)</w:t>
            </w:r>
          </w:p>
        </w:tc>
      </w:tr>
      <w:tr w:rsidR="00361870" w:rsidRPr="00361870" w14:paraId="54DC3129" w14:textId="77777777" w:rsidTr="006E3C52">
        <w:trPr>
          <w:trHeight w:val="300"/>
        </w:trPr>
        <w:tc>
          <w:tcPr>
            <w:tcW w:w="1234" w:type="dxa"/>
            <w:vMerge w:val="restart"/>
            <w:tcBorders>
              <w:top w:val="nil"/>
              <w:left w:val="single" w:sz="4" w:space="0" w:color="auto"/>
              <w:right w:val="single" w:sz="4" w:space="0" w:color="auto"/>
            </w:tcBorders>
            <w:shd w:val="clear" w:color="auto" w:fill="auto"/>
            <w:noWrap/>
            <w:vAlign w:val="center"/>
            <w:hideMark/>
          </w:tcPr>
          <w:p w14:paraId="739F8C96" w14:textId="77777777" w:rsidR="00361870" w:rsidRPr="00E25A73" w:rsidRDefault="00361870" w:rsidP="00AD53CC">
            <w:pPr>
              <w:pStyle w:val="Tablewriting"/>
            </w:pPr>
            <w:r w:rsidRPr="00E25A73">
              <w:t xml:space="preserve"> All </w:t>
            </w:r>
          </w:p>
          <w:p w14:paraId="4AE146E2" w14:textId="77777777" w:rsidR="00361870" w:rsidRPr="00E25A73" w:rsidRDefault="00361870" w:rsidP="00AD53CC">
            <w:pPr>
              <w:pStyle w:val="Tablewriting"/>
            </w:pPr>
            <w:r w:rsidRPr="00E25A73">
              <w:t> </w:t>
            </w:r>
          </w:p>
        </w:tc>
        <w:tc>
          <w:tcPr>
            <w:tcW w:w="2606" w:type="dxa"/>
            <w:tcBorders>
              <w:top w:val="nil"/>
              <w:left w:val="nil"/>
              <w:bottom w:val="single" w:sz="4" w:space="0" w:color="auto"/>
              <w:right w:val="single" w:sz="4" w:space="0" w:color="auto"/>
            </w:tcBorders>
            <w:shd w:val="clear" w:color="auto" w:fill="auto"/>
            <w:noWrap/>
            <w:vAlign w:val="bottom"/>
            <w:hideMark/>
          </w:tcPr>
          <w:p w14:paraId="3F6937A0" w14:textId="1DF66BF4" w:rsidR="00361870" w:rsidRPr="00E25A73" w:rsidRDefault="00361870" w:rsidP="00AD53CC">
            <w:pPr>
              <w:pStyle w:val="Tablewriting"/>
            </w:pPr>
            <w:r w:rsidRPr="00E25A73">
              <w:t xml:space="preserve">29,287,172 </w:t>
            </w:r>
          </w:p>
        </w:tc>
        <w:tc>
          <w:tcPr>
            <w:tcW w:w="1755" w:type="dxa"/>
            <w:tcBorders>
              <w:top w:val="nil"/>
              <w:left w:val="nil"/>
              <w:bottom w:val="single" w:sz="4" w:space="0" w:color="auto"/>
              <w:right w:val="single" w:sz="4" w:space="0" w:color="auto"/>
            </w:tcBorders>
            <w:shd w:val="clear" w:color="auto" w:fill="auto"/>
            <w:noWrap/>
            <w:vAlign w:val="bottom"/>
            <w:hideMark/>
          </w:tcPr>
          <w:p w14:paraId="4287C1B4" w14:textId="71D3CA64" w:rsidR="00361870" w:rsidRPr="00E25A73" w:rsidRDefault="00361870" w:rsidP="00AD53CC">
            <w:pPr>
              <w:pStyle w:val="Tablewriting"/>
            </w:pPr>
            <w:r w:rsidRPr="00E25A73">
              <w:t xml:space="preserve">2,278,985 </w:t>
            </w:r>
          </w:p>
        </w:tc>
        <w:tc>
          <w:tcPr>
            <w:tcW w:w="3420" w:type="dxa"/>
            <w:tcBorders>
              <w:top w:val="nil"/>
              <w:left w:val="nil"/>
              <w:bottom w:val="single" w:sz="4" w:space="0" w:color="auto"/>
              <w:right w:val="single" w:sz="4" w:space="0" w:color="auto"/>
            </w:tcBorders>
            <w:shd w:val="clear" w:color="auto" w:fill="auto"/>
            <w:noWrap/>
            <w:vAlign w:val="bottom"/>
            <w:hideMark/>
          </w:tcPr>
          <w:p w14:paraId="6D1EE24A" w14:textId="079CFF06" w:rsidR="00361870" w:rsidRPr="00E25A73" w:rsidRDefault="00361870" w:rsidP="00AD53CC">
            <w:pPr>
              <w:pStyle w:val="Tablewriting"/>
            </w:pPr>
            <w:r w:rsidRPr="00E25A73">
              <w:t xml:space="preserve">31,566,157 </w:t>
            </w:r>
          </w:p>
        </w:tc>
      </w:tr>
      <w:tr w:rsidR="00361870" w:rsidRPr="00361870" w14:paraId="5C9BE846" w14:textId="77777777" w:rsidTr="006E3C52">
        <w:trPr>
          <w:trHeight w:val="300"/>
        </w:trPr>
        <w:tc>
          <w:tcPr>
            <w:tcW w:w="1234" w:type="dxa"/>
            <w:vMerge/>
            <w:tcBorders>
              <w:left w:val="single" w:sz="4" w:space="0" w:color="auto"/>
              <w:bottom w:val="single" w:sz="4" w:space="0" w:color="auto"/>
              <w:right w:val="single" w:sz="4" w:space="0" w:color="auto"/>
            </w:tcBorders>
            <w:shd w:val="clear" w:color="auto" w:fill="auto"/>
            <w:noWrap/>
            <w:vAlign w:val="center"/>
            <w:hideMark/>
          </w:tcPr>
          <w:p w14:paraId="1E56CA89" w14:textId="77777777" w:rsidR="00361870" w:rsidRPr="00E25A73" w:rsidRDefault="00361870" w:rsidP="00AD53CC">
            <w:pPr>
              <w:pStyle w:val="Tablewriting"/>
            </w:pPr>
          </w:p>
        </w:tc>
        <w:tc>
          <w:tcPr>
            <w:tcW w:w="2606" w:type="dxa"/>
            <w:tcBorders>
              <w:top w:val="nil"/>
              <w:left w:val="nil"/>
              <w:bottom w:val="single" w:sz="4" w:space="0" w:color="auto"/>
              <w:right w:val="single" w:sz="4" w:space="0" w:color="auto"/>
            </w:tcBorders>
            <w:shd w:val="clear" w:color="auto" w:fill="auto"/>
            <w:noWrap/>
            <w:vAlign w:val="bottom"/>
            <w:hideMark/>
          </w:tcPr>
          <w:p w14:paraId="02A4BF0B" w14:textId="77777777" w:rsidR="00361870" w:rsidRPr="00E25A73" w:rsidRDefault="00361870" w:rsidP="00AD53CC">
            <w:pPr>
              <w:pStyle w:val="Tablewriting"/>
            </w:pPr>
            <w:r w:rsidRPr="00E25A73">
              <w:t>93%</w:t>
            </w:r>
          </w:p>
        </w:tc>
        <w:tc>
          <w:tcPr>
            <w:tcW w:w="1755" w:type="dxa"/>
            <w:tcBorders>
              <w:top w:val="nil"/>
              <w:left w:val="nil"/>
              <w:bottom w:val="single" w:sz="4" w:space="0" w:color="auto"/>
              <w:right w:val="single" w:sz="4" w:space="0" w:color="auto"/>
            </w:tcBorders>
            <w:shd w:val="clear" w:color="auto" w:fill="auto"/>
            <w:noWrap/>
            <w:vAlign w:val="bottom"/>
            <w:hideMark/>
          </w:tcPr>
          <w:p w14:paraId="0541B13D" w14:textId="77777777" w:rsidR="00361870" w:rsidRPr="00E25A73" w:rsidRDefault="00361870" w:rsidP="00AD53CC">
            <w:pPr>
              <w:pStyle w:val="Tablewriting"/>
            </w:pPr>
            <w:r w:rsidRPr="00E25A73">
              <w:t>7%</w:t>
            </w:r>
          </w:p>
        </w:tc>
        <w:tc>
          <w:tcPr>
            <w:tcW w:w="3420" w:type="dxa"/>
            <w:tcBorders>
              <w:top w:val="single" w:sz="4" w:space="0" w:color="auto"/>
              <w:left w:val="nil"/>
              <w:bottom w:val="single" w:sz="4" w:space="0" w:color="auto"/>
              <w:right w:val="single" w:sz="4" w:space="0" w:color="auto"/>
            </w:tcBorders>
            <w:shd w:val="thinDiagStripe" w:color="FFFFFF" w:themeColor="background1" w:fill="D9D9D9" w:themeFill="background1" w:themeFillShade="D9"/>
            <w:noWrap/>
            <w:vAlign w:val="bottom"/>
            <w:hideMark/>
          </w:tcPr>
          <w:p w14:paraId="44391308" w14:textId="77777777" w:rsidR="00361870" w:rsidRPr="00E25A73" w:rsidRDefault="00361870" w:rsidP="00AD53CC">
            <w:pPr>
              <w:pStyle w:val="Tablewriting"/>
            </w:pPr>
            <w:r w:rsidRPr="00E25A73">
              <w:t> </w:t>
            </w:r>
          </w:p>
        </w:tc>
      </w:tr>
      <w:tr w:rsidR="00361870" w:rsidRPr="00361870" w14:paraId="0EA8B5B7" w14:textId="77777777" w:rsidTr="006E3C52">
        <w:trPr>
          <w:trHeight w:val="300"/>
        </w:trPr>
        <w:tc>
          <w:tcPr>
            <w:tcW w:w="1234" w:type="dxa"/>
            <w:vMerge w:val="restart"/>
            <w:tcBorders>
              <w:top w:val="nil"/>
              <w:left w:val="single" w:sz="4" w:space="0" w:color="auto"/>
              <w:right w:val="single" w:sz="4" w:space="0" w:color="auto"/>
            </w:tcBorders>
            <w:shd w:val="clear" w:color="auto" w:fill="auto"/>
            <w:noWrap/>
            <w:vAlign w:val="center"/>
            <w:hideMark/>
          </w:tcPr>
          <w:p w14:paraId="642ABDD6" w14:textId="77777777" w:rsidR="00361870" w:rsidRPr="00E25A73" w:rsidRDefault="00361870" w:rsidP="00AD53CC">
            <w:pPr>
              <w:pStyle w:val="Tablewriting"/>
            </w:pPr>
            <w:r w:rsidRPr="00E25A73">
              <w:t>Systemic (J01)</w:t>
            </w:r>
          </w:p>
          <w:p w14:paraId="56C1B6F9" w14:textId="77777777" w:rsidR="00361870" w:rsidRPr="00E25A73" w:rsidRDefault="00361870" w:rsidP="00AD53CC">
            <w:pPr>
              <w:pStyle w:val="Tablewriting"/>
            </w:pPr>
            <w:r w:rsidRPr="00E25A73">
              <w:t> </w:t>
            </w:r>
          </w:p>
        </w:tc>
        <w:tc>
          <w:tcPr>
            <w:tcW w:w="2606" w:type="dxa"/>
            <w:tcBorders>
              <w:top w:val="nil"/>
              <w:left w:val="nil"/>
              <w:bottom w:val="single" w:sz="4" w:space="0" w:color="auto"/>
              <w:right w:val="single" w:sz="4" w:space="0" w:color="auto"/>
            </w:tcBorders>
            <w:shd w:val="clear" w:color="auto" w:fill="auto"/>
            <w:noWrap/>
            <w:vAlign w:val="bottom"/>
            <w:hideMark/>
          </w:tcPr>
          <w:p w14:paraId="60954E70" w14:textId="6B644C46" w:rsidR="00361870" w:rsidRPr="00E25A73" w:rsidRDefault="00361870" w:rsidP="00AD53CC">
            <w:pPr>
              <w:pStyle w:val="Tablewriting"/>
            </w:pPr>
            <w:r w:rsidRPr="00E25A73">
              <w:t xml:space="preserve">26,475,068 </w:t>
            </w:r>
          </w:p>
        </w:tc>
        <w:tc>
          <w:tcPr>
            <w:tcW w:w="1755" w:type="dxa"/>
            <w:tcBorders>
              <w:top w:val="nil"/>
              <w:left w:val="nil"/>
              <w:bottom w:val="single" w:sz="4" w:space="0" w:color="auto"/>
              <w:right w:val="single" w:sz="4" w:space="0" w:color="auto"/>
            </w:tcBorders>
            <w:shd w:val="clear" w:color="auto" w:fill="auto"/>
            <w:noWrap/>
            <w:vAlign w:val="bottom"/>
            <w:hideMark/>
          </w:tcPr>
          <w:p w14:paraId="5AEF12AD" w14:textId="597832C6" w:rsidR="00361870" w:rsidRPr="00E25A73" w:rsidRDefault="00361870" w:rsidP="00AD53CC">
            <w:pPr>
              <w:pStyle w:val="Tablewriting"/>
            </w:pPr>
            <w:r w:rsidRPr="00E25A73">
              <w:t xml:space="preserve">1,298,435 </w:t>
            </w:r>
          </w:p>
        </w:tc>
        <w:tc>
          <w:tcPr>
            <w:tcW w:w="3420" w:type="dxa"/>
            <w:tcBorders>
              <w:top w:val="nil"/>
              <w:left w:val="nil"/>
              <w:bottom w:val="single" w:sz="4" w:space="0" w:color="auto"/>
              <w:right w:val="single" w:sz="4" w:space="0" w:color="auto"/>
            </w:tcBorders>
            <w:shd w:val="clear" w:color="auto" w:fill="auto"/>
            <w:noWrap/>
            <w:vAlign w:val="bottom"/>
            <w:hideMark/>
          </w:tcPr>
          <w:p w14:paraId="20AC5795" w14:textId="2CF03A69" w:rsidR="00361870" w:rsidRPr="00E25A73" w:rsidRDefault="00361870" w:rsidP="00AD53CC">
            <w:pPr>
              <w:pStyle w:val="Tablewriting"/>
            </w:pPr>
            <w:r w:rsidRPr="00E25A73">
              <w:t xml:space="preserve">27,773,503 </w:t>
            </w:r>
          </w:p>
        </w:tc>
      </w:tr>
      <w:tr w:rsidR="00361870" w:rsidRPr="00361870" w14:paraId="451AF7A5" w14:textId="77777777" w:rsidTr="006E3C52">
        <w:trPr>
          <w:trHeight w:val="300"/>
        </w:trPr>
        <w:tc>
          <w:tcPr>
            <w:tcW w:w="1234" w:type="dxa"/>
            <w:vMerge/>
            <w:tcBorders>
              <w:left w:val="single" w:sz="4" w:space="0" w:color="auto"/>
              <w:bottom w:val="single" w:sz="4" w:space="0" w:color="auto"/>
              <w:right w:val="single" w:sz="4" w:space="0" w:color="auto"/>
            </w:tcBorders>
            <w:shd w:val="clear" w:color="auto" w:fill="auto"/>
            <w:noWrap/>
            <w:vAlign w:val="center"/>
            <w:hideMark/>
          </w:tcPr>
          <w:p w14:paraId="794FE500" w14:textId="77777777" w:rsidR="00361870" w:rsidRPr="00E25A73" w:rsidRDefault="00361870" w:rsidP="00AD53CC">
            <w:pPr>
              <w:pStyle w:val="Tablewriting"/>
            </w:pPr>
          </w:p>
        </w:tc>
        <w:tc>
          <w:tcPr>
            <w:tcW w:w="2606" w:type="dxa"/>
            <w:tcBorders>
              <w:top w:val="nil"/>
              <w:left w:val="nil"/>
              <w:bottom w:val="single" w:sz="4" w:space="0" w:color="auto"/>
              <w:right w:val="single" w:sz="4" w:space="0" w:color="auto"/>
            </w:tcBorders>
            <w:shd w:val="clear" w:color="auto" w:fill="auto"/>
            <w:noWrap/>
            <w:vAlign w:val="bottom"/>
            <w:hideMark/>
          </w:tcPr>
          <w:p w14:paraId="091121B2" w14:textId="77777777" w:rsidR="00361870" w:rsidRPr="00E25A73" w:rsidRDefault="00361870" w:rsidP="00AD53CC">
            <w:pPr>
              <w:pStyle w:val="Tablewriting"/>
            </w:pPr>
            <w:r w:rsidRPr="00E25A73">
              <w:t>95%</w:t>
            </w:r>
          </w:p>
        </w:tc>
        <w:tc>
          <w:tcPr>
            <w:tcW w:w="1755" w:type="dxa"/>
            <w:tcBorders>
              <w:top w:val="nil"/>
              <w:left w:val="nil"/>
              <w:bottom w:val="single" w:sz="4" w:space="0" w:color="auto"/>
              <w:right w:val="single" w:sz="4" w:space="0" w:color="auto"/>
            </w:tcBorders>
            <w:shd w:val="clear" w:color="auto" w:fill="auto"/>
            <w:noWrap/>
            <w:vAlign w:val="bottom"/>
            <w:hideMark/>
          </w:tcPr>
          <w:p w14:paraId="71466455" w14:textId="77777777" w:rsidR="00361870" w:rsidRPr="00E25A73" w:rsidRDefault="00361870" w:rsidP="00AD53CC">
            <w:pPr>
              <w:pStyle w:val="Tablewriting"/>
            </w:pPr>
            <w:r w:rsidRPr="00E25A73">
              <w:t>5%</w:t>
            </w:r>
          </w:p>
        </w:tc>
        <w:tc>
          <w:tcPr>
            <w:tcW w:w="3420" w:type="dxa"/>
            <w:tcBorders>
              <w:top w:val="single" w:sz="4" w:space="0" w:color="auto"/>
              <w:left w:val="nil"/>
              <w:bottom w:val="single" w:sz="4" w:space="0" w:color="auto"/>
              <w:right w:val="single" w:sz="4" w:space="0" w:color="auto"/>
            </w:tcBorders>
            <w:shd w:val="thinDiagStripe" w:color="FFFFFF" w:themeColor="background1" w:fill="D9D9D9" w:themeFill="background1" w:themeFillShade="D9"/>
            <w:noWrap/>
            <w:vAlign w:val="bottom"/>
            <w:hideMark/>
          </w:tcPr>
          <w:p w14:paraId="3483F356" w14:textId="77777777" w:rsidR="00361870" w:rsidRPr="00E25A73" w:rsidRDefault="00361870" w:rsidP="00AD53CC">
            <w:pPr>
              <w:pStyle w:val="Tablewriting"/>
            </w:pPr>
            <w:r w:rsidRPr="00E25A73">
              <w:t> </w:t>
            </w:r>
          </w:p>
        </w:tc>
      </w:tr>
      <w:tr w:rsidR="00361870" w:rsidRPr="00361870" w14:paraId="6A3BF028" w14:textId="77777777" w:rsidTr="006E3C52">
        <w:trPr>
          <w:trHeight w:val="300"/>
        </w:trPr>
        <w:tc>
          <w:tcPr>
            <w:tcW w:w="1234" w:type="dxa"/>
            <w:vMerge w:val="restart"/>
            <w:tcBorders>
              <w:top w:val="nil"/>
              <w:left w:val="single" w:sz="4" w:space="0" w:color="auto"/>
              <w:right w:val="single" w:sz="4" w:space="0" w:color="auto"/>
            </w:tcBorders>
            <w:shd w:val="clear" w:color="auto" w:fill="auto"/>
            <w:noWrap/>
            <w:vAlign w:val="center"/>
            <w:hideMark/>
          </w:tcPr>
          <w:p w14:paraId="369B40C5" w14:textId="77777777" w:rsidR="00361870" w:rsidRPr="00E25A73" w:rsidRDefault="00361870" w:rsidP="00AD53CC">
            <w:pPr>
              <w:pStyle w:val="Tablewriting"/>
            </w:pPr>
            <w:r w:rsidRPr="00E25A73">
              <w:t>Non-systemic</w:t>
            </w:r>
          </w:p>
          <w:p w14:paraId="7D109882" w14:textId="77777777" w:rsidR="00361870" w:rsidRPr="00E25A73" w:rsidRDefault="00361870" w:rsidP="00AD53CC">
            <w:pPr>
              <w:pStyle w:val="Tablewriting"/>
            </w:pPr>
            <w:r w:rsidRPr="00E25A73">
              <w:t> </w:t>
            </w:r>
          </w:p>
        </w:tc>
        <w:tc>
          <w:tcPr>
            <w:tcW w:w="2606" w:type="dxa"/>
            <w:tcBorders>
              <w:top w:val="nil"/>
              <w:left w:val="nil"/>
              <w:bottom w:val="single" w:sz="4" w:space="0" w:color="auto"/>
              <w:right w:val="single" w:sz="4" w:space="0" w:color="auto"/>
            </w:tcBorders>
            <w:shd w:val="clear" w:color="auto" w:fill="auto"/>
            <w:noWrap/>
            <w:vAlign w:val="bottom"/>
            <w:hideMark/>
          </w:tcPr>
          <w:p w14:paraId="00B7B65B" w14:textId="77777777" w:rsidR="00361870" w:rsidRPr="00E25A73" w:rsidRDefault="00361870" w:rsidP="00AD53CC">
            <w:pPr>
              <w:pStyle w:val="Tablewriting"/>
            </w:pPr>
            <w:r w:rsidRPr="00E25A73">
              <w:t>2,812,104</w:t>
            </w:r>
          </w:p>
        </w:tc>
        <w:tc>
          <w:tcPr>
            <w:tcW w:w="1755" w:type="dxa"/>
            <w:tcBorders>
              <w:top w:val="nil"/>
              <w:left w:val="nil"/>
              <w:bottom w:val="single" w:sz="4" w:space="0" w:color="auto"/>
              <w:right w:val="single" w:sz="4" w:space="0" w:color="auto"/>
            </w:tcBorders>
            <w:shd w:val="clear" w:color="auto" w:fill="auto"/>
            <w:noWrap/>
            <w:vAlign w:val="bottom"/>
            <w:hideMark/>
          </w:tcPr>
          <w:p w14:paraId="22DB6F97" w14:textId="77777777" w:rsidR="00361870" w:rsidRPr="00E25A73" w:rsidRDefault="00361870" w:rsidP="00AD53CC">
            <w:pPr>
              <w:pStyle w:val="Tablewriting"/>
            </w:pPr>
            <w:r w:rsidRPr="00E25A73">
              <w:t>980,550</w:t>
            </w:r>
          </w:p>
        </w:tc>
        <w:tc>
          <w:tcPr>
            <w:tcW w:w="3420" w:type="dxa"/>
            <w:tcBorders>
              <w:top w:val="nil"/>
              <w:left w:val="nil"/>
              <w:bottom w:val="single" w:sz="4" w:space="0" w:color="auto"/>
              <w:right w:val="single" w:sz="4" w:space="0" w:color="auto"/>
            </w:tcBorders>
            <w:shd w:val="clear" w:color="auto" w:fill="auto"/>
            <w:noWrap/>
            <w:vAlign w:val="bottom"/>
            <w:hideMark/>
          </w:tcPr>
          <w:p w14:paraId="5754C5FA" w14:textId="77777777" w:rsidR="00361870" w:rsidRPr="00E25A73" w:rsidRDefault="00361870" w:rsidP="00AD53CC">
            <w:pPr>
              <w:pStyle w:val="Tablewriting"/>
            </w:pPr>
            <w:r w:rsidRPr="00E25A73">
              <w:t>3,792,654</w:t>
            </w:r>
          </w:p>
        </w:tc>
      </w:tr>
      <w:tr w:rsidR="00361870" w:rsidRPr="00361870" w14:paraId="36FDF88B" w14:textId="77777777" w:rsidTr="006E3C52">
        <w:trPr>
          <w:trHeight w:val="300"/>
        </w:trPr>
        <w:tc>
          <w:tcPr>
            <w:tcW w:w="1234" w:type="dxa"/>
            <w:vMerge/>
            <w:tcBorders>
              <w:left w:val="single" w:sz="4" w:space="0" w:color="auto"/>
              <w:bottom w:val="single" w:sz="4" w:space="0" w:color="auto"/>
              <w:right w:val="single" w:sz="4" w:space="0" w:color="auto"/>
            </w:tcBorders>
            <w:shd w:val="clear" w:color="auto" w:fill="auto"/>
            <w:noWrap/>
            <w:vAlign w:val="bottom"/>
            <w:hideMark/>
          </w:tcPr>
          <w:p w14:paraId="18791915" w14:textId="77777777" w:rsidR="00361870" w:rsidRPr="00E25A73" w:rsidRDefault="00361870" w:rsidP="00AD53CC">
            <w:pPr>
              <w:pStyle w:val="Tablewriting"/>
            </w:pPr>
          </w:p>
        </w:tc>
        <w:tc>
          <w:tcPr>
            <w:tcW w:w="2606" w:type="dxa"/>
            <w:tcBorders>
              <w:top w:val="nil"/>
              <w:left w:val="nil"/>
              <w:bottom w:val="single" w:sz="4" w:space="0" w:color="auto"/>
              <w:right w:val="single" w:sz="4" w:space="0" w:color="auto"/>
            </w:tcBorders>
            <w:shd w:val="clear" w:color="auto" w:fill="auto"/>
            <w:noWrap/>
            <w:vAlign w:val="bottom"/>
            <w:hideMark/>
          </w:tcPr>
          <w:p w14:paraId="78C3F957" w14:textId="77777777" w:rsidR="00361870" w:rsidRPr="00E25A73" w:rsidRDefault="00361870" w:rsidP="00AD53CC">
            <w:pPr>
              <w:pStyle w:val="Tablewriting"/>
            </w:pPr>
            <w:r w:rsidRPr="00E25A73">
              <w:t>74%</w:t>
            </w:r>
          </w:p>
        </w:tc>
        <w:tc>
          <w:tcPr>
            <w:tcW w:w="1755" w:type="dxa"/>
            <w:tcBorders>
              <w:top w:val="nil"/>
              <w:left w:val="nil"/>
              <w:bottom w:val="single" w:sz="4" w:space="0" w:color="auto"/>
              <w:right w:val="single" w:sz="4" w:space="0" w:color="auto"/>
            </w:tcBorders>
            <w:shd w:val="clear" w:color="auto" w:fill="auto"/>
            <w:noWrap/>
            <w:vAlign w:val="bottom"/>
            <w:hideMark/>
          </w:tcPr>
          <w:p w14:paraId="11418016" w14:textId="77777777" w:rsidR="00361870" w:rsidRPr="00E25A73" w:rsidRDefault="00361870" w:rsidP="00AD53CC">
            <w:pPr>
              <w:pStyle w:val="Tablewriting"/>
            </w:pPr>
            <w:r w:rsidRPr="00E25A73">
              <w:t>26%</w:t>
            </w:r>
          </w:p>
        </w:tc>
        <w:tc>
          <w:tcPr>
            <w:tcW w:w="3420" w:type="dxa"/>
            <w:tcBorders>
              <w:top w:val="single" w:sz="4" w:space="0" w:color="auto"/>
              <w:left w:val="nil"/>
              <w:bottom w:val="single" w:sz="4" w:space="0" w:color="auto"/>
              <w:right w:val="single" w:sz="4" w:space="0" w:color="auto"/>
            </w:tcBorders>
            <w:shd w:val="thinDiagStripe" w:color="FFFFFF" w:themeColor="background1" w:fill="D9D9D9" w:themeFill="background1" w:themeFillShade="D9"/>
            <w:noWrap/>
            <w:vAlign w:val="bottom"/>
            <w:hideMark/>
          </w:tcPr>
          <w:p w14:paraId="18DB7AAD" w14:textId="77777777" w:rsidR="00361870" w:rsidRPr="00E25A73" w:rsidRDefault="00361870" w:rsidP="00AD53CC">
            <w:pPr>
              <w:pStyle w:val="Tablewriting"/>
            </w:pPr>
            <w:r w:rsidRPr="00E25A73">
              <w:t> </w:t>
            </w:r>
          </w:p>
        </w:tc>
      </w:tr>
    </w:tbl>
    <w:p w14:paraId="4F8723A6" w14:textId="6B7F2F6E" w:rsidR="00736041" w:rsidRDefault="001B5D37" w:rsidP="00A430ED">
      <w:pPr>
        <w:pStyle w:val="Heading4"/>
      </w:pPr>
      <w:r w:rsidRPr="005E22C2">
        <w:t xml:space="preserve">Analysis </w:t>
      </w:r>
      <w:r w:rsidR="00481108" w:rsidRPr="005E22C2">
        <w:t xml:space="preserve">of </w:t>
      </w:r>
      <w:r w:rsidR="0063631C">
        <w:t>e</w:t>
      </w:r>
      <w:r w:rsidR="00736041" w:rsidRPr="005E22C2">
        <w:t>xpenditure</w:t>
      </w:r>
    </w:p>
    <w:p w14:paraId="748B3E98" w14:textId="77777777" w:rsidR="00411716" w:rsidRDefault="00411716" w:rsidP="00411716">
      <w:pPr>
        <w:rPr>
          <w:rFonts w:ascii="Calibri" w:eastAsia="Times New Roman" w:hAnsi="Calibri" w:cs="Times New Roman"/>
          <w:b/>
          <w:bCs/>
          <w:color w:val="000000"/>
          <w:sz w:val="22"/>
          <w:szCs w:val="22"/>
        </w:rPr>
      </w:pPr>
      <w:r w:rsidRPr="00BF2802">
        <w:t>In 2013, $116</w:t>
      </w:r>
      <w:r>
        <w:t>.5 million</w:t>
      </w:r>
      <w:r w:rsidRPr="00BF2802">
        <w:t xml:space="preserve"> in PBS/RPBS benefits was paid for antibiotics.</w:t>
      </w:r>
      <w:r>
        <w:rPr>
          <w:rFonts w:ascii="Calibri" w:eastAsia="Times New Roman" w:hAnsi="Calibri" w:cs="Times New Roman"/>
          <w:b/>
          <w:bCs/>
          <w:color w:val="000000"/>
          <w:sz w:val="22"/>
          <w:szCs w:val="22"/>
        </w:rPr>
        <w:t xml:space="preserve"> </w:t>
      </w:r>
    </w:p>
    <w:p w14:paraId="3FDCED78" w14:textId="1CB11ABD" w:rsidR="009E1B3A" w:rsidRDefault="009E1B3A" w:rsidP="009E1B3A">
      <w:pPr>
        <w:pStyle w:val="Heading3"/>
      </w:pPr>
      <w:r>
        <w:t>Discussion</w:t>
      </w:r>
    </w:p>
    <w:p w14:paraId="7C22EDC7" w14:textId="7E978535" w:rsidR="009E1B3A" w:rsidRPr="009E1B3A" w:rsidRDefault="009E1B3A" w:rsidP="009E1B3A">
      <w:r w:rsidRPr="009E1B3A">
        <w:t>The DUSC acknowledged that the PBS data are limited by not including the indication for which the antibiotic is prescribed, and cannot provide direct information on the appropriateness of prescribing or on the contribution to antimicrobial resistance.</w:t>
      </w:r>
      <w:r w:rsidR="00751FE9">
        <w:t xml:space="preserve"> </w:t>
      </w:r>
      <w:r w:rsidRPr="009E1B3A">
        <w:t>However, the DUSC considered that community antibiotic supply is extensive, high relative to other OECD nations, and increasing in recent years.</w:t>
      </w:r>
      <w:r w:rsidR="00751FE9">
        <w:t xml:space="preserve"> </w:t>
      </w:r>
    </w:p>
    <w:p w14:paraId="6308F396" w14:textId="77777777" w:rsidR="009E1B3A" w:rsidRDefault="009E1B3A" w:rsidP="009E1B3A">
      <w:r w:rsidRPr="009E1B3A">
        <w:t xml:space="preserve">The DUSC considered that a DDD of 22.8/1000/day was particularly high given that in-patient hospital use of antibiotics and private community prescriptions were excluded from the analysis, and therefore that the true extent of use in Australia would be higher than this. The DUSC considered that the high use of broad and moderate spectrum penicillins and </w:t>
      </w:r>
      <w:proofErr w:type="spellStart"/>
      <w:r w:rsidRPr="009E1B3A">
        <w:t>cephalosporins</w:t>
      </w:r>
      <w:proofErr w:type="spellEnd"/>
      <w:r w:rsidRPr="009E1B3A">
        <w:t xml:space="preserve">, in the context of overall high use of antibiotics, may be a factor contributing to the development of antimicrobial resistance. </w:t>
      </w:r>
    </w:p>
    <w:p w14:paraId="050FE47B" w14:textId="77777777" w:rsidR="003347BF" w:rsidRDefault="003347BF" w:rsidP="003347BF">
      <w:r w:rsidRPr="009E1B3A">
        <w:lastRenderedPageBreak/>
        <w:t>The DUSC noted the trend in antibiotic use over the time period 1994 to 2013; and noted the slow decline in use to 2003, followed by an increase in use in 2007-2008, with little to no change in levels of use since 2009. While the DUSC did not have an immediate explanation for this trend, the DUSC considered that antibiotic utilisation may be influenced by peak influenza years, national surveillance programs, national education programs and changes to</w:t>
      </w:r>
      <w:r>
        <w:t xml:space="preserve"> the</w:t>
      </w:r>
      <w:r w:rsidRPr="009E1B3A">
        <w:t xml:space="preserve"> therapeutic guidelines.</w:t>
      </w:r>
    </w:p>
    <w:p w14:paraId="7F7BC3E1" w14:textId="77777777" w:rsidR="00927BA5" w:rsidRDefault="00751D57" w:rsidP="00927BA5">
      <w:r w:rsidRPr="0042049E">
        <w:t xml:space="preserve">Repeats were ordered on the majority of prescriptions for cephalexin, amoxycillin with </w:t>
      </w:r>
      <w:proofErr w:type="spellStart"/>
      <w:r w:rsidRPr="0042049E">
        <w:t>clavulanic</w:t>
      </w:r>
      <w:proofErr w:type="spellEnd"/>
      <w:r w:rsidRPr="0042049E">
        <w:t xml:space="preserve"> acid and </w:t>
      </w:r>
      <w:proofErr w:type="spellStart"/>
      <w:r w:rsidRPr="0042049E">
        <w:t>roxithromycin</w:t>
      </w:r>
      <w:proofErr w:type="spellEnd"/>
      <w:r w:rsidRPr="0042049E">
        <w:t>. Repeats were written on 40% of amoxycillin original prescriptions</w:t>
      </w:r>
      <w:r w:rsidR="00047B2E">
        <w:t xml:space="preserve">. However, </w:t>
      </w:r>
      <w:r w:rsidR="00927BA5">
        <w:t>w</w:t>
      </w:r>
      <w:r w:rsidR="00927BA5" w:rsidRPr="009E1B3A">
        <w:t>here repeats were ordered for the selected oral antibiotics, the repeat was filled on approximately 20% of occasions.</w:t>
      </w:r>
      <w:r w:rsidR="00927BA5">
        <w:t xml:space="preserve"> </w:t>
      </w:r>
      <w:r w:rsidR="00927BA5" w:rsidRPr="009E1B3A">
        <w:t xml:space="preserve"> It is unknown whether this is due to patient non-compliance with the prescriber’s instructions or whether the prescriber intended the repeat only to be filled under specific circumstances communicated to the patient; e.g. only get the repeat if you are not feeling better after seven days. </w:t>
      </w:r>
    </w:p>
    <w:p w14:paraId="518CFC9D" w14:textId="4E48BA87" w:rsidR="00927BA5" w:rsidRPr="009E1B3A" w:rsidRDefault="0087262C" w:rsidP="00927BA5">
      <w:r w:rsidRPr="009E1B3A">
        <w:t xml:space="preserve">One of the primary concerns identified by the DUSC is the repeat dispensing of antibiotics beyond what is considered a reasonable time to be the same course of treatment. </w:t>
      </w:r>
      <w:r w:rsidR="00927BA5" w:rsidRPr="009E1B3A">
        <w:t>The DUSC acknowledge that while the 10-20% of first repeats being supplied more than 60 days after the original prescription may be indicative of inappropriate use, the reason for repeat supply cannot be confirmed from the data.</w:t>
      </w:r>
    </w:p>
    <w:p w14:paraId="488BEA07" w14:textId="7268C39B" w:rsidR="00927BA5" w:rsidRDefault="0087262C" w:rsidP="00927BA5">
      <w:r w:rsidRPr="0087262C">
        <w:t xml:space="preserve">Given that doses and durations vary across (and sometimes within) indications, it is difficult to align the PBS maximum quantity and repeats with recommended clinical practice for appropriate antibiotic prescribing. For example, there are a number of indications for which repeat prescriptions of amoxycillin, cephalexin and </w:t>
      </w:r>
      <w:proofErr w:type="spellStart"/>
      <w:r w:rsidRPr="0087262C">
        <w:t>roxithromycin</w:t>
      </w:r>
      <w:proofErr w:type="spellEnd"/>
      <w:r w:rsidRPr="0087262C">
        <w:t xml:space="preserve"> would be required in order to fulfil the recommended treatment course. The Therapeutic Guidelines</w:t>
      </w:r>
      <w:r w:rsidRPr="0087262C">
        <w:rPr>
          <w:rStyle w:val="FootnoteReference"/>
        </w:rPr>
        <w:footnoteReference w:id="14"/>
      </w:r>
      <w:r w:rsidRPr="0087262C">
        <w:t xml:space="preserve"> show the variability in treatment duration for some indications, which mean repeats would be required in some but not all cases even within the same indication; e.g. for the treatment of cellulitis, 500 mg of cephalexin may be given orally four times a day for five to 10 days, indicating that a range of 20 to 40 capsules may be required depending on the duration of therapy in each particular case. </w:t>
      </w:r>
      <w:r w:rsidR="00927BA5" w:rsidRPr="0087262C">
        <w:t xml:space="preserve">The DUSC discussed whether there should be a separate listing for specific indications where therapeutic guidelines recommend longer treatment. </w:t>
      </w:r>
    </w:p>
    <w:p w14:paraId="0426E981" w14:textId="77777777" w:rsidR="0087262C" w:rsidRDefault="009E1B3A" w:rsidP="0087262C">
      <w:r w:rsidRPr="009E1B3A">
        <w:t xml:space="preserve">The DUSC suggested seeking changes to medical prescribing software such that the default </w:t>
      </w:r>
      <w:r w:rsidR="0092748B">
        <w:t>for antibiotics is zero repeats</w:t>
      </w:r>
      <w:r w:rsidRPr="009E1B3A">
        <w:t xml:space="preserve">. However, the DUSC noted research which shows an education intervention advising doctors about changing their default computer settings did </w:t>
      </w:r>
      <w:r w:rsidRPr="009E1B3A">
        <w:lastRenderedPageBreak/>
        <w:t>not significantly alter the proportion of repeats ordered on computerised versus written prescriptions.</w:t>
      </w:r>
      <w:r w:rsidRPr="009E1B3A">
        <w:rPr>
          <w:rStyle w:val="FootnoteReference"/>
          <w:sz w:val="22"/>
          <w:szCs w:val="22"/>
        </w:rPr>
        <w:footnoteReference w:id="15"/>
      </w:r>
      <w:r w:rsidR="00751FE9">
        <w:t xml:space="preserve"> </w:t>
      </w:r>
      <w:r w:rsidRPr="009E1B3A">
        <w:t xml:space="preserve"> </w:t>
      </w:r>
    </w:p>
    <w:p w14:paraId="19B58E1F" w14:textId="621D5BDB" w:rsidR="0087262C" w:rsidRDefault="009E1B3A" w:rsidP="009E1B3A">
      <w:r w:rsidRPr="009E1B3A">
        <w:t xml:space="preserve">The DUSC discussed an alternate approach of removing repeats from the listings for all oral antibiotics. </w:t>
      </w:r>
      <w:r w:rsidR="0087262C" w:rsidRPr="0087262C">
        <w:t xml:space="preserve">In considering whether repeats are required on antibiotic prescriptions, </w:t>
      </w:r>
      <w:r w:rsidR="000B4135">
        <w:t xml:space="preserve">the </w:t>
      </w:r>
      <w:r w:rsidR="0087262C" w:rsidRPr="0087262C">
        <w:t xml:space="preserve">DUSC considered that regard should be given to </w:t>
      </w:r>
      <w:proofErr w:type="spellStart"/>
      <w:r w:rsidR="0087262C" w:rsidRPr="0087262C">
        <w:t>thos</w:t>
      </w:r>
      <w:proofErr w:type="gramStart"/>
      <w:r w:rsidR="00861B5F">
        <w:t>;</w:t>
      </w:r>
      <w:r w:rsidR="0087262C" w:rsidRPr="0087262C">
        <w:t>e</w:t>
      </w:r>
      <w:proofErr w:type="spellEnd"/>
      <w:proofErr w:type="gramEnd"/>
      <w:r w:rsidR="0087262C" w:rsidRPr="0087262C">
        <w:t xml:space="preserve"> indications for which the current maximum quantity is not sufficient to fulfil the recommended course of treatment. The DUSC acknowledged that repeats could still be ordered by a clinician through the authority process. The DUSC noted the potential impact on the DHS administrative burden associated with changing antibiotics to authority listings. </w:t>
      </w:r>
      <w:r w:rsidRPr="00492FD2">
        <w:t>The DUSC suggested performing an analysis of the quantitative impact of removing repeats on oral antibiotics.</w:t>
      </w:r>
      <w:r w:rsidRPr="009E1B3A">
        <w:t xml:space="preserve"> </w:t>
      </w:r>
    </w:p>
    <w:p w14:paraId="7E0AF024" w14:textId="6519EB37" w:rsidR="009E1B3A" w:rsidRPr="0087262C" w:rsidRDefault="009E1B3A" w:rsidP="009E1B3A">
      <w:pPr>
        <w:rPr>
          <w:highlight w:val="yellow"/>
        </w:rPr>
      </w:pPr>
      <w:r w:rsidRPr="009E1B3A">
        <w:t xml:space="preserve">The DUSC also considered that reducing the number of months that a prescription for an antibiotic remains valid might be a way of reducing inappropriate use. However, the DUSC noted that changes to the life of a PBS prescription would influence the expiry for subsidy only; and prescriptions would still be considered valid under state and territory law. </w:t>
      </w:r>
      <w:r w:rsidR="00636B5C" w:rsidRPr="009E1B3A">
        <w:t>Therefore, the DUSC noted that any changes would require consultation with these jurisdictions.</w:t>
      </w:r>
    </w:p>
    <w:p w14:paraId="611A5405" w14:textId="77777777" w:rsidR="00636B5C" w:rsidRPr="009E1B3A" w:rsidRDefault="00636B5C" w:rsidP="00636B5C">
      <w:r w:rsidRPr="009E1B3A">
        <w:t xml:space="preserve">The DUSC considered that there was high, and therefore some potentially inappropriate, use of amoxycillin plus </w:t>
      </w:r>
      <w:proofErr w:type="spellStart"/>
      <w:r w:rsidRPr="009E1B3A">
        <w:t>clavulanic</w:t>
      </w:r>
      <w:proofErr w:type="spellEnd"/>
      <w:r w:rsidRPr="009E1B3A">
        <w:t xml:space="preserve"> acid, particularly since the restriction limits use to patients where resistance to amoxycillin is suspected or proven. The DUSC noted that of the patients supplied with amoxycillin plus </w:t>
      </w:r>
      <w:proofErr w:type="spellStart"/>
      <w:r w:rsidRPr="009E1B3A">
        <w:t>clavulanic</w:t>
      </w:r>
      <w:proofErr w:type="spellEnd"/>
      <w:r w:rsidRPr="009E1B3A">
        <w:t xml:space="preserve"> acid, that in the year 2013 only 6% had been supplied with a prior script for amoxycillin in the previous month, but noted that resistance can be suspected or proven by other means. The DUSC discussed whether requesting the PBAC to consider further restricting amoxycillin plus </w:t>
      </w:r>
      <w:proofErr w:type="spellStart"/>
      <w:r w:rsidRPr="009E1B3A">
        <w:t>clavulanic</w:t>
      </w:r>
      <w:proofErr w:type="spellEnd"/>
      <w:r w:rsidRPr="009E1B3A">
        <w:t xml:space="preserve"> acid to an authority required listing would help to reduce inappropriate use; but noted that previous action targeting clinician prescribing behaviour for amoxycillin with </w:t>
      </w:r>
      <w:proofErr w:type="spellStart"/>
      <w:r w:rsidRPr="009E1B3A">
        <w:t>clavulanic</w:t>
      </w:r>
      <w:proofErr w:type="spellEnd"/>
      <w:r w:rsidRPr="009E1B3A">
        <w:t xml:space="preserve"> acid resulted in unintended consequences of a shift away from best-practice prescribing, increased costs to the government and a trend toward poorer patient outcomes.</w:t>
      </w:r>
      <w:r w:rsidRPr="009E1B3A">
        <w:rPr>
          <w:vertAlign w:val="superscript"/>
        </w:rPr>
        <w:footnoteReference w:id="16"/>
      </w:r>
      <w:r w:rsidRPr="009E1B3A">
        <w:t xml:space="preserve"> </w:t>
      </w:r>
    </w:p>
    <w:p w14:paraId="04AB9CED" w14:textId="0422E0D9" w:rsidR="009E1B3A" w:rsidRPr="009E1B3A" w:rsidRDefault="009E1B3A" w:rsidP="009E1B3A">
      <w:r w:rsidRPr="009E1B3A">
        <w:t>The DUSC request</w:t>
      </w:r>
      <w:r w:rsidR="00636B5C">
        <w:t>ed</w:t>
      </w:r>
      <w:r w:rsidRPr="009E1B3A">
        <w:t xml:space="preserve"> an analysis of the impact of biological disease modifying anti-rheumatic drugs (</w:t>
      </w:r>
      <w:proofErr w:type="spellStart"/>
      <w:r w:rsidRPr="009E1B3A">
        <w:t>bDMARDs</w:t>
      </w:r>
      <w:proofErr w:type="spellEnd"/>
      <w:r w:rsidRPr="009E1B3A">
        <w:t>) on the prescription of antibiotics.</w:t>
      </w:r>
      <w:r w:rsidR="00751FE9">
        <w:t xml:space="preserve"> </w:t>
      </w:r>
      <w:r w:rsidRPr="009E1B3A">
        <w:t xml:space="preserve">This would quantify if infections from </w:t>
      </w:r>
      <w:proofErr w:type="spellStart"/>
      <w:r w:rsidRPr="009E1B3A">
        <w:t>bDMARDs</w:t>
      </w:r>
      <w:proofErr w:type="spellEnd"/>
      <w:r w:rsidRPr="009E1B3A">
        <w:t xml:space="preserve"> are contributing to the increasing use of antibiotics</w:t>
      </w:r>
      <w:r w:rsidR="00060E6B">
        <w:t xml:space="preserve">. </w:t>
      </w:r>
    </w:p>
    <w:p w14:paraId="69C0DE44" w14:textId="77777777" w:rsidR="008F495D" w:rsidRDefault="008F495D">
      <w:pPr>
        <w:spacing w:before="0" w:after="200" w:line="276" w:lineRule="auto"/>
        <w:rPr>
          <w:rFonts w:eastAsiaTheme="majorEastAsia" w:cstheme="majorBidi"/>
          <w:b/>
          <w:bCs/>
          <w:sz w:val="32"/>
          <w:szCs w:val="32"/>
        </w:rPr>
      </w:pPr>
      <w:r>
        <w:br w:type="page"/>
      </w:r>
    </w:p>
    <w:p w14:paraId="3A74B465" w14:textId="32470613" w:rsidR="007346C7" w:rsidRDefault="00957837" w:rsidP="00A430ED">
      <w:pPr>
        <w:pStyle w:val="Heading3"/>
      </w:pPr>
      <w:r>
        <w:lastRenderedPageBreak/>
        <w:t>DUSC actions</w:t>
      </w:r>
    </w:p>
    <w:p w14:paraId="10B78875" w14:textId="77777777" w:rsidR="0099142C" w:rsidRPr="0099142C" w:rsidRDefault="0099142C" w:rsidP="000409B2">
      <w:pPr>
        <w:pStyle w:val="dotpoint"/>
      </w:pPr>
      <w:r w:rsidRPr="0099142C">
        <w:t>The DUSC requested that the report be provided to the PBAC. The DUSC recommended that the PBAC consider options for reducing inappropriate delays in the dispensing of repeat prescriptions for antibiotics, including the following:</w:t>
      </w:r>
    </w:p>
    <w:p w14:paraId="6BFAA34E" w14:textId="77777777" w:rsidR="0099142C" w:rsidRPr="0099142C" w:rsidRDefault="0099142C" w:rsidP="009E1B3A">
      <w:pPr>
        <w:pStyle w:val="dotpoint"/>
        <w:numPr>
          <w:ilvl w:val="1"/>
          <w:numId w:val="7"/>
        </w:numPr>
      </w:pPr>
      <w:r w:rsidRPr="0099142C">
        <w:t>Investigating changes to medical prescribing software defaults for the number of repeats on antibiotic prescriptions.</w:t>
      </w:r>
    </w:p>
    <w:p w14:paraId="0957C706" w14:textId="77777777" w:rsidR="0099142C" w:rsidRPr="0099142C" w:rsidRDefault="0099142C" w:rsidP="009E1B3A">
      <w:pPr>
        <w:pStyle w:val="dotpoint"/>
        <w:numPr>
          <w:ilvl w:val="1"/>
          <w:numId w:val="7"/>
        </w:numPr>
      </w:pPr>
      <w:r w:rsidRPr="0099142C">
        <w:t>Removing repeats from oral antibiotic listings.</w:t>
      </w:r>
    </w:p>
    <w:p w14:paraId="077AE303" w14:textId="77777777" w:rsidR="0099142C" w:rsidRPr="0099142C" w:rsidRDefault="0099142C" w:rsidP="009E1B3A">
      <w:pPr>
        <w:pStyle w:val="dotpoint"/>
        <w:numPr>
          <w:ilvl w:val="1"/>
          <w:numId w:val="7"/>
        </w:numPr>
      </w:pPr>
      <w:r w:rsidRPr="0099142C">
        <w:t>Reducing the validity of oral antibiotic prescriptions to less than 12 months.</w:t>
      </w:r>
    </w:p>
    <w:p w14:paraId="1063958D" w14:textId="77777777" w:rsidR="0099142C" w:rsidRPr="0099142C" w:rsidRDefault="0099142C" w:rsidP="009E1B3A">
      <w:pPr>
        <w:pStyle w:val="dotpoint"/>
        <w:numPr>
          <w:ilvl w:val="1"/>
          <w:numId w:val="7"/>
        </w:numPr>
      </w:pPr>
      <w:r w:rsidRPr="0099142C">
        <w:t>Introducing separate listings for specific indications that require higher quantities to meet the recommended treatment course.</w:t>
      </w:r>
    </w:p>
    <w:p w14:paraId="576D032F" w14:textId="77777777" w:rsidR="0099142C" w:rsidRDefault="0099142C" w:rsidP="000409B2">
      <w:pPr>
        <w:pStyle w:val="dotpoint"/>
      </w:pPr>
      <w:r w:rsidRPr="0099142C">
        <w:t>The DUSC requested that the report be forwarded to the Secretariat of the post-market review of Authority Required PBS listings.</w:t>
      </w:r>
    </w:p>
    <w:p w14:paraId="0C200E6D" w14:textId="6E68BE99" w:rsidR="0099142C" w:rsidRPr="0099142C" w:rsidRDefault="0092748B" w:rsidP="000409B2">
      <w:pPr>
        <w:pStyle w:val="dotpoint"/>
      </w:pPr>
      <w:r w:rsidRPr="00411716">
        <w:t xml:space="preserve">The DUSC recommended superimposing peak influenza years, national surveillance programs and national education programs onto an overall utilisation graph and looking for any trends or points of impact that may have affected the utilisation of antibiotics over time. </w:t>
      </w:r>
      <w:r w:rsidR="0099142C" w:rsidRPr="0099142C">
        <w:t>The DUSC</w:t>
      </w:r>
      <w:r w:rsidR="006244CF">
        <w:t xml:space="preserve"> also</w:t>
      </w:r>
      <w:r w:rsidR="0099142C" w:rsidRPr="0099142C">
        <w:t xml:space="preserve"> requested an analysis of the impact of </w:t>
      </w:r>
      <w:proofErr w:type="spellStart"/>
      <w:r w:rsidR="0099142C" w:rsidRPr="0099142C">
        <w:t>bDMARDs</w:t>
      </w:r>
      <w:proofErr w:type="spellEnd"/>
      <w:r w:rsidR="0099142C" w:rsidRPr="0099142C">
        <w:t xml:space="preserve"> on th</w:t>
      </w:r>
      <w:r w:rsidR="009E1B3A">
        <w:t>e prescription of antibiotics to</w:t>
      </w:r>
      <w:r w:rsidR="0099142C" w:rsidRPr="0099142C">
        <w:t xml:space="preserve"> quantify if infections from </w:t>
      </w:r>
      <w:proofErr w:type="spellStart"/>
      <w:r w:rsidR="0099142C" w:rsidRPr="0099142C">
        <w:t>bDMARDs</w:t>
      </w:r>
      <w:proofErr w:type="spellEnd"/>
      <w:r w:rsidR="0099142C" w:rsidRPr="0099142C">
        <w:t xml:space="preserve"> are contributing to the increasing use of antibiotics.</w:t>
      </w:r>
      <w:r w:rsidR="00751FE9">
        <w:t xml:space="preserve"> </w:t>
      </w:r>
    </w:p>
    <w:p w14:paraId="75A03124" w14:textId="77777777" w:rsidR="001B50CA" w:rsidRPr="0092516A" w:rsidRDefault="001B50CA" w:rsidP="00A430ED">
      <w:pPr>
        <w:pStyle w:val="Heading3"/>
      </w:pPr>
      <w:r w:rsidRPr="0092516A">
        <w:t>Context for analysis</w:t>
      </w:r>
    </w:p>
    <w:p w14:paraId="1D8A2B2A" w14:textId="77777777" w:rsidR="001B50CA" w:rsidRPr="00241E48" w:rsidRDefault="001B50CA" w:rsidP="001B50CA">
      <w:pPr>
        <w:spacing w:after="240"/>
        <w:rPr>
          <w:rFonts w:eastAsiaTheme="majorEastAsia" w:cstheme="majorBidi"/>
          <w:bCs/>
        </w:rPr>
      </w:pPr>
      <w:r w:rsidRPr="00241E48">
        <w:rPr>
          <w:rFonts w:eastAsiaTheme="majorEastAsia" w:cstheme="majorBidi"/>
          <w:bCs/>
        </w:rPr>
        <w:t>The DUSC is a Sub Committee of the Pharmaceutical Benefits Advisory Committee (PBAC). The DUSC assesses estimates on projected usage an</w:t>
      </w:r>
      <w:r>
        <w:rPr>
          <w:rFonts w:eastAsiaTheme="majorEastAsia" w:cstheme="majorBidi"/>
          <w:bCs/>
        </w:rPr>
        <w:t>d financial cost of medicines.</w:t>
      </w:r>
    </w:p>
    <w:p w14:paraId="58A6B21D" w14:textId="77777777" w:rsidR="001B50CA" w:rsidRPr="00241E48" w:rsidRDefault="001B50CA" w:rsidP="001B50CA">
      <w:pPr>
        <w:spacing w:after="240"/>
        <w:rPr>
          <w:rFonts w:eastAsiaTheme="majorEastAsia" w:cstheme="majorBidi"/>
          <w:bCs/>
        </w:rPr>
      </w:pPr>
      <w:r w:rsidRPr="00241E48">
        <w:rPr>
          <w:rFonts w:eastAsiaTheme="majorEastAsia" w:cstheme="majorBidi"/>
          <w:bCs/>
        </w:rP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14:paraId="0E0BE3CC" w14:textId="77777777" w:rsidR="001B50CA" w:rsidRDefault="001B50CA" w:rsidP="001B50CA">
      <w:pPr>
        <w:spacing w:after="240"/>
        <w:rPr>
          <w:rFonts w:eastAsiaTheme="majorEastAsia" w:cstheme="majorBidi"/>
          <w:bCs/>
        </w:rPr>
      </w:pPr>
      <w:r w:rsidRPr="00241E48">
        <w:rPr>
          <w:rFonts w:eastAsiaTheme="majorEastAsia" w:cstheme="majorBidi"/>
          <w:bCs/>
        </w:rPr>
        <w:t>The DUSC operates in accordance with the quality use of medicines objective of the National Medicines Policy and considers that the DUSC utilisation analyses will assist consumers and health professionals to better understand the costs, benefits and risks of medicines.</w:t>
      </w:r>
    </w:p>
    <w:p w14:paraId="32A85FF2" w14:textId="77777777" w:rsidR="00C75822" w:rsidRDefault="00C75822" w:rsidP="00C75822">
      <w:pPr>
        <w:spacing w:after="0"/>
        <w:rPr>
          <w:rFonts w:eastAsiaTheme="majorEastAsia" w:cstheme="majorBidi"/>
          <w:bCs/>
        </w:rPr>
      </w:pPr>
      <w:r>
        <w:rPr>
          <w:rFonts w:eastAsiaTheme="majorEastAsia" w:cstheme="majorBidi"/>
          <w:bCs/>
        </w:rPr>
        <w:lastRenderedPageBreak/>
        <w:t xml:space="preserve">The </w:t>
      </w:r>
      <w:r w:rsidRPr="00CB5441">
        <w:rPr>
          <w:rFonts w:eastAsiaTheme="majorEastAsia" w:cstheme="majorBidi"/>
          <w:bCs/>
        </w:rPr>
        <w:t xml:space="preserve">utilisation </w:t>
      </w:r>
      <w:r>
        <w:rPr>
          <w:rFonts w:eastAsiaTheme="majorEastAsia" w:cstheme="majorBidi"/>
          <w:bCs/>
        </w:rPr>
        <w:t>analysis report was</w:t>
      </w:r>
      <w:r w:rsidRPr="00CB5441">
        <w:rPr>
          <w:rFonts w:eastAsiaTheme="majorEastAsia" w:cstheme="majorBidi"/>
          <w:bCs/>
        </w:rPr>
        <w:t xml:space="preserve"> provided to the pharmaceutical sponsors of each d</w:t>
      </w:r>
      <w:r>
        <w:rPr>
          <w:rFonts w:eastAsiaTheme="majorEastAsia" w:cstheme="majorBidi"/>
          <w:bCs/>
        </w:rPr>
        <w:t xml:space="preserve">rug and comments on the report </w:t>
      </w:r>
      <w:r w:rsidRPr="00CB5441">
        <w:rPr>
          <w:rFonts w:eastAsiaTheme="majorEastAsia" w:cstheme="majorBidi"/>
          <w:bCs/>
        </w:rPr>
        <w:t>were provided to DUSC</w:t>
      </w:r>
      <w:r>
        <w:rPr>
          <w:rFonts w:eastAsiaTheme="majorEastAsia" w:cstheme="majorBidi"/>
          <w:bCs/>
        </w:rPr>
        <w:t xml:space="preserve"> prior to its consideration of the analysis.</w:t>
      </w:r>
    </w:p>
    <w:p w14:paraId="0ED289F0" w14:textId="77777777" w:rsidR="00AF7E68" w:rsidRDefault="00AF7E68" w:rsidP="00AF7E68">
      <w:pPr>
        <w:pStyle w:val="Heading2"/>
      </w:pPr>
      <w:r>
        <w:t>Sponsors’ comments</w:t>
      </w:r>
    </w:p>
    <w:p w14:paraId="3E02798E" w14:textId="77777777" w:rsidR="00AF7E68" w:rsidRDefault="00AF7E68" w:rsidP="00AF7E68">
      <w:r>
        <w:t xml:space="preserve">Abbott Australasia Pty Ltd, </w:t>
      </w:r>
      <w:proofErr w:type="spellStart"/>
      <w:r>
        <w:t>Actavis</w:t>
      </w:r>
      <w:proofErr w:type="spellEnd"/>
      <w:r>
        <w:t xml:space="preserve"> Pty Ltd, AFT Pharmaceuticals Pty Ltd, Alcon Laboratories (Australia) Pty Ltd, Allergan Australia Pty Limited, </w:t>
      </w:r>
      <w:proofErr w:type="spellStart"/>
      <w:r>
        <w:t>Alphapharm</w:t>
      </w:r>
      <w:proofErr w:type="spellEnd"/>
      <w:r>
        <w:t xml:space="preserve"> Pty Ltd, </w:t>
      </w:r>
      <w:proofErr w:type="spellStart"/>
      <w:r>
        <w:t>Apotex</w:t>
      </w:r>
      <w:proofErr w:type="spellEnd"/>
      <w:r>
        <w:t xml:space="preserve"> Pty Ltd, Aspen Pharma Pty Ltd, Aspen </w:t>
      </w:r>
      <w:proofErr w:type="spellStart"/>
      <w:r>
        <w:t>Pharmacare</w:t>
      </w:r>
      <w:proofErr w:type="spellEnd"/>
      <w:r>
        <w:t xml:space="preserve"> Australia Pty Limited, AstraZeneca Pty Ltd, </w:t>
      </w:r>
      <w:proofErr w:type="spellStart"/>
      <w:r>
        <w:t>Aurobindo</w:t>
      </w:r>
      <w:proofErr w:type="spellEnd"/>
      <w:r>
        <w:t xml:space="preserve"> Pharma (Australia) Pty Limited, Baxter Healthcare Pty Limited, Bayer Australia Ltd, </w:t>
      </w:r>
      <w:proofErr w:type="spellStart"/>
      <w:r>
        <w:t>bioCSL</w:t>
      </w:r>
      <w:proofErr w:type="spellEnd"/>
      <w:r>
        <w:t xml:space="preserve"> (Australia) Pty Ltd, Dr Reddy's Laboratories (Australia) Pty Ltd, Fawns and </w:t>
      </w:r>
      <w:proofErr w:type="spellStart"/>
      <w:r>
        <w:t>McAllan</w:t>
      </w:r>
      <w:proofErr w:type="spellEnd"/>
      <w:r>
        <w:t xml:space="preserve"> Proprietary Limited, Generic Health Pty Ltd, GlaxoSmithKline Australia Pty Ltd, </w:t>
      </w:r>
      <w:proofErr w:type="spellStart"/>
      <w:r>
        <w:t>Hospira</w:t>
      </w:r>
      <w:proofErr w:type="spellEnd"/>
      <w:r>
        <w:t xml:space="preserve"> Pty Limited, </w:t>
      </w:r>
      <w:proofErr w:type="spellStart"/>
      <w:r>
        <w:t>iNova</w:t>
      </w:r>
      <w:proofErr w:type="spellEnd"/>
      <w:r>
        <w:t xml:space="preserve"> Pharmaceuticals (Australia) Pty Limited, Link Medical Products Pty Ltd, Mayne Pharma International Pty Ltd, Mayne Products Pty Ltd, </w:t>
      </w:r>
      <w:proofErr w:type="spellStart"/>
      <w:r>
        <w:t>Norac</w:t>
      </w:r>
      <w:proofErr w:type="spellEnd"/>
      <w:r>
        <w:t xml:space="preserve"> Pharma Australia Pty Ltd, </w:t>
      </w:r>
      <w:proofErr w:type="spellStart"/>
      <w:r>
        <w:t>Norgine</w:t>
      </w:r>
      <w:proofErr w:type="spellEnd"/>
      <w:r>
        <w:t xml:space="preserve"> Pty Limited, Novartis Pharmaceuticals Australia Pty Limited, </w:t>
      </w:r>
      <w:proofErr w:type="spellStart"/>
      <w:r>
        <w:t>Omegapharm</w:t>
      </w:r>
      <w:proofErr w:type="spellEnd"/>
      <w:r>
        <w:t xml:space="preserve"> Pty Ltd, Petrus Pharmaceuticals Pty Ltd, Pfizer Australia Pty Ltd, </w:t>
      </w:r>
      <w:proofErr w:type="spellStart"/>
      <w:r>
        <w:t>Pharmacor</w:t>
      </w:r>
      <w:proofErr w:type="spellEnd"/>
      <w:r>
        <w:t xml:space="preserve"> Pty Limited, Ranbaxy Australia Pty Limited, Roche Products Pty Ltd, Sandoz Pty Ltd, </w:t>
      </w:r>
      <w:proofErr w:type="spellStart"/>
      <w:r>
        <w:t>sanofi-aventis</w:t>
      </w:r>
      <w:proofErr w:type="spellEnd"/>
      <w:r>
        <w:t xml:space="preserve"> Australia Pty Ltd, Smith &amp; Nephew Pty Limited, The Trustee for Virgo Unit Trust (trading as </w:t>
      </w:r>
      <w:proofErr w:type="spellStart"/>
      <w:r>
        <w:t>Phebra</w:t>
      </w:r>
      <w:proofErr w:type="spellEnd"/>
      <w:r>
        <w:t>), Valeant Pharmaceuticals Australasia Pty Limited:</w:t>
      </w:r>
    </w:p>
    <w:p w14:paraId="7FFE0D5B" w14:textId="77777777" w:rsidR="00AF7E68" w:rsidRDefault="00AF7E68" w:rsidP="00AF7E68">
      <w:pPr>
        <w:spacing w:after="0"/>
      </w:pPr>
      <w:r>
        <w:t>No comment received.</w:t>
      </w:r>
    </w:p>
    <w:p w14:paraId="43F745D2" w14:textId="77777777" w:rsidR="00AF7E68" w:rsidRDefault="00AF7E68">
      <w:pPr>
        <w:spacing w:before="0" w:after="200" w:line="276" w:lineRule="auto"/>
        <w:rPr>
          <w:rFonts w:eastAsiaTheme="majorEastAsia" w:cstheme="majorBidi"/>
          <w:b/>
          <w:bCs/>
          <w:sz w:val="32"/>
          <w:szCs w:val="32"/>
        </w:rPr>
        <w:sectPr w:rsidR="00AF7E68" w:rsidSect="001A75AB">
          <w:headerReference w:type="even" r:id="rId21"/>
          <w:headerReference w:type="default" r:id="rId22"/>
          <w:footerReference w:type="even" r:id="rId23"/>
          <w:footerReference w:type="default" r:id="rId24"/>
          <w:headerReference w:type="first" r:id="rId25"/>
          <w:footerReference w:type="first" r:id="rId26"/>
          <w:pgSz w:w="11906" w:h="16838"/>
          <w:pgMar w:top="1644" w:right="1361" w:bottom="1644" w:left="1588" w:header="1440" w:footer="1440" w:gutter="0"/>
          <w:cols w:space="708"/>
          <w:docGrid w:linePitch="360"/>
        </w:sectPr>
      </w:pPr>
    </w:p>
    <w:p w14:paraId="016AE134" w14:textId="7DDAFC62" w:rsidR="002C6E0C" w:rsidRDefault="002C6E0C" w:rsidP="00A430ED">
      <w:pPr>
        <w:pStyle w:val="Heading3"/>
      </w:pPr>
      <w:r>
        <w:lastRenderedPageBreak/>
        <w:t>Appendices</w:t>
      </w:r>
    </w:p>
    <w:p w14:paraId="11099246" w14:textId="423AB144" w:rsidR="00A91BBC" w:rsidRDefault="00A91BBC" w:rsidP="001A0949">
      <w:pPr>
        <w:pStyle w:val="Heading3"/>
      </w:pPr>
      <w:r>
        <w:t>Appendix A</w:t>
      </w:r>
    </w:p>
    <w:p w14:paraId="443B9931" w14:textId="77777777" w:rsidR="001A0949" w:rsidRPr="001A0949" w:rsidRDefault="001A0949" w:rsidP="001A0949">
      <w:pPr>
        <w:pStyle w:val="Heading4"/>
        <w:rPr>
          <w:i/>
          <w:sz w:val="24"/>
          <w:szCs w:val="24"/>
        </w:rPr>
      </w:pPr>
      <w:r w:rsidRPr="001A0949">
        <w:rPr>
          <w:i/>
          <w:sz w:val="24"/>
          <w:szCs w:val="24"/>
        </w:rPr>
        <w:t>Relevant aspects of the PBAC consideration</w:t>
      </w:r>
    </w:p>
    <w:p w14:paraId="40261388" w14:textId="77777777" w:rsidR="00A91BBC" w:rsidRDefault="00A91BBC" w:rsidP="00A91BBC">
      <w:r>
        <w:t xml:space="preserve">The most recent PBAC consideration of a major submission for the PBS listing of an antibiotic was at the November 2013 meeting, when the PBAC recommended the listing of tobramycin powder for inhalation as an Authority Required (STREAMLINED) benefit for the treatment of </w:t>
      </w:r>
      <w:r>
        <w:rPr>
          <w:i/>
          <w:iCs/>
        </w:rPr>
        <w:t>Pseudomonas aeruginosa</w:t>
      </w:r>
      <w:r>
        <w:t xml:space="preserve"> infection in a patient aged 6 years or older with cystic fibrosis. While tobramycin was already listed for m</w:t>
      </w:r>
      <w:r w:rsidRPr="00BF2802">
        <w:t xml:space="preserve">anagement of a proven </w:t>
      </w:r>
      <w:r w:rsidRPr="00BF2802">
        <w:rPr>
          <w:i/>
        </w:rPr>
        <w:t>Pseudomonas aeruginosa</w:t>
      </w:r>
      <w:r w:rsidRPr="00BF2802">
        <w:t xml:space="preserve"> infection in a patient with cystic fibrosis</w:t>
      </w:r>
      <w:r>
        <w:t xml:space="preserve">, the recommendation related to a new form (i.e. powder for inhalation). </w:t>
      </w:r>
    </w:p>
    <w:p w14:paraId="0FC82B8A" w14:textId="77777777" w:rsidR="00A91BBC" w:rsidRDefault="00A91BBC" w:rsidP="00A91BBC">
      <w:r w:rsidRPr="00F65F0D">
        <w:t xml:space="preserve">A copy of the Public Summary Document from the </w:t>
      </w:r>
      <w:r>
        <w:t>November 2013</w:t>
      </w:r>
      <w:r w:rsidRPr="00F65F0D">
        <w:t xml:space="preserve"> PBAC meeting is</w:t>
      </w:r>
      <w:r>
        <w:t xml:space="preserve"> available on the </w:t>
      </w:r>
      <w:hyperlink r:id="rId27" w:history="1">
        <w:r>
          <w:rPr>
            <w:rStyle w:val="Hyperlink"/>
          </w:rPr>
          <w:t>PBS website.</w:t>
        </w:r>
      </w:hyperlink>
    </w:p>
    <w:p w14:paraId="0D3B0C87" w14:textId="77777777" w:rsidR="00A91BBC" w:rsidRPr="00FF754A" w:rsidRDefault="00A91BBC" w:rsidP="00A91BBC">
      <w:r>
        <w:t>In another recent consideration, t</w:t>
      </w:r>
      <w:r w:rsidRPr="00FF754A">
        <w:t>he PBAC rejected the PBS listing of linezolid</w:t>
      </w:r>
      <w:r>
        <w:t xml:space="preserve"> at its July 2013 meeting</w:t>
      </w:r>
      <w:r w:rsidRPr="00FF754A">
        <w:t xml:space="preserve"> on the basis of incorrect comparator, and consequent lack of comparative data against the therapies most likely to be replaced.</w:t>
      </w:r>
      <w:r>
        <w:t xml:space="preserve"> </w:t>
      </w:r>
    </w:p>
    <w:p w14:paraId="2D5C3DC8" w14:textId="77777777" w:rsidR="00A91BBC" w:rsidRPr="00FF754A" w:rsidRDefault="00A91BBC" w:rsidP="00A91BBC">
      <w:r w:rsidRPr="00FF754A">
        <w:t>The PBAC expressed concern about the potential for antibiotic resistance.</w:t>
      </w:r>
      <w:r>
        <w:t xml:space="preserve"> </w:t>
      </w:r>
      <w:r w:rsidRPr="00FF754A">
        <w:t xml:space="preserve">The PBAC were also concerned about potential for toxicity with use of linezolid, particularly in long term use. </w:t>
      </w:r>
    </w:p>
    <w:p w14:paraId="46BAF7F9" w14:textId="77777777" w:rsidR="00A91BBC" w:rsidRPr="00FF754A" w:rsidRDefault="00A91BBC" w:rsidP="00A91BBC">
      <w:r w:rsidRPr="00FF754A">
        <w:t>The PBAC expressed concern about the current lack of effective means to monitor emergence and trends of antimicrobial resistance, despite wide acknowledgement in all healthcare sectors of the importance of these data.</w:t>
      </w:r>
      <w:r>
        <w:t xml:space="preserve"> </w:t>
      </w:r>
    </w:p>
    <w:p w14:paraId="0DC7EEE4" w14:textId="77777777" w:rsidR="00A91BBC" w:rsidRPr="00FF754A" w:rsidRDefault="00A91BBC" w:rsidP="00A91BBC">
      <w:r w:rsidRPr="00FF754A">
        <w:t xml:space="preserve">The PBAC considered that the current framework of the PBS did not easily accommodate new antibiotics intended for use against resistant microorganisms. The PBAC considered that it may be appropriate to explore whether a suitable policy construct could be identified which would recognise both the value of development of new antibiotics and the risks of emerging resistance to antimicrobial agents. </w:t>
      </w:r>
    </w:p>
    <w:p w14:paraId="4A2455BA" w14:textId="77777777" w:rsidR="00A91BBC" w:rsidRDefault="00A91BBC" w:rsidP="00A91BBC">
      <w:r w:rsidRPr="00F65F0D">
        <w:t xml:space="preserve">A copy of the Public Summary Document from the </w:t>
      </w:r>
      <w:r>
        <w:t>July 2013</w:t>
      </w:r>
      <w:r w:rsidRPr="00F65F0D">
        <w:t xml:space="preserve"> PBAC meeting is available</w:t>
      </w:r>
      <w:r>
        <w:t xml:space="preserve"> on the </w:t>
      </w:r>
      <w:hyperlink r:id="rId28" w:history="1">
        <w:r>
          <w:rPr>
            <w:rStyle w:val="Hyperlink"/>
          </w:rPr>
          <w:t>PBS website.</w:t>
        </w:r>
      </w:hyperlink>
    </w:p>
    <w:p w14:paraId="6EF9A38C" w14:textId="77777777" w:rsidR="00A91BBC" w:rsidRDefault="00A91BBC" w:rsidP="00A91BBC">
      <w:proofErr w:type="spellStart"/>
      <w:r>
        <w:t>Rifaximin</w:t>
      </w:r>
      <w:proofErr w:type="spellEnd"/>
      <w:r>
        <w:t xml:space="preserve"> was PBS-listed on 1 December 2013 for prevention of hepatic encephalopathy (HE) in combination with lactulose, if tolerated, in a patient who has had prior episodes of HE; after consideration at the July 2012, November 2012, March 2013 and April 2013 PBAC meetings. </w:t>
      </w:r>
    </w:p>
    <w:p w14:paraId="7A043009" w14:textId="77777777" w:rsidR="00A91BBC" w:rsidRDefault="00A91BBC" w:rsidP="00A91BBC">
      <w:r>
        <w:lastRenderedPageBreak/>
        <w:t>Throughout the consideration, t</w:t>
      </w:r>
      <w:r w:rsidRPr="00F754AA">
        <w:t xml:space="preserve">he PBAC remained concerned that there is potential for development of antibiotic resistance with use of </w:t>
      </w:r>
      <w:proofErr w:type="spellStart"/>
      <w:r w:rsidRPr="00F754AA">
        <w:t>rifaximin</w:t>
      </w:r>
      <w:proofErr w:type="spellEnd"/>
      <w:r w:rsidRPr="00F754AA">
        <w:t>.</w:t>
      </w:r>
      <w:r>
        <w:t xml:space="preserve"> </w:t>
      </w:r>
      <w:r w:rsidRPr="00BF2802">
        <w:t xml:space="preserve">The PBAC recommended listing of </w:t>
      </w:r>
      <w:proofErr w:type="spellStart"/>
      <w:r w:rsidRPr="00BF2802">
        <w:t>rifaximin</w:t>
      </w:r>
      <w:proofErr w:type="spellEnd"/>
      <w:r w:rsidRPr="00BF2802">
        <w:t xml:space="preserve"> on the basis of high clinical need, improved clinical benefit over the existing treatments and acceptable cost effectiveness. </w:t>
      </w:r>
    </w:p>
    <w:p w14:paraId="0DB3C4FB" w14:textId="77777777" w:rsidR="00A91BBC" w:rsidRDefault="00A91BBC" w:rsidP="00A91BBC">
      <w:pPr>
        <w:rPr>
          <w:rStyle w:val="Hyperlink"/>
        </w:rPr>
      </w:pPr>
      <w:r w:rsidRPr="00F65F0D">
        <w:t xml:space="preserve">A copy of the Public Summary Document </w:t>
      </w:r>
      <w:r>
        <w:t xml:space="preserve">for these considerations </w:t>
      </w:r>
      <w:r w:rsidRPr="00F65F0D">
        <w:t xml:space="preserve">is available </w:t>
      </w:r>
      <w:r>
        <w:t xml:space="preserve">on the </w:t>
      </w:r>
      <w:hyperlink r:id="rId29" w:history="1">
        <w:r>
          <w:rPr>
            <w:rStyle w:val="Hyperlink"/>
          </w:rPr>
          <w:t>PBS website.</w:t>
        </w:r>
      </w:hyperlink>
    </w:p>
    <w:p w14:paraId="44988077" w14:textId="77777777" w:rsidR="00A91BBC" w:rsidRDefault="00A91BBC" w:rsidP="00A91BBC">
      <w:r>
        <w:t xml:space="preserve">Ciprofloxacin ear drops were considered at the July 2006 PBAC meeting for treatment of chronic </w:t>
      </w:r>
      <w:proofErr w:type="spellStart"/>
      <w:r>
        <w:t>suppurative</w:t>
      </w:r>
      <w:proofErr w:type="spellEnd"/>
      <w:r>
        <w:t xml:space="preserve"> otitis media (CSOM). The product is identical to the PBS-listed eye drop formulation.</w:t>
      </w:r>
    </w:p>
    <w:p w14:paraId="2985204F" w14:textId="77777777" w:rsidR="00A91BBC" w:rsidRDefault="00A91BBC" w:rsidP="00A91BBC">
      <w:r>
        <w:t xml:space="preserve">The Committee noted that the use of </w:t>
      </w:r>
      <w:proofErr w:type="spellStart"/>
      <w:r>
        <w:t>fluoroquinolones</w:t>
      </w:r>
      <w:proofErr w:type="spellEnd"/>
      <w:r>
        <w:t xml:space="preserve"> in other indications has previously been restricted on advice from the EAGAR. This has been done in an attempt to limit the potential for the development of resistant strains which could limit the usefulness of these agents. EAGAR’s advice to the Committee for ciprofloxacin ear drops was that that group remains reluctant to support widespread use of </w:t>
      </w:r>
      <w:proofErr w:type="spellStart"/>
      <w:r>
        <w:t>fluoroquinolones</w:t>
      </w:r>
      <w:proofErr w:type="spellEnd"/>
      <w:r>
        <w:t xml:space="preserve"> to treat ear infections. The EAGAR advice concluded that if the PBAC is inclined to list, use be restricted to the </w:t>
      </w:r>
      <w:r w:rsidRPr="00D11324">
        <w:t>Aboriginal and Torres Strait Islander (ATSI) population</w:t>
      </w:r>
      <w:r>
        <w:t>.</w:t>
      </w:r>
    </w:p>
    <w:p w14:paraId="733550AF" w14:textId="77777777" w:rsidR="00A91BBC" w:rsidRDefault="00A91BBC" w:rsidP="00A91BBC">
      <w:r>
        <w:t>The PBAC recommended the listing for t</w:t>
      </w:r>
      <w:r w:rsidRPr="006561DC">
        <w:t xml:space="preserve">reatment of chronic </w:t>
      </w:r>
      <w:proofErr w:type="spellStart"/>
      <w:r w:rsidRPr="006561DC">
        <w:t>suppurative</w:t>
      </w:r>
      <w:proofErr w:type="spellEnd"/>
      <w:r w:rsidRPr="006561DC">
        <w:t xml:space="preserve"> otitis media in an Aboriginal or a Torres Strait Islander person aged </w:t>
      </w:r>
      <w:r>
        <w:t>one</w:t>
      </w:r>
      <w:r w:rsidRPr="006561DC">
        <w:t xml:space="preserve"> year and older</w:t>
      </w:r>
      <w:r>
        <w:t xml:space="preserve">; which was PBS listed on 1 February 2007. </w:t>
      </w:r>
    </w:p>
    <w:p w14:paraId="5F654F8B" w14:textId="77777777" w:rsidR="00A91BBC" w:rsidRDefault="00A91BBC" w:rsidP="00A91BBC">
      <w:r w:rsidRPr="00F65F0D">
        <w:t xml:space="preserve">A copy of the Public Summary Document </w:t>
      </w:r>
      <w:r>
        <w:t xml:space="preserve">for these considerations </w:t>
      </w:r>
      <w:r w:rsidRPr="00F65F0D">
        <w:t xml:space="preserve">is available </w:t>
      </w:r>
      <w:r>
        <w:t xml:space="preserve">on the </w:t>
      </w:r>
      <w:hyperlink r:id="rId30" w:history="1">
        <w:r>
          <w:rPr>
            <w:rStyle w:val="Hyperlink"/>
          </w:rPr>
          <w:t>PBS website.</w:t>
        </w:r>
      </w:hyperlink>
    </w:p>
    <w:p w14:paraId="4CA97F02" w14:textId="77777777" w:rsidR="00A91BBC" w:rsidRDefault="00A91BBC" w:rsidP="00A91BBC">
      <w:r>
        <w:t>The PBAC considered a minor submission from the Optometrists Association Australia at its November 2012 meeting, seeking to c</w:t>
      </w:r>
      <w:r w:rsidRPr="00231B2E">
        <w:t xml:space="preserve">hange the current Authority </w:t>
      </w:r>
      <w:proofErr w:type="gramStart"/>
      <w:r w:rsidRPr="00231B2E">
        <w:t>Required</w:t>
      </w:r>
      <w:proofErr w:type="gramEnd"/>
      <w:r w:rsidRPr="00231B2E">
        <w:t xml:space="preserve"> listing under the Optometric schedule to remove the current requirement for optometrists to be under the supervision and direction of an ophthal</w:t>
      </w:r>
      <w:r>
        <w:t xml:space="preserve">mologist when prescribing ciprofloxacin and </w:t>
      </w:r>
      <w:proofErr w:type="spellStart"/>
      <w:r>
        <w:t>ofloxacin</w:t>
      </w:r>
      <w:proofErr w:type="spellEnd"/>
      <w:r>
        <w:t xml:space="preserve"> </w:t>
      </w:r>
      <w:r w:rsidRPr="00231B2E">
        <w:t>eye drops for bacterial keratitis.</w:t>
      </w:r>
      <w:r w:rsidRPr="00250437">
        <w:t xml:space="preserve"> </w:t>
      </w:r>
      <w:r w:rsidRPr="00231B2E">
        <w:t>The PBAC recommended that the listings in the general and optometric schedules for these two eye drops be made consistent by requiring the involvement of an ophthalmologist for both drugs in both the general and optometric schedule restrictions.</w:t>
      </w:r>
    </w:p>
    <w:p w14:paraId="1D7A3EB4" w14:textId="77777777" w:rsidR="00A91BBC" w:rsidRDefault="00A91BBC" w:rsidP="00A91BBC">
      <w:r>
        <w:t xml:space="preserve">A Public Summary Document is not available for this consideration. The PBAC outcome is available on the </w:t>
      </w:r>
      <w:hyperlink r:id="rId31" w:history="1">
        <w:r>
          <w:rPr>
            <w:rStyle w:val="Hyperlink"/>
          </w:rPr>
          <w:t>PBS website.</w:t>
        </w:r>
      </w:hyperlink>
    </w:p>
    <w:p w14:paraId="60AF4CE7" w14:textId="77777777" w:rsidR="00A91BBC" w:rsidRPr="00A91BBC" w:rsidRDefault="00A91BBC" w:rsidP="001A0949"/>
    <w:p w14:paraId="65CDBBA6" w14:textId="77777777" w:rsidR="006B5B37" w:rsidRDefault="006B5B37">
      <w:pPr>
        <w:spacing w:before="0" w:after="200" w:line="276" w:lineRule="auto"/>
        <w:sectPr w:rsidR="006B5B37" w:rsidSect="00837B8D">
          <w:pgSz w:w="11906" w:h="16838"/>
          <w:pgMar w:top="1644" w:right="1361" w:bottom="1644" w:left="1588" w:header="1440" w:footer="1440" w:gutter="0"/>
          <w:cols w:space="708"/>
          <w:docGrid w:linePitch="360"/>
        </w:sectPr>
      </w:pPr>
    </w:p>
    <w:p w14:paraId="25D65B04" w14:textId="11443E9B" w:rsidR="00FE645A" w:rsidRDefault="00A4020E" w:rsidP="00A430ED">
      <w:pPr>
        <w:pStyle w:val="Heading3"/>
      </w:pPr>
      <w:r w:rsidRPr="00A4020E">
        <w:lastRenderedPageBreak/>
        <w:t>Disclaimer</w:t>
      </w:r>
    </w:p>
    <w:p w14:paraId="477D7D94" w14:textId="62CC5C02" w:rsidR="000B268E" w:rsidRPr="000B268E" w:rsidRDefault="000B268E" w:rsidP="00125FC2">
      <w:r w:rsidRPr="000B268E">
        <w:t>The information provided in this report does not constitute medical advice and is not intended to take the place of profe</w:t>
      </w:r>
      <w:r w:rsidR="00F11CFC">
        <w:t>ssional medical advice or care.</w:t>
      </w:r>
      <w:r w:rsidR="00751FE9">
        <w:t xml:space="preserve"> </w:t>
      </w:r>
      <w:r w:rsidRPr="000B268E">
        <w:t>It is not intended to define what constitutes reasonable, appropriate or best care for any individual for any given health issue.</w:t>
      </w:r>
      <w:r w:rsidR="00751FE9">
        <w:t xml:space="preserve"> </w:t>
      </w:r>
      <w:r w:rsidRPr="000B268E">
        <w:t>The information should not be used as a substitute for the judgement and skill of a medical practitioner.</w:t>
      </w:r>
    </w:p>
    <w:p w14:paraId="34477926" w14:textId="7C9C6BED" w:rsidR="000B268E" w:rsidRPr="000B268E" w:rsidRDefault="000B268E" w:rsidP="00125FC2">
      <w:r w:rsidRPr="000B268E">
        <w:t>The Department of Health (</w:t>
      </w:r>
      <w:proofErr w:type="spellStart"/>
      <w:r w:rsidRPr="000B268E">
        <w:t>DoH</w:t>
      </w:r>
      <w:proofErr w:type="spellEnd"/>
      <w:r w:rsidRPr="000B268E">
        <w:t>) has made all reasonable efforts to ensure that information provided in this report is accurate. The information provided in this report was up-to-date when it was considered by the Drug Utilisation Sub-committee of the Pharmaceutic</w:t>
      </w:r>
      <w:r w:rsidR="00F11CFC">
        <w:t>al Benefits Advisory Committee.</w:t>
      </w:r>
      <w:r w:rsidR="00751FE9">
        <w:t xml:space="preserve"> </w:t>
      </w:r>
      <w:r w:rsidRPr="000B268E">
        <w:t>The context for that information may have changed since publication.</w:t>
      </w:r>
    </w:p>
    <w:p w14:paraId="34FF6D3D" w14:textId="77777777" w:rsidR="000B268E" w:rsidRPr="000B268E" w:rsidRDefault="000B268E" w:rsidP="00125FC2">
      <w:r w:rsidRPr="000B268E">
        <w:t xml:space="preserve">To the extent provided by law, </w:t>
      </w:r>
      <w:proofErr w:type="spellStart"/>
      <w:r w:rsidRPr="000B268E">
        <w:t>DoH</w:t>
      </w:r>
      <w:proofErr w:type="spellEnd"/>
      <w:r w:rsidRPr="000B268E">
        <w:t xml:space="preserve"> makes no warranties or representations as to accuracy or completeness of information contained in this report. </w:t>
      </w:r>
    </w:p>
    <w:p w14:paraId="1F8EAE28" w14:textId="460E8D1C" w:rsidR="005C4023" w:rsidRPr="000B268E" w:rsidRDefault="000B268E" w:rsidP="00125FC2">
      <w:r w:rsidRPr="000B268E">
        <w:t xml:space="preserve">To the fullest extent permitted by law, neither the </w:t>
      </w:r>
      <w:proofErr w:type="spellStart"/>
      <w:r w:rsidRPr="000B268E">
        <w:t>DoH</w:t>
      </w:r>
      <w:proofErr w:type="spellEnd"/>
      <w:r w:rsidRPr="000B268E">
        <w:t xml:space="preserve"> nor any </w:t>
      </w:r>
      <w:proofErr w:type="spellStart"/>
      <w:r w:rsidRPr="000B268E">
        <w:t>DoH</w:t>
      </w:r>
      <w:proofErr w:type="spellEnd"/>
      <w:r w:rsidRPr="000B268E">
        <w:t xml:space="preserve">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
    <w:sectPr w:rsidR="005C4023" w:rsidRPr="000B268E" w:rsidSect="001A75AB">
      <w:pgSz w:w="11906" w:h="16838"/>
      <w:pgMar w:top="1644" w:right="1361" w:bottom="1644" w:left="1588" w:header="1440" w:footer="14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350FC2" w14:textId="77777777" w:rsidR="00861B5F" w:rsidRDefault="00861B5F" w:rsidP="00A35800">
      <w:r>
        <w:separator/>
      </w:r>
    </w:p>
  </w:endnote>
  <w:endnote w:type="continuationSeparator" w:id="0">
    <w:p w14:paraId="45A4A8C8" w14:textId="77777777" w:rsidR="00861B5F" w:rsidRDefault="00861B5F" w:rsidP="00A3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Caecilia-Roman">
    <w:panose1 w:val="00000000000000000000"/>
    <w:charset w:val="00"/>
    <w:family w:val="roman"/>
    <w:notTrueType/>
    <w:pitch w:val="default"/>
    <w:sig w:usb0="00000003" w:usb1="00000000" w:usb2="00000000" w:usb3="00000000" w:csb0="00000001" w:csb1="00000000"/>
  </w:font>
  <w:font w:name="Caecilia-Italic">
    <w:panose1 w:val="00000000000000000000"/>
    <w:charset w:val="00"/>
    <w:family w:val="roman"/>
    <w:notTrueType/>
    <w:pitch w:val="default"/>
    <w:sig w:usb0="00000003" w:usb1="00000000" w:usb2="00000000" w:usb3="00000000" w:csb0="00000001" w:csb1="00000000"/>
  </w:font>
  <w:font w:name="proxima_nova_rgregular">
    <w:altName w:val="Times New Roman"/>
    <w:charset w:val="00"/>
    <w:family w:val="auto"/>
    <w:pitch w:val="default"/>
  </w:font>
  <w:font w:name="AvenirLTStd-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24F650" w14:textId="77777777" w:rsidR="00861B5F" w:rsidRDefault="00861B5F"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E0A4C0D" w14:textId="77777777" w:rsidR="00861B5F" w:rsidRDefault="00861B5F" w:rsidP="00A358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1127658"/>
      <w:docPartObj>
        <w:docPartGallery w:val="Page Numbers (Bottom of Page)"/>
        <w:docPartUnique/>
      </w:docPartObj>
    </w:sdtPr>
    <w:sdtEndPr>
      <w:rPr>
        <w:noProof/>
      </w:rPr>
    </w:sdtEndPr>
    <w:sdtContent>
      <w:sdt>
        <w:sdtPr>
          <w:id w:val="463090280"/>
          <w:docPartObj>
            <w:docPartGallery w:val="Page Numbers (Top of Page)"/>
            <w:docPartUnique/>
          </w:docPartObj>
        </w:sdtPr>
        <w:sdtEndPr/>
        <w:sdtContent>
          <w:sdt>
            <w:sdtPr>
              <w:id w:val="197207114"/>
              <w:docPartObj>
                <w:docPartGallery w:val="Page Numbers (Top of Page)"/>
                <w:docPartUnique/>
              </w:docPartObj>
            </w:sdtPr>
            <w:sdtEndPr/>
            <w:sdtContent>
              <w:p w14:paraId="5555DD1F" w14:textId="1EF32D87" w:rsidR="00861B5F" w:rsidRPr="00CB6ABE" w:rsidRDefault="00861B5F" w:rsidP="00D1099E">
                <w:pPr>
                  <w:pStyle w:val="Footer"/>
                  <w:jc w:val="center"/>
                  <w:rPr>
                    <w:i/>
                    <w:sz w:val="20"/>
                    <w:szCs w:val="20"/>
                  </w:rPr>
                </w:pPr>
                <w:r>
                  <w:rPr>
                    <w:i/>
                    <w:sz w:val="20"/>
                    <w:szCs w:val="20"/>
                  </w:rPr>
                  <w:t>Public Release Document, October 2014 and February 2015 DUSC Meetings</w:t>
                </w:r>
              </w:p>
              <w:p w14:paraId="38BCCF33" w14:textId="20C9385D" w:rsidR="00861B5F" w:rsidRDefault="00861B5F" w:rsidP="00D1099E">
                <w:pPr>
                  <w:pStyle w:val="Footer"/>
                  <w:jc w:val="center"/>
                </w:pPr>
                <w:r w:rsidRPr="00CB6ABE">
                  <w:rPr>
                    <w:i/>
                    <w:sz w:val="20"/>
                    <w:szCs w:val="20"/>
                  </w:rPr>
                  <w:t xml:space="preserve">Page </w:t>
                </w:r>
                <w:r w:rsidRPr="00CB6ABE">
                  <w:rPr>
                    <w:bCs/>
                    <w:i/>
                    <w:sz w:val="20"/>
                    <w:szCs w:val="20"/>
                  </w:rPr>
                  <w:fldChar w:fldCharType="begin"/>
                </w:r>
                <w:r w:rsidRPr="00CB6ABE">
                  <w:rPr>
                    <w:bCs/>
                    <w:i/>
                    <w:sz w:val="20"/>
                    <w:szCs w:val="20"/>
                  </w:rPr>
                  <w:instrText xml:space="preserve"> PAGE </w:instrText>
                </w:r>
                <w:r w:rsidRPr="00CB6ABE">
                  <w:rPr>
                    <w:bCs/>
                    <w:i/>
                    <w:sz w:val="20"/>
                    <w:szCs w:val="20"/>
                  </w:rPr>
                  <w:fldChar w:fldCharType="separate"/>
                </w:r>
                <w:r w:rsidR="005302E0">
                  <w:rPr>
                    <w:bCs/>
                    <w:i/>
                    <w:noProof/>
                    <w:sz w:val="20"/>
                    <w:szCs w:val="20"/>
                  </w:rPr>
                  <w:t>15</w:t>
                </w:r>
                <w:r w:rsidRPr="00CB6ABE">
                  <w:rPr>
                    <w:bCs/>
                    <w:i/>
                    <w:sz w:val="20"/>
                    <w:szCs w:val="20"/>
                  </w:rPr>
                  <w:fldChar w:fldCharType="end"/>
                </w:r>
                <w:r w:rsidRPr="00CB6ABE">
                  <w:rPr>
                    <w:i/>
                    <w:sz w:val="20"/>
                    <w:szCs w:val="20"/>
                  </w:rPr>
                  <w:t xml:space="preserve"> of </w:t>
                </w:r>
                <w:r w:rsidRPr="00CB6ABE">
                  <w:rPr>
                    <w:bCs/>
                    <w:i/>
                    <w:sz w:val="20"/>
                    <w:szCs w:val="20"/>
                  </w:rPr>
                  <w:fldChar w:fldCharType="begin"/>
                </w:r>
                <w:r w:rsidRPr="00CB6ABE">
                  <w:rPr>
                    <w:bCs/>
                    <w:i/>
                    <w:sz w:val="20"/>
                    <w:szCs w:val="20"/>
                  </w:rPr>
                  <w:instrText xml:space="preserve"> NUMPAGES  </w:instrText>
                </w:r>
                <w:r w:rsidRPr="00CB6ABE">
                  <w:rPr>
                    <w:bCs/>
                    <w:i/>
                    <w:sz w:val="20"/>
                    <w:szCs w:val="20"/>
                  </w:rPr>
                  <w:fldChar w:fldCharType="separate"/>
                </w:r>
                <w:r w:rsidR="005302E0">
                  <w:rPr>
                    <w:bCs/>
                    <w:i/>
                    <w:noProof/>
                    <w:sz w:val="20"/>
                    <w:szCs w:val="20"/>
                  </w:rPr>
                  <w:t>29</w:t>
                </w:r>
                <w:r w:rsidRPr="00CB6ABE">
                  <w:rPr>
                    <w:bCs/>
                    <w:i/>
                    <w:sz w:val="20"/>
                    <w:szCs w:val="20"/>
                  </w:rPr>
                  <w:fldChar w:fldCharType="end"/>
                </w:r>
              </w:p>
            </w:sdtContent>
          </w:sdt>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2253656"/>
      <w:docPartObj>
        <w:docPartGallery w:val="Page Numbers (Bottom of Page)"/>
        <w:docPartUnique/>
      </w:docPartObj>
    </w:sdtPr>
    <w:sdtEndPr>
      <w:rPr>
        <w:noProof/>
      </w:rPr>
    </w:sdtEndPr>
    <w:sdtContent>
      <w:sdt>
        <w:sdtPr>
          <w:id w:val="684724490"/>
          <w:docPartObj>
            <w:docPartGallery w:val="Page Numbers (Top of Page)"/>
            <w:docPartUnique/>
          </w:docPartObj>
        </w:sdtPr>
        <w:sdtEndPr/>
        <w:sdtContent>
          <w:p w14:paraId="67E94A31" w14:textId="5BA26C41" w:rsidR="00861B5F" w:rsidRPr="00CB6ABE" w:rsidRDefault="00861B5F" w:rsidP="00D1099E">
            <w:pPr>
              <w:pStyle w:val="Footer"/>
              <w:jc w:val="center"/>
              <w:rPr>
                <w:i/>
                <w:sz w:val="20"/>
                <w:szCs w:val="20"/>
              </w:rPr>
            </w:pPr>
            <w:r>
              <w:rPr>
                <w:i/>
                <w:sz w:val="20"/>
                <w:szCs w:val="20"/>
              </w:rPr>
              <w:t>Public Release Document, October 2014 and February 2015 DUSC Meetings</w:t>
            </w:r>
          </w:p>
          <w:p w14:paraId="7F9E1162" w14:textId="41B1AD44" w:rsidR="00861B5F" w:rsidRDefault="00861B5F" w:rsidP="00D1099E">
            <w:pPr>
              <w:pStyle w:val="Footer"/>
              <w:jc w:val="center"/>
            </w:pPr>
            <w:r w:rsidRPr="00CB6ABE">
              <w:rPr>
                <w:i/>
                <w:sz w:val="20"/>
                <w:szCs w:val="20"/>
              </w:rPr>
              <w:t xml:space="preserve">Page </w:t>
            </w:r>
            <w:r w:rsidRPr="00CB6ABE">
              <w:rPr>
                <w:bCs/>
                <w:i/>
                <w:sz w:val="20"/>
                <w:szCs w:val="20"/>
              </w:rPr>
              <w:fldChar w:fldCharType="begin"/>
            </w:r>
            <w:r w:rsidRPr="00CB6ABE">
              <w:rPr>
                <w:bCs/>
                <w:i/>
                <w:sz w:val="20"/>
                <w:szCs w:val="20"/>
              </w:rPr>
              <w:instrText xml:space="preserve"> PAGE </w:instrText>
            </w:r>
            <w:r w:rsidRPr="00CB6ABE">
              <w:rPr>
                <w:bCs/>
                <w:i/>
                <w:sz w:val="20"/>
                <w:szCs w:val="20"/>
              </w:rPr>
              <w:fldChar w:fldCharType="separate"/>
            </w:r>
            <w:r w:rsidR="005302E0">
              <w:rPr>
                <w:bCs/>
                <w:i/>
                <w:noProof/>
                <w:sz w:val="20"/>
                <w:szCs w:val="20"/>
              </w:rPr>
              <w:t>16</w:t>
            </w:r>
            <w:r w:rsidRPr="00CB6ABE">
              <w:rPr>
                <w:bCs/>
                <w:i/>
                <w:sz w:val="20"/>
                <w:szCs w:val="20"/>
              </w:rPr>
              <w:fldChar w:fldCharType="end"/>
            </w:r>
            <w:r w:rsidRPr="00CB6ABE">
              <w:rPr>
                <w:i/>
                <w:sz w:val="20"/>
                <w:szCs w:val="20"/>
              </w:rPr>
              <w:t xml:space="preserve"> of </w:t>
            </w:r>
            <w:r w:rsidRPr="00CB6ABE">
              <w:rPr>
                <w:bCs/>
                <w:i/>
                <w:sz w:val="20"/>
                <w:szCs w:val="20"/>
              </w:rPr>
              <w:fldChar w:fldCharType="begin"/>
            </w:r>
            <w:r w:rsidRPr="00CB6ABE">
              <w:rPr>
                <w:bCs/>
                <w:i/>
                <w:sz w:val="20"/>
                <w:szCs w:val="20"/>
              </w:rPr>
              <w:instrText xml:space="preserve"> NUMPAGES  </w:instrText>
            </w:r>
            <w:r w:rsidRPr="00CB6ABE">
              <w:rPr>
                <w:bCs/>
                <w:i/>
                <w:sz w:val="20"/>
                <w:szCs w:val="20"/>
              </w:rPr>
              <w:fldChar w:fldCharType="separate"/>
            </w:r>
            <w:r w:rsidR="005302E0">
              <w:rPr>
                <w:bCs/>
                <w:i/>
                <w:noProof/>
                <w:sz w:val="20"/>
                <w:szCs w:val="20"/>
              </w:rPr>
              <w:t>29</w:t>
            </w:r>
            <w:r w:rsidRPr="00CB6ABE">
              <w:rPr>
                <w:bCs/>
                <w:i/>
                <w:sz w:val="20"/>
                <w:szCs w:val="20"/>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9D5E5" w14:textId="77777777" w:rsidR="00861B5F" w:rsidRDefault="00861B5F"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D9F9A1E" w14:textId="77777777" w:rsidR="00861B5F" w:rsidRDefault="00861B5F" w:rsidP="00A35800">
    <w:pPr>
      <w:pStyle w:val="Footer"/>
    </w:pPr>
  </w:p>
  <w:p w14:paraId="4AE46A0C" w14:textId="77777777" w:rsidR="00861B5F" w:rsidRDefault="00861B5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2419521"/>
      <w:docPartObj>
        <w:docPartGallery w:val="Page Numbers (Bottom of Page)"/>
        <w:docPartUnique/>
      </w:docPartObj>
    </w:sdtPr>
    <w:sdtEndPr/>
    <w:sdtContent>
      <w:sdt>
        <w:sdtPr>
          <w:id w:val="860082579"/>
          <w:docPartObj>
            <w:docPartGallery w:val="Page Numbers (Top of Page)"/>
            <w:docPartUnique/>
          </w:docPartObj>
        </w:sdtPr>
        <w:sdtEndPr/>
        <w:sdtContent>
          <w:p w14:paraId="04DD0F66" w14:textId="77777777" w:rsidR="00861B5F" w:rsidRPr="00CB6ABE" w:rsidRDefault="00861B5F" w:rsidP="00804663">
            <w:pPr>
              <w:pStyle w:val="Footer"/>
              <w:jc w:val="center"/>
              <w:rPr>
                <w:i/>
                <w:sz w:val="20"/>
                <w:szCs w:val="20"/>
              </w:rPr>
            </w:pPr>
            <w:r>
              <w:rPr>
                <w:i/>
                <w:sz w:val="20"/>
                <w:szCs w:val="20"/>
              </w:rPr>
              <w:t>Public Release Document, October 2014 and February 2015 DUSC Meetings</w:t>
            </w:r>
          </w:p>
          <w:p w14:paraId="13C5C4A0" w14:textId="208235C9" w:rsidR="00861B5F" w:rsidRDefault="00861B5F" w:rsidP="00D1099E">
            <w:pPr>
              <w:pStyle w:val="Footer"/>
              <w:jc w:val="center"/>
            </w:pPr>
            <w:r w:rsidRPr="00CB6ABE">
              <w:rPr>
                <w:i/>
                <w:sz w:val="20"/>
                <w:szCs w:val="20"/>
              </w:rPr>
              <w:t xml:space="preserve">Page </w:t>
            </w:r>
            <w:r w:rsidRPr="00CB6ABE">
              <w:rPr>
                <w:bCs/>
                <w:i/>
                <w:sz w:val="20"/>
                <w:szCs w:val="20"/>
              </w:rPr>
              <w:fldChar w:fldCharType="begin"/>
            </w:r>
            <w:r w:rsidRPr="00CB6ABE">
              <w:rPr>
                <w:bCs/>
                <w:i/>
                <w:sz w:val="20"/>
                <w:szCs w:val="20"/>
              </w:rPr>
              <w:instrText xml:space="preserve"> PAGE </w:instrText>
            </w:r>
            <w:r w:rsidRPr="00CB6ABE">
              <w:rPr>
                <w:bCs/>
                <w:i/>
                <w:sz w:val="20"/>
                <w:szCs w:val="20"/>
              </w:rPr>
              <w:fldChar w:fldCharType="separate"/>
            </w:r>
            <w:r w:rsidR="005302E0">
              <w:rPr>
                <w:bCs/>
                <w:i/>
                <w:noProof/>
                <w:sz w:val="20"/>
                <w:szCs w:val="20"/>
              </w:rPr>
              <w:t>18</w:t>
            </w:r>
            <w:r w:rsidRPr="00CB6ABE">
              <w:rPr>
                <w:bCs/>
                <w:i/>
                <w:sz w:val="20"/>
                <w:szCs w:val="20"/>
              </w:rPr>
              <w:fldChar w:fldCharType="end"/>
            </w:r>
            <w:r w:rsidRPr="00CB6ABE">
              <w:rPr>
                <w:i/>
                <w:sz w:val="20"/>
                <w:szCs w:val="20"/>
              </w:rPr>
              <w:t xml:space="preserve"> of </w:t>
            </w:r>
            <w:r w:rsidRPr="00CB6ABE">
              <w:rPr>
                <w:bCs/>
                <w:i/>
                <w:sz w:val="20"/>
                <w:szCs w:val="20"/>
              </w:rPr>
              <w:fldChar w:fldCharType="begin"/>
            </w:r>
            <w:r w:rsidRPr="00CB6ABE">
              <w:rPr>
                <w:bCs/>
                <w:i/>
                <w:sz w:val="20"/>
                <w:szCs w:val="20"/>
              </w:rPr>
              <w:instrText xml:space="preserve"> NUMPAGES  </w:instrText>
            </w:r>
            <w:r w:rsidRPr="00CB6ABE">
              <w:rPr>
                <w:bCs/>
                <w:i/>
                <w:sz w:val="20"/>
                <w:szCs w:val="20"/>
              </w:rPr>
              <w:fldChar w:fldCharType="separate"/>
            </w:r>
            <w:r w:rsidR="005302E0">
              <w:rPr>
                <w:bCs/>
                <w:i/>
                <w:noProof/>
                <w:sz w:val="20"/>
                <w:szCs w:val="20"/>
              </w:rPr>
              <w:t>29</w:t>
            </w:r>
            <w:r w:rsidRPr="00CB6ABE">
              <w:rPr>
                <w:bCs/>
                <w:i/>
                <w:sz w:val="20"/>
                <w:szCs w:val="20"/>
              </w:rPr>
              <w:fldChar w:fldCharType="end"/>
            </w:r>
          </w:p>
        </w:sdtContent>
      </w:sdt>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28AF8" w14:textId="1896DD8B" w:rsidR="00861B5F" w:rsidRDefault="00861B5F">
    <w:pPr>
      <w:pStyle w:val="Footer"/>
    </w:pPr>
    <w:r>
      <w:t>Last updated 3 July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75EEDE" w14:textId="77777777" w:rsidR="00861B5F" w:rsidRDefault="00861B5F" w:rsidP="00A35800">
      <w:r>
        <w:separator/>
      </w:r>
    </w:p>
  </w:footnote>
  <w:footnote w:type="continuationSeparator" w:id="0">
    <w:p w14:paraId="7E2CA1E4" w14:textId="77777777" w:rsidR="00861B5F" w:rsidRDefault="00861B5F" w:rsidP="00A35800">
      <w:r>
        <w:continuationSeparator/>
      </w:r>
    </w:p>
  </w:footnote>
  <w:footnote w:id="1">
    <w:p w14:paraId="421644D9" w14:textId="77777777" w:rsidR="00861B5F" w:rsidRDefault="00861B5F" w:rsidP="00D37FE6">
      <w:pPr>
        <w:pStyle w:val="FootnoteText"/>
        <w:spacing w:before="0"/>
      </w:pPr>
      <w:r>
        <w:rPr>
          <w:rStyle w:val="FootnoteReference"/>
        </w:rPr>
        <w:footnoteRef/>
      </w:r>
      <w:r>
        <w:t xml:space="preserve"> Antimicrobial resistance: global report on surveillance. World Health Organization 2014ISBN 978 92 4 156474 8 (NLM classification: QV 250)</w:t>
      </w:r>
    </w:p>
  </w:footnote>
  <w:footnote w:id="2">
    <w:p w14:paraId="7782FA4E" w14:textId="77777777" w:rsidR="00861B5F" w:rsidRDefault="00861B5F" w:rsidP="00D37FE6">
      <w:pPr>
        <w:autoSpaceDE w:val="0"/>
        <w:autoSpaceDN w:val="0"/>
        <w:adjustRightInd w:val="0"/>
        <w:spacing w:before="0" w:after="0"/>
        <w:rPr>
          <w:rFonts w:cs="Caecilia-Roman"/>
          <w:sz w:val="18"/>
          <w:szCs w:val="18"/>
        </w:rPr>
      </w:pPr>
      <w:r w:rsidRPr="00D210BC">
        <w:rPr>
          <w:rStyle w:val="FootnoteReference"/>
          <w:sz w:val="18"/>
          <w:szCs w:val="18"/>
        </w:rPr>
        <w:footnoteRef/>
      </w:r>
      <w:r w:rsidRPr="00D210BC">
        <w:rPr>
          <w:sz w:val="18"/>
          <w:szCs w:val="18"/>
        </w:rPr>
        <w:t xml:space="preserve"> </w:t>
      </w:r>
      <w:r w:rsidRPr="00D210BC">
        <w:rPr>
          <w:rFonts w:cs="Caecilia-Roman"/>
          <w:sz w:val="18"/>
          <w:szCs w:val="18"/>
        </w:rPr>
        <w:t xml:space="preserve">OECD (2011), </w:t>
      </w:r>
      <w:r w:rsidRPr="00D210BC">
        <w:rPr>
          <w:rFonts w:cs="Caecilia-Italic"/>
          <w:iCs/>
          <w:sz w:val="18"/>
          <w:szCs w:val="18"/>
        </w:rPr>
        <w:t>Health at a Glance 2011: OECD Indicators</w:t>
      </w:r>
      <w:r w:rsidRPr="00D210BC">
        <w:rPr>
          <w:rFonts w:cs="Caecilia-Roman"/>
          <w:sz w:val="18"/>
          <w:szCs w:val="18"/>
        </w:rPr>
        <w:t xml:space="preserve">, OECD Publishing. </w:t>
      </w:r>
    </w:p>
    <w:p w14:paraId="76C96D41" w14:textId="77777777" w:rsidR="00861B5F" w:rsidRPr="00121BA7" w:rsidRDefault="005302E0" w:rsidP="00D37FE6">
      <w:pPr>
        <w:autoSpaceDE w:val="0"/>
        <w:autoSpaceDN w:val="0"/>
        <w:adjustRightInd w:val="0"/>
        <w:spacing w:before="0" w:after="0"/>
        <w:rPr>
          <w:rFonts w:cs="Caecilia-Italic"/>
          <w:iCs/>
          <w:sz w:val="18"/>
          <w:szCs w:val="18"/>
        </w:rPr>
      </w:pPr>
      <w:hyperlink r:id="rId1" w:history="1">
        <w:proofErr w:type="gramStart"/>
        <w:r w:rsidR="00861B5F" w:rsidRPr="00D210BC">
          <w:rPr>
            <w:rStyle w:val="Hyperlink"/>
            <w:rFonts w:cs="Caecilia-Italic"/>
            <w:iCs/>
            <w:sz w:val="18"/>
            <w:szCs w:val="18"/>
          </w:rPr>
          <w:t>http://dx.doi.org/10.1787/health_glance-2011-en</w:t>
        </w:r>
      </w:hyperlink>
      <w:r w:rsidR="00861B5F">
        <w:rPr>
          <w:rFonts w:cs="Caecilia-Italic"/>
          <w:iCs/>
          <w:sz w:val="18"/>
          <w:szCs w:val="18"/>
        </w:rPr>
        <w:t>; Accessed 22 August 2014.</w:t>
      </w:r>
      <w:proofErr w:type="gramEnd"/>
      <w:r w:rsidR="00861B5F">
        <w:rPr>
          <w:rFonts w:cs="Caecilia-Italic"/>
          <w:iCs/>
          <w:sz w:val="18"/>
          <w:szCs w:val="18"/>
        </w:rPr>
        <w:t xml:space="preserve"> </w:t>
      </w:r>
    </w:p>
  </w:footnote>
  <w:footnote w:id="3">
    <w:p w14:paraId="3C95F0E6" w14:textId="77777777" w:rsidR="00861B5F" w:rsidRDefault="00861B5F" w:rsidP="000C70E6">
      <w:pPr>
        <w:autoSpaceDE w:val="0"/>
        <w:autoSpaceDN w:val="0"/>
        <w:adjustRightInd w:val="0"/>
        <w:spacing w:before="0" w:after="0"/>
        <w:rPr>
          <w:rFonts w:cs="Caecilia-Roman"/>
          <w:sz w:val="18"/>
          <w:szCs w:val="18"/>
        </w:rPr>
      </w:pPr>
      <w:r w:rsidRPr="000C70E6">
        <w:rPr>
          <w:rStyle w:val="FootnoteReference"/>
          <w:sz w:val="18"/>
          <w:szCs w:val="18"/>
        </w:rPr>
        <w:footnoteRef/>
      </w:r>
      <w:r w:rsidRPr="000C70E6">
        <w:rPr>
          <w:rStyle w:val="FootnoteReference"/>
          <w:sz w:val="18"/>
          <w:szCs w:val="18"/>
        </w:rPr>
        <w:t xml:space="preserve"> </w:t>
      </w:r>
      <w:r w:rsidRPr="00D210BC">
        <w:rPr>
          <w:rFonts w:cs="Caecilia-Roman"/>
          <w:sz w:val="18"/>
          <w:szCs w:val="18"/>
        </w:rPr>
        <w:t xml:space="preserve">OECD (2011), </w:t>
      </w:r>
      <w:r w:rsidRPr="00D210BC">
        <w:rPr>
          <w:rFonts w:cs="Caecilia-Italic"/>
          <w:iCs/>
          <w:sz w:val="18"/>
          <w:szCs w:val="18"/>
        </w:rPr>
        <w:t>Health at a Glance 2011: OECD Indicators</w:t>
      </w:r>
      <w:r w:rsidRPr="00D210BC">
        <w:rPr>
          <w:rFonts w:cs="Caecilia-Roman"/>
          <w:sz w:val="18"/>
          <w:szCs w:val="18"/>
        </w:rPr>
        <w:t xml:space="preserve">, OECD Publishing. </w:t>
      </w:r>
    </w:p>
    <w:p w14:paraId="5BC5E92D" w14:textId="5F47696A" w:rsidR="00861B5F" w:rsidRDefault="005302E0" w:rsidP="000C70E6">
      <w:pPr>
        <w:autoSpaceDE w:val="0"/>
        <w:autoSpaceDN w:val="0"/>
        <w:adjustRightInd w:val="0"/>
        <w:spacing w:before="0" w:after="0"/>
      </w:pPr>
      <w:hyperlink r:id="rId2" w:history="1">
        <w:r w:rsidR="00861B5F" w:rsidRPr="00D210BC">
          <w:rPr>
            <w:rStyle w:val="Hyperlink"/>
            <w:rFonts w:cs="Caecilia-Italic"/>
            <w:iCs/>
            <w:sz w:val="18"/>
            <w:szCs w:val="18"/>
          </w:rPr>
          <w:t>http://dx.doi.org/10.1787/health_glance-2011-en</w:t>
        </w:r>
      </w:hyperlink>
      <w:r w:rsidR="00861B5F">
        <w:rPr>
          <w:rFonts w:cs="Caecilia-Italic"/>
          <w:iCs/>
          <w:sz w:val="18"/>
          <w:szCs w:val="18"/>
        </w:rPr>
        <w:t>; Accessed 22 August 2014</w:t>
      </w:r>
    </w:p>
  </w:footnote>
  <w:footnote w:id="4">
    <w:p w14:paraId="2577D0B6" w14:textId="31A2F1EA" w:rsidR="00861B5F" w:rsidRDefault="00861B5F" w:rsidP="00804663">
      <w:pPr>
        <w:pStyle w:val="FootnoteText"/>
        <w:spacing w:before="60" w:after="60"/>
      </w:pPr>
      <w:r>
        <w:rPr>
          <w:rStyle w:val="FootnoteReference"/>
        </w:rPr>
        <w:footnoteRef/>
      </w:r>
      <w:r>
        <w:t xml:space="preserve"> Antimicrobial resistance: global report on surveillance. World Health Organization 2014ISBN 978 92 4 156474 8 (NLM classification: QV 250)</w:t>
      </w:r>
    </w:p>
  </w:footnote>
  <w:footnote w:id="5">
    <w:p w14:paraId="008EA924" w14:textId="77777777" w:rsidR="00861B5F" w:rsidRPr="00FC76A4" w:rsidRDefault="00861B5F" w:rsidP="00804663">
      <w:pPr>
        <w:spacing w:before="60"/>
        <w:rPr>
          <w:sz w:val="18"/>
          <w:szCs w:val="20"/>
          <w:u w:val="single"/>
        </w:rPr>
      </w:pPr>
      <w:r w:rsidRPr="00FC76A4">
        <w:rPr>
          <w:sz w:val="18"/>
          <w:szCs w:val="20"/>
          <w:vertAlign w:val="superscript"/>
        </w:rPr>
        <w:footnoteRef/>
      </w:r>
      <w:r w:rsidRPr="00FC76A4">
        <w:rPr>
          <w:sz w:val="18"/>
          <w:szCs w:val="20"/>
        </w:rPr>
        <w:t xml:space="preserve"> </w:t>
      </w:r>
      <w:hyperlink r:id="rId3" w:history="1">
        <w:r w:rsidRPr="00FC76A4">
          <w:rPr>
            <w:sz w:val="18"/>
            <w:szCs w:val="20"/>
            <w:u w:val="single"/>
          </w:rPr>
          <w:t>http://www.safetyandquality.gov.au/national-priorities/amr-and-au-surveillance-project/</w:t>
        </w:r>
      </w:hyperlink>
    </w:p>
  </w:footnote>
  <w:footnote w:id="6">
    <w:p w14:paraId="6848EA6D" w14:textId="4E8DE1C0" w:rsidR="00861B5F" w:rsidRDefault="00861B5F" w:rsidP="00804663">
      <w:pPr>
        <w:pStyle w:val="FootnoteText"/>
        <w:spacing w:before="60" w:after="60"/>
      </w:pPr>
      <w:r>
        <w:rPr>
          <w:rStyle w:val="FootnoteReference"/>
        </w:rPr>
        <w:footnoteRef/>
      </w:r>
      <w:r>
        <w:t xml:space="preserve"> </w:t>
      </w:r>
      <w:proofErr w:type="spellStart"/>
      <w:proofErr w:type="gramStart"/>
      <w:r w:rsidRPr="006E55E9">
        <w:rPr>
          <w:szCs w:val="18"/>
        </w:rPr>
        <w:t>Shaban</w:t>
      </w:r>
      <w:proofErr w:type="spellEnd"/>
      <w:r w:rsidRPr="006E55E9">
        <w:rPr>
          <w:szCs w:val="18"/>
        </w:rPr>
        <w:t xml:space="preserve"> RZ, Cruickshank M, Christiansen K &amp; the Antimicrobial Resistance Standing Committee (2013).</w:t>
      </w:r>
      <w:proofErr w:type="gramEnd"/>
      <w:r w:rsidRPr="006E55E9">
        <w:rPr>
          <w:szCs w:val="18"/>
        </w:rPr>
        <w:t xml:space="preserve"> </w:t>
      </w:r>
      <w:proofErr w:type="gramStart"/>
      <w:r w:rsidRPr="006E55E9">
        <w:rPr>
          <w:szCs w:val="18"/>
        </w:rPr>
        <w:t>National Surveillance and Reporting of Antimicrobial Resistance and Antibiotic Usage for Human Health in Australia.</w:t>
      </w:r>
      <w:proofErr w:type="gramEnd"/>
      <w:r w:rsidRPr="006E55E9">
        <w:rPr>
          <w:szCs w:val="18"/>
        </w:rPr>
        <w:t xml:space="preserve"> Antimicrobial Resistance Standing Committee, Australian Heath Protection Principal Committee: Canberra.</w:t>
      </w:r>
    </w:p>
  </w:footnote>
  <w:footnote w:id="7">
    <w:p w14:paraId="654D2CFD" w14:textId="77777777" w:rsidR="00861B5F" w:rsidRPr="0054003E" w:rsidRDefault="00861B5F" w:rsidP="00A04E1F">
      <w:pPr>
        <w:pStyle w:val="FootnoteText"/>
        <w:spacing w:before="0" w:after="60"/>
        <w:rPr>
          <w:szCs w:val="18"/>
        </w:rPr>
      </w:pPr>
      <w:r w:rsidRPr="0054003E">
        <w:rPr>
          <w:rStyle w:val="FootnoteReference"/>
          <w:szCs w:val="18"/>
        </w:rPr>
        <w:footnoteRef/>
      </w:r>
      <w:r w:rsidRPr="0054003E">
        <w:rPr>
          <w:szCs w:val="18"/>
        </w:rPr>
        <w:t xml:space="preserve"> The preliminary estimated resident population (ERP) of Australia at 31 December 2013 was 23,319,400 people. </w:t>
      </w:r>
    </w:p>
    <w:p w14:paraId="5CC3D002" w14:textId="77777777" w:rsidR="00861B5F" w:rsidRPr="0054003E" w:rsidRDefault="00861B5F" w:rsidP="00A04E1F">
      <w:pPr>
        <w:pStyle w:val="FootnoteText"/>
        <w:spacing w:before="0" w:after="60"/>
        <w:rPr>
          <w:szCs w:val="18"/>
        </w:rPr>
      </w:pPr>
      <w:r w:rsidRPr="0054003E">
        <w:rPr>
          <w:szCs w:val="18"/>
        </w:rPr>
        <w:t xml:space="preserve">3101.0 - Australian Demographic Statistics Dec 2013. </w:t>
      </w:r>
      <w:hyperlink r:id="rId4" w:history="1">
        <w:r w:rsidRPr="0054003E">
          <w:rPr>
            <w:rStyle w:val="Hyperlink"/>
            <w:szCs w:val="18"/>
          </w:rPr>
          <w:t>http://www.abs.gov.au/AUSSTATS/abs@.nsf/Lookup/3101.0Main+Features1Dec%202013?OpenDocument</w:t>
        </w:r>
      </w:hyperlink>
    </w:p>
  </w:footnote>
  <w:footnote w:id="8">
    <w:p w14:paraId="5F0FBE5B" w14:textId="77777777" w:rsidR="00861B5F" w:rsidRDefault="00861B5F" w:rsidP="00A04E1F">
      <w:pPr>
        <w:pStyle w:val="FootnoteText"/>
        <w:spacing w:before="0" w:after="60"/>
      </w:pPr>
      <w:r w:rsidRPr="0054003E">
        <w:rPr>
          <w:rStyle w:val="FootnoteReference"/>
          <w:szCs w:val="18"/>
        </w:rPr>
        <w:footnoteRef/>
      </w:r>
      <w:r w:rsidRPr="0054003E">
        <w:rPr>
          <w:szCs w:val="18"/>
        </w:rPr>
        <w:t xml:space="preserve"> The patient count may be very slightly underestimated, due to lack of capture of patient level data for S100 clarithromycin and azithromycin packs processed ‘offline’ through some public hospitals in the first half of 2014 (n=384).</w:t>
      </w:r>
      <w:r>
        <w:t xml:space="preserve"> </w:t>
      </w:r>
    </w:p>
  </w:footnote>
  <w:footnote w:id="9">
    <w:p w14:paraId="7A069CE5" w14:textId="77777777" w:rsidR="00861B5F" w:rsidRDefault="00861B5F" w:rsidP="00065A1D">
      <w:pPr>
        <w:pStyle w:val="FootnoteText"/>
      </w:pPr>
      <w:r>
        <w:rPr>
          <w:rStyle w:val="FootnoteReference"/>
        </w:rPr>
        <w:footnoteRef/>
      </w:r>
      <w:r>
        <w:t xml:space="preserve"> </w:t>
      </w:r>
      <w:hyperlink r:id="rId5" w:history="1">
        <w:r w:rsidRPr="00D872EB">
          <w:rPr>
            <w:rStyle w:val="Hyperlink"/>
          </w:rPr>
          <w:t>http://www.tga.gov.au/newsroom/consult-otc-chloramphenicol-131122.htm</w:t>
        </w:r>
      </w:hyperlink>
      <w:r w:rsidRPr="00EB02F2">
        <w:t xml:space="preserve"> </w:t>
      </w:r>
      <w:r>
        <w:t>Accessed: 1 September 2014.</w:t>
      </w:r>
    </w:p>
    <w:p w14:paraId="6ABDF659" w14:textId="77777777" w:rsidR="00861B5F" w:rsidRDefault="00861B5F" w:rsidP="00065A1D">
      <w:pPr>
        <w:pStyle w:val="FootnoteText"/>
      </w:pPr>
    </w:p>
  </w:footnote>
  <w:footnote w:id="10">
    <w:p w14:paraId="14A0A999" w14:textId="77777777" w:rsidR="00861B5F" w:rsidRPr="000A6AD9" w:rsidRDefault="00861B5F" w:rsidP="000A6AD9">
      <w:pPr>
        <w:spacing w:before="60"/>
        <w:rPr>
          <w:sz w:val="18"/>
          <w:szCs w:val="18"/>
        </w:rPr>
      </w:pPr>
      <w:r w:rsidRPr="000A6AD9">
        <w:rPr>
          <w:rStyle w:val="FootnoteReference"/>
          <w:rFonts w:eastAsiaTheme="majorEastAsia"/>
          <w:sz w:val="18"/>
          <w:szCs w:val="18"/>
        </w:rPr>
        <w:footnoteRef/>
      </w:r>
      <w:r w:rsidRPr="000A6AD9">
        <w:rPr>
          <w:sz w:val="18"/>
          <w:szCs w:val="18"/>
        </w:rPr>
        <w:t xml:space="preserve"> </w:t>
      </w:r>
      <w:proofErr w:type="spellStart"/>
      <w:r w:rsidRPr="000A6AD9">
        <w:rPr>
          <w:sz w:val="18"/>
          <w:szCs w:val="18"/>
        </w:rPr>
        <w:t>Cephalosporins</w:t>
      </w:r>
      <w:proofErr w:type="spellEnd"/>
      <w:r w:rsidRPr="000A6AD9">
        <w:rPr>
          <w:sz w:val="18"/>
          <w:szCs w:val="18"/>
        </w:rPr>
        <w:t xml:space="preserve"> [revised June 2010; amended June 2013]. In </w:t>
      </w:r>
      <w:proofErr w:type="spellStart"/>
      <w:r w:rsidRPr="000A6AD9">
        <w:rPr>
          <w:sz w:val="18"/>
          <w:szCs w:val="18"/>
        </w:rPr>
        <w:t>eTG</w:t>
      </w:r>
      <w:proofErr w:type="spellEnd"/>
      <w:r w:rsidRPr="000A6AD9">
        <w:rPr>
          <w:sz w:val="18"/>
          <w:szCs w:val="18"/>
        </w:rPr>
        <w:t xml:space="preserve"> complete [Internet]. Melbourne: Therapeutic Guidelines Limited; 2014 Mar. Accessed 2014 Aug 28 &lt;</w:t>
      </w:r>
      <w:r w:rsidRPr="000A6AD9">
        <w:rPr>
          <w:sz w:val="18"/>
          <w:szCs w:val="18"/>
          <w:u w:val="single"/>
        </w:rPr>
        <w:t>http://online.tg.org.au/complete/desktop/index.htm</w:t>
      </w:r>
      <w:r w:rsidRPr="000A6AD9">
        <w:rPr>
          <w:sz w:val="18"/>
          <w:szCs w:val="18"/>
        </w:rPr>
        <w:t>&gt;.</w:t>
      </w:r>
    </w:p>
    <w:p w14:paraId="72971052" w14:textId="77777777" w:rsidR="00861B5F" w:rsidRPr="000A6AD9" w:rsidRDefault="00861B5F" w:rsidP="000A6AD9">
      <w:pPr>
        <w:spacing w:before="60"/>
        <w:rPr>
          <w:rFonts w:cstheme="minorHAnsi"/>
          <w:szCs w:val="18"/>
        </w:rPr>
      </w:pPr>
      <w:r w:rsidRPr="000A6AD9">
        <w:rPr>
          <w:sz w:val="18"/>
          <w:szCs w:val="18"/>
        </w:rPr>
        <w:t xml:space="preserve">Penicillins [revised June 2010; amended February 2011, June 2013]. In </w:t>
      </w:r>
      <w:proofErr w:type="spellStart"/>
      <w:r w:rsidRPr="000A6AD9">
        <w:rPr>
          <w:sz w:val="18"/>
          <w:szCs w:val="18"/>
        </w:rPr>
        <w:t>eTG</w:t>
      </w:r>
      <w:proofErr w:type="spellEnd"/>
      <w:r w:rsidRPr="000A6AD9">
        <w:rPr>
          <w:sz w:val="18"/>
          <w:szCs w:val="18"/>
        </w:rPr>
        <w:t xml:space="preserve"> complete [Internet]. Melbourne: Therapeutic Guidelines Limited; 2014 Mar. Accessed 2014 Aug 28 &lt;</w:t>
      </w:r>
      <w:r w:rsidRPr="000A6AD9">
        <w:rPr>
          <w:sz w:val="18"/>
          <w:szCs w:val="18"/>
          <w:u w:val="single"/>
        </w:rPr>
        <w:t>http://online.tg.org.au/complete/desktop/index.htm</w:t>
      </w:r>
      <w:r w:rsidRPr="000A6AD9">
        <w:rPr>
          <w:sz w:val="18"/>
          <w:szCs w:val="18"/>
        </w:rPr>
        <w:t>&gt;.</w:t>
      </w:r>
    </w:p>
  </w:footnote>
  <w:footnote w:id="11">
    <w:p w14:paraId="2ED7C3BD" w14:textId="77777777" w:rsidR="00861B5F" w:rsidRDefault="00861B5F" w:rsidP="00986A25">
      <w:pPr>
        <w:pStyle w:val="FootnoteText"/>
      </w:pPr>
      <w:r>
        <w:rPr>
          <w:rStyle w:val="FootnoteReference"/>
        </w:rPr>
        <w:footnoteRef/>
      </w:r>
      <w:r>
        <w:t xml:space="preserve"> </w:t>
      </w:r>
      <w:proofErr w:type="spellStart"/>
      <w:proofErr w:type="gramStart"/>
      <w:r>
        <w:t>Amoxil</w:t>
      </w:r>
      <w:proofErr w:type="spellEnd"/>
      <w:r>
        <w:t>® Product Information.</w:t>
      </w:r>
      <w:proofErr w:type="gramEnd"/>
      <w:r>
        <w:t xml:space="preserve"> </w:t>
      </w:r>
      <w:hyperlink r:id="rId6" w:history="1">
        <w:r w:rsidRPr="00CF6FE5">
          <w:rPr>
            <w:rStyle w:val="Hyperlink"/>
          </w:rPr>
          <w:t>https://www.ebs.tga.gov.au/ebs/picmi/picmirepository.nsf/pdf?OpenAgent&amp;id=CP-2013-PI-01071-1</w:t>
        </w:r>
      </w:hyperlink>
      <w:r>
        <w:t xml:space="preserve"> Accessed: 3 September 2014. </w:t>
      </w:r>
    </w:p>
  </w:footnote>
  <w:footnote w:id="12">
    <w:p w14:paraId="7FA0A930" w14:textId="77777777" w:rsidR="00861B5F" w:rsidRPr="00EB02F2" w:rsidRDefault="00861B5F" w:rsidP="00B77716">
      <w:pPr>
        <w:shd w:val="clear" w:color="auto" w:fill="FFFFFF"/>
        <w:spacing w:before="60"/>
        <w:rPr>
          <w:sz w:val="18"/>
          <w:szCs w:val="18"/>
        </w:rPr>
      </w:pPr>
      <w:r w:rsidRPr="00EB02F2">
        <w:rPr>
          <w:sz w:val="18"/>
          <w:szCs w:val="18"/>
          <w:vertAlign w:val="superscript"/>
        </w:rPr>
        <w:footnoteRef/>
      </w:r>
      <w:r w:rsidRPr="00EB02F2">
        <w:rPr>
          <w:sz w:val="18"/>
          <w:szCs w:val="18"/>
        </w:rPr>
        <w:t xml:space="preserve"> </w:t>
      </w:r>
      <w:proofErr w:type="gramStart"/>
      <w:r>
        <w:rPr>
          <w:sz w:val="18"/>
          <w:szCs w:val="18"/>
        </w:rPr>
        <w:t>Communicable D</w:t>
      </w:r>
      <w:r w:rsidRPr="00EB02F2">
        <w:rPr>
          <w:sz w:val="18"/>
          <w:szCs w:val="18"/>
        </w:rPr>
        <w:t xml:space="preserve">isease </w:t>
      </w:r>
      <w:r>
        <w:rPr>
          <w:sz w:val="18"/>
          <w:szCs w:val="18"/>
        </w:rPr>
        <w:t>N</w:t>
      </w:r>
      <w:r w:rsidRPr="00EB02F2">
        <w:rPr>
          <w:sz w:val="18"/>
          <w:szCs w:val="18"/>
        </w:rPr>
        <w:t xml:space="preserve">etwork Australia (CDNA) </w:t>
      </w:r>
      <w:r>
        <w:rPr>
          <w:sz w:val="18"/>
          <w:szCs w:val="18"/>
        </w:rPr>
        <w:t>National Guidelines for the Public Health Management of Trachoma.</w:t>
      </w:r>
      <w:proofErr w:type="gramEnd"/>
      <w:r>
        <w:rPr>
          <w:sz w:val="18"/>
          <w:szCs w:val="18"/>
        </w:rPr>
        <w:t xml:space="preserve"> </w:t>
      </w:r>
      <w:hyperlink r:id="rId7" w:history="1">
        <w:r w:rsidRPr="00EB02F2">
          <w:rPr>
            <w:sz w:val="18"/>
            <w:szCs w:val="18"/>
            <w:u w:val="single"/>
          </w:rPr>
          <w:t>http://www.health.gov.au/internet/main/publishing.nsf/Content/cdna-song-trachoma.htm</w:t>
        </w:r>
      </w:hyperlink>
      <w:r w:rsidRPr="00EB02F2">
        <w:rPr>
          <w:sz w:val="18"/>
          <w:szCs w:val="18"/>
        </w:rPr>
        <w:t xml:space="preserve"> </w:t>
      </w:r>
      <w:r>
        <w:rPr>
          <w:sz w:val="18"/>
          <w:szCs w:val="18"/>
        </w:rPr>
        <w:t>Accessed: 1 September 2014.</w:t>
      </w:r>
    </w:p>
  </w:footnote>
  <w:footnote w:id="13">
    <w:p w14:paraId="5187907F" w14:textId="77777777" w:rsidR="00861B5F" w:rsidRPr="00EB02F2" w:rsidRDefault="00861B5F" w:rsidP="00B77716">
      <w:pPr>
        <w:spacing w:before="60"/>
        <w:rPr>
          <w:sz w:val="18"/>
          <w:szCs w:val="18"/>
        </w:rPr>
      </w:pPr>
      <w:r w:rsidRPr="00EB02F2">
        <w:rPr>
          <w:sz w:val="18"/>
          <w:szCs w:val="18"/>
          <w:vertAlign w:val="superscript"/>
        </w:rPr>
        <w:footnoteRef/>
      </w:r>
      <w:r w:rsidRPr="00EB02F2">
        <w:rPr>
          <w:sz w:val="18"/>
          <w:szCs w:val="18"/>
        </w:rPr>
        <w:t xml:space="preserve"> </w:t>
      </w:r>
      <w:proofErr w:type="gramStart"/>
      <w:r w:rsidRPr="00EB02F2">
        <w:rPr>
          <w:sz w:val="18"/>
          <w:szCs w:val="18"/>
        </w:rPr>
        <w:t>Australian Institute of Health and Welfare 2011.</w:t>
      </w:r>
      <w:proofErr w:type="gramEnd"/>
      <w:r w:rsidRPr="00EB02F2">
        <w:rPr>
          <w:sz w:val="18"/>
          <w:szCs w:val="18"/>
        </w:rPr>
        <w:t xml:space="preserve"> The health and welfare of Australia’s Aboriginal and Torres Strait Islander people 2011, an overview. Cat. </w:t>
      </w:r>
      <w:proofErr w:type="gramStart"/>
      <w:r w:rsidRPr="00EB02F2">
        <w:rPr>
          <w:sz w:val="18"/>
          <w:szCs w:val="18"/>
        </w:rPr>
        <w:t>no</w:t>
      </w:r>
      <w:proofErr w:type="gramEnd"/>
      <w:r w:rsidRPr="00EB02F2">
        <w:rPr>
          <w:sz w:val="18"/>
          <w:szCs w:val="18"/>
        </w:rPr>
        <w:t>. IHW42.Canberra: AIHW.</w:t>
      </w:r>
    </w:p>
    <w:p w14:paraId="58BF2DEE" w14:textId="77777777" w:rsidR="00861B5F" w:rsidRDefault="00861B5F" w:rsidP="00B77716">
      <w:pPr>
        <w:pStyle w:val="FootnoteText"/>
      </w:pPr>
    </w:p>
  </w:footnote>
  <w:footnote w:id="14">
    <w:p w14:paraId="41254792" w14:textId="77777777" w:rsidR="00861B5F" w:rsidRPr="000A6AD9" w:rsidRDefault="00861B5F" w:rsidP="0087262C">
      <w:pPr>
        <w:spacing w:before="60"/>
        <w:rPr>
          <w:sz w:val="18"/>
          <w:szCs w:val="18"/>
        </w:rPr>
      </w:pPr>
      <w:r w:rsidRPr="00751D57">
        <w:rPr>
          <w:rFonts w:cs="AvenirLTStd-Light"/>
          <w:sz w:val="18"/>
          <w:szCs w:val="18"/>
          <w:vertAlign w:val="superscript"/>
        </w:rPr>
        <w:footnoteRef/>
      </w:r>
      <w:r w:rsidRPr="00751D57">
        <w:rPr>
          <w:rFonts w:cs="AvenirLTStd-Light"/>
          <w:sz w:val="18"/>
          <w:szCs w:val="18"/>
          <w:vertAlign w:val="superscript"/>
        </w:rPr>
        <w:t xml:space="preserve"> </w:t>
      </w:r>
      <w:proofErr w:type="spellStart"/>
      <w:proofErr w:type="gramStart"/>
      <w:r w:rsidRPr="000A6AD9">
        <w:rPr>
          <w:sz w:val="18"/>
          <w:szCs w:val="18"/>
        </w:rPr>
        <w:t>eTG</w:t>
      </w:r>
      <w:proofErr w:type="spellEnd"/>
      <w:proofErr w:type="gramEnd"/>
      <w:r w:rsidRPr="000A6AD9">
        <w:rPr>
          <w:sz w:val="18"/>
          <w:szCs w:val="18"/>
        </w:rPr>
        <w:t xml:space="preserve"> complete [Internet]. Melbourne: Therapeutic Guidelines Limited; 2014 Mar. Accessed 2014 Aug 28 &lt;</w:t>
      </w:r>
      <w:r w:rsidRPr="000A6AD9">
        <w:rPr>
          <w:sz w:val="18"/>
          <w:szCs w:val="18"/>
          <w:u w:val="single"/>
        </w:rPr>
        <w:t>http://online.tg.org.au/complete/desktop/index.htm</w:t>
      </w:r>
      <w:r w:rsidRPr="000A6AD9">
        <w:rPr>
          <w:sz w:val="18"/>
          <w:szCs w:val="18"/>
        </w:rPr>
        <w:t>&gt;.</w:t>
      </w:r>
    </w:p>
    <w:p w14:paraId="4E377492" w14:textId="77777777" w:rsidR="00861B5F" w:rsidRDefault="00861B5F" w:rsidP="0087262C">
      <w:pPr>
        <w:pStyle w:val="FootnoteText"/>
      </w:pPr>
    </w:p>
  </w:footnote>
  <w:footnote w:id="15">
    <w:p w14:paraId="5025887C" w14:textId="2DE5B365" w:rsidR="00861B5F" w:rsidRPr="00636B5C" w:rsidRDefault="00861B5F" w:rsidP="00636B5C">
      <w:pPr>
        <w:autoSpaceDE w:val="0"/>
        <w:autoSpaceDN w:val="0"/>
        <w:adjustRightInd w:val="0"/>
        <w:spacing w:before="60"/>
        <w:contextualSpacing/>
        <w:rPr>
          <w:sz w:val="18"/>
          <w:szCs w:val="18"/>
        </w:rPr>
      </w:pPr>
      <w:r w:rsidRPr="00636B5C">
        <w:rPr>
          <w:rFonts w:cs="AvenirLTStd-Light"/>
          <w:sz w:val="18"/>
          <w:szCs w:val="18"/>
          <w:vertAlign w:val="superscript"/>
        </w:rPr>
        <w:footnoteRef/>
      </w:r>
      <w:r w:rsidRPr="00636B5C">
        <w:rPr>
          <w:rFonts w:cs="AvenirLTStd-Light"/>
          <w:sz w:val="18"/>
          <w:szCs w:val="18"/>
        </w:rPr>
        <w:t xml:space="preserve"> Newby DA, Robertson J. Computerised prescribing: assessing the impact on prescription repeats and on generic substitution of some commonly used antibiotics. Med J </w:t>
      </w:r>
      <w:proofErr w:type="spellStart"/>
      <w:r w:rsidRPr="00636B5C">
        <w:rPr>
          <w:rFonts w:cs="AvenirLTStd-Light"/>
          <w:sz w:val="18"/>
          <w:szCs w:val="18"/>
        </w:rPr>
        <w:t>Aust</w:t>
      </w:r>
      <w:proofErr w:type="spellEnd"/>
      <w:r w:rsidRPr="00636B5C">
        <w:rPr>
          <w:rFonts w:cs="AvenirLTStd-Light"/>
          <w:sz w:val="18"/>
          <w:szCs w:val="18"/>
        </w:rPr>
        <w:t xml:space="preserve"> 2010; 192: 192-195.</w:t>
      </w:r>
    </w:p>
  </w:footnote>
  <w:footnote w:id="16">
    <w:p w14:paraId="4A162EBD" w14:textId="7126C626" w:rsidR="00861B5F" w:rsidRPr="00636B5C" w:rsidRDefault="00861B5F" w:rsidP="00636B5C">
      <w:pPr>
        <w:pStyle w:val="FootnoteText"/>
        <w:spacing w:before="60" w:after="60"/>
        <w:contextualSpacing/>
        <w:rPr>
          <w:szCs w:val="18"/>
        </w:rPr>
      </w:pPr>
      <w:r w:rsidRPr="00636B5C">
        <w:rPr>
          <w:rStyle w:val="FootnoteReference"/>
          <w:szCs w:val="18"/>
        </w:rPr>
        <w:footnoteRef/>
      </w:r>
      <w:r w:rsidRPr="00636B5C">
        <w:rPr>
          <w:szCs w:val="18"/>
        </w:rPr>
        <w:t xml:space="preserve"> </w:t>
      </w:r>
      <w:proofErr w:type="spellStart"/>
      <w:r w:rsidRPr="00636B5C">
        <w:rPr>
          <w:szCs w:val="18"/>
        </w:rPr>
        <w:t>Beilby</w:t>
      </w:r>
      <w:proofErr w:type="spellEnd"/>
      <w:r w:rsidRPr="00636B5C">
        <w:rPr>
          <w:szCs w:val="18"/>
        </w:rPr>
        <w:t xml:space="preserve"> J, Marley J, Walker D, Chamberlain N, Burke M. Effect of changes in antibiotic prescribing on patient outcomes in a community setting: a natural experiment in Australia. Clinical Infectious Diseases 2002; 34:55-64.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48AABB" w14:textId="77777777" w:rsidR="00861B5F" w:rsidRDefault="00861B5F">
    <w:pPr>
      <w:pStyle w:val="Header"/>
    </w:pPr>
  </w:p>
  <w:p w14:paraId="3E8B4C3A" w14:textId="77777777" w:rsidR="00861B5F" w:rsidRDefault="00861B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0451D" w14:textId="12AA0000" w:rsidR="00861B5F" w:rsidRPr="000A6AD9" w:rsidRDefault="00861B5F" w:rsidP="000A6A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F2A663" w14:textId="77777777" w:rsidR="00861B5F" w:rsidRDefault="00861B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9578C"/>
    <w:multiLevelType w:val="hybridMultilevel"/>
    <w:tmpl w:val="D024A21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112E3DDE"/>
    <w:multiLevelType w:val="hybridMultilevel"/>
    <w:tmpl w:val="514C56A4"/>
    <w:lvl w:ilvl="0" w:tplc="02AA903C">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625465E"/>
    <w:multiLevelType w:val="multilevel"/>
    <w:tmpl w:val="A294A9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25F72A84"/>
    <w:multiLevelType w:val="hybridMultilevel"/>
    <w:tmpl w:val="AD9E0252"/>
    <w:lvl w:ilvl="0" w:tplc="0B44B286">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CB96F3C"/>
    <w:multiLevelType w:val="hybridMultilevel"/>
    <w:tmpl w:val="0C5A5A88"/>
    <w:lvl w:ilvl="0" w:tplc="72EEA16E">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CCA530E"/>
    <w:multiLevelType w:val="hybridMultilevel"/>
    <w:tmpl w:val="4A2E4AEE"/>
    <w:lvl w:ilvl="0" w:tplc="0B44B286">
      <w:start w:val="1"/>
      <w:numFmt w:val="bullet"/>
      <w:pStyle w:val="dotpoin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2880EB7"/>
    <w:multiLevelType w:val="hybridMultilevel"/>
    <w:tmpl w:val="7D4EAD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77763F80"/>
    <w:multiLevelType w:val="hybridMultilevel"/>
    <w:tmpl w:val="962E014E"/>
    <w:lvl w:ilvl="0" w:tplc="02AA903C">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1"/>
  </w:num>
  <w:num w:numId="4">
    <w:abstractNumId w:val="5"/>
  </w:num>
  <w:num w:numId="5">
    <w:abstractNumId w:val="7"/>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20"/>
  <w:characterSpacingControl w:val="doNotCompress"/>
  <w:hdrShapeDefaults>
    <o:shapedefaults v:ext="edit" spidmax="1003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041"/>
    <w:rsid w:val="00002ADE"/>
    <w:rsid w:val="000041A4"/>
    <w:rsid w:val="000062FB"/>
    <w:rsid w:val="0001288E"/>
    <w:rsid w:val="00014A7D"/>
    <w:rsid w:val="000209BF"/>
    <w:rsid w:val="00022617"/>
    <w:rsid w:val="00040107"/>
    <w:rsid w:val="000409B2"/>
    <w:rsid w:val="00046710"/>
    <w:rsid w:val="00046D7D"/>
    <w:rsid w:val="00047B2E"/>
    <w:rsid w:val="0005619F"/>
    <w:rsid w:val="00060E6B"/>
    <w:rsid w:val="000619D5"/>
    <w:rsid w:val="00065A1D"/>
    <w:rsid w:val="00071EA0"/>
    <w:rsid w:val="00091995"/>
    <w:rsid w:val="000933D3"/>
    <w:rsid w:val="00094DCF"/>
    <w:rsid w:val="00095D51"/>
    <w:rsid w:val="000A6AD9"/>
    <w:rsid w:val="000B268E"/>
    <w:rsid w:val="000B4135"/>
    <w:rsid w:val="000B796C"/>
    <w:rsid w:val="000C205D"/>
    <w:rsid w:val="000C6E5D"/>
    <w:rsid w:val="000C70E6"/>
    <w:rsid w:val="000C7D8B"/>
    <w:rsid w:val="000D6CA0"/>
    <w:rsid w:val="000E295D"/>
    <w:rsid w:val="000E29E2"/>
    <w:rsid w:val="000E350C"/>
    <w:rsid w:val="000E485D"/>
    <w:rsid w:val="000E5482"/>
    <w:rsid w:val="000F22BC"/>
    <w:rsid w:val="000F2F51"/>
    <w:rsid w:val="000F760B"/>
    <w:rsid w:val="00102EDB"/>
    <w:rsid w:val="00112FB2"/>
    <w:rsid w:val="00113D74"/>
    <w:rsid w:val="00117C5C"/>
    <w:rsid w:val="00121FB7"/>
    <w:rsid w:val="00123FB9"/>
    <w:rsid w:val="00125FC2"/>
    <w:rsid w:val="00130892"/>
    <w:rsid w:val="001327FB"/>
    <w:rsid w:val="001354DE"/>
    <w:rsid w:val="0013787A"/>
    <w:rsid w:val="001420B3"/>
    <w:rsid w:val="0014260F"/>
    <w:rsid w:val="00143E19"/>
    <w:rsid w:val="0015691C"/>
    <w:rsid w:val="001577A1"/>
    <w:rsid w:val="001714FD"/>
    <w:rsid w:val="00174183"/>
    <w:rsid w:val="001759EC"/>
    <w:rsid w:val="00182266"/>
    <w:rsid w:val="001A0949"/>
    <w:rsid w:val="001A4F80"/>
    <w:rsid w:val="001A75AB"/>
    <w:rsid w:val="001B4788"/>
    <w:rsid w:val="001B47F6"/>
    <w:rsid w:val="001B50CA"/>
    <w:rsid w:val="001B5D37"/>
    <w:rsid w:val="001C2785"/>
    <w:rsid w:val="001C4016"/>
    <w:rsid w:val="001D2DCB"/>
    <w:rsid w:val="001D390D"/>
    <w:rsid w:val="001D43FB"/>
    <w:rsid w:val="001E31A6"/>
    <w:rsid w:val="001F0047"/>
    <w:rsid w:val="001F2C97"/>
    <w:rsid w:val="001F2F3E"/>
    <w:rsid w:val="00207B92"/>
    <w:rsid w:val="002104AA"/>
    <w:rsid w:val="00211C1D"/>
    <w:rsid w:val="00214013"/>
    <w:rsid w:val="00215730"/>
    <w:rsid w:val="00222DB7"/>
    <w:rsid w:val="00224839"/>
    <w:rsid w:val="0024294B"/>
    <w:rsid w:val="00247368"/>
    <w:rsid w:val="002509D5"/>
    <w:rsid w:val="00252D19"/>
    <w:rsid w:val="002714DF"/>
    <w:rsid w:val="00275D5A"/>
    <w:rsid w:val="002767D3"/>
    <w:rsid w:val="002801FD"/>
    <w:rsid w:val="0028594C"/>
    <w:rsid w:val="002A3FD7"/>
    <w:rsid w:val="002B72D7"/>
    <w:rsid w:val="002C4942"/>
    <w:rsid w:val="002C6E0C"/>
    <w:rsid w:val="002D472A"/>
    <w:rsid w:val="002E3337"/>
    <w:rsid w:val="002E50C9"/>
    <w:rsid w:val="002E777D"/>
    <w:rsid w:val="002F49A8"/>
    <w:rsid w:val="002F61CA"/>
    <w:rsid w:val="002F63ED"/>
    <w:rsid w:val="0030749C"/>
    <w:rsid w:val="00313B8D"/>
    <w:rsid w:val="003347BF"/>
    <w:rsid w:val="00336A69"/>
    <w:rsid w:val="003370D0"/>
    <w:rsid w:val="0033763C"/>
    <w:rsid w:val="00340F95"/>
    <w:rsid w:val="003412EF"/>
    <w:rsid w:val="00343204"/>
    <w:rsid w:val="00347CBC"/>
    <w:rsid w:val="003529E0"/>
    <w:rsid w:val="003531ED"/>
    <w:rsid w:val="00361870"/>
    <w:rsid w:val="0038097B"/>
    <w:rsid w:val="003811C7"/>
    <w:rsid w:val="0039017F"/>
    <w:rsid w:val="00392327"/>
    <w:rsid w:val="003A195F"/>
    <w:rsid w:val="003B56F1"/>
    <w:rsid w:val="003C625F"/>
    <w:rsid w:val="003D2591"/>
    <w:rsid w:val="003D6756"/>
    <w:rsid w:val="003E23BA"/>
    <w:rsid w:val="003F2C10"/>
    <w:rsid w:val="0040299E"/>
    <w:rsid w:val="00411716"/>
    <w:rsid w:val="0042049E"/>
    <w:rsid w:val="00426DD8"/>
    <w:rsid w:val="004325FA"/>
    <w:rsid w:val="00455ADF"/>
    <w:rsid w:val="00462FF4"/>
    <w:rsid w:val="00464352"/>
    <w:rsid w:val="00467434"/>
    <w:rsid w:val="00481108"/>
    <w:rsid w:val="00484318"/>
    <w:rsid w:val="0049042B"/>
    <w:rsid w:val="00492FD2"/>
    <w:rsid w:val="00497D3B"/>
    <w:rsid w:val="004A1A8E"/>
    <w:rsid w:val="004A458E"/>
    <w:rsid w:val="004A56F9"/>
    <w:rsid w:val="004B23E7"/>
    <w:rsid w:val="004B306F"/>
    <w:rsid w:val="004B552B"/>
    <w:rsid w:val="004B6B13"/>
    <w:rsid w:val="004B7F47"/>
    <w:rsid w:val="004C2288"/>
    <w:rsid w:val="004C3186"/>
    <w:rsid w:val="004C5042"/>
    <w:rsid w:val="004D0B5E"/>
    <w:rsid w:val="004D14BD"/>
    <w:rsid w:val="004E4FE2"/>
    <w:rsid w:val="004E6093"/>
    <w:rsid w:val="004F1E15"/>
    <w:rsid w:val="00503998"/>
    <w:rsid w:val="0050623B"/>
    <w:rsid w:val="00506296"/>
    <w:rsid w:val="00513949"/>
    <w:rsid w:val="00514BE7"/>
    <w:rsid w:val="00517CB8"/>
    <w:rsid w:val="00517CD3"/>
    <w:rsid w:val="0052233C"/>
    <w:rsid w:val="00524810"/>
    <w:rsid w:val="00526921"/>
    <w:rsid w:val="005302E0"/>
    <w:rsid w:val="005339F6"/>
    <w:rsid w:val="0054003E"/>
    <w:rsid w:val="00550375"/>
    <w:rsid w:val="00552C5C"/>
    <w:rsid w:val="00555B21"/>
    <w:rsid w:val="00561CB4"/>
    <w:rsid w:val="0056346A"/>
    <w:rsid w:val="0056370B"/>
    <w:rsid w:val="00585DF4"/>
    <w:rsid w:val="00591512"/>
    <w:rsid w:val="005C25A2"/>
    <w:rsid w:val="005C2AE7"/>
    <w:rsid w:val="005C4023"/>
    <w:rsid w:val="005C55C6"/>
    <w:rsid w:val="005C597F"/>
    <w:rsid w:val="005D436A"/>
    <w:rsid w:val="005E147D"/>
    <w:rsid w:val="005E22C2"/>
    <w:rsid w:val="005F6B3C"/>
    <w:rsid w:val="00601909"/>
    <w:rsid w:val="00606906"/>
    <w:rsid w:val="00610E6F"/>
    <w:rsid w:val="00611B9C"/>
    <w:rsid w:val="006244CF"/>
    <w:rsid w:val="0063021F"/>
    <w:rsid w:val="00630CA0"/>
    <w:rsid w:val="00635714"/>
    <w:rsid w:val="00635817"/>
    <w:rsid w:val="0063631C"/>
    <w:rsid w:val="00636B5C"/>
    <w:rsid w:val="00637CB6"/>
    <w:rsid w:val="00645D51"/>
    <w:rsid w:val="00647E9D"/>
    <w:rsid w:val="006537D9"/>
    <w:rsid w:val="00654403"/>
    <w:rsid w:val="00665DEF"/>
    <w:rsid w:val="00675184"/>
    <w:rsid w:val="00675BB1"/>
    <w:rsid w:val="006812F7"/>
    <w:rsid w:val="006874BA"/>
    <w:rsid w:val="0069451E"/>
    <w:rsid w:val="006A3864"/>
    <w:rsid w:val="006A44F5"/>
    <w:rsid w:val="006B4537"/>
    <w:rsid w:val="006B5B37"/>
    <w:rsid w:val="006B709B"/>
    <w:rsid w:val="006C4620"/>
    <w:rsid w:val="006E0181"/>
    <w:rsid w:val="006E3C52"/>
    <w:rsid w:val="006E6E27"/>
    <w:rsid w:val="006F026B"/>
    <w:rsid w:val="006F4851"/>
    <w:rsid w:val="00701CA4"/>
    <w:rsid w:val="00705309"/>
    <w:rsid w:val="00705DAD"/>
    <w:rsid w:val="0070737D"/>
    <w:rsid w:val="007247B9"/>
    <w:rsid w:val="00727D85"/>
    <w:rsid w:val="007346C7"/>
    <w:rsid w:val="00735488"/>
    <w:rsid w:val="00736041"/>
    <w:rsid w:val="007408C7"/>
    <w:rsid w:val="0075110A"/>
    <w:rsid w:val="00751D57"/>
    <w:rsid w:val="00751FE9"/>
    <w:rsid w:val="007523D0"/>
    <w:rsid w:val="00752C7F"/>
    <w:rsid w:val="00752EE4"/>
    <w:rsid w:val="0076216D"/>
    <w:rsid w:val="007676CD"/>
    <w:rsid w:val="00770795"/>
    <w:rsid w:val="00776598"/>
    <w:rsid w:val="0078761B"/>
    <w:rsid w:val="00792590"/>
    <w:rsid w:val="00792E44"/>
    <w:rsid w:val="007944F1"/>
    <w:rsid w:val="00796B2F"/>
    <w:rsid w:val="00796E84"/>
    <w:rsid w:val="007A119C"/>
    <w:rsid w:val="007A184D"/>
    <w:rsid w:val="007B3C3F"/>
    <w:rsid w:val="007D2B3D"/>
    <w:rsid w:val="007D796E"/>
    <w:rsid w:val="007E3A5F"/>
    <w:rsid w:val="007E53F9"/>
    <w:rsid w:val="007E5CE8"/>
    <w:rsid w:val="00800C2D"/>
    <w:rsid w:val="00800DA6"/>
    <w:rsid w:val="00804663"/>
    <w:rsid w:val="008120CF"/>
    <w:rsid w:val="008142B4"/>
    <w:rsid w:val="00832324"/>
    <w:rsid w:val="0083376A"/>
    <w:rsid w:val="00837B8D"/>
    <w:rsid w:val="00846A19"/>
    <w:rsid w:val="0085256D"/>
    <w:rsid w:val="00852A4C"/>
    <w:rsid w:val="0085658A"/>
    <w:rsid w:val="00856BB4"/>
    <w:rsid w:val="00861B5F"/>
    <w:rsid w:val="008677D2"/>
    <w:rsid w:val="00871CBE"/>
    <w:rsid w:val="0087262C"/>
    <w:rsid w:val="00887EFB"/>
    <w:rsid w:val="00892472"/>
    <w:rsid w:val="00896025"/>
    <w:rsid w:val="00896403"/>
    <w:rsid w:val="00897097"/>
    <w:rsid w:val="008A4057"/>
    <w:rsid w:val="008C08F0"/>
    <w:rsid w:val="008D08FE"/>
    <w:rsid w:val="008E3F45"/>
    <w:rsid w:val="008E745C"/>
    <w:rsid w:val="008F495D"/>
    <w:rsid w:val="00902FD0"/>
    <w:rsid w:val="009053D3"/>
    <w:rsid w:val="00905AB4"/>
    <w:rsid w:val="00911826"/>
    <w:rsid w:val="009153F3"/>
    <w:rsid w:val="00917613"/>
    <w:rsid w:val="0092748B"/>
    <w:rsid w:val="00927BA5"/>
    <w:rsid w:val="0093111F"/>
    <w:rsid w:val="009327E2"/>
    <w:rsid w:val="00935689"/>
    <w:rsid w:val="00935A99"/>
    <w:rsid w:val="009379BA"/>
    <w:rsid w:val="0094366B"/>
    <w:rsid w:val="00945324"/>
    <w:rsid w:val="00957837"/>
    <w:rsid w:val="0096189A"/>
    <w:rsid w:val="009663B6"/>
    <w:rsid w:val="00971325"/>
    <w:rsid w:val="00980286"/>
    <w:rsid w:val="00980972"/>
    <w:rsid w:val="00985516"/>
    <w:rsid w:val="00986A25"/>
    <w:rsid w:val="0099142C"/>
    <w:rsid w:val="009A12E9"/>
    <w:rsid w:val="009A4CD6"/>
    <w:rsid w:val="009A52BD"/>
    <w:rsid w:val="009C0886"/>
    <w:rsid w:val="009C35F2"/>
    <w:rsid w:val="009C4D3E"/>
    <w:rsid w:val="009C7C43"/>
    <w:rsid w:val="009D29C1"/>
    <w:rsid w:val="009D2BB9"/>
    <w:rsid w:val="009D41C8"/>
    <w:rsid w:val="009E182A"/>
    <w:rsid w:val="009E1B3A"/>
    <w:rsid w:val="009E2173"/>
    <w:rsid w:val="009E21A7"/>
    <w:rsid w:val="009E3ED0"/>
    <w:rsid w:val="009E7079"/>
    <w:rsid w:val="009F458B"/>
    <w:rsid w:val="009F7919"/>
    <w:rsid w:val="00A04E1F"/>
    <w:rsid w:val="00A073CF"/>
    <w:rsid w:val="00A103ED"/>
    <w:rsid w:val="00A108F9"/>
    <w:rsid w:val="00A13C60"/>
    <w:rsid w:val="00A14204"/>
    <w:rsid w:val="00A31FFF"/>
    <w:rsid w:val="00A35800"/>
    <w:rsid w:val="00A36FA8"/>
    <w:rsid w:val="00A3777D"/>
    <w:rsid w:val="00A4020E"/>
    <w:rsid w:val="00A430ED"/>
    <w:rsid w:val="00A438FC"/>
    <w:rsid w:val="00A54DDE"/>
    <w:rsid w:val="00A55579"/>
    <w:rsid w:val="00A57F37"/>
    <w:rsid w:val="00A641F7"/>
    <w:rsid w:val="00A64CFC"/>
    <w:rsid w:val="00A75AFB"/>
    <w:rsid w:val="00A7746F"/>
    <w:rsid w:val="00A84CAD"/>
    <w:rsid w:val="00A91BBC"/>
    <w:rsid w:val="00A925D4"/>
    <w:rsid w:val="00A9488F"/>
    <w:rsid w:val="00AB3733"/>
    <w:rsid w:val="00AC6C49"/>
    <w:rsid w:val="00AD53CC"/>
    <w:rsid w:val="00AE4EAB"/>
    <w:rsid w:val="00AF5FCF"/>
    <w:rsid w:val="00AF6BB9"/>
    <w:rsid w:val="00AF6DE8"/>
    <w:rsid w:val="00AF7E68"/>
    <w:rsid w:val="00B02AB9"/>
    <w:rsid w:val="00B05310"/>
    <w:rsid w:val="00B139FD"/>
    <w:rsid w:val="00B22AE8"/>
    <w:rsid w:val="00B34AF6"/>
    <w:rsid w:val="00B4189A"/>
    <w:rsid w:val="00B50A48"/>
    <w:rsid w:val="00B527EC"/>
    <w:rsid w:val="00B53368"/>
    <w:rsid w:val="00B53B53"/>
    <w:rsid w:val="00B72230"/>
    <w:rsid w:val="00B77716"/>
    <w:rsid w:val="00B904E9"/>
    <w:rsid w:val="00B9120F"/>
    <w:rsid w:val="00B924A4"/>
    <w:rsid w:val="00B95FB9"/>
    <w:rsid w:val="00BA1EE0"/>
    <w:rsid w:val="00BA480A"/>
    <w:rsid w:val="00BB0D1A"/>
    <w:rsid w:val="00BB1D3B"/>
    <w:rsid w:val="00BB687D"/>
    <w:rsid w:val="00BC1487"/>
    <w:rsid w:val="00BC35ED"/>
    <w:rsid w:val="00BC55C3"/>
    <w:rsid w:val="00BD3E28"/>
    <w:rsid w:val="00BE5D29"/>
    <w:rsid w:val="00BE5D65"/>
    <w:rsid w:val="00BE7EA3"/>
    <w:rsid w:val="00BF238E"/>
    <w:rsid w:val="00BF3F58"/>
    <w:rsid w:val="00BF6D5C"/>
    <w:rsid w:val="00BF77FA"/>
    <w:rsid w:val="00C0076F"/>
    <w:rsid w:val="00C05F08"/>
    <w:rsid w:val="00C14E11"/>
    <w:rsid w:val="00C240CB"/>
    <w:rsid w:val="00C26824"/>
    <w:rsid w:val="00C35AAA"/>
    <w:rsid w:val="00C41246"/>
    <w:rsid w:val="00C456BD"/>
    <w:rsid w:val="00C45A61"/>
    <w:rsid w:val="00C45E5F"/>
    <w:rsid w:val="00C60DA4"/>
    <w:rsid w:val="00C672F4"/>
    <w:rsid w:val="00C675DB"/>
    <w:rsid w:val="00C714D0"/>
    <w:rsid w:val="00C75822"/>
    <w:rsid w:val="00C75B03"/>
    <w:rsid w:val="00C81F99"/>
    <w:rsid w:val="00C9245D"/>
    <w:rsid w:val="00C94A29"/>
    <w:rsid w:val="00C97AFA"/>
    <w:rsid w:val="00CA078F"/>
    <w:rsid w:val="00CB1695"/>
    <w:rsid w:val="00CB16A9"/>
    <w:rsid w:val="00CB4FDE"/>
    <w:rsid w:val="00CB57A8"/>
    <w:rsid w:val="00CB6ABE"/>
    <w:rsid w:val="00CB6DE4"/>
    <w:rsid w:val="00CC6D87"/>
    <w:rsid w:val="00CE001C"/>
    <w:rsid w:val="00CE14E7"/>
    <w:rsid w:val="00CE2CDF"/>
    <w:rsid w:val="00CE417B"/>
    <w:rsid w:val="00CF4E29"/>
    <w:rsid w:val="00CF6FB3"/>
    <w:rsid w:val="00CF7DDB"/>
    <w:rsid w:val="00D1099E"/>
    <w:rsid w:val="00D12EE6"/>
    <w:rsid w:val="00D136AE"/>
    <w:rsid w:val="00D13C41"/>
    <w:rsid w:val="00D13D33"/>
    <w:rsid w:val="00D151EB"/>
    <w:rsid w:val="00D2324A"/>
    <w:rsid w:val="00D2547B"/>
    <w:rsid w:val="00D30378"/>
    <w:rsid w:val="00D31162"/>
    <w:rsid w:val="00D32200"/>
    <w:rsid w:val="00D344EC"/>
    <w:rsid w:val="00D36253"/>
    <w:rsid w:val="00D37888"/>
    <w:rsid w:val="00D37FE6"/>
    <w:rsid w:val="00D56BB9"/>
    <w:rsid w:val="00D6439E"/>
    <w:rsid w:val="00D650CE"/>
    <w:rsid w:val="00D8303D"/>
    <w:rsid w:val="00D8758B"/>
    <w:rsid w:val="00D963BE"/>
    <w:rsid w:val="00DA7D09"/>
    <w:rsid w:val="00DB060B"/>
    <w:rsid w:val="00DC31E0"/>
    <w:rsid w:val="00DC49E9"/>
    <w:rsid w:val="00DD469E"/>
    <w:rsid w:val="00DD70ED"/>
    <w:rsid w:val="00DE0B96"/>
    <w:rsid w:val="00DE260E"/>
    <w:rsid w:val="00DE3CF5"/>
    <w:rsid w:val="00DF0413"/>
    <w:rsid w:val="00DF0B13"/>
    <w:rsid w:val="00DF1281"/>
    <w:rsid w:val="00DF4A94"/>
    <w:rsid w:val="00E02A1E"/>
    <w:rsid w:val="00E066C3"/>
    <w:rsid w:val="00E06753"/>
    <w:rsid w:val="00E11A6D"/>
    <w:rsid w:val="00E1353A"/>
    <w:rsid w:val="00E14D65"/>
    <w:rsid w:val="00E153FC"/>
    <w:rsid w:val="00E1564B"/>
    <w:rsid w:val="00E1647A"/>
    <w:rsid w:val="00E208A0"/>
    <w:rsid w:val="00E25A73"/>
    <w:rsid w:val="00E347C8"/>
    <w:rsid w:val="00E355D2"/>
    <w:rsid w:val="00E376AA"/>
    <w:rsid w:val="00E41C8B"/>
    <w:rsid w:val="00E55D60"/>
    <w:rsid w:val="00E628EA"/>
    <w:rsid w:val="00E677DD"/>
    <w:rsid w:val="00E76CA0"/>
    <w:rsid w:val="00E829A2"/>
    <w:rsid w:val="00E85C2B"/>
    <w:rsid w:val="00EB6C07"/>
    <w:rsid w:val="00EC028D"/>
    <w:rsid w:val="00EC3BE8"/>
    <w:rsid w:val="00ED06CD"/>
    <w:rsid w:val="00ED5883"/>
    <w:rsid w:val="00ED633B"/>
    <w:rsid w:val="00EE478C"/>
    <w:rsid w:val="00EF57B1"/>
    <w:rsid w:val="00F11CFC"/>
    <w:rsid w:val="00F11DA1"/>
    <w:rsid w:val="00F13ADE"/>
    <w:rsid w:val="00F26FE2"/>
    <w:rsid w:val="00F3018A"/>
    <w:rsid w:val="00F41B40"/>
    <w:rsid w:val="00F43923"/>
    <w:rsid w:val="00F55B2D"/>
    <w:rsid w:val="00F61326"/>
    <w:rsid w:val="00F66BF2"/>
    <w:rsid w:val="00F70963"/>
    <w:rsid w:val="00F71E6D"/>
    <w:rsid w:val="00F74B98"/>
    <w:rsid w:val="00F975B1"/>
    <w:rsid w:val="00FB2869"/>
    <w:rsid w:val="00FC4A73"/>
    <w:rsid w:val="00FD13CD"/>
    <w:rsid w:val="00FE645A"/>
    <w:rsid w:val="00FE7A0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0353"/>
    <o:shapelayout v:ext="edit">
      <o:idmap v:ext="edit" data="1"/>
    </o:shapelayout>
  </w:shapeDefaults>
  <w:decimalSymbol w:val="."/>
  <w:listSeparator w:val=","/>
  <w14:docId w14:val="3FC0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82A"/>
    <w:pPr>
      <w:spacing w:before="240" w:after="60" w:line="240" w:lineRule="auto"/>
    </w:pPr>
    <w:rPr>
      <w:sz w:val="24"/>
      <w:szCs w:val="24"/>
    </w:rPr>
  </w:style>
  <w:style w:type="paragraph" w:styleId="Heading1">
    <w:name w:val="heading 1"/>
    <w:basedOn w:val="Normal"/>
    <w:next w:val="Normal"/>
    <w:link w:val="Heading1Char"/>
    <w:uiPriority w:val="9"/>
    <w:qFormat/>
    <w:rsid w:val="001D390D"/>
    <w:pPr>
      <w:keepNext/>
      <w:keepLines/>
      <w:spacing w:before="480" w:after="240"/>
      <w:outlineLvl w:val="0"/>
    </w:pPr>
    <w:rPr>
      <w:rFonts w:eastAsiaTheme="majorEastAsia" w:cstheme="majorBidi"/>
      <w:b/>
      <w:bCs/>
      <w:sz w:val="40"/>
      <w:szCs w:val="28"/>
    </w:rPr>
  </w:style>
  <w:style w:type="paragraph" w:styleId="Heading2">
    <w:name w:val="heading 2"/>
    <w:basedOn w:val="Heading1"/>
    <w:next w:val="Normal"/>
    <w:link w:val="Heading2Char"/>
    <w:uiPriority w:val="9"/>
    <w:unhideWhenUsed/>
    <w:qFormat/>
    <w:rsid w:val="006E3C52"/>
    <w:pPr>
      <w:outlineLvl w:val="1"/>
    </w:pPr>
  </w:style>
  <w:style w:type="paragraph" w:styleId="Heading3">
    <w:name w:val="heading 3"/>
    <w:basedOn w:val="Heading2"/>
    <w:next w:val="Normal"/>
    <w:link w:val="Heading3Char"/>
    <w:uiPriority w:val="9"/>
    <w:unhideWhenUsed/>
    <w:qFormat/>
    <w:rsid w:val="00A430ED"/>
    <w:pPr>
      <w:spacing w:before="360"/>
      <w:outlineLvl w:val="2"/>
    </w:pPr>
    <w:rPr>
      <w:sz w:val="32"/>
      <w:szCs w:val="32"/>
    </w:rPr>
  </w:style>
  <w:style w:type="paragraph" w:styleId="Heading4">
    <w:name w:val="heading 4"/>
    <w:basedOn w:val="Heading3"/>
    <w:next w:val="Normal"/>
    <w:link w:val="Heading4Char"/>
    <w:uiPriority w:val="9"/>
    <w:unhideWhenUsed/>
    <w:qFormat/>
    <w:rsid w:val="00A430ED"/>
    <w:pPr>
      <w:outlineLvl w:val="3"/>
    </w:pPr>
    <w:rPr>
      <w:sz w:val="28"/>
      <w:szCs w:val="28"/>
    </w:rPr>
  </w:style>
  <w:style w:type="paragraph" w:styleId="Heading5">
    <w:name w:val="heading 5"/>
    <w:basedOn w:val="Heading4"/>
    <w:next w:val="Normal"/>
    <w:link w:val="Heading5Char"/>
    <w:uiPriority w:val="9"/>
    <w:unhideWhenUsed/>
    <w:qFormat/>
    <w:rsid w:val="0052233C"/>
    <w:pPr>
      <w:spacing w:after="120"/>
      <w:outlineLvl w:val="4"/>
    </w:pPr>
    <w:rPr>
      <w:i/>
      <w:sz w:val="24"/>
      <w:szCs w:val="24"/>
    </w:rPr>
  </w:style>
  <w:style w:type="paragraph" w:styleId="Heading6">
    <w:name w:val="heading 6"/>
    <w:basedOn w:val="Heading2"/>
    <w:next w:val="Normal"/>
    <w:link w:val="Heading6Char"/>
    <w:uiPriority w:val="9"/>
    <w:unhideWhenUsed/>
    <w:qFormat/>
    <w:rsid w:val="00A430ED"/>
    <w:pPr>
      <w:spacing w:before="360"/>
      <w:outlineLvl w:val="5"/>
    </w:pPr>
    <w:rPr>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390D"/>
    <w:rPr>
      <w:rFonts w:eastAsiaTheme="majorEastAsia" w:cstheme="majorBidi"/>
      <w:b/>
      <w:bCs/>
      <w:sz w:val="40"/>
      <w:szCs w:val="28"/>
    </w:rPr>
  </w:style>
  <w:style w:type="character" w:customStyle="1" w:styleId="Heading2Char">
    <w:name w:val="Heading 2 Char"/>
    <w:basedOn w:val="DefaultParagraphFont"/>
    <w:link w:val="Heading2"/>
    <w:uiPriority w:val="9"/>
    <w:rsid w:val="006E3C52"/>
    <w:rPr>
      <w:rFonts w:eastAsiaTheme="majorEastAsia" w:cstheme="majorBidi"/>
      <w:b/>
      <w:bCs/>
      <w:sz w:val="40"/>
      <w:szCs w:val="28"/>
    </w:rPr>
  </w:style>
  <w:style w:type="character" w:customStyle="1" w:styleId="Heading3Char">
    <w:name w:val="Heading 3 Char"/>
    <w:basedOn w:val="DefaultParagraphFont"/>
    <w:link w:val="Heading3"/>
    <w:uiPriority w:val="9"/>
    <w:rsid w:val="00A430ED"/>
    <w:rPr>
      <w:rFonts w:eastAsiaTheme="majorEastAsia" w:cstheme="majorBidi"/>
      <w:b/>
      <w:bCs/>
      <w:sz w:val="32"/>
      <w:szCs w:val="32"/>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nhideWhenUsed/>
    <w:rsid w:val="00E677DD"/>
    <w:rPr>
      <w:sz w:val="16"/>
      <w:szCs w:val="16"/>
    </w:rPr>
  </w:style>
  <w:style w:type="paragraph" w:styleId="CommentText">
    <w:name w:val="annotation text"/>
    <w:basedOn w:val="Normal"/>
    <w:link w:val="CommentTextChar"/>
    <w:unhideWhenUsed/>
    <w:rsid w:val="00E677DD"/>
    <w:rPr>
      <w:sz w:val="20"/>
      <w:szCs w:val="20"/>
    </w:rPr>
  </w:style>
  <w:style w:type="character" w:customStyle="1" w:styleId="CommentTextChar">
    <w:name w:val="Comment Text Char"/>
    <w:basedOn w:val="DefaultParagraphFont"/>
    <w:link w:val="CommentText"/>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A430ED"/>
    <w:rPr>
      <w:rFonts w:eastAsiaTheme="majorEastAsia" w:cstheme="majorBidi"/>
      <w:b/>
      <w:bCs/>
      <w:sz w:val="28"/>
      <w:szCs w:val="28"/>
    </w:rPr>
  </w:style>
  <w:style w:type="character" w:customStyle="1" w:styleId="Heading5Char">
    <w:name w:val="Heading 5 Char"/>
    <w:basedOn w:val="DefaultParagraphFont"/>
    <w:link w:val="Heading5"/>
    <w:uiPriority w:val="9"/>
    <w:rsid w:val="0052233C"/>
    <w:rPr>
      <w:rFonts w:eastAsiaTheme="majorEastAsia" w:cstheme="majorBidi"/>
      <w:b/>
      <w:bCs/>
      <w: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2F63ED"/>
    <w:pPr>
      <w:spacing w:before="200" w:after="20"/>
    </w:pPr>
    <w:rPr>
      <w:sz w:val="24"/>
      <w:szCs w:val="24"/>
    </w:rPr>
  </w:style>
  <w:style w:type="paragraph" w:customStyle="1" w:styleId="Figurecaption">
    <w:name w:val="Figure caption"/>
    <w:basedOn w:val="Normal"/>
    <w:link w:val="FigurecaptionChar"/>
    <w:qFormat/>
    <w:rsid w:val="006874BA"/>
    <w:rPr>
      <w:sz w:val="20"/>
      <w:szCs w:val="20"/>
      <w:lang w:eastAsia="en-US"/>
    </w:rPr>
  </w:style>
  <w:style w:type="character" w:customStyle="1" w:styleId="FigurecaptionChar">
    <w:name w:val="Figure caption Char"/>
    <w:basedOn w:val="DefaultParagraphFont"/>
    <w:link w:val="Figurecaption"/>
    <w:rsid w:val="006874BA"/>
    <w:rPr>
      <w:sz w:val="20"/>
      <w:szCs w:val="20"/>
      <w:lang w:eastAsia="en-US"/>
    </w:rPr>
  </w:style>
  <w:style w:type="paragraph" w:styleId="FootnoteText">
    <w:name w:val="footnote text"/>
    <w:basedOn w:val="Normal"/>
    <w:link w:val="FootnoteTextChar"/>
    <w:uiPriority w:val="99"/>
    <w:unhideWhenUsed/>
    <w:rsid w:val="008142B4"/>
    <w:pPr>
      <w:spacing w:after="0"/>
    </w:pPr>
    <w:rPr>
      <w:sz w:val="18"/>
      <w:szCs w:val="20"/>
    </w:rPr>
  </w:style>
  <w:style w:type="character" w:customStyle="1" w:styleId="FootnoteTextChar">
    <w:name w:val="Footnote Text Char"/>
    <w:basedOn w:val="DefaultParagraphFont"/>
    <w:link w:val="FootnoteText"/>
    <w:uiPriority w:val="99"/>
    <w:rsid w:val="008142B4"/>
    <w:rPr>
      <w:sz w:val="18"/>
      <w:szCs w:val="20"/>
    </w:rPr>
  </w:style>
  <w:style w:type="character" w:styleId="FootnoteReference">
    <w:name w:val="footnote reference"/>
    <w:basedOn w:val="DefaultParagraphFont"/>
    <w:uiPriority w:val="99"/>
    <w:unhideWhenUsed/>
    <w:rsid w:val="008142B4"/>
    <w:rPr>
      <w:vertAlign w:val="superscript"/>
    </w:rPr>
  </w:style>
  <w:style w:type="character" w:customStyle="1" w:styleId="TabletitleChar">
    <w:name w:val="Table title Char"/>
    <w:basedOn w:val="Heading4Char"/>
    <w:link w:val="Tabletitle"/>
    <w:rsid w:val="002F63ED"/>
    <w:rPr>
      <w:rFonts w:eastAsiaTheme="majorEastAsia" w:cstheme="majorBidi"/>
      <w:b/>
      <w:bCs/>
      <w:sz w:val="24"/>
      <w:szCs w:val="24"/>
    </w:rPr>
  </w:style>
  <w:style w:type="paragraph" w:customStyle="1" w:styleId="Figuretitle">
    <w:name w:val="Figure title"/>
    <w:basedOn w:val="Tabletitle"/>
    <w:link w:val="FiguretitleChar"/>
    <w:qFormat/>
    <w:rsid w:val="006874BA"/>
    <w:pPr>
      <w:spacing w:before="60" w:after="60"/>
    </w:pPr>
    <w:rPr>
      <w:lang w:val="en-US"/>
    </w:rPr>
  </w:style>
  <w:style w:type="character" w:customStyle="1" w:styleId="FiguretitleChar">
    <w:name w:val="Figure title Char"/>
    <w:basedOn w:val="TabletitleChar"/>
    <w:link w:val="Figuretitle"/>
    <w:rsid w:val="006874BA"/>
    <w:rPr>
      <w:rFonts w:eastAsiaTheme="majorEastAsia" w:cstheme="majorBidi"/>
      <w:b/>
      <w:bCs/>
      <w:sz w:val="24"/>
      <w:szCs w:val="24"/>
      <w:lang w:val="en-US"/>
    </w:rPr>
  </w:style>
  <w:style w:type="paragraph" w:styleId="NoSpacing">
    <w:name w:val="No Spacing"/>
    <w:uiPriority w:val="1"/>
    <w:qFormat/>
    <w:rsid w:val="00BB0D1A"/>
    <w:pPr>
      <w:spacing w:after="0" w:line="240" w:lineRule="auto"/>
    </w:pPr>
    <w:rPr>
      <w:sz w:val="24"/>
      <w:szCs w:val="24"/>
    </w:rPr>
  </w:style>
  <w:style w:type="character" w:styleId="Hyperlink">
    <w:name w:val="Hyperlink"/>
    <w:basedOn w:val="DefaultParagraphFont"/>
    <w:uiPriority w:val="99"/>
    <w:unhideWhenUsed/>
    <w:rsid w:val="00561CB4"/>
    <w:rPr>
      <w:color w:val="0000FF" w:themeColor="hyperlink"/>
      <w:u w:val="single"/>
    </w:rPr>
  </w:style>
  <w:style w:type="paragraph" w:styleId="Subtitle">
    <w:name w:val="Subtitle"/>
    <w:basedOn w:val="Heading1"/>
    <w:next w:val="Normal"/>
    <w:link w:val="SubtitleChar"/>
    <w:uiPriority w:val="11"/>
    <w:qFormat/>
    <w:rsid w:val="00252D19"/>
  </w:style>
  <w:style w:type="character" w:customStyle="1" w:styleId="SubtitleChar">
    <w:name w:val="Subtitle Char"/>
    <w:basedOn w:val="DefaultParagraphFont"/>
    <w:link w:val="Subtitle"/>
    <w:uiPriority w:val="11"/>
    <w:rsid w:val="00252D19"/>
    <w:rPr>
      <w:rFonts w:eastAsiaTheme="majorEastAsia" w:cstheme="majorBidi"/>
      <w:b/>
      <w:bCs/>
      <w:sz w:val="40"/>
      <w:szCs w:val="28"/>
    </w:rPr>
  </w:style>
  <w:style w:type="paragraph" w:styleId="ListParagraph">
    <w:name w:val="List Paragraph"/>
    <w:basedOn w:val="Normal"/>
    <w:link w:val="ListParagraphChar"/>
    <w:uiPriority w:val="34"/>
    <w:qFormat/>
    <w:rsid w:val="000409B2"/>
    <w:pPr>
      <w:numPr>
        <w:numId w:val="2"/>
      </w:numPr>
      <w:contextualSpacing/>
    </w:pPr>
    <w:rPr>
      <w:rFonts w:eastAsia="MS Mincho" w:cs="Times New Roman"/>
    </w:rPr>
  </w:style>
  <w:style w:type="character" w:customStyle="1" w:styleId="ListParagraphChar">
    <w:name w:val="List Paragraph Char"/>
    <w:link w:val="ListParagraph"/>
    <w:uiPriority w:val="34"/>
    <w:rsid w:val="000409B2"/>
    <w:rPr>
      <w:rFonts w:eastAsia="MS Mincho" w:cs="Times New Roman"/>
      <w:sz w:val="24"/>
      <w:szCs w:val="24"/>
    </w:rPr>
  </w:style>
  <w:style w:type="paragraph" w:customStyle="1" w:styleId="dotpoint">
    <w:name w:val="dot point"/>
    <w:basedOn w:val="ListParagraph"/>
    <w:link w:val="dotpointChar"/>
    <w:qFormat/>
    <w:rsid w:val="006874BA"/>
    <w:pPr>
      <w:numPr>
        <w:numId w:val="4"/>
      </w:numPr>
      <w:spacing w:after="200"/>
      <w:ind w:left="714" w:hanging="357"/>
      <w:contextualSpacing w:val="0"/>
    </w:pPr>
  </w:style>
  <w:style w:type="character" w:customStyle="1" w:styleId="dotpointChar">
    <w:name w:val="dot point Char"/>
    <w:basedOn w:val="ListParagraphChar"/>
    <w:link w:val="dotpoint"/>
    <w:rsid w:val="006874BA"/>
    <w:rPr>
      <w:rFonts w:ascii="Calibri" w:eastAsia="MS Mincho" w:hAnsi="Calibri" w:cs="Calibri"/>
      <w:sz w:val="24"/>
      <w:szCs w:val="24"/>
      <w:lang w:eastAsia="en-US"/>
    </w:rPr>
  </w:style>
  <w:style w:type="paragraph" w:customStyle="1" w:styleId="Tablecaption">
    <w:name w:val="Table caption"/>
    <w:basedOn w:val="Figurecaption"/>
    <w:link w:val="TablecaptionChar"/>
    <w:qFormat/>
    <w:rsid w:val="00E76CA0"/>
    <w:pPr>
      <w:spacing w:before="60"/>
    </w:pPr>
  </w:style>
  <w:style w:type="paragraph" w:customStyle="1" w:styleId="li21">
    <w:name w:val="li2_1"/>
    <w:basedOn w:val="Normal"/>
    <w:rsid w:val="00361870"/>
    <w:pPr>
      <w:spacing w:before="100" w:beforeAutospacing="1" w:after="100" w:afterAutospacing="1"/>
    </w:pPr>
    <w:rPr>
      <w:rFonts w:ascii="Times New Roman" w:eastAsiaTheme="minorHAnsi" w:hAnsi="Times New Roman" w:cs="Times New Roman"/>
    </w:rPr>
  </w:style>
  <w:style w:type="character" w:customStyle="1" w:styleId="TablecaptionChar">
    <w:name w:val="Table caption Char"/>
    <w:basedOn w:val="FigurecaptionChar"/>
    <w:link w:val="Tablecaption"/>
    <w:rsid w:val="00E76CA0"/>
    <w:rPr>
      <w:sz w:val="20"/>
      <w:szCs w:val="20"/>
      <w:lang w:eastAsia="en-US"/>
    </w:rPr>
  </w:style>
  <w:style w:type="character" w:customStyle="1" w:styleId="Heading6Char">
    <w:name w:val="Heading 6 Char"/>
    <w:basedOn w:val="DefaultParagraphFont"/>
    <w:link w:val="Heading6"/>
    <w:uiPriority w:val="9"/>
    <w:rsid w:val="00A430ED"/>
    <w:rPr>
      <w:rFonts w:eastAsiaTheme="majorEastAsia" w:cstheme="majorBidi"/>
      <w:b/>
      <w:bCs/>
      <w:i/>
      <w:sz w:val="24"/>
      <w:szCs w:val="24"/>
    </w:rPr>
  </w:style>
  <w:style w:type="character" w:customStyle="1" w:styleId="def-number1">
    <w:name w:val="def-number1"/>
    <w:basedOn w:val="DefaultParagraphFont"/>
    <w:rsid w:val="00637CB6"/>
    <w:rPr>
      <w:vanish w:val="0"/>
      <w:webHidden w:val="0"/>
      <w:specVanish w:val="0"/>
    </w:rPr>
  </w:style>
  <w:style w:type="character" w:customStyle="1" w:styleId="dbox-italic1">
    <w:name w:val="dbox-italic1"/>
    <w:basedOn w:val="DefaultParagraphFont"/>
    <w:rsid w:val="00637CB6"/>
    <w:rPr>
      <w:i/>
      <w:iCs/>
      <w:vanish w:val="0"/>
      <w:webHidden w:val="0"/>
      <w:specVanish w:val="0"/>
    </w:rPr>
  </w:style>
  <w:style w:type="paragraph" w:styleId="Revision">
    <w:name w:val="Revision"/>
    <w:hidden/>
    <w:uiPriority w:val="99"/>
    <w:semiHidden/>
    <w:rsid w:val="00464352"/>
    <w:pPr>
      <w:spacing w:after="0" w:line="240" w:lineRule="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82A"/>
    <w:pPr>
      <w:spacing w:before="240" w:after="60" w:line="240" w:lineRule="auto"/>
    </w:pPr>
    <w:rPr>
      <w:sz w:val="24"/>
      <w:szCs w:val="24"/>
    </w:rPr>
  </w:style>
  <w:style w:type="paragraph" w:styleId="Heading1">
    <w:name w:val="heading 1"/>
    <w:basedOn w:val="Normal"/>
    <w:next w:val="Normal"/>
    <w:link w:val="Heading1Char"/>
    <w:uiPriority w:val="9"/>
    <w:qFormat/>
    <w:rsid w:val="001D390D"/>
    <w:pPr>
      <w:keepNext/>
      <w:keepLines/>
      <w:spacing w:before="480" w:after="240"/>
      <w:outlineLvl w:val="0"/>
    </w:pPr>
    <w:rPr>
      <w:rFonts w:eastAsiaTheme="majorEastAsia" w:cstheme="majorBidi"/>
      <w:b/>
      <w:bCs/>
      <w:sz w:val="40"/>
      <w:szCs w:val="28"/>
    </w:rPr>
  </w:style>
  <w:style w:type="paragraph" w:styleId="Heading2">
    <w:name w:val="heading 2"/>
    <w:basedOn w:val="Heading1"/>
    <w:next w:val="Normal"/>
    <w:link w:val="Heading2Char"/>
    <w:uiPriority w:val="9"/>
    <w:unhideWhenUsed/>
    <w:qFormat/>
    <w:rsid w:val="006E3C52"/>
    <w:pPr>
      <w:outlineLvl w:val="1"/>
    </w:pPr>
  </w:style>
  <w:style w:type="paragraph" w:styleId="Heading3">
    <w:name w:val="heading 3"/>
    <w:basedOn w:val="Heading2"/>
    <w:next w:val="Normal"/>
    <w:link w:val="Heading3Char"/>
    <w:uiPriority w:val="9"/>
    <w:unhideWhenUsed/>
    <w:qFormat/>
    <w:rsid w:val="00A430ED"/>
    <w:pPr>
      <w:spacing w:before="360"/>
      <w:outlineLvl w:val="2"/>
    </w:pPr>
    <w:rPr>
      <w:sz w:val="32"/>
      <w:szCs w:val="32"/>
    </w:rPr>
  </w:style>
  <w:style w:type="paragraph" w:styleId="Heading4">
    <w:name w:val="heading 4"/>
    <w:basedOn w:val="Heading3"/>
    <w:next w:val="Normal"/>
    <w:link w:val="Heading4Char"/>
    <w:uiPriority w:val="9"/>
    <w:unhideWhenUsed/>
    <w:qFormat/>
    <w:rsid w:val="00A430ED"/>
    <w:pPr>
      <w:outlineLvl w:val="3"/>
    </w:pPr>
    <w:rPr>
      <w:sz w:val="28"/>
      <w:szCs w:val="28"/>
    </w:rPr>
  </w:style>
  <w:style w:type="paragraph" w:styleId="Heading5">
    <w:name w:val="heading 5"/>
    <w:basedOn w:val="Heading4"/>
    <w:next w:val="Normal"/>
    <w:link w:val="Heading5Char"/>
    <w:uiPriority w:val="9"/>
    <w:unhideWhenUsed/>
    <w:qFormat/>
    <w:rsid w:val="0052233C"/>
    <w:pPr>
      <w:spacing w:after="120"/>
      <w:outlineLvl w:val="4"/>
    </w:pPr>
    <w:rPr>
      <w:i/>
      <w:sz w:val="24"/>
      <w:szCs w:val="24"/>
    </w:rPr>
  </w:style>
  <w:style w:type="paragraph" w:styleId="Heading6">
    <w:name w:val="heading 6"/>
    <w:basedOn w:val="Heading2"/>
    <w:next w:val="Normal"/>
    <w:link w:val="Heading6Char"/>
    <w:uiPriority w:val="9"/>
    <w:unhideWhenUsed/>
    <w:qFormat/>
    <w:rsid w:val="00A430ED"/>
    <w:pPr>
      <w:spacing w:before="360"/>
      <w:outlineLvl w:val="5"/>
    </w:pPr>
    <w:rPr>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390D"/>
    <w:rPr>
      <w:rFonts w:eastAsiaTheme="majorEastAsia" w:cstheme="majorBidi"/>
      <w:b/>
      <w:bCs/>
      <w:sz w:val="40"/>
      <w:szCs w:val="28"/>
    </w:rPr>
  </w:style>
  <w:style w:type="character" w:customStyle="1" w:styleId="Heading2Char">
    <w:name w:val="Heading 2 Char"/>
    <w:basedOn w:val="DefaultParagraphFont"/>
    <w:link w:val="Heading2"/>
    <w:uiPriority w:val="9"/>
    <w:rsid w:val="006E3C52"/>
    <w:rPr>
      <w:rFonts w:eastAsiaTheme="majorEastAsia" w:cstheme="majorBidi"/>
      <w:b/>
      <w:bCs/>
      <w:sz w:val="40"/>
      <w:szCs w:val="28"/>
    </w:rPr>
  </w:style>
  <w:style w:type="character" w:customStyle="1" w:styleId="Heading3Char">
    <w:name w:val="Heading 3 Char"/>
    <w:basedOn w:val="DefaultParagraphFont"/>
    <w:link w:val="Heading3"/>
    <w:uiPriority w:val="9"/>
    <w:rsid w:val="00A430ED"/>
    <w:rPr>
      <w:rFonts w:eastAsiaTheme="majorEastAsia" w:cstheme="majorBidi"/>
      <w:b/>
      <w:bCs/>
      <w:sz w:val="32"/>
      <w:szCs w:val="32"/>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nhideWhenUsed/>
    <w:rsid w:val="00E677DD"/>
    <w:rPr>
      <w:sz w:val="16"/>
      <w:szCs w:val="16"/>
    </w:rPr>
  </w:style>
  <w:style w:type="paragraph" w:styleId="CommentText">
    <w:name w:val="annotation text"/>
    <w:basedOn w:val="Normal"/>
    <w:link w:val="CommentTextChar"/>
    <w:unhideWhenUsed/>
    <w:rsid w:val="00E677DD"/>
    <w:rPr>
      <w:sz w:val="20"/>
      <w:szCs w:val="20"/>
    </w:rPr>
  </w:style>
  <w:style w:type="character" w:customStyle="1" w:styleId="CommentTextChar">
    <w:name w:val="Comment Text Char"/>
    <w:basedOn w:val="DefaultParagraphFont"/>
    <w:link w:val="CommentText"/>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A430ED"/>
    <w:rPr>
      <w:rFonts w:eastAsiaTheme="majorEastAsia" w:cstheme="majorBidi"/>
      <w:b/>
      <w:bCs/>
      <w:sz w:val="28"/>
      <w:szCs w:val="28"/>
    </w:rPr>
  </w:style>
  <w:style w:type="character" w:customStyle="1" w:styleId="Heading5Char">
    <w:name w:val="Heading 5 Char"/>
    <w:basedOn w:val="DefaultParagraphFont"/>
    <w:link w:val="Heading5"/>
    <w:uiPriority w:val="9"/>
    <w:rsid w:val="0052233C"/>
    <w:rPr>
      <w:rFonts w:eastAsiaTheme="majorEastAsia" w:cstheme="majorBidi"/>
      <w:b/>
      <w:bCs/>
      <w: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2F63ED"/>
    <w:pPr>
      <w:spacing w:before="200" w:after="20"/>
    </w:pPr>
    <w:rPr>
      <w:sz w:val="24"/>
      <w:szCs w:val="24"/>
    </w:rPr>
  </w:style>
  <w:style w:type="paragraph" w:customStyle="1" w:styleId="Figurecaption">
    <w:name w:val="Figure caption"/>
    <w:basedOn w:val="Normal"/>
    <w:link w:val="FigurecaptionChar"/>
    <w:qFormat/>
    <w:rsid w:val="006874BA"/>
    <w:rPr>
      <w:sz w:val="20"/>
      <w:szCs w:val="20"/>
      <w:lang w:eastAsia="en-US"/>
    </w:rPr>
  </w:style>
  <w:style w:type="character" w:customStyle="1" w:styleId="FigurecaptionChar">
    <w:name w:val="Figure caption Char"/>
    <w:basedOn w:val="DefaultParagraphFont"/>
    <w:link w:val="Figurecaption"/>
    <w:rsid w:val="006874BA"/>
    <w:rPr>
      <w:sz w:val="20"/>
      <w:szCs w:val="20"/>
      <w:lang w:eastAsia="en-US"/>
    </w:rPr>
  </w:style>
  <w:style w:type="paragraph" w:styleId="FootnoteText">
    <w:name w:val="footnote text"/>
    <w:basedOn w:val="Normal"/>
    <w:link w:val="FootnoteTextChar"/>
    <w:uiPriority w:val="99"/>
    <w:unhideWhenUsed/>
    <w:rsid w:val="008142B4"/>
    <w:pPr>
      <w:spacing w:after="0"/>
    </w:pPr>
    <w:rPr>
      <w:sz w:val="18"/>
      <w:szCs w:val="20"/>
    </w:rPr>
  </w:style>
  <w:style w:type="character" w:customStyle="1" w:styleId="FootnoteTextChar">
    <w:name w:val="Footnote Text Char"/>
    <w:basedOn w:val="DefaultParagraphFont"/>
    <w:link w:val="FootnoteText"/>
    <w:uiPriority w:val="99"/>
    <w:rsid w:val="008142B4"/>
    <w:rPr>
      <w:sz w:val="18"/>
      <w:szCs w:val="20"/>
    </w:rPr>
  </w:style>
  <w:style w:type="character" w:styleId="FootnoteReference">
    <w:name w:val="footnote reference"/>
    <w:basedOn w:val="DefaultParagraphFont"/>
    <w:uiPriority w:val="99"/>
    <w:unhideWhenUsed/>
    <w:rsid w:val="008142B4"/>
    <w:rPr>
      <w:vertAlign w:val="superscript"/>
    </w:rPr>
  </w:style>
  <w:style w:type="character" w:customStyle="1" w:styleId="TabletitleChar">
    <w:name w:val="Table title Char"/>
    <w:basedOn w:val="Heading4Char"/>
    <w:link w:val="Tabletitle"/>
    <w:rsid w:val="002F63ED"/>
    <w:rPr>
      <w:rFonts w:eastAsiaTheme="majorEastAsia" w:cstheme="majorBidi"/>
      <w:b/>
      <w:bCs/>
      <w:sz w:val="24"/>
      <w:szCs w:val="24"/>
    </w:rPr>
  </w:style>
  <w:style w:type="paragraph" w:customStyle="1" w:styleId="Figuretitle">
    <w:name w:val="Figure title"/>
    <w:basedOn w:val="Tabletitle"/>
    <w:link w:val="FiguretitleChar"/>
    <w:qFormat/>
    <w:rsid w:val="006874BA"/>
    <w:pPr>
      <w:spacing w:before="60" w:after="60"/>
    </w:pPr>
    <w:rPr>
      <w:lang w:val="en-US"/>
    </w:rPr>
  </w:style>
  <w:style w:type="character" w:customStyle="1" w:styleId="FiguretitleChar">
    <w:name w:val="Figure title Char"/>
    <w:basedOn w:val="TabletitleChar"/>
    <w:link w:val="Figuretitle"/>
    <w:rsid w:val="006874BA"/>
    <w:rPr>
      <w:rFonts w:eastAsiaTheme="majorEastAsia" w:cstheme="majorBidi"/>
      <w:b/>
      <w:bCs/>
      <w:sz w:val="24"/>
      <w:szCs w:val="24"/>
      <w:lang w:val="en-US"/>
    </w:rPr>
  </w:style>
  <w:style w:type="paragraph" w:styleId="NoSpacing">
    <w:name w:val="No Spacing"/>
    <w:uiPriority w:val="1"/>
    <w:qFormat/>
    <w:rsid w:val="00BB0D1A"/>
    <w:pPr>
      <w:spacing w:after="0" w:line="240" w:lineRule="auto"/>
    </w:pPr>
    <w:rPr>
      <w:sz w:val="24"/>
      <w:szCs w:val="24"/>
    </w:rPr>
  </w:style>
  <w:style w:type="character" w:styleId="Hyperlink">
    <w:name w:val="Hyperlink"/>
    <w:basedOn w:val="DefaultParagraphFont"/>
    <w:uiPriority w:val="99"/>
    <w:unhideWhenUsed/>
    <w:rsid w:val="00561CB4"/>
    <w:rPr>
      <w:color w:val="0000FF" w:themeColor="hyperlink"/>
      <w:u w:val="single"/>
    </w:rPr>
  </w:style>
  <w:style w:type="paragraph" w:styleId="Subtitle">
    <w:name w:val="Subtitle"/>
    <w:basedOn w:val="Heading1"/>
    <w:next w:val="Normal"/>
    <w:link w:val="SubtitleChar"/>
    <w:uiPriority w:val="11"/>
    <w:qFormat/>
    <w:rsid w:val="00252D19"/>
  </w:style>
  <w:style w:type="character" w:customStyle="1" w:styleId="SubtitleChar">
    <w:name w:val="Subtitle Char"/>
    <w:basedOn w:val="DefaultParagraphFont"/>
    <w:link w:val="Subtitle"/>
    <w:uiPriority w:val="11"/>
    <w:rsid w:val="00252D19"/>
    <w:rPr>
      <w:rFonts w:eastAsiaTheme="majorEastAsia" w:cstheme="majorBidi"/>
      <w:b/>
      <w:bCs/>
      <w:sz w:val="40"/>
      <w:szCs w:val="28"/>
    </w:rPr>
  </w:style>
  <w:style w:type="paragraph" w:styleId="ListParagraph">
    <w:name w:val="List Paragraph"/>
    <w:basedOn w:val="Normal"/>
    <w:link w:val="ListParagraphChar"/>
    <w:uiPriority w:val="34"/>
    <w:qFormat/>
    <w:rsid w:val="000409B2"/>
    <w:pPr>
      <w:numPr>
        <w:numId w:val="2"/>
      </w:numPr>
      <w:contextualSpacing/>
    </w:pPr>
    <w:rPr>
      <w:rFonts w:eastAsia="MS Mincho" w:cs="Times New Roman"/>
    </w:rPr>
  </w:style>
  <w:style w:type="character" w:customStyle="1" w:styleId="ListParagraphChar">
    <w:name w:val="List Paragraph Char"/>
    <w:link w:val="ListParagraph"/>
    <w:uiPriority w:val="34"/>
    <w:rsid w:val="000409B2"/>
    <w:rPr>
      <w:rFonts w:eastAsia="MS Mincho" w:cs="Times New Roman"/>
      <w:sz w:val="24"/>
      <w:szCs w:val="24"/>
    </w:rPr>
  </w:style>
  <w:style w:type="paragraph" w:customStyle="1" w:styleId="dotpoint">
    <w:name w:val="dot point"/>
    <w:basedOn w:val="ListParagraph"/>
    <w:link w:val="dotpointChar"/>
    <w:qFormat/>
    <w:rsid w:val="006874BA"/>
    <w:pPr>
      <w:numPr>
        <w:numId w:val="4"/>
      </w:numPr>
      <w:spacing w:after="200"/>
      <w:ind w:left="714" w:hanging="357"/>
      <w:contextualSpacing w:val="0"/>
    </w:pPr>
  </w:style>
  <w:style w:type="character" w:customStyle="1" w:styleId="dotpointChar">
    <w:name w:val="dot point Char"/>
    <w:basedOn w:val="ListParagraphChar"/>
    <w:link w:val="dotpoint"/>
    <w:rsid w:val="006874BA"/>
    <w:rPr>
      <w:rFonts w:ascii="Calibri" w:eastAsia="MS Mincho" w:hAnsi="Calibri" w:cs="Calibri"/>
      <w:sz w:val="24"/>
      <w:szCs w:val="24"/>
      <w:lang w:eastAsia="en-US"/>
    </w:rPr>
  </w:style>
  <w:style w:type="paragraph" w:customStyle="1" w:styleId="Tablecaption">
    <w:name w:val="Table caption"/>
    <w:basedOn w:val="Figurecaption"/>
    <w:link w:val="TablecaptionChar"/>
    <w:qFormat/>
    <w:rsid w:val="00E76CA0"/>
    <w:pPr>
      <w:spacing w:before="60"/>
    </w:pPr>
  </w:style>
  <w:style w:type="paragraph" w:customStyle="1" w:styleId="li21">
    <w:name w:val="li2_1"/>
    <w:basedOn w:val="Normal"/>
    <w:rsid w:val="00361870"/>
    <w:pPr>
      <w:spacing w:before="100" w:beforeAutospacing="1" w:after="100" w:afterAutospacing="1"/>
    </w:pPr>
    <w:rPr>
      <w:rFonts w:ascii="Times New Roman" w:eastAsiaTheme="minorHAnsi" w:hAnsi="Times New Roman" w:cs="Times New Roman"/>
    </w:rPr>
  </w:style>
  <w:style w:type="character" w:customStyle="1" w:styleId="TablecaptionChar">
    <w:name w:val="Table caption Char"/>
    <w:basedOn w:val="FigurecaptionChar"/>
    <w:link w:val="Tablecaption"/>
    <w:rsid w:val="00E76CA0"/>
    <w:rPr>
      <w:sz w:val="20"/>
      <w:szCs w:val="20"/>
      <w:lang w:eastAsia="en-US"/>
    </w:rPr>
  </w:style>
  <w:style w:type="character" w:customStyle="1" w:styleId="Heading6Char">
    <w:name w:val="Heading 6 Char"/>
    <w:basedOn w:val="DefaultParagraphFont"/>
    <w:link w:val="Heading6"/>
    <w:uiPriority w:val="9"/>
    <w:rsid w:val="00A430ED"/>
    <w:rPr>
      <w:rFonts w:eastAsiaTheme="majorEastAsia" w:cstheme="majorBidi"/>
      <w:b/>
      <w:bCs/>
      <w:i/>
      <w:sz w:val="24"/>
      <w:szCs w:val="24"/>
    </w:rPr>
  </w:style>
  <w:style w:type="character" w:customStyle="1" w:styleId="def-number1">
    <w:name w:val="def-number1"/>
    <w:basedOn w:val="DefaultParagraphFont"/>
    <w:rsid w:val="00637CB6"/>
    <w:rPr>
      <w:vanish w:val="0"/>
      <w:webHidden w:val="0"/>
      <w:specVanish w:val="0"/>
    </w:rPr>
  </w:style>
  <w:style w:type="character" w:customStyle="1" w:styleId="dbox-italic1">
    <w:name w:val="dbox-italic1"/>
    <w:basedOn w:val="DefaultParagraphFont"/>
    <w:rsid w:val="00637CB6"/>
    <w:rPr>
      <w:i/>
      <w:iCs/>
      <w:vanish w:val="0"/>
      <w:webHidden w:val="0"/>
      <w:specVanish w:val="0"/>
    </w:rPr>
  </w:style>
  <w:style w:type="paragraph" w:styleId="Revision">
    <w:name w:val="Revision"/>
    <w:hidden/>
    <w:uiPriority w:val="99"/>
    <w:semiHidden/>
    <w:rsid w:val="00464352"/>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23544">
      <w:bodyDiv w:val="1"/>
      <w:marLeft w:val="0"/>
      <w:marRight w:val="0"/>
      <w:marTop w:val="0"/>
      <w:marBottom w:val="0"/>
      <w:divBdr>
        <w:top w:val="none" w:sz="0" w:space="0" w:color="auto"/>
        <w:left w:val="none" w:sz="0" w:space="0" w:color="auto"/>
        <w:bottom w:val="none" w:sz="0" w:space="0" w:color="auto"/>
        <w:right w:val="none" w:sz="0" w:space="0" w:color="auto"/>
      </w:divBdr>
      <w:divsChild>
        <w:div w:id="1504735894">
          <w:marLeft w:val="0"/>
          <w:marRight w:val="0"/>
          <w:marTop w:val="240"/>
          <w:marBottom w:val="480"/>
          <w:divBdr>
            <w:top w:val="none" w:sz="0" w:space="0" w:color="auto"/>
            <w:left w:val="none" w:sz="0" w:space="0" w:color="auto"/>
            <w:bottom w:val="none" w:sz="0" w:space="0" w:color="auto"/>
            <w:right w:val="none" w:sz="0" w:space="0" w:color="auto"/>
          </w:divBdr>
          <w:divsChild>
            <w:div w:id="5599646">
              <w:marLeft w:val="0"/>
              <w:marRight w:val="0"/>
              <w:marTop w:val="0"/>
              <w:marBottom w:val="0"/>
              <w:divBdr>
                <w:top w:val="none" w:sz="0" w:space="0" w:color="auto"/>
                <w:left w:val="none" w:sz="0" w:space="0" w:color="auto"/>
                <w:bottom w:val="none" w:sz="0" w:space="0" w:color="auto"/>
                <w:right w:val="none" w:sz="0" w:space="0" w:color="auto"/>
              </w:divBdr>
              <w:divsChild>
                <w:div w:id="1554003638">
                  <w:marLeft w:val="0"/>
                  <w:marRight w:val="0"/>
                  <w:marTop w:val="0"/>
                  <w:marBottom w:val="0"/>
                  <w:divBdr>
                    <w:top w:val="none" w:sz="0" w:space="0" w:color="auto"/>
                    <w:left w:val="none" w:sz="0" w:space="0" w:color="auto"/>
                    <w:bottom w:val="none" w:sz="0" w:space="0" w:color="auto"/>
                    <w:right w:val="none" w:sz="0" w:space="0" w:color="auto"/>
                  </w:divBdr>
                  <w:divsChild>
                    <w:div w:id="207731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85943">
      <w:bodyDiv w:val="1"/>
      <w:marLeft w:val="0"/>
      <w:marRight w:val="0"/>
      <w:marTop w:val="0"/>
      <w:marBottom w:val="0"/>
      <w:divBdr>
        <w:top w:val="none" w:sz="0" w:space="0" w:color="auto"/>
        <w:left w:val="none" w:sz="0" w:space="0" w:color="auto"/>
        <w:bottom w:val="none" w:sz="0" w:space="0" w:color="auto"/>
        <w:right w:val="none" w:sz="0" w:space="0" w:color="auto"/>
      </w:divBdr>
      <w:divsChild>
        <w:div w:id="1956516472">
          <w:marLeft w:val="0"/>
          <w:marRight w:val="0"/>
          <w:marTop w:val="240"/>
          <w:marBottom w:val="480"/>
          <w:divBdr>
            <w:top w:val="none" w:sz="0" w:space="0" w:color="auto"/>
            <w:left w:val="none" w:sz="0" w:space="0" w:color="auto"/>
            <w:bottom w:val="none" w:sz="0" w:space="0" w:color="auto"/>
            <w:right w:val="none" w:sz="0" w:space="0" w:color="auto"/>
          </w:divBdr>
          <w:divsChild>
            <w:div w:id="47919421">
              <w:marLeft w:val="0"/>
              <w:marRight w:val="0"/>
              <w:marTop w:val="0"/>
              <w:marBottom w:val="0"/>
              <w:divBdr>
                <w:top w:val="none" w:sz="0" w:space="0" w:color="auto"/>
                <w:left w:val="none" w:sz="0" w:space="0" w:color="auto"/>
                <w:bottom w:val="none" w:sz="0" w:space="0" w:color="auto"/>
                <w:right w:val="none" w:sz="0" w:space="0" w:color="auto"/>
              </w:divBdr>
              <w:divsChild>
                <w:div w:id="1300719506">
                  <w:marLeft w:val="0"/>
                  <w:marRight w:val="0"/>
                  <w:marTop w:val="0"/>
                  <w:marBottom w:val="0"/>
                  <w:divBdr>
                    <w:top w:val="none" w:sz="0" w:space="0" w:color="auto"/>
                    <w:left w:val="none" w:sz="0" w:space="0" w:color="auto"/>
                    <w:bottom w:val="none" w:sz="0" w:space="0" w:color="auto"/>
                    <w:right w:val="none" w:sz="0" w:space="0" w:color="auto"/>
                  </w:divBdr>
                  <w:divsChild>
                    <w:div w:id="198950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490307">
      <w:bodyDiv w:val="1"/>
      <w:marLeft w:val="0"/>
      <w:marRight w:val="0"/>
      <w:marTop w:val="0"/>
      <w:marBottom w:val="0"/>
      <w:divBdr>
        <w:top w:val="none" w:sz="0" w:space="0" w:color="auto"/>
        <w:left w:val="none" w:sz="0" w:space="0" w:color="auto"/>
        <w:bottom w:val="none" w:sz="0" w:space="0" w:color="auto"/>
        <w:right w:val="none" w:sz="0" w:space="0" w:color="auto"/>
      </w:divBdr>
      <w:divsChild>
        <w:div w:id="22248534">
          <w:marLeft w:val="0"/>
          <w:marRight w:val="0"/>
          <w:marTop w:val="240"/>
          <w:marBottom w:val="480"/>
          <w:divBdr>
            <w:top w:val="none" w:sz="0" w:space="0" w:color="auto"/>
            <w:left w:val="none" w:sz="0" w:space="0" w:color="auto"/>
            <w:bottom w:val="none" w:sz="0" w:space="0" w:color="auto"/>
            <w:right w:val="none" w:sz="0" w:space="0" w:color="auto"/>
          </w:divBdr>
          <w:divsChild>
            <w:div w:id="1740908080">
              <w:marLeft w:val="0"/>
              <w:marRight w:val="0"/>
              <w:marTop w:val="0"/>
              <w:marBottom w:val="0"/>
              <w:divBdr>
                <w:top w:val="none" w:sz="0" w:space="0" w:color="auto"/>
                <w:left w:val="none" w:sz="0" w:space="0" w:color="auto"/>
                <w:bottom w:val="none" w:sz="0" w:space="0" w:color="auto"/>
                <w:right w:val="none" w:sz="0" w:space="0" w:color="auto"/>
              </w:divBdr>
              <w:divsChild>
                <w:div w:id="779646590">
                  <w:marLeft w:val="0"/>
                  <w:marRight w:val="0"/>
                  <w:marTop w:val="0"/>
                  <w:marBottom w:val="0"/>
                  <w:divBdr>
                    <w:top w:val="none" w:sz="0" w:space="0" w:color="auto"/>
                    <w:left w:val="none" w:sz="0" w:space="0" w:color="auto"/>
                    <w:bottom w:val="none" w:sz="0" w:space="0" w:color="auto"/>
                    <w:right w:val="none" w:sz="0" w:space="0" w:color="auto"/>
                  </w:divBdr>
                  <w:divsChild>
                    <w:div w:id="128912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667520">
      <w:bodyDiv w:val="1"/>
      <w:marLeft w:val="0"/>
      <w:marRight w:val="0"/>
      <w:marTop w:val="0"/>
      <w:marBottom w:val="0"/>
      <w:divBdr>
        <w:top w:val="none" w:sz="0" w:space="0" w:color="auto"/>
        <w:left w:val="none" w:sz="0" w:space="0" w:color="auto"/>
        <w:bottom w:val="none" w:sz="0" w:space="0" w:color="auto"/>
        <w:right w:val="none" w:sz="0" w:space="0" w:color="auto"/>
      </w:divBdr>
    </w:div>
    <w:div w:id="427042611">
      <w:bodyDiv w:val="1"/>
      <w:marLeft w:val="0"/>
      <w:marRight w:val="0"/>
      <w:marTop w:val="0"/>
      <w:marBottom w:val="0"/>
      <w:divBdr>
        <w:top w:val="none" w:sz="0" w:space="0" w:color="auto"/>
        <w:left w:val="none" w:sz="0" w:space="0" w:color="auto"/>
        <w:bottom w:val="none" w:sz="0" w:space="0" w:color="auto"/>
        <w:right w:val="none" w:sz="0" w:space="0" w:color="auto"/>
      </w:divBdr>
      <w:divsChild>
        <w:div w:id="2103717154">
          <w:marLeft w:val="0"/>
          <w:marRight w:val="0"/>
          <w:marTop w:val="0"/>
          <w:marBottom w:val="0"/>
          <w:divBdr>
            <w:top w:val="none" w:sz="0" w:space="0" w:color="auto"/>
            <w:left w:val="none" w:sz="0" w:space="0" w:color="auto"/>
            <w:bottom w:val="none" w:sz="0" w:space="0" w:color="auto"/>
            <w:right w:val="none" w:sz="0" w:space="0" w:color="auto"/>
          </w:divBdr>
          <w:divsChild>
            <w:div w:id="1337145591">
              <w:marLeft w:val="-225"/>
              <w:marRight w:val="-225"/>
              <w:marTop w:val="0"/>
              <w:marBottom w:val="0"/>
              <w:divBdr>
                <w:top w:val="none" w:sz="0" w:space="0" w:color="auto"/>
                <w:left w:val="none" w:sz="0" w:space="0" w:color="auto"/>
                <w:bottom w:val="none" w:sz="0" w:space="0" w:color="auto"/>
                <w:right w:val="none" w:sz="0" w:space="0" w:color="auto"/>
              </w:divBdr>
              <w:divsChild>
                <w:div w:id="536353482">
                  <w:marLeft w:val="0"/>
                  <w:marRight w:val="0"/>
                  <w:marTop w:val="0"/>
                  <w:marBottom w:val="0"/>
                  <w:divBdr>
                    <w:top w:val="none" w:sz="0" w:space="0" w:color="auto"/>
                    <w:left w:val="none" w:sz="0" w:space="0" w:color="auto"/>
                    <w:bottom w:val="none" w:sz="0" w:space="0" w:color="auto"/>
                    <w:right w:val="none" w:sz="0" w:space="0" w:color="auto"/>
                  </w:divBdr>
                  <w:divsChild>
                    <w:div w:id="10955930">
                      <w:marLeft w:val="0"/>
                      <w:marRight w:val="0"/>
                      <w:marTop w:val="0"/>
                      <w:marBottom w:val="0"/>
                      <w:divBdr>
                        <w:top w:val="none" w:sz="0" w:space="0" w:color="auto"/>
                        <w:left w:val="none" w:sz="0" w:space="0" w:color="auto"/>
                        <w:bottom w:val="none" w:sz="0" w:space="0" w:color="auto"/>
                        <w:right w:val="none" w:sz="0" w:space="0" w:color="auto"/>
                      </w:divBdr>
                      <w:divsChild>
                        <w:div w:id="798300395">
                          <w:marLeft w:val="0"/>
                          <w:marRight w:val="0"/>
                          <w:marTop w:val="0"/>
                          <w:marBottom w:val="0"/>
                          <w:divBdr>
                            <w:top w:val="none" w:sz="0" w:space="0" w:color="auto"/>
                            <w:left w:val="none" w:sz="0" w:space="0" w:color="auto"/>
                            <w:bottom w:val="none" w:sz="0" w:space="0" w:color="auto"/>
                            <w:right w:val="none" w:sz="0" w:space="0" w:color="auto"/>
                          </w:divBdr>
                          <w:divsChild>
                            <w:div w:id="583296996">
                              <w:marLeft w:val="0"/>
                              <w:marRight w:val="0"/>
                              <w:marTop w:val="0"/>
                              <w:marBottom w:val="0"/>
                              <w:divBdr>
                                <w:top w:val="none" w:sz="0" w:space="0" w:color="auto"/>
                                <w:left w:val="none" w:sz="0" w:space="0" w:color="auto"/>
                                <w:bottom w:val="none" w:sz="0" w:space="0" w:color="auto"/>
                                <w:right w:val="none" w:sz="0" w:space="0" w:color="auto"/>
                              </w:divBdr>
                              <w:divsChild>
                                <w:div w:id="701436653">
                                  <w:marLeft w:val="0"/>
                                  <w:marRight w:val="0"/>
                                  <w:marTop w:val="0"/>
                                  <w:marBottom w:val="0"/>
                                  <w:divBdr>
                                    <w:top w:val="none" w:sz="0" w:space="0" w:color="auto"/>
                                    <w:left w:val="none" w:sz="0" w:space="0" w:color="auto"/>
                                    <w:bottom w:val="none" w:sz="0" w:space="0" w:color="auto"/>
                                    <w:right w:val="none" w:sz="0" w:space="0" w:color="auto"/>
                                  </w:divBdr>
                                  <w:divsChild>
                                    <w:div w:id="799496823">
                                      <w:marLeft w:val="0"/>
                                      <w:marRight w:val="0"/>
                                      <w:marTop w:val="0"/>
                                      <w:marBottom w:val="0"/>
                                      <w:divBdr>
                                        <w:top w:val="none" w:sz="0" w:space="0" w:color="auto"/>
                                        <w:left w:val="none" w:sz="0" w:space="0" w:color="auto"/>
                                        <w:bottom w:val="none" w:sz="0" w:space="0" w:color="auto"/>
                                        <w:right w:val="none" w:sz="0" w:space="0" w:color="auto"/>
                                      </w:divBdr>
                                    </w:div>
                                  </w:divsChild>
                                </w:div>
                                <w:div w:id="55058251">
                                  <w:marLeft w:val="0"/>
                                  <w:marRight w:val="0"/>
                                  <w:marTop w:val="0"/>
                                  <w:marBottom w:val="0"/>
                                  <w:divBdr>
                                    <w:top w:val="none" w:sz="0" w:space="0" w:color="auto"/>
                                    <w:left w:val="none" w:sz="0" w:space="0" w:color="auto"/>
                                    <w:bottom w:val="none" w:sz="0" w:space="0" w:color="auto"/>
                                    <w:right w:val="none" w:sz="0" w:space="0" w:color="auto"/>
                                  </w:divBdr>
                                  <w:divsChild>
                                    <w:div w:id="88907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6631243">
      <w:bodyDiv w:val="1"/>
      <w:marLeft w:val="0"/>
      <w:marRight w:val="0"/>
      <w:marTop w:val="0"/>
      <w:marBottom w:val="0"/>
      <w:divBdr>
        <w:top w:val="none" w:sz="0" w:space="0" w:color="auto"/>
        <w:left w:val="none" w:sz="0" w:space="0" w:color="auto"/>
        <w:bottom w:val="none" w:sz="0" w:space="0" w:color="auto"/>
        <w:right w:val="none" w:sz="0" w:space="0" w:color="auto"/>
      </w:divBdr>
      <w:divsChild>
        <w:div w:id="746152200">
          <w:marLeft w:val="0"/>
          <w:marRight w:val="0"/>
          <w:marTop w:val="240"/>
          <w:marBottom w:val="480"/>
          <w:divBdr>
            <w:top w:val="none" w:sz="0" w:space="0" w:color="auto"/>
            <w:left w:val="none" w:sz="0" w:space="0" w:color="auto"/>
            <w:bottom w:val="none" w:sz="0" w:space="0" w:color="auto"/>
            <w:right w:val="none" w:sz="0" w:space="0" w:color="auto"/>
          </w:divBdr>
          <w:divsChild>
            <w:div w:id="1716546068">
              <w:marLeft w:val="0"/>
              <w:marRight w:val="0"/>
              <w:marTop w:val="0"/>
              <w:marBottom w:val="0"/>
              <w:divBdr>
                <w:top w:val="none" w:sz="0" w:space="0" w:color="auto"/>
                <w:left w:val="none" w:sz="0" w:space="0" w:color="auto"/>
                <w:bottom w:val="none" w:sz="0" w:space="0" w:color="auto"/>
                <w:right w:val="none" w:sz="0" w:space="0" w:color="auto"/>
              </w:divBdr>
              <w:divsChild>
                <w:div w:id="749501094">
                  <w:marLeft w:val="0"/>
                  <w:marRight w:val="0"/>
                  <w:marTop w:val="0"/>
                  <w:marBottom w:val="0"/>
                  <w:divBdr>
                    <w:top w:val="none" w:sz="0" w:space="0" w:color="auto"/>
                    <w:left w:val="none" w:sz="0" w:space="0" w:color="auto"/>
                    <w:bottom w:val="none" w:sz="0" w:space="0" w:color="auto"/>
                    <w:right w:val="none" w:sz="0" w:space="0" w:color="auto"/>
                  </w:divBdr>
                  <w:divsChild>
                    <w:div w:id="32186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805532">
      <w:bodyDiv w:val="1"/>
      <w:marLeft w:val="0"/>
      <w:marRight w:val="0"/>
      <w:marTop w:val="0"/>
      <w:marBottom w:val="0"/>
      <w:divBdr>
        <w:top w:val="none" w:sz="0" w:space="0" w:color="auto"/>
        <w:left w:val="none" w:sz="0" w:space="0" w:color="auto"/>
        <w:bottom w:val="none" w:sz="0" w:space="0" w:color="auto"/>
        <w:right w:val="none" w:sz="0" w:space="0" w:color="auto"/>
      </w:divBdr>
      <w:divsChild>
        <w:div w:id="681661097">
          <w:marLeft w:val="0"/>
          <w:marRight w:val="0"/>
          <w:marTop w:val="240"/>
          <w:marBottom w:val="480"/>
          <w:divBdr>
            <w:top w:val="none" w:sz="0" w:space="0" w:color="auto"/>
            <w:left w:val="none" w:sz="0" w:space="0" w:color="auto"/>
            <w:bottom w:val="none" w:sz="0" w:space="0" w:color="auto"/>
            <w:right w:val="none" w:sz="0" w:space="0" w:color="auto"/>
          </w:divBdr>
          <w:divsChild>
            <w:div w:id="576288671">
              <w:marLeft w:val="0"/>
              <w:marRight w:val="0"/>
              <w:marTop w:val="0"/>
              <w:marBottom w:val="0"/>
              <w:divBdr>
                <w:top w:val="none" w:sz="0" w:space="0" w:color="auto"/>
                <w:left w:val="none" w:sz="0" w:space="0" w:color="auto"/>
                <w:bottom w:val="none" w:sz="0" w:space="0" w:color="auto"/>
                <w:right w:val="none" w:sz="0" w:space="0" w:color="auto"/>
              </w:divBdr>
              <w:divsChild>
                <w:div w:id="1809080491">
                  <w:marLeft w:val="0"/>
                  <w:marRight w:val="0"/>
                  <w:marTop w:val="0"/>
                  <w:marBottom w:val="0"/>
                  <w:divBdr>
                    <w:top w:val="none" w:sz="0" w:space="0" w:color="auto"/>
                    <w:left w:val="none" w:sz="0" w:space="0" w:color="auto"/>
                    <w:bottom w:val="none" w:sz="0" w:space="0" w:color="auto"/>
                    <w:right w:val="none" w:sz="0" w:space="0" w:color="auto"/>
                  </w:divBdr>
                  <w:divsChild>
                    <w:div w:id="5798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395803">
      <w:bodyDiv w:val="1"/>
      <w:marLeft w:val="0"/>
      <w:marRight w:val="0"/>
      <w:marTop w:val="0"/>
      <w:marBottom w:val="0"/>
      <w:divBdr>
        <w:top w:val="none" w:sz="0" w:space="0" w:color="auto"/>
        <w:left w:val="none" w:sz="0" w:space="0" w:color="auto"/>
        <w:bottom w:val="none" w:sz="0" w:space="0" w:color="auto"/>
        <w:right w:val="none" w:sz="0" w:space="0" w:color="auto"/>
      </w:divBdr>
      <w:divsChild>
        <w:div w:id="1485001599">
          <w:marLeft w:val="0"/>
          <w:marRight w:val="0"/>
          <w:marTop w:val="240"/>
          <w:marBottom w:val="480"/>
          <w:divBdr>
            <w:top w:val="none" w:sz="0" w:space="0" w:color="auto"/>
            <w:left w:val="none" w:sz="0" w:space="0" w:color="auto"/>
            <w:bottom w:val="none" w:sz="0" w:space="0" w:color="auto"/>
            <w:right w:val="none" w:sz="0" w:space="0" w:color="auto"/>
          </w:divBdr>
          <w:divsChild>
            <w:div w:id="1969386490">
              <w:marLeft w:val="0"/>
              <w:marRight w:val="0"/>
              <w:marTop w:val="0"/>
              <w:marBottom w:val="0"/>
              <w:divBdr>
                <w:top w:val="none" w:sz="0" w:space="0" w:color="auto"/>
                <w:left w:val="none" w:sz="0" w:space="0" w:color="auto"/>
                <w:bottom w:val="none" w:sz="0" w:space="0" w:color="auto"/>
                <w:right w:val="none" w:sz="0" w:space="0" w:color="auto"/>
              </w:divBdr>
              <w:divsChild>
                <w:div w:id="874660685">
                  <w:marLeft w:val="0"/>
                  <w:marRight w:val="0"/>
                  <w:marTop w:val="0"/>
                  <w:marBottom w:val="0"/>
                  <w:divBdr>
                    <w:top w:val="none" w:sz="0" w:space="0" w:color="auto"/>
                    <w:left w:val="none" w:sz="0" w:space="0" w:color="auto"/>
                    <w:bottom w:val="none" w:sz="0" w:space="0" w:color="auto"/>
                    <w:right w:val="none" w:sz="0" w:space="0" w:color="auto"/>
                  </w:divBdr>
                  <w:divsChild>
                    <w:div w:id="72811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410659">
      <w:bodyDiv w:val="1"/>
      <w:marLeft w:val="0"/>
      <w:marRight w:val="0"/>
      <w:marTop w:val="0"/>
      <w:marBottom w:val="0"/>
      <w:divBdr>
        <w:top w:val="none" w:sz="0" w:space="0" w:color="auto"/>
        <w:left w:val="none" w:sz="0" w:space="0" w:color="auto"/>
        <w:bottom w:val="none" w:sz="0" w:space="0" w:color="auto"/>
        <w:right w:val="none" w:sz="0" w:space="0" w:color="auto"/>
      </w:divBdr>
      <w:divsChild>
        <w:div w:id="296885912">
          <w:marLeft w:val="0"/>
          <w:marRight w:val="0"/>
          <w:marTop w:val="240"/>
          <w:marBottom w:val="480"/>
          <w:divBdr>
            <w:top w:val="none" w:sz="0" w:space="0" w:color="auto"/>
            <w:left w:val="none" w:sz="0" w:space="0" w:color="auto"/>
            <w:bottom w:val="none" w:sz="0" w:space="0" w:color="auto"/>
            <w:right w:val="none" w:sz="0" w:space="0" w:color="auto"/>
          </w:divBdr>
          <w:divsChild>
            <w:div w:id="1506168201">
              <w:marLeft w:val="0"/>
              <w:marRight w:val="0"/>
              <w:marTop w:val="0"/>
              <w:marBottom w:val="0"/>
              <w:divBdr>
                <w:top w:val="none" w:sz="0" w:space="0" w:color="auto"/>
                <w:left w:val="none" w:sz="0" w:space="0" w:color="auto"/>
                <w:bottom w:val="none" w:sz="0" w:space="0" w:color="auto"/>
                <w:right w:val="none" w:sz="0" w:space="0" w:color="auto"/>
              </w:divBdr>
              <w:divsChild>
                <w:div w:id="829834761">
                  <w:marLeft w:val="0"/>
                  <w:marRight w:val="0"/>
                  <w:marTop w:val="0"/>
                  <w:marBottom w:val="0"/>
                  <w:divBdr>
                    <w:top w:val="none" w:sz="0" w:space="0" w:color="auto"/>
                    <w:left w:val="none" w:sz="0" w:space="0" w:color="auto"/>
                    <w:bottom w:val="none" w:sz="0" w:space="0" w:color="auto"/>
                    <w:right w:val="none" w:sz="0" w:space="0" w:color="auto"/>
                  </w:divBdr>
                  <w:divsChild>
                    <w:div w:id="47063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200151">
      <w:bodyDiv w:val="1"/>
      <w:marLeft w:val="0"/>
      <w:marRight w:val="0"/>
      <w:marTop w:val="0"/>
      <w:marBottom w:val="0"/>
      <w:divBdr>
        <w:top w:val="none" w:sz="0" w:space="0" w:color="auto"/>
        <w:left w:val="none" w:sz="0" w:space="0" w:color="auto"/>
        <w:bottom w:val="none" w:sz="0" w:space="0" w:color="auto"/>
        <w:right w:val="none" w:sz="0" w:space="0" w:color="auto"/>
      </w:divBdr>
      <w:divsChild>
        <w:div w:id="334693118">
          <w:marLeft w:val="0"/>
          <w:marRight w:val="0"/>
          <w:marTop w:val="240"/>
          <w:marBottom w:val="480"/>
          <w:divBdr>
            <w:top w:val="none" w:sz="0" w:space="0" w:color="auto"/>
            <w:left w:val="none" w:sz="0" w:space="0" w:color="auto"/>
            <w:bottom w:val="none" w:sz="0" w:space="0" w:color="auto"/>
            <w:right w:val="none" w:sz="0" w:space="0" w:color="auto"/>
          </w:divBdr>
          <w:divsChild>
            <w:div w:id="507142508">
              <w:marLeft w:val="0"/>
              <w:marRight w:val="0"/>
              <w:marTop w:val="0"/>
              <w:marBottom w:val="0"/>
              <w:divBdr>
                <w:top w:val="none" w:sz="0" w:space="0" w:color="auto"/>
                <w:left w:val="none" w:sz="0" w:space="0" w:color="auto"/>
                <w:bottom w:val="none" w:sz="0" w:space="0" w:color="auto"/>
                <w:right w:val="none" w:sz="0" w:space="0" w:color="auto"/>
              </w:divBdr>
              <w:divsChild>
                <w:div w:id="2033265274">
                  <w:marLeft w:val="0"/>
                  <w:marRight w:val="0"/>
                  <w:marTop w:val="0"/>
                  <w:marBottom w:val="0"/>
                  <w:divBdr>
                    <w:top w:val="none" w:sz="0" w:space="0" w:color="auto"/>
                    <w:left w:val="none" w:sz="0" w:space="0" w:color="auto"/>
                    <w:bottom w:val="none" w:sz="0" w:space="0" w:color="auto"/>
                    <w:right w:val="none" w:sz="0" w:space="0" w:color="auto"/>
                  </w:divBdr>
                  <w:divsChild>
                    <w:div w:id="86448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876332">
      <w:bodyDiv w:val="1"/>
      <w:marLeft w:val="0"/>
      <w:marRight w:val="0"/>
      <w:marTop w:val="0"/>
      <w:marBottom w:val="0"/>
      <w:divBdr>
        <w:top w:val="none" w:sz="0" w:space="0" w:color="auto"/>
        <w:left w:val="none" w:sz="0" w:space="0" w:color="auto"/>
        <w:bottom w:val="none" w:sz="0" w:space="0" w:color="auto"/>
        <w:right w:val="none" w:sz="0" w:space="0" w:color="auto"/>
      </w:divBdr>
      <w:divsChild>
        <w:div w:id="522280329">
          <w:marLeft w:val="0"/>
          <w:marRight w:val="0"/>
          <w:marTop w:val="240"/>
          <w:marBottom w:val="480"/>
          <w:divBdr>
            <w:top w:val="none" w:sz="0" w:space="0" w:color="auto"/>
            <w:left w:val="none" w:sz="0" w:space="0" w:color="auto"/>
            <w:bottom w:val="none" w:sz="0" w:space="0" w:color="auto"/>
            <w:right w:val="none" w:sz="0" w:space="0" w:color="auto"/>
          </w:divBdr>
          <w:divsChild>
            <w:div w:id="657155830">
              <w:marLeft w:val="0"/>
              <w:marRight w:val="0"/>
              <w:marTop w:val="0"/>
              <w:marBottom w:val="0"/>
              <w:divBdr>
                <w:top w:val="none" w:sz="0" w:space="0" w:color="auto"/>
                <w:left w:val="none" w:sz="0" w:space="0" w:color="auto"/>
                <w:bottom w:val="none" w:sz="0" w:space="0" w:color="auto"/>
                <w:right w:val="none" w:sz="0" w:space="0" w:color="auto"/>
              </w:divBdr>
              <w:divsChild>
                <w:div w:id="375471009">
                  <w:marLeft w:val="0"/>
                  <w:marRight w:val="0"/>
                  <w:marTop w:val="0"/>
                  <w:marBottom w:val="0"/>
                  <w:divBdr>
                    <w:top w:val="none" w:sz="0" w:space="0" w:color="auto"/>
                    <w:left w:val="none" w:sz="0" w:space="0" w:color="auto"/>
                    <w:bottom w:val="none" w:sz="0" w:space="0" w:color="auto"/>
                    <w:right w:val="none" w:sz="0" w:space="0" w:color="auto"/>
                  </w:divBdr>
                  <w:divsChild>
                    <w:div w:id="53689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610812">
      <w:bodyDiv w:val="1"/>
      <w:marLeft w:val="0"/>
      <w:marRight w:val="0"/>
      <w:marTop w:val="0"/>
      <w:marBottom w:val="0"/>
      <w:divBdr>
        <w:top w:val="none" w:sz="0" w:space="0" w:color="auto"/>
        <w:left w:val="none" w:sz="0" w:space="0" w:color="auto"/>
        <w:bottom w:val="none" w:sz="0" w:space="0" w:color="auto"/>
        <w:right w:val="none" w:sz="0" w:space="0" w:color="auto"/>
      </w:divBdr>
    </w:div>
    <w:div w:id="1884250041">
      <w:bodyDiv w:val="1"/>
      <w:marLeft w:val="0"/>
      <w:marRight w:val="0"/>
      <w:marTop w:val="0"/>
      <w:marBottom w:val="0"/>
      <w:divBdr>
        <w:top w:val="none" w:sz="0" w:space="0" w:color="auto"/>
        <w:left w:val="none" w:sz="0" w:space="0" w:color="auto"/>
        <w:bottom w:val="none" w:sz="0" w:space="0" w:color="auto"/>
        <w:right w:val="none" w:sz="0" w:space="0" w:color="auto"/>
      </w:divBdr>
      <w:divsChild>
        <w:div w:id="10769597">
          <w:marLeft w:val="0"/>
          <w:marRight w:val="0"/>
          <w:marTop w:val="240"/>
          <w:marBottom w:val="480"/>
          <w:divBdr>
            <w:top w:val="none" w:sz="0" w:space="0" w:color="auto"/>
            <w:left w:val="none" w:sz="0" w:space="0" w:color="auto"/>
            <w:bottom w:val="none" w:sz="0" w:space="0" w:color="auto"/>
            <w:right w:val="none" w:sz="0" w:space="0" w:color="auto"/>
          </w:divBdr>
          <w:divsChild>
            <w:div w:id="678119102">
              <w:marLeft w:val="0"/>
              <w:marRight w:val="0"/>
              <w:marTop w:val="0"/>
              <w:marBottom w:val="0"/>
              <w:divBdr>
                <w:top w:val="none" w:sz="0" w:space="0" w:color="auto"/>
                <w:left w:val="none" w:sz="0" w:space="0" w:color="auto"/>
                <w:bottom w:val="none" w:sz="0" w:space="0" w:color="auto"/>
                <w:right w:val="none" w:sz="0" w:space="0" w:color="auto"/>
              </w:divBdr>
              <w:divsChild>
                <w:div w:id="1672684971">
                  <w:marLeft w:val="0"/>
                  <w:marRight w:val="0"/>
                  <w:marTop w:val="0"/>
                  <w:marBottom w:val="0"/>
                  <w:divBdr>
                    <w:top w:val="none" w:sz="0" w:space="0" w:color="auto"/>
                    <w:left w:val="none" w:sz="0" w:space="0" w:color="auto"/>
                    <w:bottom w:val="none" w:sz="0" w:space="0" w:color="auto"/>
                    <w:right w:val="none" w:sz="0" w:space="0" w:color="auto"/>
                  </w:divBdr>
                  <w:divsChild>
                    <w:div w:id="33203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471319">
      <w:bodyDiv w:val="1"/>
      <w:marLeft w:val="0"/>
      <w:marRight w:val="0"/>
      <w:marTop w:val="0"/>
      <w:marBottom w:val="0"/>
      <w:divBdr>
        <w:top w:val="none" w:sz="0" w:space="0" w:color="auto"/>
        <w:left w:val="none" w:sz="0" w:space="0" w:color="auto"/>
        <w:bottom w:val="none" w:sz="0" w:space="0" w:color="auto"/>
        <w:right w:val="none" w:sz="0" w:space="0" w:color="auto"/>
      </w:divBdr>
      <w:divsChild>
        <w:div w:id="2027100752">
          <w:marLeft w:val="0"/>
          <w:marRight w:val="0"/>
          <w:marTop w:val="240"/>
          <w:marBottom w:val="480"/>
          <w:divBdr>
            <w:top w:val="none" w:sz="0" w:space="0" w:color="auto"/>
            <w:left w:val="none" w:sz="0" w:space="0" w:color="auto"/>
            <w:bottom w:val="none" w:sz="0" w:space="0" w:color="auto"/>
            <w:right w:val="none" w:sz="0" w:space="0" w:color="auto"/>
          </w:divBdr>
          <w:divsChild>
            <w:div w:id="624502623">
              <w:marLeft w:val="0"/>
              <w:marRight w:val="0"/>
              <w:marTop w:val="0"/>
              <w:marBottom w:val="0"/>
              <w:divBdr>
                <w:top w:val="none" w:sz="0" w:space="0" w:color="auto"/>
                <w:left w:val="none" w:sz="0" w:space="0" w:color="auto"/>
                <w:bottom w:val="none" w:sz="0" w:space="0" w:color="auto"/>
                <w:right w:val="none" w:sz="0" w:space="0" w:color="auto"/>
              </w:divBdr>
              <w:divsChild>
                <w:div w:id="365255567">
                  <w:marLeft w:val="0"/>
                  <w:marRight w:val="0"/>
                  <w:marTop w:val="0"/>
                  <w:marBottom w:val="0"/>
                  <w:divBdr>
                    <w:top w:val="none" w:sz="0" w:space="0" w:color="auto"/>
                    <w:left w:val="none" w:sz="0" w:space="0" w:color="auto"/>
                    <w:bottom w:val="none" w:sz="0" w:space="0" w:color="auto"/>
                    <w:right w:val="none" w:sz="0" w:space="0" w:color="auto"/>
                  </w:divBdr>
                  <w:divsChild>
                    <w:div w:id="92519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202704">
      <w:bodyDiv w:val="1"/>
      <w:marLeft w:val="0"/>
      <w:marRight w:val="0"/>
      <w:marTop w:val="0"/>
      <w:marBottom w:val="0"/>
      <w:divBdr>
        <w:top w:val="none" w:sz="0" w:space="0" w:color="auto"/>
        <w:left w:val="none" w:sz="0" w:space="0" w:color="auto"/>
        <w:bottom w:val="none" w:sz="0" w:space="0" w:color="auto"/>
        <w:right w:val="none" w:sz="0" w:space="0" w:color="auto"/>
      </w:divBdr>
      <w:divsChild>
        <w:div w:id="1386221405">
          <w:marLeft w:val="0"/>
          <w:marRight w:val="0"/>
          <w:marTop w:val="240"/>
          <w:marBottom w:val="480"/>
          <w:divBdr>
            <w:top w:val="none" w:sz="0" w:space="0" w:color="auto"/>
            <w:left w:val="none" w:sz="0" w:space="0" w:color="auto"/>
            <w:bottom w:val="none" w:sz="0" w:space="0" w:color="auto"/>
            <w:right w:val="none" w:sz="0" w:space="0" w:color="auto"/>
          </w:divBdr>
          <w:divsChild>
            <w:div w:id="2049330947">
              <w:marLeft w:val="0"/>
              <w:marRight w:val="0"/>
              <w:marTop w:val="0"/>
              <w:marBottom w:val="0"/>
              <w:divBdr>
                <w:top w:val="none" w:sz="0" w:space="0" w:color="auto"/>
                <w:left w:val="none" w:sz="0" w:space="0" w:color="auto"/>
                <w:bottom w:val="none" w:sz="0" w:space="0" w:color="auto"/>
                <w:right w:val="none" w:sz="0" w:space="0" w:color="auto"/>
              </w:divBdr>
              <w:divsChild>
                <w:div w:id="378407443">
                  <w:marLeft w:val="0"/>
                  <w:marRight w:val="0"/>
                  <w:marTop w:val="0"/>
                  <w:marBottom w:val="0"/>
                  <w:divBdr>
                    <w:top w:val="none" w:sz="0" w:space="0" w:color="auto"/>
                    <w:left w:val="none" w:sz="0" w:space="0" w:color="auto"/>
                    <w:bottom w:val="none" w:sz="0" w:space="0" w:color="auto"/>
                    <w:right w:val="none" w:sz="0" w:space="0" w:color="auto"/>
                  </w:divBdr>
                  <w:divsChild>
                    <w:div w:id="15749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footer" Target="footer1.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footer" Target="footer3.xml"/><Relationship Id="rId29" Type="http://schemas.openxmlformats.org/officeDocument/2006/relationships/hyperlink" Target="http://pbs.gov.au/info/industry/listing/elements/pbac-meetings/psd/2013-04/rifaximi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bs.gov.au/info/publication/schedule/archive" TargetMode="External"/><Relationship Id="rId24" Type="http://schemas.openxmlformats.org/officeDocument/2006/relationships/footer" Target="footer5.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footer" Target="footer4.xml"/><Relationship Id="rId28" Type="http://schemas.openxmlformats.org/officeDocument/2006/relationships/hyperlink" Target="http://pbs.gov.au/info/industry/listing/elements/pbac-meetings/psd/2013-07/linezolid" TargetMode="External"/><Relationship Id="rId10" Type="http://schemas.openxmlformats.org/officeDocument/2006/relationships/hyperlink" Target="http://www.pbs.gov.au/" TargetMode="External"/><Relationship Id="rId19" Type="http://schemas.openxmlformats.org/officeDocument/2006/relationships/footer" Target="footer2.xml"/><Relationship Id="rId31" Type="http://schemas.openxmlformats.org/officeDocument/2006/relationships/hyperlink" Target="http://pbs.gov.au/info/industry/listing/elements/pbac-meetings/pbac-outcomes/2012-11/positive-recommendations" TargetMode="External"/><Relationship Id="rId4" Type="http://schemas.microsoft.com/office/2007/relationships/stylesWithEffects" Target="stylesWithEffects.xml"/><Relationship Id="rId9" Type="http://schemas.openxmlformats.org/officeDocument/2006/relationships/hyperlink" Target="http://www.tga.gov.au/consumers/information-medicines-cmi.htm" TargetMode="External"/><Relationship Id="rId14" Type="http://schemas.openxmlformats.org/officeDocument/2006/relationships/chart" Target="charts/chart3.xml"/><Relationship Id="rId22" Type="http://schemas.openxmlformats.org/officeDocument/2006/relationships/header" Target="header2.xml"/><Relationship Id="rId27" Type="http://schemas.openxmlformats.org/officeDocument/2006/relationships/hyperlink" Target="http://pbs.gov.au/info/industry/listing/elements/pbac-meetings/psd/2013-11/tobramycin" TargetMode="External"/><Relationship Id="rId30" Type="http://schemas.openxmlformats.org/officeDocument/2006/relationships/hyperlink" Target="http://pbs.gov.au/info/industry/listing/elements/pbac-meetings/psd/2006-07/ciprofloxaci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safetyandquality.gov.au/national-priorities/amr-and-au-surveillance-project/" TargetMode="External"/><Relationship Id="rId7" Type="http://schemas.openxmlformats.org/officeDocument/2006/relationships/hyperlink" Target="http://www.health.gov.au/internet/main/publishing.nsf/Content/cdna-song-trachoma.htm" TargetMode="External"/><Relationship Id="rId2" Type="http://schemas.openxmlformats.org/officeDocument/2006/relationships/hyperlink" Target="http://dx.doi.org/10.1787/health_glance-2011-en" TargetMode="External"/><Relationship Id="rId1" Type="http://schemas.openxmlformats.org/officeDocument/2006/relationships/hyperlink" Target="http://dx.doi.org/10.1787/health_glance-2011-en" TargetMode="External"/><Relationship Id="rId6" Type="http://schemas.openxmlformats.org/officeDocument/2006/relationships/hyperlink" Target="https://www.ebs.tga.gov.au/ebs/picmi/picmirepository.nsf/pdf?OpenAgent&amp;id=CP-2013-PI-01071-1" TargetMode="External"/><Relationship Id="rId5" Type="http://schemas.openxmlformats.org/officeDocument/2006/relationships/hyperlink" Target="http://www.tga.gov.au/newsroom/consult-otc-chloramphenicol-131122.htm" TargetMode="External"/><Relationship Id="rId4" Type="http://schemas.openxmlformats.org/officeDocument/2006/relationships/hyperlink" Target="http://www.abs.gov.au/AUSSTATS/abs@.nsf/Lookup/3101.0Main+Features1Dec%202013?OpenDocumen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entral.health\DFSGroupData\Sites\CO1\CO\PBD\PEB\EVAL\DUSC\DUSC%20Documents\Predicted%20vs%20actual%20usage\PvA%20-%202014%20Oct\Antibiotics\Data%20update%2028%20August\D821%20-%20Scripts_PER_PATIENT_FREQ,%20S02CA%20adde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entral.health\DFSGroupData\Sites\CO1\CO\PBD\PEB\EVAL\DUSC\DUSC%20Documents\Predicted%20vs%20actual%20usage\PvA%20-%202014%20Oct\Antibiotics\D821%20-%20antibiotics%20PvA%20data%20-%20sched%20drug%20name%20v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entral.health\DFSGroupData\Sites\CO1\CO\PBD\PEB\EVAL\DUSC\DUSC%20Documents\Predicted%20vs%20actual%20usage\PvA%20-%202014%20Oct\Antibiotics\Data%20update%2028%20August\D821%20-%20PAT_CNT_BY_TOTAL_CALYEAR%20-%202013%20by%20age%20and%20gender,%20S02CA%20added.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entral.health\DFSGroupData\Sites\CO1\CO\PBD\PEB\EVAL\DUSC\DUSC%20Documents\Predicted%20vs%20actual%20usage\PvA%20-%202014%20Oct\Antibiotics\Data%20update%2028%20August\D821%20-%20antibiotics%20PvA%20data%20v2%20-%20by%20year,%20S02CA%20added%20-%20schedule%20drug%20name%20v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entral.health\DFSGroupData\Sites\CO1\CO\PBD\PEB\EVAL\DUSC\DUSC%20Documents\Predicted%20vs%20actual%20usage\PvA%20-%202014%20Oct\Antibiotics\Data%20update%2028%20August\D821%20-%20antibiotics%20PvA%20data%20v2%20-%20by%20year,%20S02CA%20added%20-%20schedule%20drug%20name%20v3.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entral.health\DFSGroupData\Sites\CO1\CO\PBD\PEB\EVAL\DUSC\DUSC%20Documents\Predicted%20vs%20actual%20usage\PvA%20-%202014%20Oct\Antibiotics\D821%20-%20antibiotics%20PvA%20data%20-%20sched%20drug%20name%20v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004105353750509"/>
          <c:y val="3.3643999045573851E-2"/>
          <c:w val="0.88075372487986736"/>
          <c:h val="0.76549522693475325"/>
        </c:manualLayout>
      </c:layout>
      <c:barChart>
        <c:barDir val="col"/>
        <c:grouping val="clustered"/>
        <c:varyColors val="0"/>
        <c:ser>
          <c:idx val="1"/>
          <c:order val="0"/>
          <c:tx>
            <c:strRef>
              <c:f>'# Rx and drugs by %pop'!$C$1:$C$2</c:f>
              <c:strCache>
                <c:ptCount val="1"/>
                <c:pt idx="0">
                  <c:v>Prescriptions</c:v>
                </c:pt>
              </c:strCache>
            </c:strRef>
          </c:tx>
          <c:spPr>
            <a:solidFill>
              <a:schemeClr val="accent6"/>
            </a:solidFill>
            <a:ln>
              <a:solidFill>
                <a:schemeClr val="accent6"/>
              </a:solidFill>
            </a:ln>
          </c:spPr>
          <c:invertIfNegative val="0"/>
          <c:cat>
            <c:strRef>
              <c:f>'# Rx and drugs by %pop'!$A$3:$A$15</c:f>
              <c:strCache>
                <c:ptCount val="13"/>
                <c:pt idx="0">
                  <c:v>1</c:v>
                </c:pt>
                <c:pt idx="1">
                  <c:v>2</c:v>
                </c:pt>
                <c:pt idx="2">
                  <c:v>3</c:v>
                </c:pt>
                <c:pt idx="3">
                  <c:v>4</c:v>
                </c:pt>
                <c:pt idx="4">
                  <c:v>5</c:v>
                </c:pt>
                <c:pt idx="5">
                  <c:v>6</c:v>
                </c:pt>
                <c:pt idx="6">
                  <c:v>7</c:v>
                </c:pt>
                <c:pt idx="7">
                  <c:v>8</c:v>
                </c:pt>
                <c:pt idx="8">
                  <c:v>9</c:v>
                </c:pt>
                <c:pt idx="9">
                  <c:v>10</c:v>
                </c:pt>
                <c:pt idx="10">
                  <c:v>11</c:v>
                </c:pt>
                <c:pt idx="11">
                  <c:v>12</c:v>
                </c:pt>
                <c:pt idx="12">
                  <c:v>&gt;12</c:v>
                </c:pt>
              </c:strCache>
            </c:strRef>
          </c:cat>
          <c:val>
            <c:numRef>
              <c:f>'# Rx and drugs by %pop'!$C$3:$C$15</c:f>
              <c:numCache>
                <c:formatCode>0%</c:formatCode>
                <c:ptCount val="13"/>
                <c:pt idx="0">
                  <c:v>0.18007054212372531</c:v>
                </c:pt>
                <c:pt idx="1">
                  <c:v>0.10765637194782027</c:v>
                </c:pt>
                <c:pt idx="2">
                  <c:v>5.5979184713157285E-2</c:v>
                </c:pt>
                <c:pt idx="3">
                  <c:v>3.4910375052531369E-2</c:v>
                </c:pt>
                <c:pt idx="4">
                  <c:v>2.0634879113527793E-2</c:v>
                </c:pt>
                <c:pt idx="5">
                  <c:v>1.3844052591404582E-2</c:v>
                </c:pt>
                <c:pt idx="6">
                  <c:v>8.9193975831282114E-3</c:v>
                </c:pt>
                <c:pt idx="7">
                  <c:v>6.2932579740473593E-3</c:v>
                </c:pt>
                <c:pt idx="8">
                  <c:v>4.3562012744753293E-3</c:v>
                </c:pt>
                <c:pt idx="9">
                  <c:v>3.243951388114617E-3</c:v>
                </c:pt>
                <c:pt idx="10">
                  <c:v>2.3816221686664323E-3</c:v>
                </c:pt>
                <c:pt idx="11">
                  <c:v>1.871017264595144E-3</c:v>
                </c:pt>
                <c:pt idx="12">
                  <c:v>7.5782395773476164E-3</c:v>
                </c:pt>
              </c:numCache>
            </c:numRef>
          </c:val>
        </c:ser>
        <c:ser>
          <c:idx val="3"/>
          <c:order val="1"/>
          <c:tx>
            <c:strRef>
              <c:f>'# Rx and drugs by %pop'!$E$1:$E$2</c:f>
              <c:strCache>
                <c:ptCount val="1"/>
                <c:pt idx="0">
                  <c:v>Drugs</c:v>
                </c:pt>
              </c:strCache>
            </c:strRef>
          </c:tx>
          <c:invertIfNegative val="0"/>
          <c:cat>
            <c:strRef>
              <c:f>'# Rx and drugs by %pop'!$A$3:$A$15</c:f>
              <c:strCache>
                <c:ptCount val="13"/>
                <c:pt idx="0">
                  <c:v>1</c:v>
                </c:pt>
                <c:pt idx="1">
                  <c:v>2</c:v>
                </c:pt>
                <c:pt idx="2">
                  <c:v>3</c:v>
                </c:pt>
                <c:pt idx="3">
                  <c:v>4</c:v>
                </c:pt>
                <c:pt idx="4">
                  <c:v>5</c:v>
                </c:pt>
                <c:pt idx="5">
                  <c:v>6</c:v>
                </c:pt>
                <c:pt idx="6">
                  <c:v>7</c:v>
                </c:pt>
                <c:pt idx="7">
                  <c:v>8</c:v>
                </c:pt>
                <c:pt idx="8">
                  <c:v>9</c:v>
                </c:pt>
                <c:pt idx="9">
                  <c:v>10</c:v>
                </c:pt>
                <c:pt idx="10">
                  <c:v>11</c:v>
                </c:pt>
                <c:pt idx="11">
                  <c:v>12</c:v>
                </c:pt>
                <c:pt idx="12">
                  <c:v>&gt;12</c:v>
                </c:pt>
              </c:strCache>
            </c:strRef>
          </c:cat>
          <c:val>
            <c:numRef>
              <c:f>'# Rx and drugs by %pop'!$E$3:$E$15</c:f>
              <c:numCache>
                <c:formatCode>0%</c:formatCode>
                <c:ptCount val="13"/>
                <c:pt idx="0">
                  <c:v>0.25449595615667642</c:v>
                </c:pt>
                <c:pt idx="1">
                  <c:v>0.11606246301362813</c:v>
                </c:pt>
                <c:pt idx="2">
                  <c:v>4.783454977400791E-2</c:v>
                </c:pt>
                <c:pt idx="3">
                  <c:v>1.8533367067763321E-2</c:v>
                </c:pt>
                <c:pt idx="4">
                  <c:v>6.902235906584217E-3</c:v>
                </c:pt>
                <c:pt idx="5">
                  <c:v>2.5039237716236269E-3</c:v>
                </c:pt>
                <c:pt idx="6">
                  <c:v>9.0130963918454165E-4</c:v>
                </c:pt>
                <c:pt idx="7">
                  <c:v>3.166891086391588E-4</c:v>
                </c:pt>
                <c:pt idx="8">
                  <c:v>1.2110088595761469E-4</c:v>
                </c:pt>
                <c:pt idx="9">
                  <c:v>4.2839867235006045E-5</c:v>
                </c:pt>
                <c:pt idx="10">
                  <c:v>1.5352024494626791E-5</c:v>
                </c:pt>
                <c:pt idx="11">
                  <c:v>6.3895297477636646E-6</c:v>
                </c:pt>
                <c:pt idx="12">
                  <c:v>3.2162062488743278E-6</c:v>
                </c:pt>
              </c:numCache>
            </c:numRef>
          </c:val>
        </c:ser>
        <c:dLbls>
          <c:showLegendKey val="0"/>
          <c:showVal val="0"/>
          <c:showCatName val="0"/>
          <c:showSerName val="0"/>
          <c:showPercent val="0"/>
          <c:showBubbleSize val="0"/>
        </c:dLbls>
        <c:gapWidth val="150"/>
        <c:axId val="157316992"/>
        <c:axId val="157327360"/>
      </c:barChart>
      <c:catAx>
        <c:axId val="157316992"/>
        <c:scaling>
          <c:orientation val="minMax"/>
        </c:scaling>
        <c:delete val="0"/>
        <c:axPos val="b"/>
        <c:title>
          <c:tx>
            <c:rich>
              <a:bodyPr/>
              <a:lstStyle/>
              <a:p>
                <a:pPr>
                  <a:defRPr/>
                </a:pPr>
                <a:r>
                  <a:rPr lang="en-AU"/>
                  <a:t>Number</a:t>
                </a:r>
                <a:r>
                  <a:rPr lang="en-AU" baseline="0"/>
                  <a:t> supplied per person</a:t>
                </a:r>
                <a:endParaRPr lang="en-AU"/>
              </a:p>
            </c:rich>
          </c:tx>
          <c:overlay val="0"/>
        </c:title>
        <c:majorTickMark val="out"/>
        <c:minorTickMark val="none"/>
        <c:tickLblPos val="nextTo"/>
        <c:crossAx val="157327360"/>
        <c:crosses val="autoZero"/>
        <c:auto val="1"/>
        <c:lblAlgn val="ctr"/>
        <c:lblOffset val="100"/>
        <c:noMultiLvlLbl val="0"/>
      </c:catAx>
      <c:valAx>
        <c:axId val="157327360"/>
        <c:scaling>
          <c:orientation val="minMax"/>
        </c:scaling>
        <c:delete val="0"/>
        <c:axPos val="l"/>
        <c:majorGridlines/>
        <c:title>
          <c:tx>
            <c:rich>
              <a:bodyPr rot="-5400000" vert="horz"/>
              <a:lstStyle/>
              <a:p>
                <a:pPr>
                  <a:defRPr/>
                </a:pPr>
                <a:r>
                  <a:rPr lang="en-AU"/>
                  <a:t>%</a:t>
                </a:r>
                <a:r>
                  <a:rPr lang="en-AU" baseline="0"/>
                  <a:t> Australian population</a:t>
                </a:r>
                <a:endParaRPr lang="en-AU"/>
              </a:p>
            </c:rich>
          </c:tx>
          <c:overlay val="0"/>
        </c:title>
        <c:numFmt formatCode="0%" sourceLinked="1"/>
        <c:majorTickMark val="out"/>
        <c:minorTickMark val="none"/>
        <c:tickLblPos val="nextTo"/>
        <c:crossAx val="157316992"/>
        <c:crosses val="autoZero"/>
        <c:crossBetween val="between"/>
      </c:valAx>
    </c:plotArea>
    <c:legend>
      <c:legendPos val="r"/>
      <c:layout>
        <c:manualLayout>
          <c:xMode val="edge"/>
          <c:yMode val="edge"/>
          <c:x val="0.35911420620161172"/>
          <c:y val="0.93481509279943242"/>
          <c:w val="0.35712824841618418"/>
          <c:h val="5.5047959914101642E-2"/>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932406713088518E-2"/>
          <c:y val="3.5330213794874686E-2"/>
          <c:w val="0.81787309249660378"/>
          <c:h val="0.72451883458701738"/>
        </c:manualLayout>
      </c:layout>
      <c:lineChart>
        <c:grouping val="standard"/>
        <c:varyColors val="0"/>
        <c:ser>
          <c:idx val="0"/>
          <c:order val="0"/>
          <c:tx>
            <c:strRef>
              <c:f>'[D821 - antibiotics PvA data - sched drug name v2.xlsx]DDD J01 and All'!$B$53</c:f>
              <c:strCache>
                <c:ptCount val="1"/>
                <c:pt idx="0">
                  <c:v>Total Antibiotic Prescriptions</c:v>
                </c:pt>
              </c:strCache>
            </c:strRef>
          </c:tx>
          <c:spPr>
            <a:ln>
              <a:solidFill>
                <a:schemeClr val="accent2"/>
              </a:solidFill>
            </a:ln>
          </c:spPr>
          <c:marker>
            <c:spPr>
              <a:solidFill>
                <a:schemeClr val="accent2"/>
              </a:solidFill>
              <a:ln>
                <a:solidFill>
                  <a:schemeClr val="accent2"/>
                </a:solidFill>
              </a:ln>
            </c:spPr>
          </c:marker>
          <c:cat>
            <c:numRef>
              <c:f>'[D821 - antibiotics PvA data - sched drug name v2.xlsx]DDD J01 and All'!$A$54:$A$73</c:f>
              <c:numCache>
                <c:formatCode>General</c:formatCode>
                <c:ptCount val="20"/>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numCache>
            </c:numRef>
          </c:cat>
          <c:val>
            <c:numRef>
              <c:f>'[D821 - antibiotics PvA data - sched drug name v2.xlsx]DDD J01 and All'!$B$54:$B$73</c:f>
              <c:numCache>
                <c:formatCode>General</c:formatCode>
                <c:ptCount val="20"/>
                <c:pt idx="0">
                  <c:v>28383957</c:v>
                </c:pt>
                <c:pt idx="1">
                  <c:v>28683175</c:v>
                </c:pt>
                <c:pt idx="2">
                  <c:v>27827763</c:v>
                </c:pt>
                <c:pt idx="3">
                  <c:v>27401859</c:v>
                </c:pt>
                <c:pt idx="4">
                  <c:v>26450355</c:v>
                </c:pt>
                <c:pt idx="5">
                  <c:v>25071338</c:v>
                </c:pt>
                <c:pt idx="6">
                  <c:v>24687463</c:v>
                </c:pt>
                <c:pt idx="7">
                  <c:v>24703574</c:v>
                </c:pt>
                <c:pt idx="8">
                  <c:v>22832320</c:v>
                </c:pt>
                <c:pt idx="9">
                  <c:v>21812544</c:v>
                </c:pt>
                <c:pt idx="10">
                  <c:v>23493204</c:v>
                </c:pt>
                <c:pt idx="11">
                  <c:v>24022932</c:v>
                </c:pt>
                <c:pt idx="12">
                  <c:v>23636360</c:v>
                </c:pt>
                <c:pt idx="13">
                  <c:v>26815926</c:v>
                </c:pt>
                <c:pt idx="14">
                  <c:v>29220342</c:v>
                </c:pt>
                <c:pt idx="15">
                  <c:v>28142256</c:v>
                </c:pt>
                <c:pt idx="16">
                  <c:v>28862660</c:v>
                </c:pt>
                <c:pt idx="17">
                  <c:v>29287172</c:v>
                </c:pt>
                <c:pt idx="18">
                  <c:v>29022853</c:v>
                </c:pt>
                <c:pt idx="19">
                  <c:v>29227581</c:v>
                </c:pt>
              </c:numCache>
            </c:numRef>
          </c:val>
          <c:smooth val="0"/>
        </c:ser>
        <c:ser>
          <c:idx val="2"/>
          <c:order val="1"/>
          <c:tx>
            <c:strRef>
              <c:f>'[D821 - antibiotics PvA data - sched drug name v2.xlsx]DDD J01 and All'!$D$53</c:f>
              <c:strCache>
                <c:ptCount val="1"/>
                <c:pt idx="0">
                  <c:v>J01 Prescriptions</c:v>
                </c:pt>
              </c:strCache>
            </c:strRef>
          </c:tx>
          <c:spPr>
            <a:ln>
              <a:solidFill>
                <a:schemeClr val="accent6"/>
              </a:solidFill>
            </a:ln>
          </c:spPr>
          <c:marker>
            <c:spPr>
              <a:solidFill>
                <a:schemeClr val="accent6"/>
              </a:solidFill>
              <a:ln>
                <a:solidFill>
                  <a:schemeClr val="accent6"/>
                </a:solidFill>
              </a:ln>
            </c:spPr>
          </c:marker>
          <c:cat>
            <c:numRef>
              <c:f>'[D821 - antibiotics PvA data - sched drug name v2.xlsx]DDD J01 and All'!$A$54:$A$73</c:f>
              <c:numCache>
                <c:formatCode>General</c:formatCode>
                <c:ptCount val="20"/>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numCache>
            </c:numRef>
          </c:cat>
          <c:val>
            <c:numRef>
              <c:f>'[D821 - antibiotics PvA data - sched drug name v2.xlsx]DDD J01 and All'!$D$54:$D$73</c:f>
              <c:numCache>
                <c:formatCode>General</c:formatCode>
                <c:ptCount val="20"/>
                <c:pt idx="0">
                  <c:v>25419530</c:v>
                </c:pt>
                <c:pt idx="1">
                  <c:v>25717008</c:v>
                </c:pt>
                <c:pt idx="2">
                  <c:v>24815649</c:v>
                </c:pt>
                <c:pt idx="3">
                  <c:v>24404005</c:v>
                </c:pt>
                <c:pt idx="4">
                  <c:v>23365326</c:v>
                </c:pt>
                <c:pt idx="5">
                  <c:v>22030258</c:v>
                </c:pt>
                <c:pt idx="6">
                  <c:v>21762447</c:v>
                </c:pt>
                <c:pt idx="7">
                  <c:v>21727741</c:v>
                </c:pt>
                <c:pt idx="8">
                  <c:v>20078268</c:v>
                </c:pt>
                <c:pt idx="9">
                  <c:v>19152329</c:v>
                </c:pt>
                <c:pt idx="10">
                  <c:v>20633575</c:v>
                </c:pt>
                <c:pt idx="11">
                  <c:v>21211404</c:v>
                </c:pt>
                <c:pt idx="12">
                  <c:v>20865859</c:v>
                </c:pt>
                <c:pt idx="13">
                  <c:v>23864678</c:v>
                </c:pt>
                <c:pt idx="14">
                  <c:v>26039758</c:v>
                </c:pt>
                <c:pt idx="15">
                  <c:v>25097558</c:v>
                </c:pt>
                <c:pt idx="16">
                  <c:v>25880421</c:v>
                </c:pt>
                <c:pt idx="17">
                  <c:v>26475068</c:v>
                </c:pt>
                <c:pt idx="18">
                  <c:v>26246904</c:v>
                </c:pt>
                <c:pt idx="19">
                  <c:v>26436021</c:v>
                </c:pt>
              </c:numCache>
            </c:numRef>
          </c:val>
          <c:smooth val="0"/>
        </c:ser>
        <c:dLbls>
          <c:showLegendKey val="0"/>
          <c:showVal val="0"/>
          <c:showCatName val="0"/>
          <c:showSerName val="0"/>
          <c:showPercent val="0"/>
          <c:showBubbleSize val="0"/>
        </c:dLbls>
        <c:marker val="1"/>
        <c:smooth val="0"/>
        <c:axId val="157701632"/>
        <c:axId val="157703552"/>
      </c:lineChart>
      <c:lineChart>
        <c:grouping val="standard"/>
        <c:varyColors val="0"/>
        <c:ser>
          <c:idx val="3"/>
          <c:order val="2"/>
          <c:tx>
            <c:strRef>
              <c:f>'[D821 - antibiotics PvA data - sched drug name v2.xlsx]DDD J01 and All'!$E$53</c:f>
              <c:strCache>
                <c:ptCount val="1"/>
                <c:pt idx="0">
                  <c:v>J01 DDDper1000perday</c:v>
                </c:pt>
              </c:strCache>
            </c:strRef>
          </c:tx>
          <c:cat>
            <c:numRef>
              <c:f>'[D821 - antibiotics PvA data - sched drug name v2.xlsx]DDD J01 and All'!$A$54:$A$73</c:f>
              <c:numCache>
                <c:formatCode>General</c:formatCode>
                <c:ptCount val="20"/>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numCache>
            </c:numRef>
          </c:cat>
          <c:val>
            <c:numRef>
              <c:f>'[D821 - antibiotics PvA data - sched drug name v2.xlsx]DDD J01 and All'!$E$54:$E$73</c:f>
              <c:numCache>
                <c:formatCode>General</c:formatCode>
                <c:ptCount val="20"/>
                <c:pt idx="0">
                  <c:v>23.924438757615434</c:v>
                </c:pt>
                <c:pt idx="1">
                  <c:v>24.050734269180538</c:v>
                </c:pt>
                <c:pt idx="2">
                  <c:v>23.276169857203186</c:v>
                </c:pt>
                <c:pt idx="3">
                  <c:v>22.658404442704175</c:v>
                </c:pt>
                <c:pt idx="4">
                  <c:v>21.892301868795752</c:v>
                </c:pt>
                <c:pt idx="5">
                  <c:v>21.192354434939411</c:v>
                </c:pt>
                <c:pt idx="6">
                  <c:v>21.219235526690017</c:v>
                </c:pt>
                <c:pt idx="7">
                  <c:v>21.104694246552619</c:v>
                </c:pt>
                <c:pt idx="8">
                  <c:v>19.527611754493286</c:v>
                </c:pt>
                <c:pt idx="9">
                  <c:v>18.77933868528428</c:v>
                </c:pt>
                <c:pt idx="10">
                  <c:v>20.091780554583526</c:v>
                </c:pt>
                <c:pt idx="11">
                  <c:v>20.378921452688157</c:v>
                </c:pt>
                <c:pt idx="12">
                  <c:v>19.889732474708126</c:v>
                </c:pt>
                <c:pt idx="13">
                  <c:v>22.854320369683656</c:v>
                </c:pt>
                <c:pt idx="14">
                  <c:v>24.18715595126552</c:v>
                </c:pt>
                <c:pt idx="15">
                  <c:v>22.875657739146053</c:v>
                </c:pt>
                <c:pt idx="16">
                  <c:v>23.301696881303574</c:v>
                </c:pt>
                <c:pt idx="17">
                  <c:v>23.585401706320184</c:v>
                </c:pt>
                <c:pt idx="18">
                  <c:v>22.918410868763075</c:v>
                </c:pt>
                <c:pt idx="19">
                  <c:v>22.804313000540699</c:v>
                </c:pt>
              </c:numCache>
            </c:numRef>
          </c:val>
          <c:smooth val="0"/>
        </c:ser>
        <c:dLbls>
          <c:showLegendKey val="0"/>
          <c:showVal val="0"/>
          <c:showCatName val="0"/>
          <c:showSerName val="0"/>
          <c:showPercent val="0"/>
          <c:showBubbleSize val="0"/>
        </c:dLbls>
        <c:marker val="1"/>
        <c:smooth val="0"/>
        <c:axId val="157716480"/>
        <c:axId val="157706112"/>
      </c:lineChart>
      <c:catAx>
        <c:axId val="157701632"/>
        <c:scaling>
          <c:orientation val="minMax"/>
        </c:scaling>
        <c:delete val="0"/>
        <c:axPos val="b"/>
        <c:title>
          <c:tx>
            <c:rich>
              <a:bodyPr/>
              <a:lstStyle/>
              <a:p>
                <a:pPr>
                  <a:defRPr/>
                </a:pPr>
                <a:r>
                  <a:rPr lang="en-AU"/>
                  <a:t>Year</a:t>
                </a:r>
                <a:r>
                  <a:rPr lang="en-AU" baseline="0"/>
                  <a:t> of supply</a:t>
                </a:r>
                <a:endParaRPr lang="en-AU"/>
              </a:p>
            </c:rich>
          </c:tx>
          <c:layout/>
          <c:overlay val="0"/>
        </c:title>
        <c:numFmt formatCode="General" sourceLinked="1"/>
        <c:majorTickMark val="out"/>
        <c:minorTickMark val="none"/>
        <c:tickLblPos val="nextTo"/>
        <c:crossAx val="157703552"/>
        <c:crosses val="autoZero"/>
        <c:auto val="1"/>
        <c:lblAlgn val="ctr"/>
        <c:lblOffset val="100"/>
        <c:noMultiLvlLbl val="0"/>
      </c:catAx>
      <c:valAx>
        <c:axId val="157703552"/>
        <c:scaling>
          <c:orientation val="minMax"/>
        </c:scaling>
        <c:delete val="0"/>
        <c:axPos val="l"/>
        <c:majorGridlines/>
        <c:title>
          <c:tx>
            <c:rich>
              <a:bodyPr rot="-5400000" vert="horz"/>
              <a:lstStyle/>
              <a:p>
                <a:pPr>
                  <a:defRPr/>
                </a:pPr>
                <a:r>
                  <a:rPr lang="en-AU">
                    <a:solidFill>
                      <a:schemeClr val="accent2"/>
                    </a:solidFill>
                  </a:rPr>
                  <a:t>Prescriptions (millions)</a:t>
                </a:r>
              </a:p>
            </c:rich>
          </c:tx>
          <c:layout>
            <c:manualLayout>
              <c:xMode val="edge"/>
              <c:yMode val="edge"/>
              <c:x val="1.4421363158750885E-2"/>
              <c:y val="0.20164837016813439"/>
            </c:manualLayout>
          </c:layout>
          <c:overlay val="0"/>
        </c:title>
        <c:numFmt formatCode="General" sourceLinked="1"/>
        <c:majorTickMark val="out"/>
        <c:minorTickMark val="none"/>
        <c:tickLblPos val="nextTo"/>
        <c:crossAx val="157701632"/>
        <c:crosses val="autoZero"/>
        <c:crossBetween val="between"/>
        <c:dispUnits>
          <c:builtInUnit val="millions"/>
        </c:dispUnits>
      </c:valAx>
      <c:valAx>
        <c:axId val="157706112"/>
        <c:scaling>
          <c:orientation val="minMax"/>
          <c:max val="35"/>
        </c:scaling>
        <c:delete val="0"/>
        <c:axPos val="r"/>
        <c:title>
          <c:tx>
            <c:rich>
              <a:bodyPr rot="-5400000" vert="horz"/>
              <a:lstStyle/>
              <a:p>
                <a:pPr>
                  <a:defRPr>
                    <a:solidFill>
                      <a:schemeClr val="accent4"/>
                    </a:solidFill>
                  </a:defRPr>
                </a:pPr>
                <a:r>
                  <a:rPr lang="en-AU">
                    <a:solidFill>
                      <a:schemeClr val="accent4"/>
                    </a:solidFill>
                  </a:rPr>
                  <a:t>DDD/1000/day</a:t>
                </a:r>
              </a:p>
            </c:rich>
          </c:tx>
          <c:layout/>
          <c:overlay val="0"/>
        </c:title>
        <c:numFmt formatCode="General" sourceLinked="1"/>
        <c:majorTickMark val="out"/>
        <c:minorTickMark val="none"/>
        <c:tickLblPos val="nextTo"/>
        <c:crossAx val="157716480"/>
        <c:crosses val="max"/>
        <c:crossBetween val="between"/>
      </c:valAx>
      <c:catAx>
        <c:axId val="157716480"/>
        <c:scaling>
          <c:orientation val="minMax"/>
        </c:scaling>
        <c:delete val="1"/>
        <c:axPos val="b"/>
        <c:numFmt formatCode="General" sourceLinked="1"/>
        <c:majorTickMark val="out"/>
        <c:minorTickMark val="none"/>
        <c:tickLblPos val="nextTo"/>
        <c:crossAx val="157706112"/>
        <c:crosses val="autoZero"/>
        <c:auto val="1"/>
        <c:lblAlgn val="ctr"/>
        <c:lblOffset val="100"/>
        <c:noMultiLvlLbl val="0"/>
      </c:catAx>
    </c:plotArea>
    <c:legend>
      <c:legendPos val="r"/>
      <c:layout>
        <c:manualLayout>
          <c:xMode val="edge"/>
          <c:yMode val="edge"/>
          <c:x val="5.9373788503075549E-4"/>
          <c:y val="0.92788585681396185"/>
          <c:w val="0.98377610937752935"/>
          <c:h val="7.0393407527969618E-2"/>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704314510912502"/>
          <c:y val="4.3284677134656412E-2"/>
          <c:w val="0.87126059905583242"/>
          <c:h val="0.74351544103259581"/>
        </c:manualLayout>
      </c:layout>
      <c:barChart>
        <c:barDir val="col"/>
        <c:grouping val="clustered"/>
        <c:varyColors val="0"/>
        <c:ser>
          <c:idx val="3"/>
          <c:order val="0"/>
          <c:tx>
            <c:strRef>
              <c:f>'Figure 7 age std'!$L$4</c:f>
              <c:strCache>
                <c:ptCount val="1"/>
                <c:pt idx="0">
                  <c:v>%population</c:v>
                </c:pt>
              </c:strCache>
            </c:strRef>
          </c:tx>
          <c:invertIfNegative val="0"/>
          <c:cat>
            <c:strRef>
              <c:f>'Figure 7 age std'!$H$5:$H$25</c:f>
              <c:strCache>
                <c:ptCount val="21"/>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 and over</c:v>
                </c:pt>
              </c:strCache>
            </c:strRef>
          </c:cat>
          <c:val>
            <c:numRef>
              <c:f>'Figure 7 age std'!$L$5:$L$25</c:f>
              <c:numCache>
                <c:formatCode>0%</c:formatCode>
                <c:ptCount val="21"/>
                <c:pt idx="0">
                  <c:v>0.58462541025679893</c:v>
                </c:pt>
                <c:pt idx="1">
                  <c:v>0.44903058700670551</c:v>
                </c:pt>
                <c:pt idx="2">
                  <c:v>0.35687715864074709</c:v>
                </c:pt>
                <c:pt idx="3">
                  <c:v>0.42775902931190668</c:v>
                </c:pt>
                <c:pt idx="4">
                  <c:v>0.38922037503723511</c:v>
                </c:pt>
                <c:pt idx="5">
                  <c:v>0.36890389243728594</c:v>
                </c:pt>
                <c:pt idx="6">
                  <c:v>0.39744656008134721</c:v>
                </c:pt>
                <c:pt idx="7">
                  <c:v>0.42100489447693257</c:v>
                </c:pt>
                <c:pt idx="8">
                  <c:v>0.41037947615810816</c:v>
                </c:pt>
                <c:pt idx="9">
                  <c:v>0.41033773274413005</c:v>
                </c:pt>
                <c:pt idx="10">
                  <c:v>0.42420231483334769</c:v>
                </c:pt>
                <c:pt idx="11">
                  <c:v>0.45029421051120877</c:v>
                </c:pt>
                <c:pt idx="12">
                  <c:v>0.49510445995104063</c:v>
                </c:pt>
                <c:pt idx="13">
                  <c:v>0.5317600010353708</c:v>
                </c:pt>
                <c:pt idx="14">
                  <c:v>0.56491952981294657</c:v>
                </c:pt>
                <c:pt idx="15">
                  <c:v>0.60887274627291044</c:v>
                </c:pt>
                <c:pt idx="16">
                  <c:v>0.64891357254850057</c:v>
                </c:pt>
                <c:pt idx="17">
                  <c:v>0.68431443987577856</c:v>
                </c:pt>
                <c:pt idx="18">
                  <c:v>0.71524246558352977</c:v>
                </c:pt>
                <c:pt idx="19">
                  <c:v>0.77331683910631288</c:v>
                </c:pt>
                <c:pt idx="20">
                  <c:v>0.71786666666666665</c:v>
                </c:pt>
              </c:numCache>
            </c:numRef>
          </c:val>
        </c:ser>
        <c:dLbls>
          <c:showLegendKey val="0"/>
          <c:showVal val="0"/>
          <c:showCatName val="0"/>
          <c:showSerName val="0"/>
          <c:showPercent val="0"/>
          <c:showBubbleSize val="0"/>
        </c:dLbls>
        <c:gapWidth val="150"/>
        <c:axId val="160371456"/>
        <c:axId val="160373376"/>
      </c:barChart>
      <c:catAx>
        <c:axId val="160371456"/>
        <c:scaling>
          <c:orientation val="minMax"/>
        </c:scaling>
        <c:delete val="0"/>
        <c:axPos val="b"/>
        <c:title>
          <c:tx>
            <c:rich>
              <a:bodyPr/>
              <a:lstStyle/>
              <a:p>
                <a:pPr>
                  <a:defRPr/>
                </a:pPr>
                <a:r>
                  <a:rPr lang="en-AU"/>
                  <a:t>Age group</a:t>
                </a:r>
              </a:p>
            </c:rich>
          </c:tx>
          <c:layout>
            <c:manualLayout>
              <c:xMode val="edge"/>
              <c:yMode val="edge"/>
              <c:x val="0.47391599783969918"/>
              <c:y val="0.92572785728262119"/>
            </c:manualLayout>
          </c:layout>
          <c:overlay val="0"/>
        </c:title>
        <c:majorTickMark val="out"/>
        <c:minorTickMark val="none"/>
        <c:tickLblPos val="nextTo"/>
        <c:crossAx val="160373376"/>
        <c:crosses val="autoZero"/>
        <c:auto val="1"/>
        <c:lblAlgn val="ctr"/>
        <c:lblOffset val="100"/>
        <c:noMultiLvlLbl val="0"/>
      </c:catAx>
      <c:valAx>
        <c:axId val="160373376"/>
        <c:scaling>
          <c:orientation val="minMax"/>
        </c:scaling>
        <c:delete val="0"/>
        <c:axPos val="l"/>
        <c:majorGridlines/>
        <c:title>
          <c:tx>
            <c:rich>
              <a:bodyPr rot="-5400000" vert="horz"/>
              <a:lstStyle/>
              <a:p>
                <a:pPr>
                  <a:defRPr/>
                </a:pPr>
                <a:r>
                  <a:rPr lang="en-AU"/>
                  <a:t>% population supplied antibiotic</a:t>
                </a:r>
              </a:p>
            </c:rich>
          </c:tx>
          <c:overlay val="0"/>
        </c:title>
        <c:numFmt formatCode="0%" sourceLinked="1"/>
        <c:majorTickMark val="out"/>
        <c:minorTickMark val="none"/>
        <c:tickLblPos val="nextTo"/>
        <c:crossAx val="160371456"/>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0992647993968626E-2"/>
          <c:y val="3.260651889879404E-2"/>
          <c:w val="0.8488250015270048"/>
          <c:h val="0.53974169792157456"/>
        </c:manualLayout>
      </c:layout>
      <c:barChart>
        <c:barDir val="col"/>
        <c:grouping val="stacked"/>
        <c:varyColors val="0"/>
        <c:ser>
          <c:idx val="0"/>
          <c:order val="0"/>
          <c:tx>
            <c:strRef>
              <c:f>'Fig4 J01 Rx ATC3'!$B$26</c:f>
              <c:strCache>
                <c:ptCount val="1"/>
                <c:pt idx="0">
                  <c:v>Penicillins (J01C)</c:v>
                </c:pt>
              </c:strCache>
            </c:strRef>
          </c:tx>
          <c:invertIfNegative val="0"/>
          <c:cat>
            <c:numRef>
              <c:f>'Fig4 J01 Rx ATC3'!$A$27:$A$46</c:f>
              <c:numCache>
                <c:formatCode>General</c:formatCode>
                <c:ptCount val="20"/>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numCache>
            </c:numRef>
          </c:cat>
          <c:val>
            <c:numRef>
              <c:f>'Fig4 J01 Rx ATC3'!$B$27:$B$46</c:f>
              <c:numCache>
                <c:formatCode>General</c:formatCode>
                <c:ptCount val="20"/>
                <c:pt idx="0">
                  <c:v>11772309</c:v>
                </c:pt>
                <c:pt idx="1">
                  <c:v>10988381</c:v>
                </c:pt>
                <c:pt idx="2">
                  <c:v>9889771</c:v>
                </c:pt>
                <c:pt idx="3">
                  <c:v>9136379</c:v>
                </c:pt>
                <c:pt idx="4">
                  <c:v>8825669</c:v>
                </c:pt>
                <c:pt idx="5">
                  <c:v>8465697</c:v>
                </c:pt>
                <c:pt idx="6">
                  <c:v>8660205</c:v>
                </c:pt>
                <c:pt idx="7">
                  <c:v>8980828</c:v>
                </c:pt>
                <c:pt idx="8">
                  <c:v>8508022</c:v>
                </c:pt>
                <c:pt idx="9">
                  <c:v>8313328</c:v>
                </c:pt>
                <c:pt idx="10">
                  <c:v>9084744</c:v>
                </c:pt>
                <c:pt idx="11">
                  <c:v>9437335</c:v>
                </c:pt>
                <c:pt idx="12">
                  <c:v>9418176</c:v>
                </c:pt>
                <c:pt idx="13">
                  <c:v>11115268</c:v>
                </c:pt>
                <c:pt idx="14">
                  <c:v>12227256</c:v>
                </c:pt>
                <c:pt idx="15">
                  <c:v>11563310</c:v>
                </c:pt>
                <c:pt idx="16">
                  <c:v>12018542</c:v>
                </c:pt>
                <c:pt idx="17">
                  <c:v>12267095</c:v>
                </c:pt>
                <c:pt idx="18">
                  <c:v>11907397</c:v>
                </c:pt>
                <c:pt idx="19">
                  <c:v>11756220</c:v>
                </c:pt>
              </c:numCache>
            </c:numRef>
          </c:val>
        </c:ser>
        <c:ser>
          <c:idx val="1"/>
          <c:order val="1"/>
          <c:tx>
            <c:strRef>
              <c:f>'Fig4 J01 Rx ATC3'!$C$26</c:f>
              <c:strCache>
                <c:ptCount val="1"/>
                <c:pt idx="0">
                  <c:v>Cephalosporins (J01D)</c:v>
                </c:pt>
              </c:strCache>
            </c:strRef>
          </c:tx>
          <c:invertIfNegative val="0"/>
          <c:cat>
            <c:numRef>
              <c:f>'Fig4 J01 Rx ATC3'!$A$27:$A$46</c:f>
              <c:numCache>
                <c:formatCode>General</c:formatCode>
                <c:ptCount val="20"/>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numCache>
            </c:numRef>
          </c:cat>
          <c:val>
            <c:numRef>
              <c:f>'Fig4 J01 Rx ATC3'!$C$27:$C$46</c:f>
              <c:numCache>
                <c:formatCode>General</c:formatCode>
                <c:ptCount val="20"/>
                <c:pt idx="0">
                  <c:v>3707772</c:v>
                </c:pt>
                <c:pt idx="1">
                  <c:v>5160379</c:v>
                </c:pt>
                <c:pt idx="2">
                  <c:v>5656367</c:v>
                </c:pt>
                <c:pt idx="3">
                  <c:v>5983735</c:v>
                </c:pt>
                <c:pt idx="4">
                  <c:v>5943248</c:v>
                </c:pt>
                <c:pt idx="5">
                  <c:v>5479001</c:v>
                </c:pt>
                <c:pt idx="6">
                  <c:v>5194246</c:v>
                </c:pt>
                <c:pt idx="7">
                  <c:v>5014268</c:v>
                </c:pt>
                <c:pt idx="8">
                  <c:v>4619506</c:v>
                </c:pt>
                <c:pt idx="9">
                  <c:v>4437889</c:v>
                </c:pt>
                <c:pt idx="10">
                  <c:v>4920494</c:v>
                </c:pt>
                <c:pt idx="11">
                  <c:v>5140335</c:v>
                </c:pt>
                <c:pt idx="12">
                  <c:v>5217349</c:v>
                </c:pt>
                <c:pt idx="13">
                  <c:v>5680142</c:v>
                </c:pt>
                <c:pt idx="14">
                  <c:v>6060238</c:v>
                </c:pt>
                <c:pt idx="15">
                  <c:v>5879683</c:v>
                </c:pt>
                <c:pt idx="16">
                  <c:v>6081277</c:v>
                </c:pt>
                <c:pt idx="17">
                  <c:v>6295680</c:v>
                </c:pt>
                <c:pt idx="18">
                  <c:v>6387306</c:v>
                </c:pt>
                <c:pt idx="19">
                  <c:v>6341961</c:v>
                </c:pt>
              </c:numCache>
            </c:numRef>
          </c:val>
        </c:ser>
        <c:ser>
          <c:idx val="2"/>
          <c:order val="2"/>
          <c:tx>
            <c:strRef>
              <c:f>'Fig4 J01 Rx ATC3'!$D$26</c:f>
              <c:strCache>
                <c:ptCount val="1"/>
                <c:pt idx="0">
                  <c:v>Macrolides, lincosamides and stretogramins (J01F)</c:v>
                </c:pt>
              </c:strCache>
            </c:strRef>
          </c:tx>
          <c:invertIfNegative val="0"/>
          <c:cat>
            <c:numRef>
              <c:f>'Fig4 J01 Rx ATC3'!$A$27:$A$46</c:f>
              <c:numCache>
                <c:formatCode>General</c:formatCode>
                <c:ptCount val="20"/>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numCache>
            </c:numRef>
          </c:cat>
          <c:val>
            <c:numRef>
              <c:f>'Fig4 J01 Rx ATC3'!$D$27:$D$46</c:f>
              <c:numCache>
                <c:formatCode>General</c:formatCode>
                <c:ptCount val="20"/>
                <c:pt idx="0">
                  <c:v>3604997</c:v>
                </c:pt>
                <c:pt idx="1">
                  <c:v>3937962</c:v>
                </c:pt>
                <c:pt idx="2">
                  <c:v>4007934</c:v>
                </c:pt>
                <c:pt idx="3">
                  <c:v>4441707</c:v>
                </c:pt>
                <c:pt idx="4">
                  <c:v>4147643</c:v>
                </c:pt>
                <c:pt idx="5">
                  <c:v>4035255</c:v>
                </c:pt>
                <c:pt idx="6">
                  <c:v>3993328</c:v>
                </c:pt>
                <c:pt idx="7">
                  <c:v>3896830</c:v>
                </c:pt>
                <c:pt idx="8">
                  <c:v>3568766</c:v>
                </c:pt>
                <c:pt idx="9">
                  <c:v>3238683</c:v>
                </c:pt>
                <c:pt idx="10">
                  <c:v>3555665</c:v>
                </c:pt>
                <c:pt idx="11">
                  <c:v>3703294</c:v>
                </c:pt>
                <c:pt idx="12">
                  <c:v>3562863</c:v>
                </c:pt>
                <c:pt idx="13">
                  <c:v>3979266</c:v>
                </c:pt>
                <c:pt idx="14">
                  <c:v>4608257</c:v>
                </c:pt>
                <c:pt idx="15">
                  <c:v>4651924</c:v>
                </c:pt>
                <c:pt idx="16">
                  <c:v>4770571</c:v>
                </c:pt>
                <c:pt idx="17">
                  <c:v>5009754</c:v>
                </c:pt>
                <c:pt idx="18">
                  <c:v>4549207</c:v>
                </c:pt>
                <c:pt idx="19">
                  <c:v>4014688</c:v>
                </c:pt>
              </c:numCache>
            </c:numRef>
          </c:val>
        </c:ser>
        <c:ser>
          <c:idx val="3"/>
          <c:order val="3"/>
          <c:tx>
            <c:strRef>
              <c:f>'Fig4 J01 Rx ATC3'!$E$26</c:f>
              <c:strCache>
                <c:ptCount val="1"/>
                <c:pt idx="0">
                  <c:v>Tetracyclines (J01A)</c:v>
                </c:pt>
              </c:strCache>
            </c:strRef>
          </c:tx>
          <c:invertIfNegative val="0"/>
          <c:cat>
            <c:numRef>
              <c:f>'Fig4 J01 Rx ATC3'!$A$27:$A$46</c:f>
              <c:numCache>
                <c:formatCode>General</c:formatCode>
                <c:ptCount val="20"/>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numCache>
            </c:numRef>
          </c:cat>
          <c:val>
            <c:numRef>
              <c:f>'Fig4 J01 Rx ATC3'!$E$27:$E$46</c:f>
              <c:numCache>
                <c:formatCode>General</c:formatCode>
                <c:ptCount val="20"/>
                <c:pt idx="0">
                  <c:v>3790345</c:v>
                </c:pt>
                <c:pt idx="1">
                  <c:v>3566299</c:v>
                </c:pt>
                <c:pt idx="2">
                  <c:v>3292659</c:v>
                </c:pt>
                <c:pt idx="3">
                  <c:v>3011230</c:v>
                </c:pt>
                <c:pt idx="4">
                  <c:v>2762343</c:v>
                </c:pt>
                <c:pt idx="5">
                  <c:v>2480861</c:v>
                </c:pt>
                <c:pt idx="6">
                  <c:v>2394603</c:v>
                </c:pt>
                <c:pt idx="7">
                  <c:v>2272895</c:v>
                </c:pt>
                <c:pt idx="8">
                  <c:v>2025789</c:v>
                </c:pt>
                <c:pt idx="9">
                  <c:v>1918473</c:v>
                </c:pt>
                <c:pt idx="10">
                  <c:v>1984728</c:v>
                </c:pt>
                <c:pt idx="11">
                  <c:v>1956527</c:v>
                </c:pt>
                <c:pt idx="12">
                  <c:v>1897367</c:v>
                </c:pt>
                <c:pt idx="13">
                  <c:v>2121784</c:v>
                </c:pt>
                <c:pt idx="14">
                  <c:v>2131534</c:v>
                </c:pt>
                <c:pt idx="15">
                  <c:v>2020598</c:v>
                </c:pt>
                <c:pt idx="16">
                  <c:v>2052592</c:v>
                </c:pt>
                <c:pt idx="17">
                  <c:v>2053797</c:v>
                </c:pt>
                <c:pt idx="18">
                  <c:v>2118639</c:v>
                </c:pt>
                <c:pt idx="19">
                  <c:v>2158807</c:v>
                </c:pt>
              </c:numCache>
            </c:numRef>
          </c:val>
        </c:ser>
        <c:ser>
          <c:idx val="4"/>
          <c:order val="4"/>
          <c:tx>
            <c:strRef>
              <c:f>'Fig4 J01 Rx ATC3'!$F$26</c:f>
              <c:strCache>
                <c:ptCount val="1"/>
                <c:pt idx="0">
                  <c:v>Sulfonamides and trimethoprim (J01E)</c:v>
                </c:pt>
              </c:strCache>
            </c:strRef>
          </c:tx>
          <c:invertIfNegative val="0"/>
          <c:cat>
            <c:numRef>
              <c:f>'Fig4 J01 Rx ATC3'!$A$27:$A$46</c:f>
              <c:numCache>
                <c:formatCode>General</c:formatCode>
                <c:ptCount val="20"/>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numCache>
            </c:numRef>
          </c:cat>
          <c:val>
            <c:numRef>
              <c:f>'Fig4 J01 Rx ATC3'!$F$27:$F$46</c:f>
              <c:numCache>
                <c:formatCode>General</c:formatCode>
                <c:ptCount val="20"/>
                <c:pt idx="0">
                  <c:v>2008161</c:v>
                </c:pt>
                <c:pt idx="1">
                  <c:v>1629148</c:v>
                </c:pt>
                <c:pt idx="2">
                  <c:v>1544148</c:v>
                </c:pt>
                <c:pt idx="3">
                  <c:v>1393363</c:v>
                </c:pt>
                <c:pt idx="4">
                  <c:v>1323791</c:v>
                </c:pt>
                <c:pt idx="5">
                  <c:v>1232366</c:v>
                </c:pt>
                <c:pt idx="6">
                  <c:v>1160037</c:v>
                </c:pt>
                <c:pt idx="7">
                  <c:v>1135402</c:v>
                </c:pt>
                <c:pt idx="8">
                  <c:v>1082117</c:v>
                </c:pt>
                <c:pt idx="9">
                  <c:v>1045695</c:v>
                </c:pt>
                <c:pt idx="10">
                  <c:v>1139889</c:v>
                </c:pt>
                <c:pt idx="11">
                  <c:v>1138294</c:v>
                </c:pt>
                <c:pt idx="12">
                  <c:v>1152343</c:v>
                </c:pt>
                <c:pt idx="13">
                  <c:v>1213258</c:v>
                </c:pt>
                <c:pt idx="14">
                  <c:v>1246501</c:v>
                </c:pt>
                <c:pt idx="15">
                  <c:v>1249347</c:v>
                </c:pt>
                <c:pt idx="16">
                  <c:v>1257582</c:v>
                </c:pt>
                <c:pt idx="17">
                  <c:v>1291157</c:v>
                </c:pt>
                <c:pt idx="18">
                  <c:v>1362481</c:v>
                </c:pt>
                <c:pt idx="19">
                  <c:v>1413684</c:v>
                </c:pt>
              </c:numCache>
            </c:numRef>
          </c:val>
        </c:ser>
        <c:ser>
          <c:idx val="5"/>
          <c:order val="5"/>
          <c:tx>
            <c:strRef>
              <c:f>'Fig4 J01 Rx ATC3'!$G$26</c:f>
              <c:strCache>
                <c:ptCount val="1"/>
                <c:pt idx="0">
                  <c:v>Quinolone antibacterials (J01M)</c:v>
                </c:pt>
              </c:strCache>
            </c:strRef>
          </c:tx>
          <c:invertIfNegative val="0"/>
          <c:cat>
            <c:numRef>
              <c:f>'Fig4 J01 Rx ATC3'!$A$27:$A$46</c:f>
              <c:numCache>
                <c:formatCode>General</c:formatCode>
                <c:ptCount val="20"/>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numCache>
            </c:numRef>
          </c:cat>
          <c:val>
            <c:numRef>
              <c:f>'Fig4 J01 Rx ATC3'!$G$27:$G$46</c:f>
              <c:numCache>
                <c:formatCode>General</c:formatCode>
                <c:ptCount val="20"/>
                <c:pt idx="0">
                  <c:v>420256</c:v>
                </c:pt>
                <c:pt idx="1">
                  <c:v>278079</c:v>
                </c:pt>
                <c:pt idx="2">
                  <c:v>259591</c:v>
                </c:pt>
                <c:pt idx="3">
                  <c:v>273775</c:v>
                </c:pt>
                <c:pt idx="4">
                  <c:v>306032</c:v>
                </c:pt>
                <c:pt idx="5">
                  <c:v>312646</c:v>
                </c:pt>
                <c:pt idx="6">
                  <c:v>317835</c:v>
                </c:pt>
                <c:pt idx="7">
                  <c:v>336190</c:v>
                </c:pt>
                <c:pt idx="8">
                  <c:v>333409</c:v>
                </c:pt>
                <c:pt idx="9">
                  <c:v>339363</c:v>
                </c:pt>
                <c:pt idx="10">
                  <c:v>375783</c:v>
                </c:pt>
                <c:pt idx="11">
                  <c:v>385749</c:v>
                </c:pt>
                <c:pt idx="12">
                  <c:v>399019</c:v>
                </c:pt>
                <c:pt idx="13">
                  <c:v>437991</c:v>
                </c:pt>
                <c:pt idx="14">
                  <c:v>466994</c:v>
                </c:pt>
                <c:pt idx="15">
                  <c:v>463648</c:v>
                </c:pt>
                <c:pt idx="16">
                  <c:v>481621</c:v>
                </c:pt>
                <c:pt idx="17">
                  <c:v>505210</c:v>
                </c:pt>
                <c:pt idx="18">
                  <c:v>445939</c:v>
                </c:pt>
                <c:pt idx="19">
                  <c:v>347303</c:v>
                </c:pt>
              </c:numCache>
            </c:numRef>
          </c:val>
        </c:ser>
        <c:ser>
          <c:idx val="6"/>
          <c:order val="6"/>
          <c:tx>
            <c:strRef>
              <c:f>'Fig4 J01 Rx ATC3'!$H$26</c:f>
              <c:strCache>
                <c:ptCount val="1"/>
                <c:pt idx="0">
                  <c:v>Other antibiotics (J01B + J01G + J01X)</c:v>
                </c:pt>
              </c:strCache>
            </c:strRef>
          </c:tx>
          <c:invertIfNegative val="0"/>
          <c:cat>
            <c:numRef>
              <c:f>'Fig4 J01 Rx ATC3'!$A$27:$A$46</c:f>
              <c:numCache>
                <c:formatCode>General</c:formatCode>
                <c:ptCount val="20"/>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numCache>
            </c:numRef>
          </c:cat>
          <c:val>
            <c:numRef>
              <c:f>'Fig4 J01 Rx ATC3'!$H$27:$H$46</c:f>
              <c:numCache>
                <c:formatCode>General</c:formatCode>
                <c:ptCount val="20"/>
                <c:pt idx="0">
                  <c:v>314600</c:v>
                </c:pt>
                <c:pt idx="1">
                  <c:v>331837</c:v>
                </c:pt>
                <c:pt idx="2">
                  <c:v>342089</c:v>
                </c:pt>
                <c:pt idx="3">
                  <c:v>339643</c:v>
                </c:pt>
                <c:pt idx="4">
                  <c:v>346588</c:v>
                </c:pt>
                <c:pt idx="5">
                  <c:v>350628</c:v>
                </c:pt>
                <c:pt idx="6">
                  <c:v>349898</c:v>
                </c:pt>
                <c:pt idx="7">
                  <c:v>352161</c:v>
                </c:pt>
                <c:pt idx="8">
                  <c:v>342905</c:v>
                </c:pt>
                <c:pt idx="9">
                  <c:v>337244</c:v>
                </c:pt>
                <c:pt idx="10">
                  <c:v>329128</c:v>
                </c:pt>
                <c:pt idx="11">
                  <c:v>333897</c:v>
                </c:pt>
                <c:pt idx="12">
                  <c:v>333605</c:v>
                </c:pt>
                <c:pt idx="13">
                  <c:v>339608</c:v>
                </c:pt>
                <c:pt idx="14">
                  <c:v>337645</c:v>
                </c:pt>
                <c:pt idx="15">
                  <c:v>332149</c:v>
                </c:pt>
                <c:pt idx="16">
                  <c:v>337227</c:v>
                </c:pt>
                <c:pt idx="17">
                  <c:v>350810</c:v>
                </c:pt>
                <c:pt idx="18">
                  <c:v>385889</c:v>
                </c:pt>
                <c:pt idx="19">
                  <c:v>403358</c:v>
                </c:pt>
              </c:numCache>
            </c:numRef>
          </c:val>
        </c:ser>
        <c:dLbls>
          <c:showLegendKey val="0"/>
          <c:showVal val="0"/>
          <c:showCatName val="0"/>
          <c:showSerName val="0"/>
          <c:showPercent val="0"/>
          <c:showBubbleSize val="0"/>
        </c:dLbls>
        <c:gapWidth val="75"/>
        <c:overlap val="100"/>
        <c:axId val="160402048"/>
        <c:axId val="160416512"/>
      </c:barChart>
      <c:catAx>
        <c:axId val="160402048"/>
        <c:scaling>
          <c:orientation val="minMax"/>
        </c:scaling>
        <c:delete val="0"/>
        <c:axPos val="b"/>
        <c:title>
          <c:tx>
            <c:rich>
              <a:bodyPr/>
              <a:lstStyle/>
              <a:p>
                <a:pPr>
                  <a:defRPr/>
                </a:pPr>
                <a:r>
                  <a:rPr lang="en-AU"/>
                  <a:t>Year</a:t>
                </a:r>
                <a:r>
                  <a:rPr lang="en-AU" baseline="0"/>
                  <a:t> of supply</a:t>
                </a:r>
                <a:endParaRPr lang="en-AU"/>
              </a:p>
            </c:rich>
          </c:tx>
          <c:layout/>
          <c:overlay val="0"/>
        </c:title>
        <c:numFmt formatCode="General" sourceLinked="1"/>
        <c:majorTickMark val="out"/>
        <c:minorTickMark val="none"/>
        <c:tickLblPos val="nextTo"/>
        <c:crossAx val="160416512"/>
        <c:crosses val="autoZero"/>
        <c:auto val="1"/>
        <c:lblAlgn val="ctr"/>
        <c:lblOffset val="100"/>
        <c:noMultiLvlLbl val="0"/>
      </c:catAx>
      <c:valAx>
        <c:axId val="160416512"/>
        <c:scaling>
          <c:orientation val="minMax"/>
        </c:scaling>
        <c:delete val="0"/>
        <c:axPos val="l"/>
        <c:majorGridlines/>
        <c:title>
          <c:tx>
            <c:rich>
              <a:bodyPr rot="-5400000" vert="horz"/>
              <a:lstStyle/>
              <a:p>
                <a:pPr>
                  <a:defRPr/>
                </a:pPr>
                <a:r>
                  <a:rPr lang="en-AU"/>
                  <a:t>Prescriptions (millions)</a:t>
                </a:r>
              </a:p>
            </c:rich>
          </c:tx>
          <c:layout/>
          <c:overlay val="0"/>
        </c:title>
        <c:numFmt formatCode="General" sourceLinked="1"/>
        <c:majorTickMark val="out"/>
        <c:minorTickMark val="none"/>
        <c:tickLblPos val="nextTo"/>
        <c:crossAx val="160402048"/>
        <c:crosses val="autoZero"/>
        <c:crossBetween val="between"/>
        <c:dispUnits>
          <c:builtInUnit val="millions"/>
        </c:dispUnits>
      </c:valAx>
    </c:plotArea>
    <c:legend>
      <c:legendPos val="b"/>
      <c:layout>
        <c:manualLayout>
          <c:xMode val="edge"/>
          <c:yMode val="edge"/>
          <c:x val="1.9793292587565271E-2"/>
          <c:y val="0.68713054289266473"/>
          <c:w val="0.52129246144770425"/>
          <c:h val="0.29755751856000429"/>
        </c:manualLayout>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4782252173571779E-2"/>
          <c:y val="3.0585453677794409E-2"/>
          <c:w val="0.88379409697097067"/>
          <c:h val="0.43061598384046573"/>
        </c:manualLayout>
      </c:layout>
      <c:barChart>
        <c:barDir val="col"/>
        <c:grouping val="stacked"/>
        <c:varyColors val="0"/>
        <c:ser>
          <c:idx val="0"/>
          <c:order val="0"/>
          <c:tx>
            <c:strRef>
              <c:f>'Fig 6 ATC S Rx'!$B$29</c:f>
              <c:strCache>
                <c:ptCount val="1"/>
                <c:pt idx="0">
                  <c:v>S01AA01 - Chloramphenicol (eye)</c:v>
                </c:pt>
              </c:strCache>
            </c:strRef>
          </c:tx>
          <c:invertIfNegative val="0"/>
          <c:cat>
            <c:numRef>
              <c:f>'Fig 6 ATC S Rx'!$A$30:$A$49</c:f>
              <c:numCache>
                <c:formatCode>General</c:formatCode>
                <c:ptCount val="20"/>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numCache>
            </c:numRef>
          </c:cat>
          <c:val>
            <c:numRef>
              <c:f>'Fig 6 ATC S Rx'!$B$30:$B$49</c:f>
              <c:numCache>
                <c:formatCode>General</c:formatCode>
                <c:ptCount val="20"/>
                <c:pt idx="0">
                  <c:v>1371444</c:v>
                </c:pt>
                <c:pt idx="1">
                  <c:v>1390604</c:v>
                </c:pt>
                <c:pt idx="2">
                  <c:v>1399494</c:v>
                </c:pt>
                <c:pt idx="3">
                  <c:v>1374915</c:v>
                </c:pt>
                <c:pt idx="4">
                  <c:v>1372431</c:v>
                </c:pt>
                <c:pt idx="5">
                  <c:v>1357425</c:v>
                </c:pt>
                <c:pt idx="6">
                  <c:v>1288811</c:v>
                </c:pt>
                <c:pt idx="7">
                  <c:v>1314057</c:v>
                </c:pt>
                <c:pt idx="8">
                  <c:v>1278722</c:v>
                </c:pt>
                <c:pt idx="9">
                  <c:v>1291592</c:v>
                </c:pt>
                <c:pt idx="10">
                  <c:v>1442331</c:v>
                </c:pt>
                <c:pt idx="11">
                  <c:v>1491058</c:v>
                </c:pt>
                <c:pt idx="12">
                  <c:v>1522301</c:v>
                </c:pt>
                <c:pt idx="13">
                  <c:v>1723587</c:v>
                </c:pt>
                <c:pt idx="14">
                  <c:v>1857281</c:v>
                </c:pt>
                <c:pt idx="15">
                  <c:v>1696744</c:v>
                </c:pt>
                <c:pt idx="16">
                  <c:v>1635210</c:v>
                </c:pt>
                <c:pt idx="17">
                  <c:v>1449152</c:v>
                </c:pt>
                <c:pt idx="18">
                  <c:v>1390496</c:v>
                </c:pt>
                <c:pt idx="19">
                  <c:v>1353514</c:v>
                </c:pt>
              </c:numCache>
            </c:numRef>
          </c:val>
        </c:ser>
        <c:ser>
          <c:idx val="1"/>
          <c:order val="1"/>
          <c:tx>
            <c:strRef>
              <c:f>'Fig 6 ATC S Rx'!$C$29</c:f>
              <c:strCache>
                <c:ptCount val="1"/>
                <c:pt idx="0">
                  <c:v>S02CA04 - Triamcinolone + neomycin + gramicidin + nystatin (ear)</c:v>
                </c:pt>
              </c:strCache>
            </c:strRef>
          </c:tx>
          <c:invertIfNegative val="0"/>
          <c:cat>
            <c:numRef>
              <c:f>'Fig 6 ATC S Rx'!$A$30:$A$49</c:f>
              <c:numCache>
                <c:formatCode>General</c:formatCode>
                <c:ptCount val="20"/>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numCache>
            </c:numRef>
          </c:cat>
          <c:val>
            <c:numRef>
              <c:f>'Fig 6 ATC S Rx'!$C$30:$C$49</c:f>
              <c:numCache>
                <c:formatCode>General</c:formatCode>
                <c:ptCount val="20"/>
                <c:pt idx="0">
                  <c:v>600436</c:v>
                </c:pt>
                <c:pt idx="1">
                  <c:v>630405</c:v>
                </c:pt>
                <c:pt idx="2">
                  <c:v>629768</c:v>
                </c:pt>
                <c:pt idx="3">
                  <c:v>582646</c:v>
                </c:pt>
                <c:pt idx="4">
                  <c:v>613231</c:v>
                </c:pt>
                <c:pt idx="5">
                  <c:v>603021</c:v>
                </c:pt>
                <c:pt idx="6">
                  <c:v>604810</c:v>
                </c:pt>
                <c:pt idx="7">
                  <c:v>614910</c:v>
                </c:pt>
                <c:pt idx="8">
                  <c:v>578347</c:v>
                </c:pt>
                <c:pt idx="9">
                  <c:v>563980</c:v>
                </c:pt>
                <c:pt idx="10">
                  <c:v>593529</c:v>
                </c:pt>
                <c:pt idx="11">
                  <c:v>588097</c:v>
                </c:pt>
                <c:pt idx="12">
                  <c:v>550742</c:v>
                </c:pt>
                <c:pt idx="13">
                  <c:v>478320</c:v>
                </c:pt>
                <c:pt idx="14">
                  <c:v>568924</c:v>
                </c:pt>
                <c:pt idx="15">
                  <c:v>578836</c:v>
                </c:pt>
                <c:pt idx="16">
                  <c:v>561352</c:v>
                </c:pt>
                <c:pt idx="17">
                  <c:v>541189</c:v>
                </c:pt>
                <c:pt idx="18">
                  <c:v>568705</c:v>
                </c:pt>
                <c:pt idx="19">
                  <c:v>617684</c:v>
                </c:pt>
              </c:numCache>
            </c:numRef>
          </c:val>
        </c:ser>
        <c:ser>
          <c:idx val="2"/>
          <c:order val="2"/>
          <c:tx>
            <c:strRef>
              <c:f>'Fig 6 ATC S Rx'!$D$29</c:f>
              <c:strCache>
                <c:ptCount val="1"/>
                <c:pt idx="0">
                  <c:v>S02CA06 - Dexamethasone + framycetin + gramicidin (ear)</c:v>
                </c:pt>
              </c:strCache>
            </c:strRef>
          </c:tx>
          <c:invertIfNegative val="0"/>
          <c:cat>
            <c:numRef>
              <c:f>'Fig 6 ATC S Rx'!$A$30:$A$49</c:f>
              <c:numCache>
                <c:formatCode>General</c:formatCode>
                <c:ptCount val="20"/>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numCache>
            </c:numRef>
          </c:cat>
          <c:val>
            <c:numRef>
              <c:f>'Fig 6 ATC S Rx'!$D$30:$D$49</c:f>
              <c:numCache>
                <c:formatCode>General</c:formatCode>
                <c:ptCount val="20"/>
                <c:pt idx="0">
                  <c:v>593042</c:v>
                </c:pt>
                <c:pt idx="1">
                  <c:v>591139</c:v>
                </c:pt>
                <c:pt idx="2">
                  <c:v>617004</c:v>
                </c:pt>
                <c:pt idx="3">
                  <c:v>629781</c:v>
                </c:pt>
                <c:pt idx="4">
                  <c:v>663236</c:v>
                </c:pt>
                <c:pt idx="5">
                  <c:v>633681</c:v>
                </c:pt>
                <c:pt idx="6">
                  <c:v>596430</c:v>
                </c:pt>
                <c:pt idx="7">
                  <c:v>617638</c:v>
                </c:pt>
                <c:pt idx="8">
                  <c:v>567697</c:v>
                </c:pt>
                <c:pt idx="9">
                  <c:v>524950</c:v>
                </c:pt>
                <c:pt idx="10">
                  <c:v>578773</c:v>
                </c:pt>
                <c:pt idx="11">
                  <c:v>532682</c:v>
                </c:pt>
                <c:pt idx="12">
                  <c:v>525093</c:v>
                </c:pt>
                <c:pt idx="13">
                  <c:v>542774</c:v>
                </c:pt>
                <c:pt idx="14">
                  <c:v>547717</c:v>
                </c:pt>
                <c:pt idx="15">
                  <c:v>508640</c:v>
                </c:pt>
                <c:pt idx="16">
                  <c:v>525105</c:v>
                </c:pt>
                <c:pt idx="17">
                  <c:v>541652</c:v>
                </c:pt>
                <c:pt idx="18">
                  <c:v>505394</c:v>
                </c:pt>
                <c:pt idx="19">
                  <c:v>436959</c:v>
                </c:pt>
              </c:numCache>
            </c:numRef>
          </c:val>
        </c:ser>
        <c:ser>
          <c:idx val="3"/>
          <c:order val="3"/>
          <c:tx>
            <c:strRef>
              <c:f>'Fig 6 ATC S Rx'!$E$29</c:f>
              <c:strCache>
                <c:ptCount val="1"/>
                <c:pt idx="0">
                  <c:v>S03AA - Framycetin (eye/ear)</c:v>
                </c:pt>
              </c:strCache>
            </c:strRef>
          </c:tx>
          <c:invertIfNegative val="0"/>
          <c:cat>
            <c:numRef>
              <c:f>'Fig 6 ATC S Rx'!$A$30:$A$49</c:f>
              <c:numCache>
                <c:formatCode>General</c:formatCode>
                <c:ptCount val="20"/>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numCache>
            </c:numRef>
          </c:cat>
          <c:val>
            <c:numRef>
              <c:f>'Fig 6 ATC S Rx'!$E$30:$E$49</c:f>
              <c:numCache>
                <c:formatCode>General</c:formatCode>
                <c:ptCount val="20"/>
                <c:pt idx="0">
                  <c:v>201064</c:v>
                </c:pt>
                <c:pt idx="1">
                  <c:v>202110</c:v>
                </c:pt>
                <c:pt idx="2">
                  <c:v>218721</c:v>
                </c:pt>
                <c:pt idx="3">
                  <c:v>189269</c:v>
                </c:pt>
                <c:pt idx="4">
                  <c:v>176937</c:v>
                </c:pt>
                <c:pt idx="5">
                  <c:v>149759</c:v>
                </c:pt>
                <c:pt idx="6">
                  <c:v>162740</c:v>
                </c:pt>
                <c:pt idx="7">
                  <c:v>159536</c:v>
                </c:pt>
                <c:pt idx="8">
                  <c:v>141243</c:v>
                </c:pt>
                <c:pt idx="9">
                  <c:v>127298</c:v>
                </c:pt>
                <c:pt idx="10">
                  <c:v>126022</c:v>
                </c:pt>
                <c:pt idx="11">
                  <c:v>81081</c:v>
                </c:pt>
                <c:pt idx="12">
                  <c:v>70204</c:v>
                </c:pt>
                <c:pt idx="13">
                  <c:v>69773</c:v>
                </c:pt>
                <c:pt idx="14">
                  <c:v>67273</c:v>
                </c:pt>
                <c:pt idx="15">
                  <c:v>80463</c:v>
                </c:pt>
                <c:pt idx="16">
                  <c:v>56778</c:v>
                </c:pt>
                <c:pt idx="17">
                  <c:v>56265</c:v>
                </c:pt>
                <c:pt idx="18">
                  <c:v>55035</c:v>
                </c:pt>
                <c:pt idx="19">
                  <c:v>58167</c:v>
                </c:pt>
              </c:numCache>
            </c:numRef>
          </c:val>
        </c:ser>
        <c:ser>
          <c:idx val="4"/>
          <c:order val="4"/>
          <c:tx>
            <c:strRef>
              <c:f>'Fig 6 ATC S Rx'!$F$29</c:f>
              <c:strCache>
                <c:ptCount val="1"/>
                <c:pt idx="0">
                  <c:v>S01AA12 - Tobramycin (eye)</c:v>
                </c:pt>
              </c:strCache>
            </c:strRef>
          </c:tx>
          <c:invertIfNegative val="0"/>
          <c:cat>
            <c:numRef>
              <c:f>'Fig 6 ATC S Rx'!$A$30:$A$49</c:f>
              <c:numCache>
                <c:formatCode>General</c:formatCode>
                <c:ptCount val="20"/>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numCache>
            </c:numRef>
          </c:cat>
          <c:val>
            <c:numRef>
              <c:f>'Fig 6 ATC S Rx'!$F$30:$F$49</c:f>
              <c:numCache>
                <c:formatCode>General</c:formatCode>
                <c:ptCount val="20"/>
                <c:pt idx="0">
                  <c:v>68668</c:v>
                </c:pt>
                <c:pt idx="1">
                  <c:v>78667</c:v>
                </c:pt>
                <c:pt idx="2">
                  <c:v>87483</c:v>
                </c:pt>
                <c:pt idx="3">
                  <c:v>95192</c:v>
                </c:pt>
                <c:pt idx="4">
                  <c:v>91143</c:v>
                </c:pt>
                <c:pt idx="5">
                  <c:v>93985</c:v>
                </c:pt>
                <c:pt idx="6">
                  <c:v>85210</c:v>
                </c:pt>
                <c:pt idx="7">
                  <c:v>86471</c:v>
                </c:pt>
                <c:pt idx="8">
                  <c:v>84097</c:v>
                </c:pt>
                <c:pt idx="9">
                  <c:v>78866</c:v>
                </c:pt>
                <c:pt idx="10">
                  <c:v>88169</c:v>
                </c:pt>
                <c:pt idx="11">
                  <c:v>90384</c:v>
                </c:pt>
                <c:pt idx="12">
                  <c:v>87834</c:v>
                </c:pt>
                <c:pt idx="13">
                  <c:v>91721</c:v>
                </c:pt>
                <c:pt idx="14">
                  <c:v>88351</c:v>
                </c:pt>
                <c:pt idx="15">
                  <c:v>112848</c:v>
                </c:pt>
                <c:pt idx="16">
                  <c:v>90706</c:v>
                </c:pt>
                <c:pt idx="17">
                  <c:v>93655</c:v>
                </c:pt>
                <c:pt idx="18">
                  <c:v>92795</c:v>
                </c:pt>
                <c:pt idx="19">
                  <c:v>94312</c:v>
                </c:pt>
              </c:numCache>
            </c:numRef>
          </c:val>
        </c:ser>
        <c:ser>
          <c:idx val="5"/>
          <c:order val="5"/>
          <c:tx>
            <c:strRef>
              <c:f>'Fig 6 ATC S Rx'!$G$29</c:f>
              <c:strCache>
                <c:ptCount val="1"/>
                <c:pt idx="0">
                  <c:v>S02CA03 - Hydrocortisone + ciprofloxacin (ear)</c:v>
                </c:pt>
              </c:strCache>
            </c:strRef>
          </c:tx>
          <c:invertIfNegative val="0"/>
          <c:cat>
            <c:numRef>
              <c:f>'Fig 6 ATC S Rx'!$A$30:$A$49</c:f>
              <c:numCache>
                <c:formatCode>General</c:formatCode>
                <c:ptCount val="20"/>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numCache>
            </c:numRef>
          </c:cat>
          <c:val>
            <c:numRef>
              <c:f>'Fig 6 ATC S Rx'!$G$30:$G$49</c:f>
              <c:numCache>
                <c:formatCode>General</c:formatCode>
                <c:ptCount val="20"/>
                <c:pt idx="0">
                  <c:v>16</c:v>
                </c:pt>
                <c:pt idx="6">
                  <c:v>26233</c:v>
                </c:pt>
                <c:pt idx="7">
                  <c:v>61413</c:v>
                </c:pt>
                <c:pt idx="8">
                  <c:v>71914</c:v>
                </c:pt>
                <c:pt idx="9">
                  <c:v>70175</c:v>
                </c:pt>
                <c:pt idx="10">
                  <c:v>94881</c:v>
                </c:pt>
                <c:pt idx="11">
                  <c:v>92511</c:v>
                </c:pt>
                <c:pt idx="12">
                  <c:v>99851</c:v>
                </c:pt>
                <c:pt idx="13">
                  <c:v>106285</c:v>
                </c:pt>
                <c:pt idx="14">
                  <c:v>118912</c:v>
                </c:pt>
                <c:pt idx="15">
                  <c:v>117053</c:v>
                </c:pt>
                <c:pt idx="16">
                  <c:v>122921</c:v>
                </c:pt>
                <c:pt idx="17">
                  <c:v>120562</c:v>
                </c:pt>
                <c:pt idx="18">
                  <c:v>77424</c:v>
                </c:pt>
              </c:numCache>
            </c:numRef>
          </c:val>
        </c:ser>
        <c:ser>
          <c:idx val="6"/>
          <c:order val="6"/>
          <c:tx>
            <c:strRef>
              <c:f>'Fig 6 ATC S Rx'!$H$29</c:f>
              <c:strCache>
                <c:ptCount val="1"/>
                <c:pt idx="0">
                  <c:v>S01AA11 - Gentamicin (eye)</c:v>
                </c:pt>
              </c:strCache>
            </c:strRef>
          </c:tx>
          <c:invertIfNegative val="0"/>
          <c:cat>
            <c:numRef>
              <c:f>'Fig 6 ATC S Rx'!$A$30:$A$49</c:f>
              <c:numCache>
                <c:formatCode>General</c:formatCode>
                <c:ptCount val="20"/>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numCache>
            </c:numRef>
          </c:cat>
          <c:val>
            <c:numRef>
              <c:f>'Fig 6 ATC S Rx'!$H$30:$H$49</c:f>
              <c:numCache>
                <c:formatCode>General</c:formatCode>
                <c:ptCount val="20"/>
                <c:pt idx="0">
                  <c:v>26298</c:v>
                </c:pt>
                <c:pt idx="1">
                  <c:v>28480</c:v>
                </c:pt>
                <c:pt idx="2">
                  <c:v>31511</c:v>
                </c:pt>
                <c:pt idx="3">
                  <c:v>28767</c:v>
                </c:pt>
                <c:pt idx="4">
                  <c:v>33314</c:v>
                </c:pt>
                <c:pt idx="5">
                  <c:v>32515</c:v>
                </c:pt>
                <c:pt idx="6">
                  <c:v>23854</c:v>
                </c:pt>
                <c:pt idx="7">
                  <c:v>18663</c:v>
                </c:pt>
                <c:pt idx="8">
                  <c:v>18165</c:v>
                </c:pt>
                <c:pt idx="9">
                  <c:v>13978</c:v>
                </c:pt>
                <c:pt idx="10">
                  <c:v>15092</c:v>
                </c:pt>
                <c:pt idx="11">
                  <c:v>12308</c:v>
                </c:pt>
                <c:pt idx="12">
                  <c:v>10684</c:v>
                </c:pt>
                <c:pt idx="13">
                  <c:v>12438</c:v>
                </c:pt>
                <c:pt idx="14">
                  <c:v>11372</c:v>
                </c:pt>
                <c:pt idx="15">
                  <c:v>10997</c:v>
                </c:pt>
                <c:pt idx="16">
                  <c:v>9512</c:v>
                </c:pt>
                <c:pt idx="17">
                  <c:v>9891</c:v>
                </c:pt>
                <c:pt idx="18">
                  <c:v>8215</c:v>
                </c:pt>
                <c:pt idx="19">
                  <c:v>7875</c:v>
                </c:pt>
              </c:numCache>
            </c:numRef>
          </c:val>
        </c:ser>
        <c:ser>
          <c:idx val="7"/>
          <c:order val="7"/>
          <c:tx>
            <c:strRef>
              <c:f>'Fig 6 ATC S Rx'!$I$29</c:f>
              <c:strCache>
                <c:ptCount val="1"/>
                <c:pt idx="0">
                  <c:v>S02AA01 - Chloramphenicol (ear)</c:v>
                </c:pt>
              </c:strCache>
            </c:strRef>
          </c:tx>
          <c:invertIfNegative val="0"/>
          <c:cat>
            <c:numRef>
              <c:f>'Fig 6 ATC S Rx'!$A$30:$A$49</c:f>
              <c:numCache>
                <c:formatCode>General</c:formatCode>
                <c:ptCount val="20"/>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numCache>
            </c:numRef>
          </c:cat>
          <c:val>
            <c:numRef>
              <c:f>'Fig 6 ATC S Rx'!$I$30:$I$49</c:f>
              <c:numCache>
                <c:formatCode>General</c:formatCode>
                <c:ptCount val="20"/>
                <c:pt idx="0">
                  <c:v>20529</c:v>
                </c:pt>
                <c:pt idx="1">
                  <c:v>21896</c:v>
                </c:pt>
                <c:pt idx="2">
                  <c:v>22000</c:v>
                </c:pt>
                <c:pt idx="3">
                  <c:v>20631</c:v>
                </c:pt>
                <c:pt idx="4">
                  <c:v>19041</c:v>
                </c:pt>
                <c:pt idx="5">
                  <c:v>18446</c:v>
                </c:pt>
                <c:pt idx="6">
                  <c:v>17583</c:v>
                </c:pt>
                <c:pt idx="7">
                  <c:v>20118</c:v>
                </c:pt>
                <c:pt idx="8">
                  <c:v>17918</c:v>
                </c:pt>
                <c:pt idx="9">
                  <c:v>16170</c:v>
                </c:pt>
                <c:pt idx="10">
                  <c:v>20065</c:v>
                </c:pt>
                <c:pt idx="11">
                  <c:v>20407</c:v>
                </c:pt>
                <c:pt idx="12">
                  <c:v>17214</c:v>
                </c:pt>
                <c:pt idx="13">
                  <c:v>17894</c:v>
                </c:pt>
                <c:pt idx="14">
                  <c:v>19316</c:v>
                </c:pt>
                <c:pt idx="15">
                  <c:v>17862</c:v>
                </c:pt>
                <c:pt idx="16">
                  <c:v>16364</c:v>
                </c:pt>
                <c:pt idx="17">
                  <c:v>16283</c:v>
                </c:pt>
                <c:pt idx="18">
                  <c:v>13383</c:v>
                </c:pt>
                <c:pt idx="19">
                  <c:v>10434</c:v>
                </c:pt>
              </c:numCache>
            </c:numRef>
          </c:val>
        </c:ser>
        <c:ser>
          <c:idx val="8"/>
          <c:order val="8"/>
          <c:tx>
            <c:strRef>
              <c:f>'Fig 6 ATC S Rx'!$J$29</c:f>
              <c:strCache>
                <c:ptCount val="1"/>
                <c:pt idx="0">
                  <c:v>S01AE03 - Ciprofloxacin (eye)</c:v>
                </c:pt>
              </c:strCache>
            </c:strRef>
          </c:tx>
          <c:invertIfNegative val="0"/>
          <c:cat>
            <c:numRef>
              <c:f>'Fig 6 ATC S Rx'!$A$30:$A$49</c:f>
              <c:numCache>
                <c:formatCode>General</c:formatCode>
                <c:ptCount val="20"/>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numCache>
            </c:numRef>
          </c:cat>
          <c:val>
            <c:numRef>
              <c:f>'Fig 6 ATC S Rx'!$J$30:$J$49</c:f>
              <c:numCache>
                <c:formatCode>General</c:formatCode>
                <c:ptCount val="20"/>
                <c:pt idx="0">
                  <c:v>637</c:v>
                </c:pt>
                <c:pt idx="1">
                  <c:v>2556</c:v>
                </c:pt>
                <c:pt idx="2">
                  <c:v>5536</c:v>
                </c:pt>
                <c:pt idx="3">
                  <c:v>12023</c:v>
                </c:pt>
                <c:pt idx="4">
                  <c:v>25566</c:v>
                </c:pt>
                <c:pt idx="5">
                  <c:v>32959</c:v>
                </c:pt>
                <c:pt idx="6">
                  <c:v>43479</c:v>
                </c:pt>
                <c:pt idx="7">
                  <c:v>52675</c:v>
                </c:pt>
                <c:pt idx="8">
                  <c:v>17490</c:v>
                </c:pt>
                <c:pt idx="9">
                  <c:v>16271</c:v>
                </c:pt>
                <c:pt idx="10">
                  <c:v>13096</c:v>
                </c:pt>
                <c:pt idx="11">
                  <c:v>14337</c:v>
                </c:pt>
                <c:pt idx="12">
                  <c:v>14630</c:v>
                </c:pt>
                <c:pt idx="13">
                  <c:v>16343</c:v>
                </c:pt>
                <c:pt idx="14">
                  <c:v>16577</c:v>
                </c:pt>
                <c:pt idx="15">
                  <c:v>18167</c:v>
                </c:pt>
                <c:pt idx="16">
                  <c:v>17971</c:v>
                </c:pt>
                <c:pt idx="17">
                  <c:v>18089</c:v>
                </c:pt>
                <c:pt idx="18">
                  <c:v>12527</c:v>
                </c:pt>
                <c:pt idx="19">
                  <c:v>3362</c:v>
                </c:pt>
              </c:numCache>
            </c:numRef>
          </c:val>
        </c:ser>
        <c:ser>
          <c:idx val="9"/>
          <c:order val="9"/>
          <c:tx>
            <c:strRef>
              <c:f>'Fig 6 ATC S Rx'!$K$29</c:f>
              <c:strCache>
                <c:ptCount val="1"/>
                <c:pt idx="0">
                  <c:v>S02AA15 - Ciprofloxacin (ear)</c:v>
                </c:pt>
              </c:strCache>
            </c:strRef>
          </c:tx>
          <c:invertIfNegative val="0"/>
          <c:cat>
            <c:numRef>
              <c:f>'Fig 6 ATC S Rx'!$A$30:$A$49</c:f>
              <c:numCache>
                <c:formatCode>General</c:formatCode>
                <c:ptCount val="20"/>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numCache>
            </c:numRef>
          </c:cat>
          <c:val>
            <c:numRef>
              <c:f>'Fig 6 ATC S Rx'!$K$30:$K$49</c:f>
              <c:numCache>
                <c:formatCode>General</c:formatCode>
                <c:ptCount val="20"/>
                <c:pt idx="12">
                  <c:v>143</c:v>
                </c:pt>
                <c:pt idx="13">
                  <c:v>16200</c:v>
                </c:pt>
                <c:pt idx="14">
                  <c:v>34472</c:v>
                </c:pt>
                <c:pt idx="15">
                  <c:v>42181</c:v>
                </c:pt>
                <c:pt idx="16">
                  <c:v>49391</c:v>
                </c:pt>
                <c:pt idx="17">
                  <c:v>56544</c:v>
                </c:pt>
                <c:pt idx="18">
                  <c:v>38501</c:v>
                </c:pt>
                <c:pt idx="19">
                  <c:v>12498</c:v>
                </c:pt>
              </c:numCache>
            </c:numRef>
          </c:val>
        </c:ser>
        <c:ser>
          <c:idx val="10"/>
          <c:order val="10"/>
          <c:tx>
            <c:strRef>
              <c:f>'Fig 6 ATC S Rx'!$L$29</c:f>
              <c:strCache>
                <c:ptCount val="1"/>
                <c:pt idx="0">
                  <c:v>S01AE01 - Ofloxacin (eye)</c:v>
                </c:pt>
              </c:strCache>
            </c:strRef>
          </c:tx>
          <c:invertIfNegative val="0"/>
          <c:cat>
            <c:numRef>
              <c:f>'Fig 6 ATC S Rx'!$A$30:$A$49</c:f>
              <c:numCache>
                <c:formatCode>General</c:formatCode>
                <c:ptCount val="20"/>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numCache>
            </c:numRef>
          </c:cat>
          <c:val>
            <c:numRef>
              <c:f>'Fig 6 ATC S Rx'!$L$30:$L$49</c:f>
              <c:numCache>
                <c:formatCode>General</c:formatCode>
                <c:ptCount val="20"/>
                <c:pt idx="1">
                  <c:v>3249</c:v>
                </c:pt>
                <c:pt idx="2">
                  <c:v>4325</c:v>
                </c:pt>
                <c:pt idx="3">
                  <c:v>11349</c:v>
                </c:pt>
                <c:pt idx="4">
                  <c:v>12523</c:v>
                </c:pt>
                <c:pt idx="5">
                  <c:v>12173</c:v>
                </c:pt>
                <c:pt idx="6">
                  <c:v>15832</c:v>
                </c:pt>
                <c:pt idx="7">
                  <c:v>16429</c:v>
                </c:pt>
                <c:pt idx="8">
                  <c:v>5394</c:v>
                </c:pt>
                <c:pt idx="9">
                  <c:v>10916</c:v>
                </c:pt>
                <c:pt idx="10">
                  <c:v>18917</c:v>
                </c:pt>
                <c:pt idx="11">
                  <c:v>19942</c:v>
                </c:pt>
                <c:pt idx="12">
                  <c:v>18896</c:v>
                </c:pt>
                <c:pt idx="13">
                  <c:v>15482</c:v>
                </c:pt>
                <c:pt idx="14">
                  <c:v>13423</c:v>
                </c:pt>
                <c:pt idx="15">
                  <c:v>17406</c:v>
                </c:pt>
                <c:pt idx="16">
                  <c:v>17635</c:v>
                </c:pt>
                <c:pt idx="17">
                  <c:v>18028</c:v>
                </c:pt>
                <c:pt idx="18">
                  <c:v>13296</c:v>
                </c:pt>
                <c:pt idx="19">
                  <c:v>3952</c:v>
                </c:pt>
              </c:numCache>
            </c:numRef>
          </c:val>
        </c:ser>
        <c:dLbls>
          <c:showLegendKey val="0"/>
          <c:showVal val="0"/>
          <c:showCatName val="0"/>
          <c:showSerName val="0"/>
          <c:showPercent val="0"/>
          <c:showBubbleSize val="0"/>
        </c:dLbls>
        <c:gapWidth val="75"/>
        <c:overlap val="100"/>
        <c:axId val="160491776"/>
        <c:axId val="160493952"/>
      </c:barChart>
      <c:catAx>
        <c:axId val="160491776"/>
        <c:scaling>
          <c:orientation val="minMax"/>
        </c:scaling>
        <c:delete val="0"/>
        <c:axPos val="b"/>
        <c:title>
          <c:tx>
            <c:rich>
              <a:bodyPr/>
              <a:lstStyle/>
              <a:p>
                <a:pPr>
                  <a:defRPr/>
                </a:pPr>
                <a:r>
                  <a:rPr lang="en-AU"/>
                  <a:t>Year</a:t>
                </a:r>
                <a:r>
                  <a:rPr lang="en-AU" baseline="0"/>
                  <a:t> of supply</a:t>
                </a:r>
                <a:endParaRPr lang="en-AU"/>
              </a:p>
            </c:rich>
          </c:tx>
          <c:layout/>
          <c:overlay val="0"/>
        </c:title>
        <c:numFmt formatCode="General" sourceLinked="1"/>
        <c:majorTickMark val="out"/>
        <c:minorTickMark val="none"/>
        <c:tickLblPos val="nextTo"/>
        <c:crossAx val="160493952"/>
        <c:crosses val="autoZero"/>
        <c:auto val="1"/>
        <c:lblAlgn val="ctr"/>
        <c:lblOffset val="100"/>
        <c:noMultiLvlLbl val="0"/>
      </c:catAx>
      <c:valAx>
        <c:axId val="160493952"/>
        <c:scaling>
          <c:orientation val="minMax"/>
          <c:max val="3500000"/>
        </c:scaling>
        <c:delete val="0"/>
        <c:axPos val="l"/>
        <c:majorGridlines/>
        <c:title>
          <c:tx>
            <c:rich>
              <a:bodyPr rot="-5400000" vert="horz"/>
              <a:lstStyle/>
              <a:p>
                <a:pPr>
                  <a:defRPr/>
                </a:pPr>
                <a:r>
                  <a:rPr lang="en-AU"/>
                  <a:t>Prescriptions (millions)</a:t>
                </a:r>
              </a:p>
            </c:rich>
          </c:tx>
          <c:layout/>
          <c:overlay val="0"/>
        </c:title>
        <c:numFmt formatCode="General" sourceLinked="1"/>
        <c:majorTickMark val="out"/>
        <c:minorTickMark val="none"/>
        <c:tickLblPos val="nextTo"/>
        <c:crossAx val="160491776"/>
        <c:crosses val="autoZero"/>
        <c:crossBetween val="between"/>
        <c:dispUnits>
          <c:builtInUnit val="millions"/>
        </c:dispUnits>
      </c:valAx>
    </c:plotArea>
    <c:legend>
      <c:legendPos val="b"/>
      <c:layout>
        <c:manualLayout>
          <c:xMode val="edge"/>
          <c:yMode val="edge"/>
          <c:x val="1.9877848685072072E-2"/>
          <c:y val="0.56338537948605094"/>
          <c:w val="0.67356330322694369"/>
          <c:h val="0.42581389215454007"/>
        </c:manualLayout>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122440725060121"/>
          <c:y val="3.0417862150792795E-2"/>
          <c:w val="0.50029388003400321"/>
          <c:h val="0.86750900657965702"/>
        </c:manualLayout>
      </c:layout>
      <c:barChart>
        <c:barDir val="col"/>
        <c:grouping val="stacked"/>
        <c:varyColors val="0"/>
        <c:ser>
          <c:idx val="0"/>
          <c:order val="0"/>
          <c:tx>
            <c:strRef>
              <c:f>'Fig 8 spectrum 3'!$B$58</c:f>
              <c:strCache>
                <c:ptCount val="1"/>
                <c:pt idx="0">
                  <c:v>BENZATHINE BENZYLPENICILLIN</c:v>
                </c:pt>
              </c:strCache>
            </c:strRef>
          </c:tx>
          <c:spPr>
            <a:solidFill>
              <a:srgbClr val="FFC000"/>
            </a:solidFill>
          </c:spPr>
          <c:invertIfNegative val="0"/>
          <c:cat>
            <c:strRef>
              <c:f>'Fig 8 spectrum 3'!$C$57:$E$57</c:f>
              <c:strCache>
                <c:ptCount val="3"/>
                <c:pt idx="0">
                  <c:v>Broad spectrum </c:v>
                </c:pt>
                <c:pt idx="1">
                  <c:v>Moderate spectrum</c:v>
                </c:pt>
                <c:pt idx="2">
                  <c:v>Narrow spectrum</c:v>
                </c:pt>
              </c:strCache>
            </c:strRef>
          </c:cat>
          <c:val>
            <c:numRef>
              <c:f>'Fig 8 spectrum 3'!$C$58:$E$58</c:f>
              <c:numCache>
                <c:formatCode>General</c:formatCode>
                <c:ptCount val="3"/>
                <c:pt idx="2">
                  <c:v>3666</c:v>
                </c:pt>
              </c:numCache>
            </c:numRef>
          </c:val>
        </c:ser>
        <c:ser>
          <c:idx val="1"/>
          <c:order val="1"/>
          <c:tx>
            <c:strRef>
              <c:f>'Fig 8 spectrum 3'!$B$59</c:f>
              <c:strCache>
                <c:ptCount val="1"/>
                <c:pt idx="0">
                  <c:v>BENZYLPENICILLIN</c:v>
                </c:pt>
              </c:strCache>
            </c:strRef>
          </c:tx>
          <c:spPr>
            <a:solidFill>
              <a:schemeClr val="accent6">
                <a:lumMod val="75000"/>
              </a:schemeClr>
            </a:solidFill>
          </c:spPr>
          <c:invertIfNegative val="0"/>
          <c:cat>
            <c:strRef>
              <c:f>'Fig 8 spectrum 3'!$C$57:$E$57</c:f>
              <c:strCache>
                <c:ptCount val="3"/>
                <c:pt idx="0">
                  <c:v>Broad spectrum </c:v>
                </c:pt>
                <c:pt idx="1">
                  <c:v>Moderate spectrum</c:v>
                </c:pt>
                <c:pt idx="2">
                  <c:v>Narrow spectrum</c:v>
                </c:pt>
              </c:strCache>
            </c:strRef>
          </c:cat>
          <c:val>
            <c:numRef>
              <c:f>'Fig 8 spectrum 3'!$C$59:$E$59</c:f>
              <c:numCache>
                <c:formatCode>General</c:formatCode>
                <c:ptCount val="3"/>
                <c:pt idx="2">
                  <c:v>14577</c:v>
                </c:pt>
              </c:numCache>
            </c:numRef>
          </c:val>
        </c:ser>
        <c:ser>
          <c:idx val="2"/>
          <c:order val="2"/>
          <c:tx>
            <c:strRef>
              <c:f>'Fig 8 spectrum 3'!$B$60</c:f>
              <c:strCache>
                <c:ptCount val="1"/>
                <c:pt idx="0">
                  <c:v>PROCAINE PENICILLIN</c:v>
                </c:pt>
              </c:strCache>
            </c:strRef>
          </c:tx>
          <c:spPr>
            <a:solidFill>
              <a:schemeClr val="accent2">
                <a:lumMod val="60000"/>
                <a:lumOff val="40000"/>
              </a:schemeClr>
            </a:solidFill>
          </c:spPr>
          <c:invertIfNegative val="0"/>
          <c:cat>
            <c:strRef>
              <c:f>'Fig 8 spectrum 3'!$C$57:$E$57</c:f>
              <c:strCache>
                <c:ptCount val="3"/>
                <c:pt idx="0">
                  <c:v>Broad spectrum </c:v>
                </c:pt>
                <c:pt idx="1">
                  <c:v>Moderate spectrum</c:v>
                </c:pt>
                <c:pt idx="2">
                  <c:v>Narrow spectrum</c:v>
                </c:pt>
              </c:strCache>
            </c:strRef>
          </c:cat>
          <c:val>
            <c:numRef>
              <c:f>'Fig 8 spectrum 3'!$C$60:$E$60</c:f>
              <c:numCache>
                <c:formatCode>General</c:formatCode>
                <c:ptCount val="3"/>
                <c:pt idx="2">
                  <c:v>21878</c:v>
                </c:pt>
              </c:numCache>
            </c:numRef>
          </c:val>
        </c:ser>
        <c:ser>
          <c:idx val="3"/>
          <c:order val="3"/>
          <c:tx>
            <c:strRef>
              <c:f>'Fig 8 spectrum 3'!$B$61</c:f>
              <c:strCache>
                <c:ptCount val="1"/>
                <c:pt idx="0">
                  <c:v>PHENOXYMETHYLPENICILLIN</c:v>
                </c:pt>
              </c:strCache>
            </c:strRef>
          </c:tx>
          <c:spPr>
            <a:solidFill>
              <a:schemeClr val="accent2">
                <a:lumMod val="50000"/>
              </a:schemeClr>
            </a:solidFill>
          </c:spPr>
          <c:invertIfNegative val="0"/>
          <c:cat>
            <c:strRef>
              <c:f>'Fig 8 spectrum 3'!$C$57:$E$57</c:f>
              <c:strCache>
                <c:ptCount val="3"/>
                <c:pt idx="0">
                  <c:v>Broad spectrum </c:v>
                </c:pt>
                <c:pt idx="1">
                  <c:v>Moderate spectrum</c:v>
                </c:pt>
                <c:pt idx="2">
                  <c:v>Narrow spectrum</c:v>
                </c:pt>
              </c:strCache>
            </c:strRef>
          </c:cat>
          <c:val>
            <c:numRef>
              <c:f>'Fig 8 spectrum 3'!$C$61:$E$61</c:f>
              <c:numCache>
                <c:formatCode>General</c:formatCode>
                <c:ptCount val="3"/>
                <c:pt idx="2">
                  <c:v>585331</c:v>
                </c:pt>
              </c:numCache>
            </c:numRef>
          </c:val>
        </c:ser>
        <c:ser>
          <c:idx val="4"/>
          <c:order val="4"/>
          <c:tx>
            <c:strRef>
              <c:f>'Fig 8 spectrum 3'!$B$62</c:f>
              <c:strCache>
                <c:ptCount val="1"/>
                <c:pt idx="0">
                  <c:v>DICLOXACILLIN</c:v>
                </c:pt>
              </c:strCache>
            </c:strRef>
          </c:tx>
          <c:spPr>
            <a:solidFill>
              <a:schemeClr val="accent6">
                <a:lumMod val="60000"/>
                <a:lumOff val="40000"/>
              </a:schemeClr>
            </a:solidFill>
          </c:spPr>
          <c:invertIfNegative val="0"/>
          <c:cat>
            <c:strRef>
              <c:f>'Fig 8 spectrum 3'!$C$57:$E$57</c:f>
              <c:strCache>
                <c:ptCount val="3"/>
                <c:pt idx="0">
                  <c:v>Broad spectrum </c:v>
                </c:pt>
                <c:pt idx="1">
                  <c:v>Moderate spectrum</c:v>
                </c:pt>
                <c:pt idx="2">
                  <c:v>Narrow spectrum</c:v>
                </c:pt>
              </c:strCache>
            </c:strRef>
          </c:cat>
          <c:val>
            <c:numRef>
              <c:f>'Fig 8 spectrum 3'!$C$62:$E$62</c:f>
              <c:numCache>
                <c:formatCode>General</c:formatCode>
                <c:ptCount val="3"/>
                <c:pt idx="2">
                  <c:v>278554</c:v>
                </c:pt>
              </c:numCache>
            </c:numRef>
          </c:val>
        </c:ser>
        <c:ser>
          <c:idx val="5"/>
          <c:order val="5"/>
          <c:tx>
            <c:strRef>
              <c:f>'Fig 8 spectrum 3'!$B$63</c:f>
              <c:strCache>
                <c:ptCount val="1"/>
                <c:pt idx="0">
                  <c:v>FLUCLOXACILLIN</c:v>
                </c:pt>
              </c:strCache>
            </c:strRef>
          </c:tx>
          <c:spPr>
            <a:solidFill>
              <a:schemeClr val="accent2"/>
            </a:solidFill>
          </c:spPr>
          <c:invertIfNegative val="0"/>
          <c:cat>
            <c:strRef>
              <c:f>'Fig 8 spectrum 3'!$C$57:$E$57</c:f>
              <c:strCache>
                <c:ptCount val="3"/>
                <c:pt idx="0">
                  <c:v>Broad spectrum </c:v>
                </c:pt>
                <c:pt idx="1">
                  <c:v>Moderate spectrum</c:v>
                </c:pt>
                <c:pt idx="2">
                  <c:v>Narrow spectrum</c:v>
                </c:pt>
              </c:strCache>
            </c:strRef>
          </c:cat>
          <c:val>
            <c:numRef>
              <c:f>'Fig 8 spectrum 3'!$C$63:$E$63</c:f>
              <c:numCache>
                <c:formatCode>General</c:formatCode>
                <c:ptCount val="3"/>
                <c:pt idx="2">
                  <c:v>646689</c:v>
                </c:pt>
              </c:numCache>
            </c:numRef>
          </c:val>
        </c:ser>
        <c:ser>
          <c:idx val="6"/>
          <c:order val="6"/>
          <c:tx>
            <c:strRef>
              <c:f>'Fig 8 spectrum 3'!$B$64</c:f>
              <c:strCache>
                <c:ptCount val="1"/>
                <c:pt idx="0">
                  <c:v>Narrow Spectrum</c:v>
                </c:pt>
              </c:strCache>
            </c:strRef>
          </c:tx>
          <c:spPr>
            <a:noFill/>
          </c:spPr>
          <c:invertIfNegative val="0"/>
          <c:cat>
            <c:strRef>
              <c:f>'Fig 8 spectrum 3'!$C$57:$E$57</c:f>
              <c:strCache>
                <c:ptCount val="3"/>
                <c:pt idx="0">
                  <c:v>Broad spectrum </c:v>
                </c:pt>
                <c:pt idx="1">
                  <c:v>Moderate spectrum</c:v>
                </c:pt>
                <c:pt idx="2">
                  <c:v>Narrow spectrum</c:v>
                </c:pt>
              </c:strCache>
            </c:strRef>
          </c:cat>
          <c:val>
            <c:numRef>
              <c:f>'Fig 8 spectrum 3'!$C$64:$E$64</c:f>
              <c:numCache>
                <c:formatCode>General</c:formatCode>
                <c:ptCount val="3"/>
              </c:numCache>
            </c:numRef>
          </c:val>
        </c:ser>
        <c:ser>
          <c:idx val="7"/>
          <c:order val="7"/>
          <c:tx>
            <c:strRef>
              <c:f>'Fig 8 spectrum 3'!$B$65</c:f>
              <c:strCache>
                <c:ptCount val="1"/>
                <c:pt idx="0">
                  <c:v>AMOXYCILLIN</c:v>
                </c:pt>
              </c:strCache>
            </c:strRef>
          </c:tx>
          <c:spPr>
            <a:solidFill>
              <a:schemeClr val="accent4"/>
            </a:solidFill>
          </c:spPr>
          <c:invertIfNegative val="0"/>
          <c:cat>
            <c:strRef>
              <c:f>'Fig 8 spectrum 3'!$C$57:$E$57</c:f>
              <c:strCache>
                <c:ptCount val="3"/>
                <c:pt idx="0">
                  <c:v>Broad spectrum </c:v>
                </c:pt>
                <c:pt idx="1">
                  <c:v>Moderate spectrum</c:v>
                </c:pt>
                <c:pt idx="2">
                  <c:v>Narrow spectrum</c:v>
                </c:pt>
              </c:strCache>
            </c:strRef>
          </c:cat>
          <c:val>
            <c:numRef>
              <c:f>'Fig 8 spectrum 3'!$C$65:$E$65</c:f>
              <c:numCache>
                <c:formatCode>General</c:formatCode>
                <c:ptCount val="3"/>
                <c:pt idx="1">
                  <c:v>5665810</c:v>
                </c:pt>
              </c:numCache>
            </c:numRef>
          </c:val>
        </c:ser>
        <c:ser>
          <c:idx val="8"/>
          <c:order val="8"/>
          <c:tx>
            <c:strRef>
              <c:f>'Fig 8 spectrum 3'!$B$66</c:f>
              <c:strCache>
                <c:ptCount val="1"/>
                <c:pt idx="0">
                  <c:v>AMPICILLIN</c:v>
                </c:pt>
              </c:strCache>
            </c:strRef>
          </c:tx>
          <c:spPr>
            <a:solidFill>
              <a:schemeClr val="accent4">
                <a:lumMod val="40000"/>
                <a:lumOff val="60000"/>
              </a:schemeClr>
            </a:solidFill>
          </c:spPr>
          <c:invertIfNegative val="0"/>
          <c:cat>
            <c:strRef>
              <c:f>'Fig 8 spectrum 3'!$C$57:$E$57</c:f>
              <c:strCache>
                <c:ptCount val="3"/>
                <c:pt idx="0">
                  <c:v>Broad spectrum </c:v>
                </c:pt>
                <c:pt idx="1">
                  <c:v>Moderate spectrum</c:v>
                </c:pt>
                <c:pt idx="2">
                  <c:v>Narrow spectrum</c:v>
                </c:pt>
              </c:strCache>
            </c:strRef>
          </c:cat>
          <c:val>
            <c:numRef>
              <c:f>'Fig 8 spectrum 3'!$C$66:$E$66</c:f>
              <c:numCache>
                <c:formatCode>General</c:formatCode>
                <c:ptCount val="3"/>
                <c:pt idx="1">
                  <c:v>10139</c:v>
                </c:pt>
              </c:numCache>
            </c:numRef>
          </c:val>
        </c:ser>
        <c:ser>
          <c:idx val="9"/>
          <c:order val="9"/>
          <c:tx>
            <c:strRef>
              <c:f>'Fig 8 spectrum 3'!$B$67</c:f>
              <c:strCache>
                <c:ptCount val="1"/>
                <c:pt idx="0">
                  <c:v>CEPHALEXIN</c:v>
                </c:pt>
              </c:strCache>
            </c:strRef>
          </c:tx>
          <c:spPr>
            <a:solidFill>
              <a:schemeClr val="accent5"/>
            </a:solidFill>
          </c:spPr>
          <c:invertIfNegative val="0"/>
          <c:cat>
            <c:strRef>
              <c:f>'Fig 8 spectrum 3'!$C$57:$E$57</c:f>
              <c:strCache>
                <c:ptCount val="3"/>
                <c:pt idx="0">
                  <c:v>Broad spectrum </c:v>
                </c:pt>
                <c:pt idx="1">
                  <c:v>Moderate spectrum</c:v>
                </c:pt>
                <c:pt idx="2">
                  <c:v>Narrow spectrum</c:v>
                </c:pt>
              </c:strCache>
            </c:strRef>
          </c:cat>
          <c:val>
            <c:numRef>
              <c:f>'Fig 8 spectrum 3'!$C$67:$E$67</c:f>
              <c:numCache>
                <c:formatCode>General</c:formatCode>
                <c:ptCount val="3"/>
                <c:pt idx="1">
                  <c:v>5413046</c:v>
                </c:pt>
              </c:numCache>
            </c:numRef>
          </c:val>
        </c:ser>
        <c:ser>
          <c:idx val="10"/>
          <c:order val="10"/>
          <c:tx>
            <c:strRef>
              <c:f>'Fig 8 spectrum 3'!$B$68</c:f>
              <c:strCache>
                <c:ptCount val="1"/>
                <c:pt idx="0">
                  <c:v>CEPHALOTHIN</c:v>
                </c:pt>
              </c:strCache>
            </c:strRef>
          </c:tx>
          <c:spPr>
            <a:solidFill>
              <a:schemeClr val="accent5">
                <a:lumMod val="50000"/>
              </a:schemeClr>
            </a:solidFill>
          </c:spPr>
          <c:invertIfNegative val="0"/>
          <c:cat>
            <c:strRef>
              <c:f>'Fig 8 spectrum 3'!$C$57:$E$57</c:f>
              <c:strCache>
                <c:ptCount val="3"/>
                <c:pt idx="0">
                  <c:v>Broad spectrum </c:v>
                </c:pt>
                <c:pt idx="1">
                  <c:v>Moderate spectrum</c:v>
                </c:pt>
                <c:pt idx="2">
                  <c:v>Narrow spectrum</c:v>
                </c:pt>
              </c:strCache>
            </c:strRef>
          </c:cat>
          <c:val>
            <c:numRef>
              <c:f>'Fig 8 spectrum 3'!$C$68:$E$68</c:f>
              <c:numCache>
                <c:formatCode>General</c:formatCode>
                <c:ptCount val="3"/>
                <c:pt idx="1">
                  <c:v>18291</c:v>
                </c:pt>
              </c:numCache>
            </c:numRef>
          </c:val>
        </c:ser>
        <c:ser>
          <c:idx val="11"/>
          <c:order val="11"/>
          <c:tx>
            <c:strRef>
              <c:f>'Fig 8 spectrum 3'!$B$69</c:f>
              <c:strCache>
                <c:ptCount val="1"/>
                <c:pt idx="0">
                  <c:v>CEPHAZOLIN</c:v>
                </c:pt>
              </c:strCache>
            </c:strRef>
          </c:tx>
          <c:spPr>
            <a:solidFill>
              <a:schemeClr val="tx2"/>
            </a:solidFill>
          </c:spPr>
          <c:invertIfNegative val="0"/>
          <c:cat>
            <c:strRef>
              <c:f>'Fig 8 spectrum 3'!$C$57:$E$57</c:f>
              <c:strCache>
                <c:ptCount val="3"/>
                <c:pt idx="0">
                  <c:v>Broad spectrum </c:v>
                </c:pt>
                <c:pt idx="1">
                  <c:v>Moderate spectrum</c:v>
                </c:pt>
                <c:pt idx="2">
                  <c:v>Narrow spectrum</c:v>
                </c:pt>
              </c:strCache>
            </c:strRef>
          </c:cat>
          <c:val>
            <c:numRef>
              <c:f>'Fig 8 spectrum 3'!$C$69:$E$69</c:f>
              <c:numCache>
                <c:formatCode>General</c:formatCode>
                <c:ptCount val="3"/>
                <c:pt idx="1">
                  <c:v>56201</c:v>
                </c:pt>
              </c:numCache>
            </c:numRef>
          </c:val>
        </c:ser>
        <c:ser>
          <c:idx val="12"/>
          <c:order val="12"/>
          <c:tx>
            <c:strRef>
              <c:f>'Fig 8 spectrum 3'!$B$70</c:f>
              <c:strCache>
                <c:ptCount val="1"/>
                <c:pt idx="0">
                  <c:v>CEFUROXIME</c:v>
                </c:pt>
              </c:strCache>
            </c:strRef>
          </c:tx>
          <c:spPr>
            <a:solidFill>
              <a:schemeClr val="accent1">
                <a:lumMod val="40000"/>
                <a:lumOff val="60000"/>
              </a:schemeClr>
            </a:solidFill>
          </c:spPr>
          <c:invertIfNegative val="0"/>
          <c:cat>
            <c:strRef>
              <c:f>'Fig 8 spectrum 3'!$C$57:$E$57</c:f>
              <c:strCache>
                <c:ptCount val="3"/>
                <c:pt idx="0">
                  <c:v>Broad spectrum </c:v>
                </c:pt>
                <c:pt idx="1">
                  <c:v>Moderate spectrum</c:v>
                </c:pt>
                <c:pt idx="2">
                  <c:v>Narrow spectrum</c:v>
                </c:pt>
              </c:strCache>
            </c:strRef>
          </c:cat>
          <c:val>
            <c:numRef>
              <c:f>'Fig 8 spectrum 3'!$C$70:$E$70</c:f>
              <c:numCache>
                <c:formatCode>General</c:formatCode>
                <c:ptCount val="3"/>
                <c:pt idx="1">
                  <c:v>116755</c:v>
                </c:pt>
              </c:numCache>
            </c:numRef>
          </c:val>
        </c:ser>
        <c:ser>
          <c:idx val="13"/>
          <c:order val="13"/>
          <c:tx>
            <c:strRef>
              <c:f>'Fig 8 spectrum 3'!$B$71</c:f>
              <c:strCache>
                <c:ptCount val="1"/>
                <c:pt idx="0">
                  <c:v>CEFACLOR</c:v>
                </c:pt>
              </c:strCache>
            </c:strRef>
          </c:tx>
          <c:spPr>
            <a:solidFill>
              <a:schemeClr val="accent1"/>
            </a:solidFill>
          </c:spPr>
          <c:invertIfNegative val="0"/>
          <c:cat>
            <c:strRef>
              <c:f>'Fig 8 spectrum 3'!$C$57:$E$57</c:f>
              <c:strCache>
                <c:ptCount val="3"/>
                <c:pt idx="0">
                  <c:v>Broad spectrum </c:v>
                </c:pt>
                <c:pt idx="1">
                  <c:v>Moderate spectrum</c:v>
                </c:pt>
                <c:pt idx="2">
                  <c:v>Narrow spectrum</c:v>
                </c:pt>
              </c:strCache>
            </c:strRef>
          </c:cat>
          <c:val>
            <c:numRef>
              <c:f>'Fig 8 spectrum 3'!$C$71:$E$71</c:f>
              <c:numCache>
                <c:formatCode>General</c:formatCode>
                <c:ptCount val="3"/>
                <c:pt idx="1">
                  <c:v>674772</c:v>
                </c:pt>
              </c:numCache>
            </c:numRef>
          </c:val>
        </c:ser>
        <c:ser>
          <c:idx val="14"/>
          <c:order val="14"/>
          <c:tx>
            <c:strRef>
              <c:f>'Fig 8 spectrum 3'!$B$72</c:f>
              <c:strCache>
                <c:ptCount val="1"/>
                <c:pt idx="0">
                  <c:v>Moderate Spectrum</c:v>
                </c:pt>
              </c:strCache>
            </c:strRef>
          </c:tx>
          <c:spPr>
            <a:noFill/>
          </c:spPr>
          <c:invertIfNegative val="0"/>
          <c:cat>
            <c:strRef>
              <c:f>'Fig 8 spectrum 3'!$C$57:$E$57</c:f>
              <c:strCache>
                <c:ptCount val="3"/>
                <c:pt idx="0">
                  <c:v>Broad spectrum </c:v>
                </c:pt>
                <c:pt idx="1">
                  <c:v>Moderate spectrum</c:v>
                </c:pt>
                <c:pt idx="2">
                  <c:v>Narrow spectrum</c:v>
                </c:pt>
              </c:strCache>
            </c:strRef>
          </c:cat>
          <c:val>
            <c:numRef>
              <c:f>'Fig 8 spectrum 3'!$C$72:$E$72</c:f>
              <c:numCache>
                <c:formatCode>General</c:formatCode>
                <c:ptCount val="3"/>
              </c:numCache>
            </c:numRef>
          </c:val>
        </c:ser>
        <c:ser>
          <c:idx val="15"/>
          <c:order val="15"/>
          <c:tx>
            <c:strRef>
              <c:f>'Fig 8 spectrum 3'!$B$73</c:f>
              <c:strCache>
                <c:ptCount val="1"/>
                <c:pt idx="0">
                  <c:v>AMOXYCILLIN + CLAVULANIC ACID</c:v>
                </c:pt>
              </c:strCache>
            </c:strRef>
          </c:tx>
          <c:spPr>
            <a:solidFill>
              <a:schemeClr val="accent3"/>
            </a:solidFill>
          </c:spPr>
          <c:invertIfNegative val="0"/>
          <c:cat>
            <c:strRef>
              <c:f>'Fig 8 spectrum 3'!$C$57:$E$57</c:f>
              <c:strCache>
                <c:ptCount val="3"/>
                <c:pt idx="0">
                  <c:v>Broad spectrum </c:v>
                </c:pt>
                <c:pt idx="1">
                  <c:v>Moderate spectrum</c:v>
                </c:pt>
                <c:pt idx="2">
                  <c:v>Narrow spectrum</c:v>
                </c:pt>
              </c:strCache>
            </c:strRef>
          </c:cat>
          <c:val>
            <c:numRef>
              <c:f>'Fig 8 spectrum 3'!$C$73:$E$73</c:f>
              <c:numCache>
                <c:formatCode>General</c:formatCode>
                <c:ptCount val="3"/>
                <c:pt idx="0">
                  <c:v>4512149</c:v>
                </c:pt>
              </c:numCache>
            </c:numRef>
          </c:val>
        </c:ser>
        <c:ser>
          <c:idx val="16"/>
          <c:order val="16"/>
          <c:tx>
            <c:strRef>
              <c:f>'Fig 8 spectrum 3'!$B$74</c:f>
              <c:strCache>
                <c:ptCount val="1"/>
                <c:pt idx="0">
                  <c:v>TICARCILLIN + CLAVULANIC ACID</c:v>
                </c:pt>
              </c:strCache>
            </c:strRef>
          </c:tx>
          <c:spPr>
            <a:solidFill>
              <a:schemeClr val="bg2">
                <a:lumMod val="50000"/>
              </a:schemeClr>
            </a:solidFill>
          </c:spPr>
          <c:invertIfNegative val="0"/>
          <c:cat>
            <c:strRef>
              <c:f>'Fig 8 spectrum 3'!$C$57:$E$57</c:f>
              <c:strCache>
                <c:ptCount val="3"/>
                <c:pt idx="0">
                  <c:v>Broad spectrum </c:v>
                </c:pt>
                <c:pt idx="1">
                  <c:v>Moderate spectrum</c:v>
                </c:pt>
                <c:pt idx="2">
                  <c:v>Narrow spectrum</c:v>
                </c:pt>
              </c:strCache>
            </c:strRef>
          </c:cat>
          <c:val>
            <c:numRef>
              <c:f>'Fig 8 spectrum 3'!$C$74:$E$74</c:f>
              <c:numCache>
                <c:formatCode>General</c:formatCode>
                <c:ptCount val="3"/>
                <c:pt idx="0">
                  <c:v>17427</c:v>
                </c:pt>
              </c:numCache>
            </c:numRef>
          </c:val>
        </c:ser>
        <c:ser>
          <c:idx val="17"/>
          <c:order val="17"/>
          <c:tx>
            <c:strRef>
              <c:f>'Fig 8 spectrum 3'!$B$75</c:f>
              <c:strCache>
                <c:ptCount val="1"/>
                <c:pt idx="0">
                  <c:v>CEFOTAXIME</c:v>
                </c:pt>
              </c:strCache>
            </c:strRef>
          </c:tx>
          <c:spPr>
            <a:solidFill>
              <a:schemeClr val="accent3">
                <a:lumMod val="50000"/>
              </a:schemeClr>
            </a:solidFill>
          </c:spPr>
          <c:invertIfNegative val="0"/>
          <c:cat>
            <c:strRef>
              <c:f>'Fig 8 spectrum 3'!$C$57:$E$57</c:f>
              <c:strCache>
                <c:ptCount val="3"/>
                <c:pt idx="0">
                  <c:v>Broad spectrum </c:v>
                </c:pt>
                <c:pt idx="1">
                  <c:v>Moderate spectrum</c:v>
                </c:pt>
                <c:pt idx="2">
                  <c:v>Narrow spectrum</c:v>
                </c:pt>
              </c:strCache>
            </c:strRef>
          </c:cat>
          <c:val>
            <c:numRef>
              <c:f>'Fig 8 spectrum 3'!$C$75:$E$75</c:f>
              <c:numCache>
                <c:formatCode>General</c:formatCode>
                <c:ptCount val="3"/>
                <c:pt idx="0">
                  <c:v>1568</c:v>
                </c:pt>
              </c:numCache>
            </c:numRef>
          </c:val>
        </c:ser>
        <c:ser>
          <c:idx val="18"/>
          <c:order val="18"/>
          <c:tx>
            <c:strRef>
              <c:f>'Fig 8 spectrum 3'!$B$76</c:f>
              <c:strCache>
                <c:ptCount val="1"/>
                <c:pt idx="0">
                  <c:v>CEFTRIAXONE</c:v>
                </c:pt>
              </c:strCache>
            </c:strRef>
          </c:tx>
          <c:spPr>
            <a:solidFill>
              <a:schemeClr val="accent3">
                <a:lumMod val="40000"/>
                <a:lumOff val="60000"/>
              </a:schemeClr>
            </a:solidFill>
          </c:spPr>
          <c:invertIfNegative val="0"/>
          <c:cat>
            <c:strRef>
              <c:f>'Fig 8 spectrum 3'!$C$57:$E$57</c:f>
              <c:strCache>
                <c:ptCount val="3"/>
                <c:pt idx="0">
                  <c:v>Broad spectrum </c:v>
                </c:pt>
                <c:pt idx="1">
                  <c:v>Moderate spectrum</c:v>
                </c:pt>
                <c:pt idx="2">
                  <c:v>Narrow spectrum</c:v>
                </c:pt>
              </c:strCache>
            </c:strRef>
          </c:cat>
          <c:val>
            <c:numRef>
              <c:f>'Fig 8 spectrum 3'!$C$76:$E$76</c:f>
              <c:numCache>
                <c:formatCode>General</c:formatCode>
                <c:ptCount val="3"/>
                <c:pt idx="0">
                  <c:v>60224</c:v>
                </c:pt>
              </c:numCache>
            </c:numRef>
          </c:val>
        </c:ser>
        <c:ser>
          <c:idx val="19"/>
          <c:order val="19"/>
          <c:tx>
            <c:strRef>
              <c:f>'Fig 8 spectrum 3'!$B$77</c:f>
              <c:strCache>
                <c:ptCount val="1"/>
                <c:pt idx="0">
                  <c:v>CEFEPIME</c:v>
                </c:pt>
              </c:strCache>
            </c:strRef>
          </c:tx>
          <c:spPr>
            <a:solidFill>
              <a:schemeClr val="bg2">
                <a:lumMod val="75000"/>
              </a:schemeClr>
            </a:solidFill>
          </c:spPr>
          <c:invertIfNegative val="0"/>
          <c:cat>
            <c:strRef>
              <c:f>'Fig 8 spectrum 3'!$C$57:$E$57</c:f>
              <c:strCache>
                <c:ptCount val="3"/>
                <c:pt idx="0">
                  <c:v>Broad spectrum </c:v>
                </c:pt>
                <c:pt idx="1">
                  <c:v>Moderate spectrum</c:v>
                </c:pt>
                <c:pt idx="2">
                  <c:v>Narrow spectrum</c:v>
                </c:pt>
              </c:strCache>
            </c:strRef>
          </c:cat>
          <c:val>
            <c:numRef>
              <c:f>'Fig 8 spectrum 3'!$C$77:$E$77</c:f>
              <c:numCache>
                <c:formatCode>General</c:formatCode>
                <c:ptCount val="3"/>
                <c:pt idx="0">
                  <c:v>1104</c:v>
                </c:pt>
              </c:numCache>
            </c:numRef>
          </c:val>
        </c:ser>
        <c:ser>
          <c:idx val="20"/>
          <c:order val="20"/>
          <c:tx>
            <c:strRef>
              <c:f>'Fig 8 spectrum 3'!$B$78</c:f>
              <c:strCache>
                <c:ptCount val="1"/>
                <c:pt idx="0">
                  <c:v>Broad Spectrum </c:v>
                </c:pt>
              </c:strCache>
            </c:strRef>
          </c:tx>
          <c:spPr>
            <a:noFill/>
          </c:spPr>
          <c:invertIfNegative val="0"/>
          <c:cat>
            <c:strRef>
              <c:f>'Fig 8 spectrum 3'!$C$57:$E$57</c:f>
              <c:strCache>
                <c:ptCount val="3"/>
                <c:pt idx="0">
                  <c:v>Broad spectrum </c:v>
                </c:pt>
                <c:pt idx="1">
                  <c:v>Moderate spectrum</c:v>
                </c:pt>
                <c:pt idx="2">
                  <c:v>Narrow spectrum</c:v>
                </c:pt>
              </c:strCache>
            </c:strRef>
          </c:cat>
          <c:val>
            <c:numRef>
              <c:f>'Fig 8 spectrum 3'!$C$78:$E$78</c:f>
              <c:numCache>
                <c:formatCode>General</c:formatCode>
                <c:ptCount val="3"/>
              </c:numCache>
            </c:numRef>
          </c:val>
        </c:ser>
        <c:dLbls>
          <c:showLegendKey val="0"/>
          <c:showVal val="0"/>
          <c:showCatName val="0"/>
          <c:showSerName val="0"/>
          <c:showPercent val="0"/>
          <c:showBubbleSize val="0"/>
        </c:dLbls>
        <c:gapWidth val="150"/>
        <c:overlap val="100"/>
        <c:axId val="165397248"/>
        <c:axId val="165398784"/>
      </c:barChart>
      <c:catAx>
        <c:axId val="165397248"/>
        <c:scaling>
          <c:orientation val="minMax"/>
        </c:scaling>
        <c:delete val="0"/>
        <c:axPos val="b"/>
        <c:majorTickMark val="out"/>
        <c:minorTickMark val="none"/>
        <c:tickLblPos val="nextTo"/>
        <c:crossAx val="165398784"/>
        <c:crosses val="autoZero"/>
        <c:auto val="1"/>
        <c:lblAlgn val="ctr"/>
        <c:lblOffset val="100"/>
        <c:noMultiLvlLbl val="0"/>
      </c:catAx>
      <c:valAx>
        <c:axId val="165398784"/>
        <c:scaling>
          <c:orientation val="minMax"/>
        </c:scaling>
        <c:delete val="0"/>
        <c:axPos val="l"/>
        <c:majorGridlines/>
        <c:title>
          <c:tx>
            <c:rich>
              <a:bodyPr rot="-5400000" vert="horz"/>
              <a:lstStyle/>
              <a:p>
                <a:pPr>
                  <a:defRPr/>
                </a:pPr>
                <a:r>
                  <a:rPr lang="en-AU"/>
                  <a:t>Prescriptions (millions)</a:t>
                </a:r>
              </a:p>
            </c:rich>
          </c:tx>
          <c:layout>
            <c:manualLayout>
              <c:xMode val="edge"/>
              <c:yMode val="edge"/>
              <c:x val="1.6085677732494492E-2"/>
              <c:y val="0.28464782655592707"/>
            </c:manualLayout>
          </c:layout>
          <c:overlay val="0"/>
        </c:title>
        <c:numFmt formatCode="General" sourceLinked="1"/>
        <c:majorTickMark val="out"/>
        <c:minorTickMark val="none"/>
        <c:tickLblPos val="nextTo"/>
        <c:crossAx val="165397248"/>
        <c:crosses val="autoZero"/>
        <c:crossBetween val="between"/>
        <c:dispUnits>
          <c:builtInUnit val="millions"/>
        </c:dispUnits>
      </c:valAx>
    </c:plotArea>
    <c:legend>
      <c:legendPos val="r"/>
      <c:layout>
        <c:manualLayout>
          <c:xMode val="edge"/>
          <c:yMode val="edge"/>
          <c:x val="0.62387493020658846"/>
          <c:y val="3.2181819161721831E-2"/>
          <c:w val="0.36264374232443897"/>
          <c:h val="0.9362565818903027"/>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4A52C-B481-4FD4-8DD8-718CA7AFA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6942</Words>
  <Characters>39573</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2015-05-18T23:42:00Z</dcterms:created>
  <dcterms:modified xsi:type="dcterms:W3CDTF">2015-05-18T23:50:00Z</dcterms:modified>
</cp:coreProperties>
</file>