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03F61B27" w:rsidR="00832324" w:rsidRPr="000403AD" w:rsidRDefault="00B628B1" w:rsidP="000403AD">
      <w:pPr>
        <w:pStyle w:val="Title"/>
      </w:pPr>
      <w:bookmarkStart w:id="0" w:name="_GoBack"/>
      <w:bookmarkEnd w:id="0"/>
      <w:r w:rsidRPr="000403AD">
        <w:t>Ocular lubricants</w:t>
      </w:r>
      <w:r w:rsidR="001C4016" w:rsidRPr="000403AD">
        <w:t>: a</w:t>
      </w:r>
      <w:r w:rsidR="00C32DB3" w:rsidRPr="000403AD">
        <w:t>nalysis of utilisation</w:t>
      </w:r>
    </w:p>
    <w:p w14:paraId="68F00614" w14:textId="799F8740" w:rsidR="00736041" w:rsidRPr="000403AD" w:rsidRDefault="009053D3" w:rsidP="000403AD">
      <w:pPr>
        <w:pStyle w:val="Subtitle"/>
      </w:pPr>
      <w:r w:rsidRPr="000403AD">
        <w:t>D</w:t>
      </w:r>
      <w:r w:rsidR="00832324" w:rsidRPr="000403AD">
        <w:t>rug utilisation sub-committee (DUSC)</w:t>
      </w:r>
    </w:p>
    <w:p w14:paraId="78148839" w14:textId="5E6DE399" w:rsidR="009053D3" w:rsidRPr="00EA2A6B" w:rsidRDefault="00E83AF9" w:rsidP="007B7F8D">
      <w:pPr>
        <w:pStyle w:val="Heading2"/>
      </w:pPr>
      <w:r w:rsidRPr="00EA2A6B">
        <w:t>June 2014</w:t>
      </w:r>
    </w:p>
    <w:p w14:paraId="5861FBF6" w14:textId="77777777" w:rsidR="006C716F" w:rsidRPr="007C01AE" w:rsidRDefault="006C716F" w:rsidP="007C01AE">
      <w:pPr>
        <w:pStyle w:val="Heading3"/>
      </w:pPr>
      <w:r w:rsidRPr="007C01AE">
        <w:t>Abstract</w:t>
      </w:r>
    </w:p>
    <w:p w14:paraId="420BE023" w14:textId="77777777" w:rsidR="006C716F" w:rsidRDefault="006C716F" w:rsidP="00E45B6B">
      <w:pPr>
        <w:pStyle w:val="Heading4"/>
      </w:pPr>
      <w:r>
        <w:t>Purpose</w:t>
      </w:r>
    </w:p>
    <w:p w14:paraId="5CA27B66" w14:textId="77777777" w:rsidR="006C716F" w:rsidRDefault="006C716F" w:rsidP="006C716F">
      <w:r>
        <w:t>To review utilisation of ocular lubricants.</w:t>
      </w:r>
    </w:p>
    <w:p w14:paraId="6064EC57" w14:textId="77777777" w:rsidR="006C716F" w:rsidRDefault="006C716F" w:rsidP="00E45B6B">
      <w:pPr>
        <w:pStyle w:val="Heading4"/>
      </w:pPr>
      <w:r>
        <w:t>Data Source / methodology</w:t>
      </w:r>
    </w:p>
    <w:p w14:paraId="1ACBC237" w14:textId="77777777" w:rsidR="006C716F" w:rsidRDefault="006C716F" w:rsidP="006C716F">
      <w:r>
        <w:t>Data for all ocular lubricants listed on the PBS were extracted from the DUSC database for the 10 years from 2003 to 2013.</w:t>
      </w:r>
    </w:p>
    <w:p w14:paraId="15E66E15" w14:textId="77777777" w:rsidR="006C716F" w:rsidRDefault="006C716F" w:rsidP="00E45B6B">
      <w:pPr>
        <w:pStyle w:val="Heading4"/>
      </w:pPr>
      <w:r>
        <w:t>Key Findings</w:t>
      </w:r>
    </w:p>
    <w:p w14:paraId="4419D4A6" w14:textId="43232CDD" w:rsidR="006C716F" w:rsidRDefault="006C716F" w:rsidP="00C50435">
      <w:pPr>
        <w:pStyle w:val="ListParagraph"/>
        <w:numPr>
          <w:ilvl w:val="0"/>
          <w:numId w:val="3"/>
        </w:numPr>
      </w:pPr>
      <w:r>
        <w:t>The total number of prescriptions for ocular lubricants has been fairly steady over the last ten years from 2003, increasing gradually to a peak of 2.53 million in 2009, and then slowly decreasing to 2.46 million in 2012.</w:t>
      </w:r>
    </w:p>
    <w:p w14:paraId="2DFFC6E9" w14:textId="4E07B44F" w:rsidR="006C716F" w:rsidRDefault="006C716F" w:rsidP="00C50435">
      <w:pPr>
        <w:pStyle w:val="ListParagraph"/>
        <w:numPr>
          <w:ilvl w:val="0"/>
          <w:numId w:val="3"/>
        </w:numPr>
      </w:pPr>
      <w:r>
        <w:t>Expenditure across the whole group of ocular lubricants has been fairly stable over the last ten years, gradually rising from a low of $19.7 million in 2006.  Expenditure in 2012 was $26.2 million.</w:t>
      </w:r>
    </w:p>
    <w:p w14:paraId="487EB3FB" w14:textId="5BE4F26B" w:rsidR="006C716F" w:rsidRDefault="006C716F" w:rsidP="00C50435">
      <w:pPr>
        <w:pStyle w:val="ListParagraph"/>
        <w:numPr>
          <w:ilvl w:val="0"/>
          <w:numId w:val="3"/>
        </w:numPr>
      </w:pPr>
      <w:r>
        <w:t>Almost all prescriptions for ocular lubricants are over the patient co-payment (97%).</w:t>
      </w:r>
    </w:p>
    <w:p w14:paraId="3FCB8E22" w14:textId="7A590B61" w:rsidR="006C716F" w:rsidRDefault="006C716F" w:rsidP="00C50435">
      <w:pPr>
        <w:pStyle w:val="ListParagraph"/>
        <w:numPr>
          <w:ilvl w:val="0"/>
          <w:numId w:val="3"/>
        </w:numPr>
      </w:pPr>
      <w:r>
        <w:t>Concessional prescriptions compile the bulk of prescriptions for ocular lubricants, with 85% of prescriptions in 2012.</w:t>
      </w:r>
    </w:p>
    <w:p w14:paraId="7F18820B" w14:textId="0C88A849" w:rsidR="006C716F" w:rsidRDefault="006C716F" w:rsidP="00C50435">
      <w:pPr>
        <w:pStyle w:val="ListParagraph"/>
        <w:numPr>
          <w:ilvl w:val="0"/>
          <w:numId w:val="3"/>
        </w:numPr>
      </w:pPr>
      <w:r>
        <w:t>Multi-dose products account for the majority of PBS prescriptions for ocular lubricants supplied.  In 2013 (until end September), 85% of prescriptions were for multi-dose products.</w:t>
      </w:r>
    </w:p>
    <w:p w14:paraId="6A41DC13" w14:textId="06D0D883" w:rsidR="006C716F" w:rsidRDefault="006C716F" w:rsidP="00C50435">
      <w:pPr>
        <w:pStyle w:val="ListParagraph"/>
        <w:numPr>
          <w:ilvl w:val="0"/>
          <w:numId w:val="3"/>
        </w:numPr>
      </w:pPr>
      <w:r>
        <w:t>Prescribing of single dose unit products is gradually increasing.  Single dose unit products comprised 1.3% of prescriptions supplied in 1994, 6.7% in 2003, 14% in 2012 and 15% in 2013 (to end September).  This is likely to explain the small gradual increase in expenditure on ocular lubricants despite stable prescription numbers.</w:t>
      </w:r>
    </w:p>
    <w:p w14:paraId="38B57ECC" w14:textId="7576047B" w:rsidR="00BB0D1A" w:rsidRPr="006C716F" w:rsidRDefault="006C716F" w:rsidP="00C50435">
      <w:pPr>
        <w:pStyle w:val="ListParagraph"/>
        <w:numPr>
          <w:ilvl w:val="0"/>
          <w:numId w:val="3"/>
        </w:numPr>
      </w:pPr>
      <w:r>
        <w:t>The most common prescribers of ocular lubricants are GPs, followed by ophthalmologists.  In 2013 (to end September), approximately 72% of prescriptions supplied were prescribed by GPs and 19% by ophthalmologists.  Optometrists accounted for approximately 1% of prescriptions supplied.</w:t>
      </w:r>
      <w:r w:rsidR="00BB0D1A">
        <w:br w:type="page"/>
      </w:r>
    </w:p>
    <w:p w14:paraId="5B262047" w14:textId="525241DC" w:rsidR="00E677DD" w:rsidRPr="005E22C2" w:rsidRDefault="00E677DD" w:rsidP="00A35800">
      <w:pPr>
        <w:pStyle w:val="Heading2"/>
      </w:pPr>
      <w:r w:rsidRPr="005E22C2">
        <w:lastRenderedPageBreak/>
        <w:t xml:space="preserve">Purpose of </w:t>
      </w:r>
      <w:r w:rsidR="00D151EB">
        <w:t>analysis</w:t>
      </w:r>
    </w:p>
    <w:p w14:paraId="4EE3A031" w14:textId="223F2319" w:rsidR="009C6DA0" w:rsidRPr="00CE6704" w:rsidRDefault="005A7376" w:rsidP="00FB314E">
      <w:r>
        <w:t>At its February 2014 meeting the DUSC</w:t>
      </w:r>
      <w:r w:rsidR="009C6DA0">
        <w:t xml:space="preserve"> noted the high number of </w:t>
      </w:r>
      <w:r>
        <w:t>ocular lubricant</w:t>
      </w:r>
      <w:r w:rsidR="009C6DA0">
        <w:t xml:space="preserve"> available on the PBS</w:t>
      </w:r>
      <w:r>
        <w:t xml:space="preserve">.  The DUSC </w:t>
      </w:r>
      <w:r w:rsidR="009C6DA0">
        <w:t xml:space="preserve">requested an overview of the </w:t>
      </w:r>
      <w:r>
        <w:t>utilisation of ocular lubricants including the</w:t>
      </w:r>
      <w:r w:rsidR="009C6DA0">
        <w:t xml:space="preserve"> use and e</w:t>
      </w:r>
      <w:r>
        <w:t xml:space="preserve">xpenditure, </w:t>
      </w:r>
      <w:r w:rsidR="00307D84">
        <w:t xml:space="preserve">and </w:t>
      </w:r>
      <w:r w:rsidR="00CF34CF">
        <w:t>who is prescribing ocular lubricants</w:t>
      </w:r>
      <w:r w:rsidR="009C6DA0">
        <w:t>.</w:t>
      </w:r>
      <w:r w:rsidR="00307D84">
        <w:t xml:space="preserve">  The DUSC was also interested in the utilisation of single dose unit </w:t>
      </w:r>
      <w:r w:rsidR="00495CF1">
        <w:t xml:space="preserve">products </w:t>
      </w:r>
      <w:r w:rsidR="00307D84">
        <w:t>in comparison to multi-dose ocular lubricants, considering the higher price of the single dose unit products.</w:t>
      </w:r>
      <w:r w:rsidR="002200D0">
        <w:t xml:space="preserve"> </w:t>
      </w:r>
      <w:r w:rsidR="002200D0" w:rsidRPr="00CE6704">
        <w:t xml:space="preserve"> </w:t>
      </w:r>
    </w:p>
    <w:p w14:paraId="0A7F0B57" w14:textId="034D22D5" w:rsidR="006537D9" w:rsidRPr="005E22C2" w:rsidRDefault="00736041" w:rsidP="00A35800">
      <w:pPr>
        <w:pStyle w:val="Heading2"/>
      </w:pPr>
      <w:r w:rsidRPr="005E22C2">
        <w:t>Background</w:t>
      </w:r>
    </w:p>
    <w:p w14:paraId="0183A567" w14:textId="413DF87B" w:rsidR="007247B9" w:rsidRDefault="007247B9" w:rsidP="00FE645A">
      <w:pPr>
        <w:pStyle w:val="Heading3"/>
      </w:pPr>
      <w:r>
        <w:t>Pharmacology</w:t>
      </w:r>
    </w:p>
    <w:p w14:paraId="40ACF72C" w14:textId="46F8CB16" w:rsidR="007247B9" w:rsidRDefault="00D85592" w:rsidP="00A35800">
      <w:r>
        <w:t>O</w:t>
      </w:r>
      <w:r w:rsidRPr="00D85592">
        <w:t xml:space="preserve">cular lubricants </w:t>
      </w:r>
      <w:r>
        <w:t>lubric</w:t>
      </w:r>
      <w:r w:rsidR="00B45A97">
        <w:t xml:space="preserve">ate the surface of the eye and are often referred to as artificial tears.  </w:t>
      </w:r>
    </w:p>
    <w:p w14:paraId="6AC18C88" w14:textId="7BBD51A8" w:rsidR="001420B3" w:rsidRPr="005E22C2" w:rsidRDefault="001420B3" w:rsidP="00FE645A">
      <w:pPr>
        <w:pStyle w:val="Heading3"/>
      </w:pPr>
      <w:r w:rsidRPr="005E22C2">
        <w:t>T</w:t>
      </w:r>
      <w:r w:rsidR="00A663D8">
        <w:t xml:space="preserve">herapeutic </w:t>
      </w:r>
      <w:r w:rsidRPr="005E22C2">
        <w:t>G</w:t>
      </w:r>
      <w:r w:rsidR="00A663D8">
        <w:t xml:space="preserve">oods </w:t>
      </w:r>
      <w:r w:rsidRPr="005E22C2">
        <w:t>A</w:t>
      </w:r>
      <w:r w:rsidR="00A663D8">
        <w:t>dministration (TGA)</w:t>
      </w:r>
      <w:r w:rsidRPr="005E22C2">
        <w:t xml:space="preserve"> approved </w:t>
      </w:r>
      <w:r>
        <w:t>i</w:t>
      </w:r>
      <w:r w:rsidRPr="005E22C2">
        <w:t>ndications</w:t>
      </w:r>
    </w:p>
    <w:p w14:paraId="2CAC4334" w14:textId="1306D7EA" w:rsidR="00761FF8" w:rsidRPr="00CE6704" w:rsidRDefault="00E84EA5" w:rsidP="00A35800">
      <w:r>
        <w:t>Ocular lubricants are registered with the TGA</w:t>
      </w:r>
      <w:r w:rsidR="003A10C5">
        <w:t xml:space="preserve"> as class III medical devices.</w:t>
      </w:r>
    </w:p>
    <w:p w14:paraId="15E919C1" w14:textId="1B3BA560" w:rsidR="006B709B" w:rsidRDefault="006B709B" w:rsidP="00FE645A">
      <w:pPr>
        <w:pStyle w:val="Heading3"/>
      </w:pPr>
      <w:r>
        <w:t>Dosage and administration</w:t>
      </w:r>
    </w:p>
    <w:p w14:paraId="3D64721F" w14:textId="7C9CD74E" w:rsidR="000564F8" w:rsidRPr="00CE6704" w:rsidRDefault="0050355C" w:rsidP="00A35800">
      <w:r>
        <w:t>Ocular lubricant e</w:t>
      </w:r>
      <w:r w:rsidR="00283483">
        <w:t xml:space="preserve">ye drops are used every 1 to 12 hours on an as required basis.  Eye ointments </w:t>
      </w:r>
      <w:r w:rsidR="003A10C5">
        <w:t>are used at night as required.</w:t>
      </w:r>
    </w:p>
    <w:p w14:paraId="337D0FBB" w14:textId="06449455" w:rsidR="006B709B" w:rsidRPr="002F61CA" w:rsidRDefault="006B709B" w:rsidP="00A35800">
      <w:r w:rsidRPr="002F61CA">
        <w:t>The current Product Information</w:t>
      </w:r>
      <w:r w:rsidR="00227E69">
        <w:t>s</w:t>
      </w:r>
      <w:r w:rsidRPr="002F61CA">
        <w:t xml:space="preserve"> (PI) and Consumer Medicine Information</w:t>
      </w:r>
      <w:r w:rsidR="00227E69">
        <w:t>s</w:t>
      </w:r>
      <w:r w:rsidR="00813C00">
        <w:t xml:space="preserve"> (CMI) are available through</w:t>
      </w:r>
      <w:r w:rsidRPr="002F61CA">
        <w:t xml:space="preserve"> </w:t>
      </w:r>
      <w:hyperlink r:id="rId8" w:history="1">
        <w:r w:rsidR="00D574D5" w:rsidRPr="00D574D5">
          <w:rPr>
            <w:rStyle w:val="Hyperlink"/>
          </w:rPr>
          <w:t>the TGA website product information access page</w:t>
        </w:r>
      </w:hyperlink>
      <w:r w:rsidR="007B3A4F">
        <w:t xml:space="preserve"> and </w:t>
      </w:r>
      <w:hyperlink r:id="rId9" w:history="1">
        <w:r w:rsidR="00D574D5">
          <w:rPr>
            <w:rStyle w:val="Hyperlink"/>
          </w:rPr>
          <w:t>the TGA website consumer medicines information access page</w:t>
        </w:r>
      </w:hyperlink>
      <w:r w:rsidR="00857AE2">
        <w:t>.</w:t>
      </w:r>
    </w:p>
    <w:p w14:paraId="143CC403" w14:textId="5A441729" w:rsidR="001420B3" w:rsidRPr="007247B9" w:rsidRDefault="001420B3" w:rsidP="00FE645A">
      <w:pPr>
        <w:pStyle w:val="Heading3"/>
      </w:pPr>
      <w:r w:rsidRPr="007247B9">
        <w:t>Clinical situation</w:t>
      </w:r>
    </w:p>
    <w:p w14:paraId="27576747" w14:textId="1EC2301F" w:rsidR="001440A5" w:rsidRDefault="00F34B3D" w:rsidP="008F706D">
      <w:r>
        <w:t>Ocular lubricants are used to relieve the symptoms associated with dry eye syndrome.</w:t>
      </w:r>
      <w:r w:rsidR="003F41EE">
        <w:rPr>
          <w:rStyle w:val="FootnoteReference"/>
        </w:rPr>
        <w:footnoteReference w:id="1"/>
      </w:r>
      <w:r>
        <w:t xml:space="preserve">  </w:t>
      </w:r>
      <w:r w:rsidR="001440A5">
        <w:t>The definition and classification sub-committee of the International Dry Eye Workshop (2007) defined dry-eye disease as: ‘A multifactorial disease of the tears and ocular surface that results in symptoms of discomfort, visual disturbances and tear-film instability with potential damage to the ocular surface.  It is accompanied by increased osmolarity of the tear film and inflammation of the ocular surface.’</w:t>
      </w:r>
      <w:r w:rsidR="003F248D">
        <w:t xml:space="preserve">  Symptoms of dry eye include dryness, stinging, burning, foreign-body sensation, gritty feeling, itching, and the eyes feeling heavy and tired.</w:t>
      </w:r>
      <w:r w:rsidR="008F706D">
        <w:t xml:space="preserve">  </w:t>
      </w:r>
      <w:r w:rsidR="008F706D" w:rsidRPr="008F706D">
        <w:t>Dry eye can be exacerbated by environmental conditions such as wind, air conditioning and air pollution</w:t>
      </w:r>
      <w:r w:rsidR="008F706D">
        <w:rPr>
          <w:rStyle w:val="FootnoteReference"/>
          <w:vertAlign w:val="baseline"/>
        </w:rPr>
        <w:t>.</w:t>
      </w:r>
      <w:r w:rsidR="003F248D">
        <w:rPr>
          <w:rStyle w:val="FootnoteReference"/>
        </w:rPr>
        <w:footnoteReference w:id="2"/>
      </w:r>
    </w:p>
    <w:p w14:paraId="5A4AC182" w14:textId="32ED2203" w:rsidR="00B1730B" w:rsidRPr="00F56E1B" w:rsidRDefault="00B1730B" w:rsidP="008F706D">
      <w:pPr>
        <w:spacing w:after="0"/>
      </w:pPr>
      <w:r>
        <w:t xml:space="preserve">Dry eye syndrome can be secondary to a number of causes including </w:t>
      </w:r>
      <w:r w:rsidR="00611245">
        <w:t xml:space="preserve">Sjögren's </w:t>
      </w:r>
      <w:r>
        <w:t>syndrome, rheumatoid arthritis, contact lenses, surgery, meibomian gland dysfunction and adverse drug effects.</w:t>
      </w:r>
      <w:r>
        <w:rPr>
          <w:vertAlign w:val="superscript"/>
        </w:rPr>
        <w:t>1</w:t>
      </w:r>
    </w:p>
    <w:p w14:paraId="0C7E09CD" w14:textId="77777777" w:rsidR="00B1730B" w:rsidRDefault="00B1730B" w:rsidP="008F706D">
      <w:pPr>
        <w:spacing w:after="0"/>
      </w:pPr>
    </w:p>
    <w:p w14:paraId="5193D805" w14:textId="499A5F65" w:rsidR="00F34B3D" w:rsidRPr="00F77795" w:rsidRDefault="001440A5" w:rsidP="008F706D">
      <w:pPr>
        <w:spacing w:after="0"/>
      </w:pPr>
      <w:r>
        <w:lastRenderedPageBreak/>
        <w:t xml:space="preserve">There are two distinct classes of dry-eye disease: tear-deficient dry eye </w:t>
      </w:r>
      <w:r w:rsidR="00F626C9">
        <w:t>(</w:t>
      </w:r>
      <w:r>
        <w:t>keratoconjunctivitis sicca) and evaporative dry eye.</w:t>
      </w:r>
      <w:r w:rsidR="00B1730B">
        <w:t xml:space="preserve">  Tear-deficient dry eye can result from Sjögren's syndrome. This is a systemic autoimmune disease in which immune cells attack and destroy the exocrine glands that produce tears and saliva.</w:t>
      </w:r>
      <w:r w:rsidR="002E4BD4">
        <w:rPr>
          <w:vertAlign w:val="superscript"/>
        </w:rPr>
        <w:t>2</w:t>
      </w:r>
    </w:p>
    <w:p w14:paraId="4D7ECD6F" w14:textId="77777777" w:rsidR="008F706D" w:rsidRDefault="008F706D" w:rsidP="008F706D">
      <w:pPr>
        <w:spacing w:after="0"/>
      </w:pPr>
    </w:p>
    <w:p w14:paraId="679A08B6" w14:textId="2B75FFBD" w:rsidR="00036B41" w:rsidRDefault="00036B41" w:rsidP="00F34B3D">
      <w:r w:rsidRPr="001B24CE">
        <w:t>The Blue Mountains Eye Study (BMES) examined 3654 residents aged 49 years or older who were identified in a door-to-door census of two postcode areas (2780, 2782), west of Sydney during 1992–1994.  The extension cohort of the BMES</w:t>
      </w:r>
      <w:r w:rsidR="001C47DD">
        <w:t xml:space="preserve">, conducted </w:t>
      </w:r>
      <w:r w:rsidR="001C47DD" w:rsidRPr="001B24CE">
        <w:t>during 1999 to 2001</w:t>
      </w:r>
      <w:r w:rsidR="001C47DD">
        <w:t>,</w:t>
      </w:r>
      <w:r w:rsidRPr="001B24CE">
        <w:t xml:space="preserve"> included a dry eye questionnaire that was not administered to the initial cohort.  Participants of the Extension Blue Mountains Eye Study </w:t>
      </w:r>
      <w:r w:rsidR="001C47DD">
        <w:t>(</w:t>
      </w:r>
      <w:r w:rsidR="001C47DD" w:rsidRPr="001B24CE">
        <w:t>mean age 60.8 years, n=1174</w:t>
      </w:r>
      <w:r w:rsidR="001C47DD">
        <w:t xml:space="preserve">) </w:t>
      </w:r>
      <w:r w:rsidRPr="001B24CE">
        <w:t>completed a comprehensive eye examination and dry eye questionnaire.  At least one dry eye symptom was reported by 57.5% of participants, with 16.6% reporting moderate to severe symptoms.  Three or more symptoms were reported by 15.3% of participants.  No age-related trends or significant ocular associations were observed.  After adjusting for age and sex, systemic factors significantly associated with dry eye syndrome included a history of arthritis, asthma, gout, use of corticosteroids, antidepressants and hormone replacement therapy.</w:t>
      </w:r>
      <w:r w:rsidRPr="001B24CE">
        <w:rPr>
          <w:rStyle w:val="FootnoteReference"/>
        </w:rPr>
        <w:footnoteReference w:id="3"/>
      </w:r>
    </w:p>
    <w:p w14:paraId="70205E18" w14:textId="3325203B" w:rsidR="00800F5D" w:rsidRPr="00D0143B" w:rsidRDefault="00800F5D" w:rsidP="00800F5D">
      <w:r>
        <w:t xml:space="preserve">Multi-dose ocular lubricants may contain a preservative or be preservative free.  Single dose units are preservative free.  Preservatives may irritate the corneal and conjunctival epithelium, particularly if it is already inflamed.  Normally tears quickly dilute and remove </w:t>
      </w:r>
      <w:r w:rsidR="00241EFA">
        <w:t>preservatives;</w:t>
      </w:r>
      <w:r>
        <w:t xml:space="preserve"> however in dry eye syndrome (particularly when severe) reduced tear secretion may result in increased sensitivity to preservatives.</w:t>
      </w:r>
      <w:r>
        <w:rPr>
          <w:vertAlign w:val="superscript"/>
        </w:rPr>
        <w:t>1</w:t>
      </w:r>
    </w:p>
    <w:p w14:paraId="24C6B39C" w14:textId="77777777" w:rsidR="00800F5D" w:rsidRDefault="00800F5D" w:rsidP="00800F5D">
      <w:r w:rsidRPr="00C350BF">
        <w:t>Many ocular lubricants are available at low cost over the counter at pharmacies. These supplies are not captured in this report.</w:t>
      </w:r>
    </w:p>
    <w:p w14:paraId="0A93AB4B" w14:textId="2A781AE6" w:rsidR="00B031FA" w:rsidRPr="00E51C20" w:rsidRDefault="00DF0B13" w:rsidP="00E51C20">
      <w:pPr>
        <w:pStyle w:val="Heading3"/>
      </w:pPr>
      <w:r w:rsidRPr="007247B9">
        <w:t>PBS listing details</w:t>
      </w:r>
      <w:r w:rsidR="00B82586">
        <w:t xml:space="preserve"> (as at 1 April 2014</w:t>
      </w:r>
      <w:r w:rsidR="00D151EB">
        <w:t>)</w:t>
      </w:r>
    </w:p>
    <w:p w14:paraId="3E08BC86" w14:textId="489389E7" w:rsidR="00A24175" w:rsidRPr="00E51C20" w:rsidRDefault="00997E55" w:rsidP="00A24175">
      <w:r>
        <w:t>T</w:t>
      </w:r>
      <w:r w:rsidR="009B2C43">
        <w:t>here are numerous</w:t>
      </w:r>
      <w:r w:rsidR="00A24175">
        <w:t xml:space="preserve"> ocular lubricant</w:t>
      </w:r>
      <w:r>
        <w:t xml:space="preserve"> products listed on the PBS.  For details of the </w:t>
      </w:r>
      <w:r w:rsidR="0038207C">
        <w:t xml:space="preserve">current </w:t>
      </w:r>
      <w:r>
        <w:t>PBS listing</w:t>
      </w:r>
      <w:r w:rsidR="00246FF3">
        <w:t>s</w:t>
      </w:r>
      <w:r>
        <w:t xml:space="preserve"> refer to </w:t>
      </w:r>
      <w:hyperlink r:id="rId10" w:history="1">
        <w:r w:rsidR="00A16CE7">
          <w:rPr>
            <w:rStyle w:val="Hyperlink"/>
          </w:rPr>
          <w:t>the PBS website</w:t>
        </w:r>
      </w:hyperlink>
      <w:r>
        <w:t>.</w:t>
      </w:r>
    </w:p>
    <w:p w14:paraId="2BF451FF" w14:textId="77777777" w:rsidR="00AD0653" w:rsidRDefault="00AD0653" w:rsidP="00AD0653">
      <w:pPr>
        <w:pStyle w:val="Heading3"/>
      </w:pPr>
      <w:r w:rsidRPr="005E22C2">
        <w:t>Relevant aspects of PBAC consideration</w:t>
      </w:r>
    </w:p>
    <w:p w14:paraId="362A43AF" w14:textId="1D30E8FC" w:rsidR="00003D51" w:rsidRPr="00B2373F" w:rsidRDefault="00974475" w:rsidP="00B2373F">
      <w:r>
        <w:t>Ocular lubricant products have been considered by the PBAC as minor submissions and recommended on a cost minimisation basis.</w:t>
      </w:r>
    </w:p>
    <w:p w14:paraId="0DEBD50F" w14:textId="60945914" w:rsidR="00094DCF" w:rsidRDefault="00ED633B" w:rsidP="00FE645A">
      <w:pPr>
        <w:pStyle w:val="Heading3"/>
      </w:pPr>
      <w:r>
        <w:t>Previous reviews by DUSC</w:t>
      </w:r>
    </w:p>
    <w:p w14:paraId="5A9C0B3F" w14:textId="3D6954DF" w:rsidR="009F5FA9" w:rsidRPr="007F302C" w:rsidRDefault="009F5FA9" w:rsidP="00A35800">
      <w:r w:rsidRPr="009F5FA9">
        <w:t xml:space="preserve">The </w:t>
      </w:r>
      <w:r w:rsidR="00362979">
        <w:t xml:space="preserve">DUSC has not </w:t>
      </w:r>
      <w:r>
        <w:t>considered the utilisation of ocular lubricants</w:t>
      </w:r>
      <w:r w:rsidR="00362979">
        <w:t xml:space="preserve"> in the past ten years</w:t>
      </w:r>
      <w:r>
        <w:t>.</w:t>
      </w:r>
      <w:r w:rsidR="00E741EC">
        <w:t xml:space="preserve">  The DUSC has noted that during this time a large number of ocular lubricant</w:t>
      </w:r>
      <w:r w:rsidR="0072648C">
        <w:t xml:space="preserve"> products</w:t>
      </w:r>
      <w:r w:rsidR="00E741EC">
        <w:t>, both multi-do</w:t>
      </w:r>
      <w:r w:rsidR="0072648C">
        <w:t>se and single dose unit presentations,</w:t>
      </w:r>
      <w:r w:rsidR="00E741EC">
        <w:t xml:space="preserve"> have been added to the PBS.</w:t>
      </w:r>
    </w:p>
    <w:p w14:paraId="0312FFEC" w14:textId="5C6A9662" w:rsidR="00E677DD" w:rsidRPr="005E22C2" w:rsidRDefault="00E677DD" w:rsidP="00A35800">
      <w:pPr>
        <w:pStyle w:val="Heading2"/>
      </w:pPr>
      <w:r w:rsidRPr="005E22C2">
        <w:lastRenderedPageBreak/>
        <w:t>Method</w:t>
      </w:r>
      <w:r w:rsidR="001B5D37" w:rsidRPr="005E22C2">
        <w:t>s</w:t>
      </w:r>
    </w:p>
    <w:p w14:paraId="16166ABA" w14:textId="0F3C34E0" w:rsidR="000D2092" w:rsidRDefault="00CF70E7" w:rsidP="00132B3D">
      <w:r>
        <w:t>De-identified d</w:t>
      </w:r>
      <w:r w:rsidR="00132B3D">
        <w:t>ata for the number of prescriptions</w:t>
      </w:r>
      <w:r w:rsidR="00132B3D" w:rsidRPr="00CC576F">
        <w:t xml:space="preserve"> </w:t>
      </w:r>
      <w:r w:rsidR="00561607">
        <w:t xml:space="preserve">supplied </w:t>
      </w:r>
      <w:r w:rsidR="00132B3D">
        <w:t xml:space="preserve">and government expenditure for all </w:t>
      </w:r>
      <w:r w:rsidR="00F429C8">
        <w:t>ocular lubricants PBS listed under the</w:t>
      </w:r>
      <w:r w:rsidR="00561607">
        <w:t xml:space="preserve"> anatomical, therapeutic, chemical classification</w:t>
      </w:r>
      <w:r w:rsidR="00F429C8">
        <w:t xml:space="preserve"> </w:t>
      </w:r>
      <w:r w:rsidR="00561607">
        <w:t>(</w:t>
      </w:r>
      <w:r w:rsidR="006C62E0">
        <w:t>ATC</w:t>
      </w:r>
      <w:r w:rsidR="00561607">
        <w:t>)</w:t>
      </w:r>
      <w:r w:rsidR="006C62E0">
        <w:t xml:space="preserve"> S</w:t>
      </w:r>
      <w:r w:rsidR="00F429C8">
        <w:t>01XA</w:t>
      </w:r>
      <w:r w:rsidR="0016078D">
        <w:t>, Sensory Organs, Other Ophthalmologicals,</w:t>
      </w:r>
      <w:r w:rsidR="00001324">
        <w:t xml:space="preserve"> </w:t>
      </w:r>
      <w:r w:rsidR="009A6A16">
        <w:t>were</w:t>
      </w:r>
      <w:r w:rsidR="00F429C8">
        <w:t xml:space="preserve"> extract</w:t>
      </w:r>
      <w:r w:rsidR="00561607">
        <w:t>ed</w:t>
      </w:r>
      <w:r w:rsidR="00B102E3">
        <w:t xml:space="preserve"> </w:t>
      </w:r>
      <w:r>
        <w:t xml:space="preserve">from the DUSC database </w:t>
      </w:r>
      <w:r w:rsidR="00B102E3">
        <w:t xml:space="preserve">for </w:t>
      </w:r>
      <w:r w:rsidR="006419FA">
        <w:t>the ten</w:t>
      </w:r>
      <w:r w:rsidR="00B102E3">
        <w:t xml:space="preserve"> years from 2003 to 2013.  For full calendar year data, </w:t>
      </w:r>
      <w:r w:rsidR="0013314F">
        <w:t xml:space="preserve">the </w:t>
      </w:r>
      <w:r w:rsidR="00B102E3">
        <w:t>data for 2003 to 2012 inclusive was used</w:t>
      </w:r>
      <w:r w:rsidR="00F429C8">
        <w:t xml:space="preserve">.  </w:t>
      </w:r>
      <w:r w:rsidR="00B102E3">
        <w:t>For quarterly data, the most recent data to end September 2013 was used.  T</w:t>
      </w:r>
      <w:r w:rsidR="00132B3D" w:rsidRPr="00DE4195">
        <w:t xml:space="preserve">he DUSC database combines data on PBS prescriptions submitted to the Department of Human Services (DHS) for payment of a PBS/RPBS subsidy by the Government, with an estimate of under general copayment </w:t>
      </w:r>
      <w:r w:rsidR="0032730D">
        <w:t xml:space="preserve">prescriptions </w:t>
      </w:r>
      <w:r w:rsidR="0032730D" w:rsidRPr="00DE4195">
        <w:t>based on dispensing data from a sample of pharmacies</w:t>
      </w:r>
      <w:r w:rsidR="00C847EA">
        <w:t xml:space="preserve"> to the end of August</w:t>
      </w:r>
      <w:r w:rsidR="0032730D">
        <w:t xml:space="preserve"> 2012, replaced by actual under copayment data from 1 April 2012.  The DUSC database includes an estimate of </w:t>
      </w:r>
      <w:r w:rsidR="00132B3D" w:rsidRPr="00DE4195">
        <w:t>private prescriptions based on dispensing data from a sample of pharmacies</w:t>
      </w:r>
      <w:r w:rsidR="00A1489B">
        <w:t xml:space="preserve"> to the end of </w:t>
      </w:r>
      <w:r w:rsidR="000D2092">
        <w:t>August</w:t>
      </w:r>
      <w:r w:rsidR="00A1489B">
        <w:t xml:space="preserve"> 2012</w:t>
      </w:r>
      <w:r w:rsidR="00132B3D" w:rsidRPr="00DE4195">
        <w:t>.</w:t>
      </w:r>
    </w:p>
    <w:p w14:paraId="169B4F65" w14:textId="493C0AD3" w:rsidR="00132B3D" w:rsidRDefault="00001324" w:rsidP="00132B3D">
      <w:r>
        <w:t>T</w:t>
      </w:r>
      <w:r w:rsidR="0016078D">
        <w:t xml:space="preserve">he majority of the multi-dose </w:t>
      </w:r>
      <w:r>
        <w:t xml:space="preserve">ocular lubricants are under the general patient copayment, however the majority of single dose unit products are priced above the general copayment.  </w:t>
      </w:r>
    </w:p>
    <w:p w14:paraId="3AB1016E" w14:textId="4A9987C3" w:rsidR="008B4690" w:rsidRDefault="008B4690" w:rsidP="00132B3D">
      <w:r>
        <w:t>The drug data was further categorised by multiple dose and single dose preparations to compare the utilisation of the more expensive single use</w:t>
      </w:r>
      <w:r w:rsidR="00072E7C">
        <w:t xml:space="preserve"> preparations to the use of multi-dose</w:t>
      </w:r>
      <w:r>
        <w:t xml:space="preserve"> use preparations.</w:t>
      </w:r>
    </w:p>
    <w:p w14:paraId="722E8E0A" w14:textId="58214BB4" w:rsidR="00A239DF" w:rsidRDefault="00E31DA6" w:rsidP="00132B3D">
      <w:r>
        <w:t xml:space="preserve">Data on the major specialty of prescribers was also extracted from the DUSC </w:t>
      </w:r>
      <w:r w:rsidR="003339E9">
        <w:t>database</w:t>
      </w:r>
      <w:r>
        <w:t>.</w:t>
      </w:r>
    </w:p>
    <w:p w14:paraId="27709DDC" w14:textId="0453436D" w:rsidR="00A24175" w:rsidRDefault="00A30F99" w:rsidP="00132B3D">
      <w:r w:rsidRPr="00A239DF">
        <w:t>Patients initiating and prevalent pat</w:t>
      </w:r>
      <w:r w:rsidR="00AF4E36" w:rsidRPr="00A239DF">
        <w:t>ients were counted for the twelve</w:t>
      </w:r>
      <w:r w:rsidRPr="00A239DF">
        <w:t xml:space="preserve"> months from September 2012 to August 2013.  </w:t>
      </w:r>
      <w:r w:rsidR="002964E5" w:rsidRPr="00A239DF">
        <w:t>Initiators were defined as patient</w:t>
      </w:r>
      <w:r w:rsidR="00743C5C" w:rsidRPr="00A239DF">
        <w:t>s</w:t>
      </w:r>
      <w:r w:rsidR="002964E5" w:rsidRPr="00A239DF">
        <w:t xml:space="preserve"> who did not have a </w:t>
      </w:r>
      <w:r w:rsidR="00DA247E" w:rsidRPr="00A239DF">
        <w:t xml:space="preserve">PBS </w:t>
      </w:r>
      <w:r w:rsidR="002964E5" w:rsidRPr="00A239DF">
        <w:t>prescription supplied for at least t</w:t>
      </w:r>
      <w:r w:rsidR="00AF4E36" w:rsidRPr="00A239DF">
        <w:t>he twelve</w:t>
      </w:r>
      <w:r w:rsidR="002964E5" w:rsidRPr="00A239DF">
        <w:t xml:space="preserve"> months prior, i.e</w:t>
      </w:r>
      <w:r w:rsidR="00012C5E" w:rsidRPr="00A239DF">
        <w:t>.</w:t>
      </w:r>
      <w:r w:rsidR="002964E5" w:rsidRPr="00A239DF">
        <w:t xml:space="preserve"> since September 2011.</w:t>
      </w:r>
    </w:p>
    <w:p w14:paraId="4F91A98A" w14:textId="00180E30" w:rsidR="00C714D0" w:rsidRPr="005E22C2" w:rsidRDefault="00C714D0" w:rsidP="00A35800">
      <w:pPr>
        <w:pStyle w:val="Heading2"/>
      </w:pPr>
      <w:r w:rsidRPr="005E22C2">
        <w:t>Results</w:t>
      </w:r>
    </w:p>
    <w:p w14:paraId="2221FF19" w14:textId="336CE8B2"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A35800">
      <w:pPr>
        <w:pStyle w:val="Heading4"/>
      </w:pPr>
      <w:r w:rsidRPr="005E22C2">
        <w:t>Overall utilisation</w:t>
      </w:r>
    </w:p>
    <w:p w14:paraId="54763C90" w14:textId="77777777" w:rsidR="00A30C24" w:rsidRDefault="00A30C24" w:rsidP="00A30C24">
      <w:r>
        <w:t>The total number of prescriptions for the ATC group of S01XA, Sensory Organs, Other Ophthalmologicals, has been fairly steady over the last ten years, with 2.19 million in the calendar year 2003 gradually rising to a peak of 2.53 million in 2009, and then slowly decreasing to 2.46 million in 2012.</w:t>
      </w:r>
    </w:p>
    <w:p w14:paraId="0578321D" w14:textId="233ABDC1" w:rsidR="00B93EDA" w:rsidRDefault="00B93EDA" w:rsidP="00B93EDA">
      <w:r>
        <w:t xml:space="preserve">The total number of prescriptions for ocular lubricants for the calendar years 2003 through to end 2012 is shown </w:t>
      </w:r>
      <w:r w:rsidR="005563CE">
        <w:t>in Figure 1</w:t>
      </w:r>
      <w:r>
        <w:t>.</w:t>
      </w:r>
    </w:p>
    <w:p w14:paraId="6F2733E9" w14:textId="4CF00B7E" w:rsidR="00B93EDA" w:rsidRPr="00FD3D18" w:rsidRDefault="00C1453A" w:rsidP="00B93EDA">
      <w:pPr>
        <w:spacing w:before="60" w:after="60"/>
        <w:rPr>
          <w:b/>
          <w:sz w:val="28"/>
        </w:rPr>
      </w:pPr>
      <w:r>
        <w:rPr>
          <w:noProof/>
        </w:rPr>
        <w:lastRenderedPageBreak/>
        <w:drawing>
          <wp:inline distT="0" distB="0" distL="0" distR="0" wp14:anchorId="2FF5AE67" wp14:editId="695998E1">
            <wp:extent cx="5581650" cy="3409950"/>
            <wp:effectExtent l="0" t="0" r="19050" b="19050"/>
            <wp:docPr id="12" name="Chart 12" descr="The figure shows the total number of prescriptions per year by calendar year from 2003 to 2012"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563CE">
        <w:rPr>
          <w:b/>
        </w:rPr>
        <w:t>Figure 1</w:t>
      </w:r>
      <w:r w:rsidR="00B93EDA" w:rsidRPr="00FD3D18">
        <w:rPr>
          <w:b/>
        </w:rPr>
        <w:t>: Total number of prescriptions for ocular lubricants by calendar year 2003 to 2012.</w:t>
      </w:r>
    </w:p>
    <w:p w14:paraId="5A07974A" w14:textId="42DDD7AA" w:rsidR="00B93EDA" w:rsidRDefault="005563CE" w:rsidP="00B93EDA">
      <w:r>
        <w:t>Figure 2</w:t>
      </w:r>
      <w:r w:rsidR="00B93EDA">
        <w:t xml:space="preserve"> shows the number of prescriptions for ocular lubricants by drug for the calendar years 2003 to end 2012. </w:t>
      </w:r>
    </w:p>
    <w:p w14:paraId="5642B3E9" w14:textId="57FCDCB7" w:rsidR="00AD3826" w:rsidRPr="00AD3826" w:rsidRDefault="00B93EDA" w:rsidP="00AD3826">
      <w:pPr>
        <w:spacing w:before="60"/>
        <w:rPr>
          <w:b/>
          <w:sz w:val="28"/>
        </w:rPr>
      </w:pPr>
      <w:r>
        <w:rPr>
          <w:noProof/>
        </w:rPr>
        <w:drawing>
          <wp:inline distT="0" distB="0" distL="0" distR="0" wp14:anchorId="46E4E891" wp14:editId="52E96422">
            <wp:extent cx="5638800" cy="3800475"/>
            <wp:effectExtent l="0" t="0" r="19050" b="9525"/>
            <wp:docPr id="11" name="Chart 11" descr="The figure illustrates the total number of prescriptions by year by individual ocular lubricants for the calendar years 2003 to 2012."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9706D">
        <w:rPr>
          <w:b/>
        </w:rPr>
        <w:t xml:space="preserve"> </w:t>
      </w:r>
      <w:r w:rsidR="005563CE">
        <w:rPr>
          <w:b/>
        </w:rPr>
        <w:t>Figure 2</w:t>
      </w:r>
      <w:r w:rsidRPr="00E9706D">
        <w:rPr>
          <w:b/>
        </w:rPr>
        <w:t>: Number of prescriptions of o</w:t>
      </w:r>
      <w:r>
        <w:rPr>
          <w:b/>
        </w:rPr>
        <w:t>cular lubricants by drug,</w:t>
      </w:r>
      <w:r w:rsidRPr="00E9706D">
        <w:rPr>
          <w:b/>
        </w:rPr>
        <w:t xml:space="preserve"> calendar years 2003 to 2012.</w:t>
      </w:r>
    </w:p>
    <w:p w14:paraId="765B0DD0" w14:textId="0DDE80A4" w:rsidR="00B93EDA" w:rsidRPr="00513DD3" w:rsidRDefault="00F9176F" w:rsidP="00B93EDA">
      <w:pPr>
        <w:rPr>
          <w:sz w:val="20"/>
        </w:rPr>
      </w:pPr>
      <w:r>
        <w:lastRenderedPageBreak/>
        <w:t>A</w:t>
      </w:r>
      <w:r w:rsidR="00B93EDA">
        <w:t>t the beginning of the time period (2003) hypromellose multi-dose preparations dominated the market with the highest number of prescriptions supplied per year, and their utilisation has gradually declined over the last ten years.  Carmellose sodium preparations were the second most commonly supplied items at the beginning of the time period with prescription numbers steadily increasing to 2008, after which they overtook hypromellose preparations, with utilisation approximately plateauing to 2012.  The third most commonly supplied ocular lubricants in the last decade were polyethylene glycol 400 with propylene glycol preparations, for which utilisation has steadily increased over the last ten years.  These three ocular lubricants made up the majority of prescriptions supplied in the last ten years.</w:t>
      </w:r>
    </w:p>
    <w:p w14:paraId="5C3EB9F0" w14:textId="01FC7A2B" w:rsidR="003703BD" w:rsidRPr="009E748E" w:rsidRDefault="003703BD" w:rsidP="00A35800">
      <w:pPr>
        <w:pStyle w:val="Heading4"/>
      </w:pPr>
      <w:r>
        <w:t>Patient count</w:t>
      </w:r>
    </w:p>
    <w:p w14:paraId="6D702305" w14:textId="2A7C3472" w:rsidR="003703BD" w:rsidRPr="009E748E" w:rsidRDefault="00AF4E36" w:rsidP="003A4E3A">
      <w:r w:rsidRPr="009E748E">
        <w:t xml:space="preserve">For the </w:t>
      </w:r>
      <w:r w:rsidR="00600622" w:rsidRPr="009E748E">
        <w:t xml:space="preserve">twelve months from September 2012 to August 2013, 167,816 patients initiated an ocular lubricant and there were 464,132 prevalent patients.  </w:t>
      </w:r>
    </w:p>
    <w:p w14:paraId="09F9D349" w14:textId="6A07427F" w:rsidR="00736041" w:rsidRDefault="00826423" w:rsidP="00A35800">
      <w:pPr>
        <w:pStyle w:val="Heading4"/>
      </w:pPr>
      <w:r>
        <w:t xml:space="preserve">Utilisation </w:t>
      </w:r>
      <w:r w:rsidR="00FA08A5">
        <w:t>of ocular lubricants by patient category</w:t>
      </w:r>
    </w:p>
    <w:p w14:paraId="5D40830D" w14:textId="414881D0" w:rsidR="001B1AE3" w:rsidRPr="00AA3146" w:rsidRDefault="00AA3146" w:rsidP="00AA3146">
      <w:r>
        <w:t>Almost all of the prescriptions for ocular</w:t>
      </w:r>
      <w:r w:rsidR="00531FDE">
        <w:t xml:space="preserve"> lubricants </w:t>
      </w:r>
      <w:r w:rsidR="00B07FED">
        <w:t xml:space="preserve">supplied in the last ten years </w:t>
      </w:r>
      <w:r w:rsidR="00531FDE">
        <w:t xml:space="preserve">were over the patient co-payment, with </w:t>
      </w:r>
      <w:r w:rsidR="000116B1">
        <w:t xml:space="preserve">the under patient co-payment proportion and private prescriptions making up very small components of the market.  </w:t>
      </w:r>
      <w:r w:rsidR="00D6154E">
        <w:t>Figure 3</w:t>
      </w:r>
      <w:r w:rsidR="00F04D12">
        <w:t xml:space="preserve"> shows the prescription numbers by year for PBS/RPBS, under co-payment and private market categories.</w:t>
      </w:r>
      <w:r w:rsidR="00224C9F">
        <w:t xml:space="preserve">  Table 1</w:t>
      </w:r>
      <w:r w:rsidR="001B1AE3">
        <w:t xml:space="preserve"> displays the same categories by percentages for the most recent three years of data through to the end of September 2013.  </w:t>
      </w:r>
      <w:r w:rsidR="00334F3F">
        <w:t>Approximately 97% of prescriptions are PBS/RPBS</w:t>
      </w:r>
      <w:r w:rsidR="00E657B7">
        <w:t xml:space="preserve">, approximately 2% under co-payment and less than 1% </w:t>
      </w:r>
      <w:r w:rsidR="00280443">
        <w:t xml:space="preserve">are </w:t>
      </w:r>
      <w:r w:rsidR="00E657B7">
        <w:t>private prescriptions.</w:t>
      </w:r>
    </w:p>
    <w:p w14:paraId="6F981CD3" w14:textId="740A6595" w:rsidR="00EB4608" w:rsidRDefault="00FC5E38" w:rsidP="009C1100">
      <w:pPr>
        <w:spacing w:before="60" w:after="60"/>
        <w:rPr>
          <w:b/>
        </w:rPr>
      </w:pPr>
      <w:r>
        <w:rPr>
          <w:noProof/>
        </w:rPr>
        <w:drawing>
          <wp:inline distT="0" distB="0" distL="0" distR="0" wp14:anchorId="296F1A14" wp14:editId="46ED3E3E">
            <wp:extent cx="5686425" cy="3619500"/>
            <wp:effectExtent l="0" t="0" r="9525" b="19050"/>
            <wp:docPr id="2" name="Chart 2" descr="The figure shows the total number of prescriptions by the patient categories PBS or RPBS, estimated under co-payment, private and actual under co-payment."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B4608" w:rsidRPr="008E76D7">
        <w:rPr>
          <w:b/>
        </w:rPr>
        <w:t>Figure</w:t>
      </w:r>
      <w:r w:rsidR="00AE0DAC">
        <w:rPr>
          <w:b/>
        </w:rPr>
        <w:t xml:space="preserve"> 3</w:t>
      </w:r>
      <w:r w:rsidR="00B63EDC" w:rsidRPr="008E76D7">
        <w:rPr>
          <w:b/>
        </w:rPr>
        <w:t>: Number of prescriptions by patient category</w:t>
      </w:r>
      <w:r w:rsidR="00AC5A46" w:rsidRPr="008E76D7">
        <w:rPr>
          <w:b/>
        </w:rPr>
        <w:t>, years 2003-</w:t>
      </w:r>
      <w:r w:rsidR="00531FDE" w:rsidRPr="008E76D7">
        <w:rPr>
          <w:b/>
        </w:rPr>
        <w:t>2012.</w:t>
      </w:r>
    </w:p>
    <w:p w14:paraId="293CBEFE" w14:textId="0B195A0F" w:rsidR="00993195" w:rsidRPr="00993195" w:rsidRDefault="00AE0DAC" w:rsidP="00090457">
      <w:pPr>
        <w:spacing w:before="200" w:after="20"/>
        <w:rPr>
          <w:b/>
        </w:rPr>
      </w:pPr>
      <w:r>
        <w:rPr>
          <w:b/>
        </w:rPr>
        <w:lastRenderedPageBreak/>
        <w:t xml:space="preserve">Table </w:t>
      </w:r>
      <w:r w:rsidR="00224C9F">
        <w:rPr>
          <w:b/>
        </w:rPr>
        <w:t>1</w:t>
      </w:r>
      <w:r w:rsidR="00993195" w:rsidRPr="00993195">
        <w:rPr>
          <w:b/>
        </w:rPr>
        <w:t>: Prescriptions by patient category for 2010 Q4 to 2013 Q3</w:t>
      </w:r>
    </w:p>
    <w:tbl>
      <w:tblPr>
        <w:tblStyle w:val="TableGrid"/>
        <w:tblW w:w="0" w:type="auto"/>
        <w:tblLook w:val="04A0" w:firstRow="1" w:lastRow="0" w:firstColumn="1" w:lastColumn="0" w:noHBand="0" w:noVBand="1"/>
        <w:tblCaption w:val="Table 1"/>
        <w:tblDescription w:val="The table outlines the total number of prescriptions by patient category and the percentages of presciptions in each category."/>
      </w:tblPr>
      <w:tblGrid>
        <w:gridCol w:w="1347"/>
        <w:gridCol w:w="1458"/>
        <w:gridCol w:w="1150"/>
        <w:gridCol w:w="1459"/>
        <w:gridCol w:w="1150"/>
        <w:gridCol w:w="1459"/>
        <w:gridCol w:w="1150"/>
      </w:tblGrid>
      <w:tr w:rsidR="00F942F1" w14:paraId="28879652" w14:textId="77777777" w:rsidTr="005C04E5">
        <w:trPr>
          <w:tblHeader/>
        </w:trPr>
        <w:tc>
          <w:tcPr>
            <w:tcW w:w="1347" w:type="dxa"/>
          </w:tcPr>
          <w:p w14:paraId="5C6487FD" w14:textId="77777777" w:rsidR="00F942F1" w:rsidRPr="00B15B91" w:rsidRDefault="00F942F1" w:rsidP="00B77D4A">
            <w:pPr>
              <w:rPr>
                <w:b/>
                <w:sz w:val="20"/>
                <w:szCs w:val="20"/>
              </w:rPr>
            </w:pPr>
            <w:r w:rsidRPr="00B15B91">
              <w:rPr>
                <w:b/>
                <w:sz w:val="20"/>
                <w:szCs w:val="20"/>
              </w:rPr>
              <w:t>Patient category</w:t>
            </w:r>
          </w:p>
        </w:tc>
        <w:tc>
          <w:tcPr>
            <w:tcW w:w="1458" w:type="dxa"/>
          </w:tcPr>
          <w:p w14:paraId="17C1E109" w14:textId="77777777" w:rsidR="00F942F1" w:rsidRDefault="00F942F1" w:rsidP="00B77D4A">
            <w:pPr>
              <w:rPr>
                <w:b/>
                <w:sz w:val="20"/>
                <w:szCs w:val="20"/>
              </w:rPr>
            </w:pPr>
            <w:r w:rsidRPr="00B15B91">
              <w:rPr>
                <w:b/>
                <w:sz w:val="20"/>
                <w:szCs w:val="20"/>
              </w:rPr>
              <w:t>Sum of prescriptions</w:t>
            </w:r>
          </w:p>
          <w:p w14:paraId="03E2CDDF" w14:textId="77777777" w:rsidR="00F942F1" w:rsidRPr="00B15B91" w:rsidRDefault="00F942F1" w:rsidP="00B77D4A">
            <w:pPr>
              <w:rPr>
                <w:b/>
                <w:sz w:val="20"/>
                <w:szCs w:val="20"/>
              </w:rPr>
            </w:pPr>
            <w:r>
              <w:rPr>
                <w:b/>
                <w:sz w:val="20"/>
                <w:szCs w:val="20"/>
              </w:rPr>
              <w:t>2010 Q4 – 2011 Q3</w:t>
            </w:r>
          </w:p>
        </w:tc>
        <w:tc>
          <w:tcPr>
            <w:tcW w:w="1150" w:type="dxa"/>
          </w:tcPr>
          <w:p w14:paraId="2F008EF2" w14:textId="77777777" w:rsidR="00F942F1" w:rsidRPr="00B15B91" w:rsidRDefault="00F942F1" w:rsidP="00B77D4A">
            <w:pPr>
              <w:rPr>
                <w:b/>
                <w:sz w:val="20"/>
                <w:szCs w:val="20"/>
              </w:rPr>
            </w:pPr>
            <w:r>
              <w:rPr>
                <w:b/>
                <w:sz w:val="20"/>
                <w:szCs w:val="20"/>
              </w:rPr>
              <w:t>Percentage</w:t>
            </w:r>
          </w:p>
        </w:tc>
        <w:tc>
          <w:tcPr>
            <w:tcW w:w="1459" w:type="dxa"/>
          </w:tcPr>
          <w:p w14:paraId="4378B6D3" w14:textId="77777777" w:rsidR="00F942F1" w:rsidRDefault="00F942F1" w:rsidP="00B77D4A">
            <w:pPr>
              <w:rPr>
                <w:b/>
                <w:sz w:val="20"/>
                <w:szCs w:val="20"/>
              </w:rPr>
            </w:pPr>
            <w:r w:rsidRPr="00B15B91">
              <w:rPr>
                <w:b/>
                <w:sz w:val="20"/>
                <w:szCs w:val="20"/>
              </w:rPr>
              <w:t>Sum of prescriptions</w:t>
            </w:r>
          </w:p>
          <w:p w14:paraId="090A9F7D" w14:textId="77777777" w:rsidR="00F942F1" w:rsidRDefault="00F942F1" w:rsidP="00B77D4A">
            <w:r>
              <w:rPr>
                <w:b/>
                <w:sz w:val="20"/>
                <w:szCs w:val="20"/>
              </w:rPr>
              <w:t>2011 Q4 – 2012 Q3</w:t>
            </w:r>
          </w:p>
        </w:tc>
        <w:tc>
          <w:tcPr>
            <w:tcW w:w="1150" w:type="dxa"/>
          </w:tcPr>
          <w:p w14:paraId="779521EC" w14:textId="77777777" w:rsidR="00F942F1" w:rsidRDefault="00F942F1" w:rsidP="00B77D4A">
            <w:r>
              <w:rPr>
                <w:b/>
                <w:sz w:val="20"/>
                <w:szCs w:val="20"/>
              </w:rPr>
              <w:t>Percentage</w:t>
            </w:r>
          </w:p>
        </w:tc>
        <w:tc>
          <w:tcPr>
            <w:tcW w:w="1459" w:type="dxa"/>
          </w:tcPr>
          <w:p w14:paraId="2F435EAF" w14:textId="77777777" w:rsidR="00F942F1" w:rsidRDefault="00F942F1" w:rsidP="00B77D4A">
            <w:pPr>
              <w:rPr>
                <w:b/>
                <w:sz w:val="20"/>
                <w:szCs w:val="20"/>
              </w:rPr>
            </w:pPr>
            <w:r w:rsidRPr="00B15B91">
              <w:rPr>
                <w:b/>
                <w:sz w:val="20"/>
                <w:szCs w:val="20"/>
              </w:rPr>
              <w:t>Sum of prescriptions</w:t>
            </w:r>
          </w:p>
          <w:p w14:paraId="46943478" w14:textId="77777777" w:rsidR="00F942F1" w:rsidRDefault="00F942F1" w:rsidP="00B77D4A">
            <w:r>
              <w:rPr>
                <w:b/>
                <w:sz w:val="20"/>
                <w:szCs w:val="20"/>
              </w:rPr>
              <w:t>2012 Q4 – 2013 Q3</w:t>
            </w:r>
          </w:p>
        </w:tc>
        <w:tc>
          <w:tcPr>
            <w:tcW w:w="1150" w:type="dxa"/>
          </w:tcPr>
          <w:p w14:paraId="3EADB1B7" w14:textId="77777777" w:rsidR="00F942F1" w:rsidRPr="00B15B91" w:rsidRDefault="00F942F1" w:rsidP="00B77D4A">
            <w:pPr>
              <w:rPr>
                <w:b/>
                <w:sz w:val="20"/>
                <w:szCs w:val="20"/>
              </w:rPr>
            </w:pPr>
            <w:r>
              <w:rPr>
                <w:b/>
                <w:sz w:val="20"/>
                <w:szCs w:val="20"/>
              </w:rPr>
              <w:t>Percentage</w:t>
            </w:r>
          </w:p>
        </w:tc>
      </w:tr>
      <w:tr w:rsidR="00F942F1" w14:paraId="69A2E9CA" w14:textId="77777777" w:rsidTr="005C04E5">
        <w:tc>
          <w:tcPr>
            <w:tcW w:w="1347" w:type="dxa"/>
          </w:tcPr>
          <w:p w14:paraId="749E7D49" w14:textId="77777777" w:rsidR="00F942F1" w:rsidRPr="00B01AE0" w:rsidRDefault="00F942F1" w:rsidP="00B77D4A">
            <w:pPr>
              <w:rPr>
                <w:sz w:val="20"/>
                <w:szCs w:val="20"/>
              </w:rPr>
            </w:pPr>
            <w:r w:rsidRPr="00B01AE0">
              <w:rPr>
                <w:sz w:val="20"/>
                <w:szCs w:val="20"/>
              </w:rPr>
              <w:t>PBS/RPBS</w:t>
            </w:r>
          </w:p>
          <w:p w14:paraId="7F394DE1" w14:textId="77777777" w:rsidR="00F942F1" w:rsidRPr="00B01AE0" w:rsidRDefault="00F942F1" w:rsidP="00B77D4A">
            <w:pPr>
              <w:rPr>
                <w:sz w:val="20"/>
                <w:szCs w:val="20"/>
              </w:rPr>
            </w:pPr>
          </w:p>
        </w:tc>
        <w:tc>
          <w:tcPr>
            <w:tcW w:w="1458" w:type="dxa"/>
          </w:tcPr>
          <w:p w14:paraId="546DB463" w14:textId="77777777" w:rsidR="00F942F1" w:rsidRPr="00B01AE0" w:rsidRDefault="00F942F1" w:rsidP="00B77D4A">
            <w:pPr>
              <w:rPr>
                <w:sz w:val="20"/>
                <w:szCs w:val="20"/>
              </w:rPr>
            </w:pPr>
            <w:r w:rsidRPr="006159D6">
              <w:rPr>
                <w:sz w:val="20"/>
              </w:rPr>
              <w:t>2,411,115</w:t>
            </w:r>
          </w:p>
        </w:tc>
        <w:tc>
          <w:tcPr>
            <w:tcW w:w="1150" w:type="dxa"/>
          </w:tcPr>
          <w:p w14:paraId="0FAE195A" w14:textId="77777777" w:rsidR="00F942F1" w:rsidRPr="00B01AE0" w:rsidRDefault="00F942F1" w:rsidP="00B77D4A">
            <w:pPr>
              <w:rPr>
                <w:sz w:val="20"/>
                <w:szCs w:val="20"/>
              </w:rPr>
            </w:pPr>
            <w:r>
              <w:rPr>
                <w:sz w:val="20"/>
                <w:szCs w:val="20"/>
              </w:rPr>
              <w:t>97.27</w:t>
            </w:r>
          </w:p>
        </w:tc>
        <w:tc>
          <w:tcPr>
            <w:tcW w:w="1459" w:type="dxa"/>
          </w:tcPr>
          <w:p w14:paraId="250F4DF1" w14:textId="77777777" w:rsidR="00F942F1" w:rsidRPr="00B01AE0" w:rsidRDefault="00F942F1" w:rsidP="00B77D4A">
            <w:pPr>
              <w:rPr>
                <w:sz w:val="20"/>
                <w:szCs w:val="20"/>
              </w:rPr>
            </w:pPr>
            <w:r w:rsidRPr="006159D6">
              <w:rPr>
                <w:sz w:val="20"/>
              </w:rPr>
              <w:t>2,385,447</w:t>
            </w:r>
          </w:p>
        </w:tc>
        <w:tc>
          <w:tcPr>
            <w:tcW w:w="1150" w:type="dxa"/>
          </w:tcPr>
          <w:p w14:paraId="572DCB86" w14:textId="77777777" w:rsidR="00F942F1" w:rsidRPr="00B01AE0" w:rsidRDefault="00F942F1" w:rsidP="00B77D4A">
            <w:pPr>
              <w:rPr>
                <w:sz w:val="20"/>
                <w:szCs w:val="20"/>
              </w:rPr>
            </w:pPr>
            <w:r>
              <w:rPr>
                <w:sz w:val="20"/>
                <w:szCs w:val="20"/>
              </w:rPr>
              <w:t>97.13</w:t>
            </w:r>
          </w:p>
        </w:tc>
        <w:tc>
          <w:tcPr>
            <w:tcW w:w="1459" w:type="dxa"/>
          </w:tcPr>
          <w:p w14:paraId="12E5BDA2" w14:textId="77777777" w:rsidR="00F942F1" w:rsidRPr="00B01AE0" w:rsidRDefault="00F942F1" w:rsidP="00B77D4A">
            <w:pPr>
              <w:rPr>
                <w:sz w:val="20"/>
                <w:szCs w:val="20"/>
              </w:rPr>
            </w:pPr>
            <w:r w:rsidRPr="006159D6">
              <w:rPr>
                <w:sz w:val="20"/>
              </w:rPr>
              <w:t>2,349,712</w:t>
            </w:r>
          </w:p>
        </w:tc>
        <w:tc>
          <w:tcPr>
            <w:tcW w:w="1150" w:type="dxa"/>
          </w:tcPr>
          <w:p w14:paraId="12A89D30" w14:textId="77777777" w:rsidR="00F942F1" w:rsidRPr="00B01AE0" w:rsidRDefault="00F942F1" w:rsidP="00B77D4A">
            <w:pPr>
              <w:rPr>
                <w:sz w:val="20"/>
                <w:szCs w:val="20"/>
              </w:rPr>
            </w:pPr>
            <w:r>
              <w:rPr>
                <w:sz w:val="20"/>
                <w:szCs w:val="20"/>
              </w:rPr>
              <w:t>97.26</w:t>
            </w:r>
          </w:p>
        </w:tc>
      </w:tr>
      <w:tr w:rsidR="00F942F1" w14:paraId="2D454D14" w14:textId="77777777" w:rsidTr="005C04E5">
        <w:tc>
          <w:tcPr>
            <w:tcW w:w="1347" w:type="dxa"/>
          </w:tcPr>
          <w:p w14:paraId="29EFE2CB" w14:textId="6919CB4D" w:rsidR="00F942F1" w:rsidRPr="00B01AE0" w:rsidRDefault="00C42D09" w:rsidP="00B77D4A">
            <w:pPr>
              <w:rPr>
                <w:sz w:val="20"/>
                <w:szCs w:val="20"/>
              </w:rPr>
            </w:pPr>
            <w:r>
              <w:rPr>
                <w:sz w:val="20"/>
                <w:szCs w:val="20"/>
              </w:rPr>
              <w:t>Under co-payment M</w:t>
            </w:r>
            <w:r w:rsidR="00F942F1">
              <w:rPr>
                <w:sz w:val="20"/>
                <w:szCs w:val="20"/>
              </w:rPr>
              <w:t>edicare</w:t>
            </w:r>
          </w:p>
        </w:tc>
        <w:tc>
          <w:tcPr>
            <w:tcW w:w="1458" w:type="dxa"/>
          </w:tcPr>
          <w:p w14:paraId="72DC5B9C" w14:textId="243DFEE7" w:rsidR="00F942F1" w:rsidRPr="00B01AE0" w:rsidRDefault="00334F3F" w:rsidP="00B77D4A">
            <w:pPr>
              <w:rPr>
                <w:sz w:val="20"/>
                <w:szCs w:val="20"/>
              </w:rPr>
            </w:pPr>
            <w:r>
              <w:rPr>
                <w:sz w:val="20"/>
                <w:szCs w:val="20"/>
              </w:rPr>
              <w:t>Not available</w:t>
            </w:r>
          </w:p>
        </w:tc>
        <w:tc>
          <w:tcPr>
            <w:tcW w:w="1150" w:type="dxa"/>
          </w:tcPr>
          <w:p w14:paraId="0AB37606" w14:textId="691D2375" w:rsidR="00F942F1" w:rsidRPr="00B01AE0" w:rsidRDefault="00334F3F" w:rsidP="00B77D4A">
            <w:pPr>
              <w:rPr>
                <w:sz w:val="20"/>
                <w:szCs w:val="20"/>
              </w:rPr>
            </w:pPr>
            <w:r>
              <w:rPr>
                <w:sz w:val="20"/>
                <w:szCs w:val="20"/>
              </w:rPr>
              <w:t>Not available</w:t>
            </w:r>
          </w:p>
        </w:tc>
        <w:tc>
          <w:tcPr>
            <w:tcW w:w="1459" w:type="dxa"/>
          </w:tcPr>
          <w:p w14:paraId="21C36B85" w14:textId="6A6F6BB2" w:rsidR="00F942F1" w:rsidRPr="00B01AE0" w:rsidRDefault="00F942F1" w:rsidP="00B77D4A">
            <w:pPr>
              <w:rPr>
                <w:sz w:val="20"/>
                <w:szCs w:val="20"/>
              </w:rPr>
            </w:pPr>
            <w:r w:rsidRPr="006159D6">
              <w:rPr>
                <w:sz w:val="20"/>
              </w:rPr>
              <w:t>31,447</w:t>
            </w:r>
            <w:r w:rsidR="00C42D09">
              <w:rPr>
                <w:sz w:val="20"/>
              </w:rPr>
              <w:t>*</w:t>
            </w:r>
          </w:p>
        </w:tc>
        <w:tc>
          <w:tcPr>
            <w:tcW w:w="1150" w:type="dxa"/>
          </w:tcPr>
          <w:p w14:paraId="61008EA7" w14:textId="4F836B32" w:rsidR="00F942F1" w:rsidRPr="00B01AE0" w:rsidRDefault="00F942F1" w:rsidP="00B77D4A">
            <w:pPr>
              <w:rPr>
                <w:sz w:val="20"/>
                <w:szCs w:val="20"/>
              </w:rPr>
            </w:pPr>
            <w:r>
              <w:rPr>
                <w:sz w:val="20"/>
                <w:szCs w:val="20"/>
              </w:rPr>
              <w:t>1.28</w:t>
            </w:r>
            <w:r w:rsidR="00C42D09">
              <w:rPr>
                <w:sz w:val="20"/>
                <w:szCs w:val="20"/>
              </w:rPr>
              <w:t>*</w:t>
            </w:r>
          </w:p>
        </w:tc>
        <w:tc>
          <w:tcPr>
            <w:tcW w:w="1459" w:type="dxa"/>
          </w:tcPr>
          <w:p w14:paraId="6D6D857D" w14:textId="77777777" w:rsidR="00F942F1" w:rsidRPr="00B01AE0" w:rsidRDefault="00F942F1" w:rsidP="00B77D4A">
            <w:pPr>
              <w:rPr>
                <w:sz w:val="20"/>
                <w:szCs w:val="20"/>
              </w:rPr>
            </w:pPr>
            <w:r w:rsidRPr="006159D6">
              <w:rPr>
                <w:sz w:val="20"/>
              </w:rPr>
              <w:t>66,085</w:t>
            </w:r>
          </w:p>
        </w:tc>
        <w:tc>
          <w:tcPr>
            <w:tcW w:w="1150" w:type="dxa"/>
          </w:tcPr>
          <w:p w14:paraId="1DA71109" w14:textId="77777777" w:rsidR="00F942F1" w:rsidRPr="00B01AE0" w:rsidRDefault="00F942F1" w:rsidP="00B77D4A">
            <w:pPr>
              <w:rPr>
                <w:sz w:val="20"/>
                <w:szCs w:val="20"/>
              </w:rPr>
            </w:pPr>
            <w:r>
              <w:rPr>
                <w:sz w:val="20"/>
                <w:szCs w:val="20"/>
              </w:rPr>
              <w:t>2.74</w:t>
            </w:r>
          </w:p>
        </w:tc>
      </w:tr>
      <w:tr w:rsidR="00F942F1" w14:paraId="1153D563" w14:textId="77777777" w:rsidTr="005C04E5">
        <w:tc>
          <w:tcPr>
            <w:tcW w:w="1347" w:type="dxa"/>
          </w:tcPr>
          <w:p w14:paraId="56AAC4B1" w14:textId="77777777" w:rsidR="00F942F1" w:rsidRPr="00B01AE0" w:rsidRDefault="00F942F1" w:rsidP="00B77D4A">
            <w:pPr>
              <w:rPr>
                <w:sz w:val="20"/>
                <w:szCs w:val="20"/>
              </w:rPr>
            </w:pPr>
            <w:r>
              <w:rPr>
                <w:sz w:val="20"/>
                <w:szCs w:val="20"/>
              </w:rPr>
              <w:t>Under co-payment estimate</w:t>
            </w:r>
          </w:p>
        </w:tc>
        <w:tc>
          <w:tcPr>
            <w:tcW w:w="1458" w:type="dxa"/>
          </w:tcPr>
          <w:p w14:paraId="70489EA1" w14:textId="77777777" w:rsidR="00F942F1" w:rsidRPr="00B01AE0" w:rsidRDefault="00F942F1" w:rsidP="00B77D4A">
            <w:pPr>
              <w:rPr>
                <w:sz w:val="20"/>
                <w:szCs w:val="20"/>
              </w:rPr>
            </w:pPr>
            <w:r>
              <w:rPr>
                <w:sz w:val="20"/>
                <w:szCs w:val="20"/>
              </w:rPr>
              <w:t>54,455</w:t>
            </w:r>
          </w:p>
        </w:tc>
        <w:tc>
          <w:tcPr>
            <w:tcW w:w="1150" w:type="dxa"/>
          </w:tcPr>
          <w:p w14:paraId="2CFA68A5" w14:textId="77777777" w:rsidR="00F942F1" w:rsidRPr="00B01AE0" w:rsidRDefault="00F942F1" w:rsidP="00B77D4A">
            <w:pPr>
              <w:rPr>
                <w:sz w:val="20"/>
                <w:szCs w:val="20"/>
              </w:rPr>
            </w:pPr>
            <w:r>
              <w:rPr>
                <w:sz w:val="20"/>
                <w:szCs w:val="20"/>
              </w:rPr>
              <w:t>2.2</w:t>
            </w:r>
          </w:p>
        </w:tc>
        <w:tc>
          <w:tcPr>
            <w:tcW w:w="1459" w:type="dxa"/>
          </w:tcPr>
          <w:p w14:paraId="1D8D59D6" w14:textId="7FB44DB4" w:rsidR="00F942F1" w:rsidRPr="00B01AE0" w:rsidRDefault="00F942F1" w:rsidP="00B77D4A">
            <w:pPr>
              <w:rPr>
                <w:sz w:val="20"/>
                <w:szCs w:val="20"/>
              </w:rPr>
            </w:pPr>
            <w:r>
              <w:rPr>
                <w:sz w:val="20"/>
                <w:szCs w:val="20"/>
              </w:rPr>
              <w:t>27,211</w:t>
            </w:r>
            <w:r w:rsidR="00C42D09">
              <w:rPr>
                <w:sz w:val="20"/>
                <w:szCs w:val="20"/>
              </w:rPr>
              <w:t>*</w:t>
            </w:r>
          </w:p>
        </w:tc>
        <w:tc>
          <w:tcPr>
            <w:tcW w:w="1150" w:type="dxa"/>
          </w:tcPr>
          <w:p w14:paraId="52BC1CB1" w14:textId="4315EBD9" w:rsidR="00F942F1" w:rsidRPr="00B01AE0" w:rsidRDefault="00F942F1" w:rsidP="00B77D4A">
            <w:pPr>
              <w:rPr>
                <w:sz w:val="20"/>
                <w:szCs w:val="20"/>
              </w:rPr>
            </w:pPr>
            <w:r>
              <w:rPr>
                <w:sz w:val="20"/>
                <w:szCs w:val="20"/>
              </w:rPr>
              <w:t>1.11</w:t>
            </w:r>
            <w:r w:rsidR="00C42D09">
              <w:rPr>
                <w:sz w:val="20"/>
                <w:szCs w:val="20"/>
              </w:rPr>
              <w:t>*</w:t>
            </w:r>
          </w:p>
        </w:tc>
        <w:tc>
          <w:tcPr>
            <w:tcW w:w="1459" w:type="dxa"/>
          </w:tcPr>
          <w:p w14:paraId="15A583C0" w14:textId="77777777" w:rsidR="00F942F1" w:rsidRPr="00B01AE0" w:rsidRDefault="00F942F1" w:rsidP="00B77D4A">
            <w:pPr>
              <w:rPr>
                <w:sz w:val="20"/>
                <w:szCs w:val="20"/>
              </w:rPr>
            </w:pPr>
            <w:r>
              <w:rPr>
                <w:sz w:val="20"/>
                <w:szCs w:val="20"/>
              </w:rPr>
              <w:t>Not available</w:t>
            </w:r>
          </w:p>
        </w:tc>
        <w:tc>
          <w:tcPr>
            <w:tcW w:w="1150" w:type="dxa"/>
          </w:tcPr>
          <w:p w14:paraId="09BC213D" w14:textId="77777777" w:rsidR="00F942F1" w:rsidRPr="00B01AE0" w:rsidRDefault="00F942F1" w:rsidP="00B77D4A">
            <w:pPr>
              <w:rPr>
                <w:sz w:val="20"/>
                <w:szCs w:val="20"/>
              </w:rPr>
            </w:pPr>
            <w:r>
              <w:rPr>
                <w:sz w:val="20"/>
                <w:szCs w:val="20"/>
              </w:rPr>
              <w:t>N/A</w:t>
            </w:r>
          </w:p>
        </w:tc>
      </w:tr>
      <w:tr w:rsidR="00F942F1" w14:paraId="2C7900EA" w14:textId="77777777" w:rsidTr="005C04E5">
        <w:tc>
          <w:tcPr>
            <w:tcW w:w="1347" w:type="dxa"/>
          </w:tcPr>
          <w:p w14:paraId="582E0198" w14:textId="77777777" w:rsidR="00F942F1" w:rsidRPr="00B01AE0" w:rsidRDefault="00F942F1" w:rsidP="00B77D4A">
            <w:pPr>
              <w:rPr>
                <w:sz w:val="20"/>
                <w:szCs w:val="20"/>
              </w:rPr>
            </w:pPr>
            <w:r w:rsidRPr="00B01AE0">
              <w:rPr>
                <w:sz w:val="20"/>
                <w:szCs w:val="20"/>
              </w:rPr>
              <w:t>Private estimate</w:t>
            </w:r>
          </w:p>
        </w:tc>
        <w:tc>
          <w:tcPr>
            <w:tcW w:w="1458" w:type="dxa"/>
          </w:tcPr>
          <w:p w14:paraId="77FFFAC2" w14:textId="77777777" w:rsidR="00F942F1" w:rsidRPr="00B01AE0" w:rsidRDefault="00F942F1" w:rsidP="00B77D4A">
            <w:pPr>
              <w:rPr>
                <w:sz w:val="20"/>
                <w:szCs w:val="20"/>
              </w:rPr>
            </w:pPr>
            <w:r>
              <w:rPr>
                <w:sz w:val="20"/>
                <w:szCs w:val="20"/>
              </w:rPr>
              <w:t>13,167</w:t>
            </w:r>
          </w:p>
        </w:tc>
        <w:tc>
          <w:tcPr>
            <w:tcW w:w="1150" w:type="dxa"/>
          </w:tcPr>
          <w:p w14:paraId="3243DCD0" w14:textId="77777777" w:rsidR="00F942F1" w:rsidRPr="00B01AE0" w:rsidRDefault="00F942F1" w:rsidP="00B77D4A">
            <w:pPr>
              <w:rPr>
                <w:sz w:val="20"/>
                <w:szCs w:val="20"/>
              </w:rPr>
            </w:pPr>
            <w:r>
              <w:rPr>
                <w:sz w:val="20"/>
                <w:szCs w:val="20"/>
              </w:rPr>
              <w:t>0.53</w:t>
            </w:r>
          </w:p>
        </w:tc>
        <w:tc>
          <w:tcPr>
            <w:tcW w:w="1459" w:type="dxa"/>
          </w:tcPr>
          <w:p w14:paraId="707AE676" w14:textId="2BFC20EA" w:rsidR="00F942F1" w:rsidRPr="00B01AE0" w:rsidRDefault="00F942F1" w:rsidP="00B77D4A">
            <w:pPr>
              <w:rPr>
                <w:sz w:val="20"/>
                <w:szCs w:val="20"/>
              </w:rPr>
            </w:pPr>
            <w:r>
              <w:rPr>
                <w:sz w:val="20"/>
                <w:szCs w:val="20"/>
              </w:rPr>
              <w:t>11,774</w:t>
            </w:r>
            <w:r w:rsidR="00C01909">
              <w:rPr>
                <w:sz w:val="20"/>
                <w:szCs w:val="20"/>
              </w:rPr>
              <w:t>*</w:t>
            </w:r>
          </w:p>
        </w:tc>
        <w:tc>
          <w:tcPr>
            <w:tcW w:w="1150" w:type="dxa"/>
          </w:tcPr>
          <w:p w14:paraId="35E820F9" w14:textId="0287689C" w:rsidR="00F942F1" w:rsidRPr="00B01AE0" w:rsidRDefault="00F942F1" w:rsidP="00B77D4A">
            <w:pPr>
              <w:rPr>
                <w:sz w:val="20"/>
                <w:szCs w:val="20"/>
              </w:rPr>
            </w:pPr>
            <w:r>
              <w:rPr>
                <w:sz w:val="20"/>
                <w:szCs w:val="20"/>
              </w:rPr>
              <w:t>0.48</w:t>
            </w:r>
            <w:r w:rsidR="00C01909">
              <w:rPr>
                <w:sz w:val="20"/>
                <w:szCs w:val="20"/>
              </w:rPr>
              <w:t>*</w:t>
            </w:r>
          </w:p>
        </w:tc>
        <w:tc>
          <w:tcPr>
            <w:tcW w:w="1459" w:type="dxa"/>
          </w:tcPr>
          <w:p w14:paraId="2545BDB6" w14:textId="77777777" w:rsidR="00F942F1" w:rsidRPr="00B01AE0" w:rsidRDefault="00F942F1" w:rsidP="00B77D4A">
            <w:pPr>
              <w:rPr>
                <w:sz w:val="20"/>
                <w:szCs w:val="20"/>
              </w:rPr>
            </w:pPr>
            <w:r>
              <w:rPr>
                <w:sz w:val="20"/>
                <w:szCs w:val="20"/>
              </w:rPr>
              <w:t>Not available</w:t>
            </w:r>
          </w:p>
        </w:tc>
        <w:tc>
          <w:tcPr>
            <w:tcW w:w="1150" w:type="dxa"/>
          </w:tcPr>
          <w:p w14:paraId="7F8BAD01" w14:textId="77777777" w:rsidR="00F942F1" w:rsidRPr="00B01AE0" w:rsidRDefault="00F942F1" w:rsidP="00B77D4A">
            <w:pPr>
              <w:rPr>
                <w:sz w:val="20"/>
                <w:szCs w:val="20"/>
              </w:rPr>
            </w:pPr>
            <w:r>
              <w:rPr>
                <w:sz w:val="20"/>
                <w:szCs w:val="20"/>
              </w:rPr>
              <w:t>N/A</w:t>
            </w:r>
          </w:p>
        </w:tc>
      </w:tr>
      <w:tr w:rsidR="00F942F1" w14:paraId="560D15CA" w14:textId="77777777" w:rsidTr="005C04E5">
        <w:tc>
          <w:tcPr>
            <w:tcW w:w="1347" w:type="dxa"/>
          </w:tcPr>
          <w:p w14:paraId="3924ED18" w14:textId="77777777" w:rsidR="00F942F1" w:rsidRPr="002010B4" w:rsidRDefault="00F942F1" w:rsidP="00B77D4A">
            <w:pPr>
              <w:rPr>
                <w:b/>
                <w:sz w:val="20"/>
                <w:szCs w:val="20"/>
              </w:rPr>
            </w:pPr>
            <w:r>
              <w:rPr>
                <w:b/>
                <w:sz w:val="20"/>
                <w:szCs w:val="20"/>
              </w:rPr>
              <w:t>Total</w:t>
            </w:r>
          </w:p>
        </w:tc>
        <w:tc>
          <w:tcPr>
            <w:tcW w:w="1458" w:type="dxa"/>
          </w:tcPr>
          <w:p w14:paraId="58A8949F" w14:textId="77777777" w:rsidR="00F942F1" w:rsidRPr="00B01AE0" w:rsidRDefault="00F942F1" w:rsidP="00B77D4A">
            <w:pPr>
              <w:rPr>
                <w:sz w:val="20"/>
                <w:szCs w:val="20"/>
              </w:rPr>
            </w:pPr>
            <w:r w:rsidRPr="006159D6">
              <w:rPr>
                <w:sz w:val="20"/>
              </w:rPr>
              <w:t>2,478,737</w:t>
            </w:r>
          </w:p>
        </w:tc>
        <w:tc>
          <w:tcPr>
            <w:tcW w:w="1150" w:type="dxa"/>
          </w:tcPr>
          <w:p w14:paraId="565A8EF9" w14:textId="77777777" w:rsidR="00F942F1" w:rsidRPr="00B01AE0" w:rsidRDefault="00F942F1" w:rsidP="00B77D4A">
            <w:pPr>
              <w:rPr>
                <w:sz w:val="20"/>
                <w:szCs w:val="20"/>
              </w:rPr>
            </w:pPr>
            <w:r>
              <w:rPr>
                <w:sz w:val="20"/>
                <w:szCs w:val="20"/>
              </w:rPr>
              <w:t>100</w:t>
            </w:r>
          </w:p>
        </w:tc>
        <w:tc>
          <w:tcPr>
            <w:tcW w:w="1459" w:type="dxa"/>
          </w:tcPr>
          <w:p w14:paraId="6B2BBFEB" w14:textId="77777777" w:rsidR="00F942F1" w:rsidRPr="00B01AE0" w:rsidRDefault="00F942F1" w:rsidP="00B77D4A">
            <w:pPr>
              <w:rPr>
                <w:sz w:val="20"/>
                <w:szCs w:val="20"/>
              </w:rPr>
            </w:pPr>
            <w:r w:rsidRPr="006159D6">
              <w:rPr>
                <w:sz w:val="20"/>
              </w:rPr>
              <w:t>2,455,879</w:t>
            </w:r>
          </w:p>
        </w:tc>
        <w:tc>
          <w:tcPr>
            <w:tcW w:w="1150" w:type="dxa"/>
          </w:tcPr>
          <w:p w14:paraId="086E95EE" w14:textId="77777777" w:rsidR="00F942F1" w:rsidRPr="00B01AE0" w:rsidRDefault="00F942F1" w:rsidP="00B77D4A">
            <w:pPr>
              <w:rPr>
                <w:sz w:val="20"/>
                <w:szCs w:val="20"/>
              </w:rPr>
            </w:pPr>
            <w:r>
              <w:rPr>
                <w:sz w:val="20"/>
                <w:szCs w:val="20"/>
              </w:rPr>
              <w:t>100</w:t>
            </w:r>
          </w:p>
        </w:tc>
        <w:tc>
          <w:tcPr>
            <w:tcW w:w="1459" w:type="dxa"/>
          </w:tcPr>
          <w:p w14:paraId="157A932C" w14:textId="77777777" w:rsidR="00F942F1" w:rsidRPr="00B01AE0" w:rsidRDefault="00F942F1" w:rsidP="00B77D4A">
            <w:pPr>
              <w:rPr>
                <w:sz w:val="20"/>
                <w:szCs w:val="20"/>
              </w:rPr>
            </w:pPr>
            <w:r w:rsidRPr="006159D6">
              <w:rPr>
                <w:sz w:val="20"/>
              </w:rPr>
              <w:t>2,415,797</w:t>
            </w:r>
          </w:p>
        </w:tc>
        <w:tc>
          <w:tcPr>
            <w:tcW w:w="1150" w:type="dxa"/>
          </w:tcPr>
          <w:p w14:paraId="1A6CABF2" w14:textId="77777777" w:rsidR="00F942F1" w:rsidRPr="00B01AE0" w:rsidRDefault="00F942F1" w:rsidP="00B77D4A">
            <w:pPr>
              <w:rPr>
                <w:sz w:val="20"/>
                <w:szCs w:val="20"/>
              </w:rPr>
            </w:pPr>
            <w:r>
              <w:rPr>
                <w:sz w:val="20"/>
                <w:szCs w:val="20"/>
              </w:rPr>
              <w:t>100</w:t>
            </w:r>
          </w:p>
        </w:tc>
      </w:tr>
    </w:tbl>
    <w:p w14:paraId="68D3E3ED" w14:textId="6FE83E0B" w:rsidR="00C42D09" w:rsidRDefault="00C42D09" w:rsidP="00C42D09">
      <w:pPr>
        <w:rPr>
          <w:sz w:val="20"/>
        </w:rPr>
      </w:pPr>
      <w:r>
        <w:rPr>
          <w:sz w:val="20"/>
        </w:rPr>
        <w:t xml:space="preserve">* Incomplete data: Under co-payment Medicare data is from April 2012.  Under co-payment estimate </w:t>
      </w:r>
      <w:r w:rsidR="00C01909">
        <w:rPr>
          <w:sz w:val="20"/>
        </w:rPr>
        <w:t xml:space="preserve">and private estimate </w:t>
      </w:r>
      <w:r w:rsidR="00E657B7">
        <w:rPr>
          <w:sz w:val="20"/>
        </w:rPr>
        <w:t>ceased at the end of</w:t>
      </w:r>
      <w:r>
        <w:rPr>
          <w:sz w:val="20"/>
        </w:rPr>
        <w:t xml:space="preserve"> August 2012.</w:t>
      </w:r>
    </w:p>
    <w:p w14:paraId="43D0980F" w14:textId="4B13D24C" w:rsidR="00B5298A" w:rsidRDefault="00F34F3B" w:rsidP="00F942F1">
      <w:r>
        <w:t>Concessional prescriptions compile</w:t>
      </w:r>
      <w:r w:rsidR="0010292E">
        <w:t>d</w:t>
      </w:r>
      <w:r>
        <w:t xml:space="preserve"> the bulk of prescriptions for ocular lubricants</w:t>
      </w:r>
      <w:r w:rsidR="00082761">
        <w:t>, w</w:t>
      </w:r>
      <w:r>
        <w:t>ith 2.</w:t>
      </w:r>
      <w:r w:rsidR="00E02160">
        <w:t xml:space="preserve">09 </w:t>
      </w:r>
      <w:r>
        <w:t xml:space="preserve">of 2.46 million </w:t>
      </w:r>
      <w:r w:rsidR="00B804FB">
        <w:t xml:space="preserve">(85%) </w:t>
      </w:r>
      <w:r>
        <w:t>prescriptions in 2012</w:t>
      </w:r>
      <w:r w:rsidR="007D2BE0">
        <w:t>, as illustrated in F</w:t>
      </w:r>
      <w:r w:rsidR="00924BE9">
        <w:t>igure 4</w:t>
      </w:r>
      <w:r w:rsidR="00E02160">
        <w:t xml:space="preserve">.  </w:t>
      </w:r>
      <w:r w:rsidR="00082761">
        <w:t>RPBS account for approximately one tenth of the market with 263,402 prescriptions (</w:t>
      </w:r>
      <w:r w:rsidR="00CF5EE3">
        <w:t xml:space="preserve">10.1%) in 2012, with </w:t>
      </w:r>
      <w:r w:rsidR="000E471F">
        <w:t>g</w:t>
      </w:r>
      <w:r w:rsidR="00E02160">
        <w:t xml:space="preserve">eneral prescriptions </w:t>
      </w:r>
      <w:r w:rsidR="00CF5EE3">
        <w:t>at about 1.5%.</w:t>
      </w:r>
    </w:p>
    <w:p w14:paraId="1B70CFB5" w14:textId="77513CF6" w:rsidR="00082761" w:rsidRDefault="00B056A4" w:rsidP="00F942F1">
      <w:r>
        <w:t>The under co-payment proportion in 2012 (2.5%) was slightly higher than in previous years, however the data for under co-payment prescriptions for 2012 was a composite of the DUSC database under co-payment estimate (to the end of August 2012) and actual under co-payment data collected by the Department of Human Services, Medicare from April 2012.  This indicates that the DUSC database under co-payment estimate may have been a small underestimate.</w:t>
      </w:r>
    </w:p>
    <w:p w14:paraId="10407CEF" w14:textId="0D80D60E" w:rsidR="00B056A4" w:rsidRDefault="00447D57" w:rsidP="00F942F1">
      <w:r>
        <w:t>The proportion</w:t>
      </w:r>
      <w:r w:rsidR="00B056A4">
        <w:t xml:space="preserve"> of utilisation of ocular lubricants by patient category has been fairly stable o</w:t>
      </w:r>
      <w:r>
        <w:t>ver the last ten years.  T</w:t>
      </w:r>
      <w:r w:rsidR="00B056A4">
        <w:t xml:space="preserve">he proportion of concessional patients in the last six years to 2012 </w:t>
      </w:r>
      <w:r>
        <w:t xml:space="preserve">has been </w:t>
      </w:r>
      <w:r w:rsidR="00B056A4">
        <w:t>almost identical.</w:t>
      </w:r>
      <w:r>
        <w:t xml:space="preserve">  </w:t>
      </w:r>
    </w:p>
    <w:p w14:paraId="4B0A5922" w14:textId="0C173521" w:rsidR="0098156A" w:rsidRDefault="00924BE9" w:rsidP="00F942F1">
      <w:r>
        <w:t>Figure 4</w:t>
      </w:r>
      <w:r w:rsidR="0098156A">
        <w:t xml:space="preserve"> shows the number of prescriptions per year by patient category, for 2003 to 2012.</w:t>
      </w:r>
    </w:p>
    <w:p w14:paraId="7D34BCC1" w14:textId="4E294C45" w:rsidR="001704AD" w:rsidRPr="00794CBE" w:rsidRDefault="001704AD" w:rsidP="00794CBE">
      <w:pPr>
        <w:spacing w:before="60" w:after="60"/>
        <w:rPr>
          <w:b/>
          <w:sz w:val="28"/>
          <w:highlight w:val="yellow"/>
        </w:rPr>
      </w:pPr>
      <w:r>
        <w:rPr>
          <w:noProof/>
        </w:rPr>
        <w:lastRenderedPageBreak/>
        <w:drawing>
          <wp:inline distT="0" distB="0" distL="0" distR="0" wp14:anchorId="6B3CF1A5" wp14:editId="15252823">
            <wp:extent cx="5705475" cy="3810000"/>
            <wp:effectExtent l="0" t="0" r="9525" b="19050"/>
            <wp:docPr id="4" name="Chart 4" descr="The figure shows the total number of presciptions by the patient categories of concessional, RPBS, general, under co-payment and private."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24BE9">
        <w:rPr>
          <w:b/>
        </w:rPr>
        <w:t>Figure 4</w:t>
      </w:r>
      <w:r w:rsidRPr="00794CBE">
        <w:rPr>
          <w:b/>
        </w:rPr>
        <w:t>: Number of prescriptions per year by patient category with con</w:t>
      </w:r>
      <w:r w:rsidR="005F1F4C" w:rsidRPr="00794CBE">
        <w:rPr>
          <w:b/>
        </w:rPr>
        <w:t>cessional and general breakdown, years 2003-2012.</w:t>
      </w:r>
    </w:p>
    <w:p w14:paraId="112741F4" w14:textId="632698F2" w:rsidR="00EA254D" w:rsidRDefault="00EA254D" w:rsidP="00EA254D">
      <w:pPr>
        <w:pStyle w:val="Heading4"/>
      </w:pPr>
      <w:r>
        <w:t>Utilisation of ocular lubricants by form – multi-dose and single dose unit</w:t>
      </w:r>
    </w:p>
    <w:p w14:paraId="3E780675" w14:textId="2BFA4A09" w:rsidR="00A62543" w:rsidRDefault="00F01A89" w:rsidP="00A62543">
      <w:r>
        <w:t xml:space="preserve">The DUSC had noted that a </w:t>
      </w:r>
      <w:r w:rsidR="00470690">
        <w:t xml:space="preserve">considerable </w:t>
      </w:r>
      <w:r>
        <w:t>number of single dose unit ocular lubri</w:t>
      </w:r>
      <w:r w:rsidR="00EC0212">
        <w:t>cant products</w:t>
      </w:r>
      <w:r>
        <w:t xml:space="preserve"> had been listed on the PBS in recent years.  To investiga</w:t>
      </w:r>
      <w:r w:rsidR="00EC0212">
        <w:t>te the utilisation</w:t>
      </w:r>
      <w:r>
        <w:t xml:space="preserve"> of multi-dose ocular lubricants in comparison to single dose unit products, prescr</w:t>
      </w:r>
      <w:r w:rsidR="00EC0212">
        <w:t>iption data was</w:t>
      </w:r>
      <w:r>
        <w:t xml:space="preserve"> grouped by single dose </w:t>
      </w:r>
      <w:r w:rsidR="00045735">
        <w:t xml:space="preserve">unit </w:t>
      </w:r>
      <w:r>
        <w:t>and multi-dose form</w:t>
      </w:r>
      <w:r w:rsidR="00045735">
        <w:t>s</w:t>
      </w:r>
      <w:r>
        <w:t>.</w:t>
      </w:r>
      <w:r w:rsidR="0023584B">
        <w:t xml:space="preserve">  Figure 5</w:t>
      </w:r>
      <w:r w:rsidR="002374C1">
        <w:t xml:space="preserve"> shows multi-dose and single dose unit products as </w:t>
      </w:r>
      <w:r w:rsidR="00F97B63">
        <w:t xml:space="preserve">a </w:t>
      </w:r>
      <w:r w:rsidR="002374C1">
        <w:t>percentage of</w:t>
      </w:r>
      <w:r w:rsidR="00F97B63">
        <w:t xml:space="preserve"> total</w:t>
      </w:r>
      <w:r w:rsidR="002374C1">
        <w:t xml:space="preserve"> prescriptions.  Data is shown for the last twenty years, as there has been a gradual upward trend in the use of single dose unit products over this time.  </w:t>
      </w:r>
      <w:r w:rsidR="00FF660E">
        <w:t>Multi</w:t>
      </w:r>
      <w:r w:rsidR="00F97B63">
        <w:t xml:space="preserve">-dose products still account for the majority of PBS </w:t>
      </w:r>
      <w:r w:rsidR="00A610A4">
        <w:t xml:space="preserve">prescriptions for </w:t>
      </w:r>
      <w:r w:rsidR="00F97B63">
        <w:t>ocular lubricants supplied.</w:t>
      </w:r>
    </w:p>
    <w:p w14:paraId="04E1DB8C" w14:textId="650E7459" w:rsidR="00FF660E" w:rsidRDefault="00FF660E" w:rsidP="00A62543">
      <w:r>
        <w:t xml:space="preserve">In 2013 (until end September), 85% of prescriptions were for multi-dose products, which is a very small decrease compared to 2012 (the most recent full calendar year data) at 86%.  This compares to </w:t>
      </w:r>
      <w:r w:rsidR="00356477">
        <w:t>93.3% ten years ago in 2003, and 98.7% in 1994.</w:t>
      </w:r>
    </w:p>
    <w:p w14:paraId="544EB2F3" w14:textId="2B2D9780" w:rsidR="009A3DC2" w:rsidRPr="00ED0909" w:rsidRDefault="009A3DC2" w:rsidP="00ED0909">
      <w:pPr>
        <w:spacing w:before="60" w:after="60"/>
        <w:rPr>
          <w:b/>
          <w:szCs w:val="20"/>
        </w:rPr>
      </w:pPr>
      <w:r>
        <w:rPr>
          <w:noProof/>
        </w:rPr>
        <w:lastRenderedPageBreak/>
        <w:drawing>
          <wp:inline distT="0" distB="0" distL="0" distR="0" wp14:anchorId="5C04CA73" wp14:editId="31BDC71F">
            <wp:extent cx="5687695" cy="3703686"/>
            <wp:effectExtent l="0" t="0" r="27305" b="11430"/>
            <wp:docPr id="5" name="Chart 5" descr="The figure shows the percentages of multi-dose and single dose unit products for each year from 1994 through to 2013"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3584B">
        <w:rPr>
          <w:b/>
        </w:rPr>
        <w:t>Figure 5</w:t>
      </w:r>
      <w:r w:rsidRPr="00ED0909">
        <w:rPr>
          <w:b/>
        </w:rPr>
        <w:t>: Multi-dose and single dose unit products grouped as a pe</w:t>
      </w:r>
      <w:r w:rsidR="00946C16">
        <w:rPr>
          <w:b/>
        </w:rPr>
        <w:t xml:space="preserve">rcentage of total prescriptions, 1994-2013 (end </w:t>
      </w:r>
      <w:r w:rsidR="00946C16">
        <w:rPr>
          <w:b/>
          <w:szCs w:val="20"/>
        </w:rPr>
        <w:t>September)</w:t>
      </w:r>
    </w:p>
    <w:p w14:paraId="05DD942E" w14:textId="75974077" w:rsidR="00A610A4" w:rsidRDefault="00A610A4" w:rsidP="00A610A4">
      <w:pPr>
        <w:pStyle w:val="Heading4"/>
      </w:pPr>
      <w:r>
        <w:t xml:space="preserve">Prescribers of ocular lubricants </w:t>
      </w:r>
    </w:p>
    <w:p w14:paraId="2CA2A036" w14:textId="46824B68" w:rsidR="002B6347" w:rsidRDefault="00331261" w:rsidP="009A3DC2">
      <w:pPr>
        <w:spacing w:after="0"/>
      </w:pPr>
      <w:r>
        <w:t xml:space="preserve">The </w:t>
      </w:r>
      <w:r w:rsidR="00F66321">
        <w:t xml:space="preserve">last three years (end September 2011 to end September 2013) of </w:t>
      </w:r>
      <w:r>
        <w:t>prescription data for ocular lubricants was investigated by major specialty prescriber code</w:t>
      </w:r>
      <w:r w:rsidR="009D6008">
        <w:t xml:space="preserve">, including </w:t>
      </w:r>
      <w:r>
        <w:t>o</w:t>
      </w:r>
      <w:r w:rsidR="00A61A86">
        <w:t>ptometrists.</w:t>
      </w:r>
      <w:r w:rsidR="00EB4542">
        <w:t xml:space="preserve">  Figure 6</w:t>
      </w:r>
      <w:r w:rsidR="002B6347">
        <w:t xml:space="preserve"> shows the sum of prescriptions supplied for ocular lubricants by prescriber type.  </w:t>
      </w:r>
      <w:r w:rsidR="009D6008">
        <w:t xml:space="preserve">Figure </w:t>
      </w:r>
      <w:r w:rsidR="00EB4542">
        <w:t>6</w:t>
      </w:r>
      <w:r w:rsidR="009D6008">
        <w:t xml:space="preserve"> was truncated to the top ten prescriber types as three prescriber groups constituted the bulk of prescribing of ocular lubricants.  The</w:t>
      </w:r>
      <w:r w:rsidR="002B6347">
        <w:t xml:space="preserve"> majority of prescriptions supplied were prescribed by general practitioners </w:t>
      </w:r>
      <w:r w:rsidR="002008D7">
        <w:t>(</w:t>
      </w:r>
      <w:r w:rsidR="002B6347">
        <w:t>specialty codes vocationally registered GP, and fellow of the College of GPs</w:t>
      </w:r>
      <w:r w:rsidR="002008D7">
        <w:t>)</w:t>
      </w:r>
      <w:r w:rsidR="00B67BCA">
        <w:t>.  Ophthalmologists</w:t>
      </w:r>
      <w:r w:rsidR="002B6347">
        <w:t xml:space="preserve"> were th</w:t>
      </w:r>
      <w:r w:rsidR="00F944AB">
        <w:t xml:space="preserve">e next most common prescribers.  </w:t>
      </w:r>
      <w:r w:rsidR="008D64A7">
        <w:t xml:space="preserve">In </w:t>
      </w:r>
      <w:r w:rsidR="00972CFE">
        <w:t>2013</w:t>
      </w:r>
      <w:r w:rsidR="008D64A7">
        <w:t xml:space="preserve"> (to end September)</w:t>
      </w:r>
      <w:r w:rsidR="00972CFE">
        <w:t>, 72% of prescr</w:t>
      </w:r>
      <w:r w:rsidR="00D97753">
        <w:t>iptions supplied were prescribed</w:t>
      </w:r>
      <w:r w:rsidR="00972CFE">
        <w:t xml:space="preserve"> by GPs </w:t>
      </w:r>
      <w:r w:rsidR="00D97753">
        <w:t xml:space="preserve">(under the two specialty codes noted above) </w:t>
      </w:r>
      <w:r w:rsidR="00972CFE">
        <w:t>and 1</w:t>
      </w:r>
      <w:r w:rsidR="008D64A7">
        <w:t>9</w:t>
      </w:r>
      <w:r w:rsidR="00972CFE">
        <w:t xml:space="preserve">% by </w:t>
      </w:r>
      <w:r w:rsidR="00B67BCA">
        <w:t>ophthalmologists</w:t>
      </w:r>
      <w:r w:rsidR="00972CFE">
        <w:t>.</w:t>
      </w:r>
      <w:r w:rsidR="00051B62">
        <w:t xml:space="preserve">  Optometrists accounted for </w:t>
      </w:r>
      <w:r w:rsidR="00757285">
        <w:t xml:space="preserve">approximately </w:t>
      </w:r>
      <w:r w:rsidR="001B4D24">
        <w:t>1% of prescriptions supplied.</w:t>
      </w:r>
    </w:p>
    <w:p w14:paraId="76D29D7B" w14:textId="77777777" w:rsidR="00D97753" w:rsidRDefault="00D97753" w:rsidP="009A3DC2">
      <w:pPr>
        <w:spacing w:after="0"/>
      </w:pPr>
    </w:p>
    <w:p w14:paraId="58EED50C" w14:textId="4D78861C" w:rsidR="00DD78B4" w:rsidRDefault="00DD78B4" w:rsidP="009A3DC2">
      <w:pPr>
        <w:spacing w:after="0"/>
      </w:pPr>
      <w:r>
        <w:t>A breakdown of prescribing into multi-dose and single dose unit products</w:t>
      </w:r>
      <w:r w:rsidR="00D85386">
        <w:t xml:space="preserve"> for the top three prescriber</w:t>
      </w:r>
      <w:r w:rsidR="002008D7">
        <w:t xml:space="preserve"> groups</w:t>
      </w:r>
      <w:r w:rsidR="00EB4542">
        <w:t xml:space="preserve"> is presented in Figure 7</w:t>
      </w:r>
      <w:r w:rsidR="00D85386">
        <w:t>.</w:t>
      </w:r>
      <w:r w:rsidR="00E46B13">
        <w:t xml:space="preserve">  </w:t>
      </w:r>
      <w:r w:rsidR="00D94635">
        <w:t>13% of prescriptions</w:t>
      </w:r>
      <w:r w:rsidR="002008D7">
        <w:t xml:space="preserve"> written by vocationally registered GPs and Fellows of the College of GPs</w:t>
      </w:r>
      <w:r w:rsidR="00D94635">
        <w:t xml:space="preserve"> for ocular lubricants were for single dose unit products.  For ophthalmologists, 23% </w:t>
      </w:r>
      <w:r w:rsidR="002008D7">
        <w:t xml:space="preserve">of prescriptions were written </w:t>
      </w:r>
      <w:r w:rsidR="00D94635">
        <w:t>for single dose unit preparations, which may be explained by the specialised nature of their practice.</w:t>
      </w:r>
      <w:r w:rsidR="003C2EFA">
        <w:t xml:space="preserve">  The proportion of prescribing of single dose unit ocular lubricants by optometrists was the same as GPs at 13%.</w:t>
      </w:r>
    </w:p>
    <w:p w14:paraId="1EE5A40C" w14:textId="77777777" w:rsidR="003C2EFA" w:rsidRDefault="003C2EFA" w:rsidP="009A3DC2">
      <w:pPr>
        <w:spacing w:after="0"/>
      </w:pPr>
    </w:p>
    <w:p w14:paraId="08F0703F" w14:textId="44F23CFF" w:rsidR="00D97753" w:rsidRPr="009A3DC2" w:rsidRDefault="009D6008" w:rsidP="009A3DC2">
      <w:pPr>
        <w:spacing w:after="0"/>
      </w:pPr>
      <w:r>
        <w:rPr>
          <w:noProof/>
        </w:rPr>
        <w:lastRenderedPageBreak/>
        <w:drawing>
          <wp:inline distT="0" distB="0" distL="0" distR="0" wp14:anchorId="1C1AC8FF" wp14:editId="65B1991C">
            <wp:extent cx="5687695" cy="3703686"/>
            <wp:effectExtent l="0" t="0" r="27305" b="11430"/>
            <wp:docPr id="7" name="Chart 7" descr="The figure illustrates the total number of prescriptions for ocular lubricants by the top ten prescribers by major specialty code."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6993B5" w14:textId="532E9B7A" w:rsidR="002F1DAC" w:rsidRPr="00B916B5" w:rsidRDefault="00400172" w:rsidP="00B916B5">
      <w:pPr>
        <w:rPr>
          <w:b/>
        </w:rPr>
      </w:pPr>
      <w:r w:rsidRPr="00B916B5">
        <w:rPr>
          <w:b/>
        </w:rPr>
        <w:t>Figure 6</w:t>
      </w:r>
      <w:r w:rsidR="002F1DAC" w:rsidRPr="00B916B5">
        <w:rPr>
          <w:b/>
        </w:rPr>
        <w:t>: Sum of pre</w:t>
      </w:r>
      <w:r w:rsidR="00D22288" w:rsidRPr="00B916B5">
        <w:rPr>
          <w:b/>
        </w:rPr>
        <w:t xml:space="preserve">scriptions by top 10 prescribers by </w:t>
      </w:r>
      <w:r w:rsidR="002F1DAC" w:rsidRPr="00B916B5">
        <w:rPr>
          <w:b/>
        </w:rPr>
        <w:t>major specialty codes.</w:t>
      </w:r>
    </w:p>
    <w:p w14:paraId="0E85A6D6" w14:textId="77777777" w:rsidR="0059483A" w:rsidRDefault="00F543EE" w:rsidP="00D05863">
      <w:pPr>
        <w:pStyle w:val="Heading3"/>
        <w:spacing w:before="60" w:after="60"/>
        <w:rPr>
          <w:sz w:val="24"/>
          <w:szCs w:val="24"/>
        </w:rPr>
      </w:pPr>
      <w:r>
        <w:rPr>
          <w:noProof/>
        </w:rPr>
        <w:drawing>
          <wp:inline distT="0" distB="0" distL="0" distR="0" wp14:anchorId="2E1A8B23" wp14:editId="1B7DF671">
            <wp:extent cx="5686425" cy="3752850"/>
            <wp:effectExtent l="0" t="0" r="9525" b="19050"/>
            <wp:docPr id="10" name="Chart 10" descr="The figure shows the sum of prescriptions by multi-dose and single dose forms for the top three prescribers of vocationally registered general practitioners, fellows od the college of general practice and ophthalmologists." title="Fig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3AC860" w14:textId="385E1637" w:rsidR="00F543EE" w:rsidRPr="0059483A" w:rsidRDefault="00400172" w:rsidP="0059483A">
      <w:pPr>
        <w:rPr>
          <w:b/>
        </w:rPr>
      </w:pPr>
      <w:r w:rsidRPr="0059483A">
        <w:rPr>
          <w:b/>
        </w:rPr>
        <w:t>Figure 7</w:t>
      </w:r>
      <w:r w:rsidR="00D85386" w:rsidRPr="0059483A">
        <w:rPr>
          <w:b/>
        </w:rPr>
        <w:t>: Sum of prescriptions for the top three prescribers groups by ma</w:t>
      </w:r>
      <w:r w:rsidR="001F42C8" w:rsidRPr="0059483A">
        <w:rPr>
          <w:b/>
        </w:rPr>
        <w:t>jor specialty code by form (mul</w:t>
      </w:r>
      <w:r w:rsidR="00D85386" w:rsidRPr="0059483A">
        <w:rPr>
          <w:b/>
        </w:rPr>
        <w:t>t</w:t>
      </w:r>
      <w:r w:rsidR="001F42C8" w:rsidRPr="0059483A">
        <w:rPr>
          <w:b/>
        </w:rPr>
        <w:t>i</w:t>
      </w:r>
      <w:r w:rsidR="00D85386" w:rsidRPr="0059483A">
        <w:rPr>
          <w:b/>
        </w:rPr>
        <w:t>-dose and single dose unit products)</w:t>
      </w:r>
    </w:p>
    <w:p w14:paraId="760AECA9" w14:textId="77777777" w:rsidR="001D3492" w:rsidRDefault="001D3492">
      <w:pPr>
        <w:spacing w:line="276" w:lineRule="auto"/>
        <w:rPr>
          <w:b/>
          <w:i/>
        </w:rPr>
      </w:pPr>
      <w:r>
        <w:rPr>
          <w:b/>
          <w:i/>
        </w:rPr>
        <w:br w:type="page"/>
      </w:r>
    </w:p>
    <w:p w14:paraId="41BB39A5" w14:textId="09E374F7" w:rsidR="00242DAE" w:rsidRPr="00242DAE" w:rsidRDefault="00242DAE" w:rsidP="00242DAE">
      <w:pPr>
        <w:spacing w:before="240"/>
        <w:rPr>
          <w:b/>
          <w:i/>
        </w:rPr>
      </w:pPr>
      <w:r>
        <w:rPr>
          <w:b/>
          <w:i/>
        </w:rPr>
        <w:lastRenderedPageBreak/>
        <w:t>Expenditure</w:t>
      </w:r>
    </w:p>
    <w:p w14:paraId="7929941D" w14:textId="469F5704" w:rsidR="003C4C2F" w:rsidRDefault="003C4C2F" w:rsidP="003C4C2F">
      <w:r>
        <w:t xml:space="preserve">The total expenditure for the ATC group of S01XA, Sensory Organs, Other Ophthalmologicals, which covers all the ocular lubricants, was $26.2 million in 2012.  The expenditure across the whole group of ocular lubricants has been fairly stable over the last ten years with $21.2 million in 2003, gradually increasing per year from a low of $19.7 million in 2006. </w:t>
      </w:r>
    </w:p>
    <w:p w14:paraId="4B240A14" w14:textId="78EE00B9" w:rsidR="003C4C2F" w:rsidRDefault="003C4C2F" w:rsidP="003C4C2F">
      <w:r>
        <w:t xml:space="preserve">Figure </w:t>
      </w:r>
      <w:r w:rsidR="00524D5B">
        <w:t>8</w:t>
      </w:r>
      <w:r>
        <w:t xml:space="preserve"> shows the total PBS benefits per calendar year on ocular lubricants for the ten years of 2003 to 2012.</w:t>
      </w:r>
    </w:p>
    <w:p w14:paraId="40A39089" w14:textId="77777777" w:rsidR="003C4C2F" w:rsidRPr="00237D19" w:rsidRDefault="003C4C2F" w:rsidP="003C4C2F">
      <w:r>
        <w:rPr>
          <w:noProof/>
        </w:rPr>
        <w:drawing>
          <wp:inline distT="0" distB="0" distL="0" distR="0" wp14:anchorId="4A05AA0F" wp14:editId="382EA7C7">
            <wp:extent cx="5687695" cy="3703686"/>
            <wp:effectExtent l="0" t="0" r="27305" b="11430"/>
            <wp:docPr id="1" name="Chart 1" descr="total PBS benefits for ocular lubricants by calendar year, 2003 to 2012. "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ECA77E" w14:textId="2A7E6273" w:rsidR="003C4C2F" w:rsidRPr="00835567" w:rsidRDefault="003C4C2F" w:rsidP="003C4C2F">
      <w:pPr>
        <w:spacing w:before="60" w:after="60"/>
        <w:rPr>
          <w:b/>
          <w:sz w:val="28"/>
        </w:rPr>
      </w:pPr>
      <w:r w:rsidRPr="00835567">
        <w:rPr>
          <w:b/>
          <w:szCs w:val="20"/>
        </w:rPr>
        <w:t xml:space="preserve">Figure </w:t>
      </w:r>
      <w:r w:rsidR="00524D5B">
        <w:rPr>
          <w:b/>
          <w:szCs w:val="20"/>
        </w:rPr>
        <w:t>8</w:t>
      </w:r>
      <w:r w:rsidRPr="00835567">
        <w:rPr>
          <w:b/>
          <w:szCs w:val="20"/>
        </w:rPr>
        <w:t xml:space="preserve">: Total </w:t>
      </w:r>
      <w:r>
        <w:rPr>
          <w:b/>
          <w:szCs w:val="20"/>
        </w:rPr>
        <w:t>PBS benefits</w:t>
      </w:r>
      <w:r w:rsidRPr="00835567">
        <w:rPr>
          <w:b/>
          <w:szCs w:val="20"/>
        </w:rPr>
        <w:t xml:space="preserve"> per calendar year, 2003-2012</w:t>
      </w:r>
    </w:p>
    <w:p w14:paraId="760EFEB9" w14:textId="77777777" w:rsidR="00AD3826" w:rsidRDefault="00AD3826" w:rsidP="003C4C2F"/>
    <w:p w14:paraId="48811E23" w14:textId="77777777" w:rsidR="00AD3826" w:rsidRDefault="00AD3826">
      <w:pPr>
        <w:spacing w:line="276" w:lineRule="auto"/>
      </w:pPr>
      <w:r>
        <w:br w:type="page"/>
      </w:r>
    </w:p>
    <w:p w14:paraId="5AE270CD" w14:textId="384EF7B1" w:rsidR="003C4C2F" w:rsidRDefault="003C4C2F" w:rsidP="003C4C2F">
      <w:r>
        <w:lastRenderedPageBreak/>
        <w:t xml:space="preserve">Figure </w:t>
      </w:r>
      <w:r w:rsidR="005274D5">
        <w:t>9</w:t>
      </w:r>
      <w:r>
        <w:t xml:space="preserve"> shows the expenditure per calendar year per drug for the ten years 2003-2012.</w:t>
      </w:r>
    </w:p>
    <w:p w14:paraId="3C0E551F" w14:textId="77777777" w:rsidR="003C4C2F" w:rsidRDefault="003C4C2F" w:rsidP="003C4C2F">
      <w:r>
        <w:rPr>
          <w:noProof/>
        </w:rPr>
        <w:drawing>
          <wp:inline distT="0" distB="0" distL="0" distR="0" wp14:anchorId="4DE5B295" wp14:editId="4AB4524A">
            <wp:extent cx="5686425" cy="3762375"/>
            <wp:effectExtent l="0" t="0" r="9525" b="9525"/>
            <wp:docPr id="3" name="Chart 3" descr="Expenditure by drug per calendar year, 2003-2012." title="Figur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E44847" w14:textId="73F3D7B4" w:rsidR="003C4C2F" w:rsidRPr="00145CC9" w:rsidRDefault="003C4C2F" w:rsidP="003C4C2F">
      <w:pPr>
        <w:spacing w:before="60" w:after="60"/>
        <w:rPr>
          <w:b/>
          <w:sz w:val="28"/>
        </w:rPr>
      </w:pPr>
      <w:r w:rsidRPr="00145CC9">
        <w:rPr>
          <w:b/>
          <w:szCs w:val="20"/>
        </w:rPr>
        <w:t xml:space="preserve">Figure </w:t>
      </w:r>
      <w:r w:rsidR="005274D5">
        <w:rPr>
          <w:b/>
          <w:szCs w:val="20"/>
        </w:rPr>
        <w:t>9</w:t>
      </w:r>
      <w:r w:rsidRPr="00145CC9">
        <w:rPr>
          <w:b/>
          <w:szCs w:val="20"/>
        </w:rPr>
        <w:t>: Expenditure by drug per calendar year, 2003-2012</w:t>
      </w:r>
    </w:p>
    <w:p w14:paraId="60C4CE42" w14:textId="2CB5803F" w:rsidR="003C4C2F" w:rsidRPr="003C4C2F" w:rsidRDefault="003C4C2F" w:rsidP="003C4C2F">
      <w:r>
        <w:t>Hypromellose products, which are available on the PBS as multi-dose products only, were the market leaders at the beginning of the time period in 2003, with $7.6 million in expenditure for the 2003 calendar year.  From 2004, the expenditure for hypromellose products decreased steadily to $3.3 million in 2012.  Hypromellose use was largely replaced over the last ten years by carmellose sodium multi-dose and single dose unit preparations, with $4.3 million expenditure in 2003 increasing to $8.5 million in 2012.  Expenditure on polyethylene glycol 400 with propylene glycol multi-dose and single unit preparations has risen steadily over the last ten years from $41,000 in 2003 to $4.3 million in 2012.  Paraffin eye ointments, which accounted for $2.5 million expenditure in 2003, had steady utilisation over the ten years with $2.9 million in expenditure in 2012.</w:t>
      </w:r>
    </w:p>
    <w:p w14:paraId="3555DFBA" w14:textId="60E8E761" w:rsidR="00591512" w:rsidRDefault="00AB3733" w:rsidP="00A35800">
      <w:pPr>
        <w:pStyle w:val="Heading2"/>
      </w:pPr>
      <w:r>
        <w:t>D</w:t>
      </w:r>
      <w:r w:rsidR="007346C7" w:rsidRPr="005E22C2">
        <w:t>iscussion</w:t>
      </w:r>
    </w:p>
    <w:p w14:paraId="23C81C48" w14:textId="7139282C" w:rsidR="00357AEF" w:rsidRDefault="00357AEF" w:rsidP="00357AEF">
      <w:r>
        <w:t>The total number of prescriptions for oc</w:t>
      </w:r>
      <w:r w:rsidR="004F48E1">
        <w:t xml:space="preserve">ular lubricants has </w:t>
      </w:r>
      <w:r>
        <w:t xml:space="preserve">been </w:t>
      </w:r>
      <w:r w:rsidR="004F48E1">
        <w:t xml:space="preserve">fairly </w:t>
      </w:r>
      <w:r>
        <w:t>steady over the last ten years, increasing gradually from 2003 to a peak in 2009, and then slowly decreasing to 2.46 million in 2012.</w:t>
      </w:r>
      <w:r w:rsidR="00FB53C6">
        <w:t xml:space="preserve">  </w:t>
      </w:r>
      <w:r>
        <w:t>Expenditure across the whole group of ocular lubricants has been fairly stable over the last ten years, gradually rising from a low of $19.7 million in 2006.  Expenditure in 2012 was $26.2 million.</w:t>
      </w:r>
    </w:p>
    <w:p w14:paraId="60104356" w14:textId="5D02C6EE" w:rsidR="00CD5285" w:rsidRDefault="00CD5285" w:rsidP="00357AEF">
      <w:r>
        <w:t xml:space="preserve">Multi-dose products account for the majority of PBS prescriptions for ocular lubricants supplied.  In 2013 (until end September), 85% of prescriptions were for multi-dose products.  </w:t>
      </w:r>
      <w:r w:rsidR="00566EF7">
        <w:t xml:space="preserve">In recent years a </w:t>
      </w:r>
      <w:r w:rsidR="00E37C36">
        <w:t>considerable</w:t>
      </w:r>
      <w:r w:rsidR="00566EF7">
        <w:t xml:space="preserve"> number of single dose unit products </w:t>
      </w:r>
      <w:r w:rsidR="00EA4C88">
        <w:t xml:space="preserve">have been </w:t>
      </w:r>
      <w:r w:rsidR="00EA4C88">
        <w:lastRenderedPageBreak/>
        <w:t>listed on the PBS</w:t>
      </w:r>
      <w:r w:rsidR="00414A54">
        <w:t xml:space="preserve"> and this</w:t>
      </w:r>
      <w:r w:rsidR="00EA4C88">
        <w:t xml:space="preserve"> data illustrates that p</w:t>
      </w:r>
      <w:r>
        <w:t xml:space="preserve">rescribing of single dose unit products is gradually increasing.  Single dose unit products </w:t>
      </w:r>
      <w:r w:rsidR="00B04FCF">
        <w:t>comprised</w:t>
      </w:r>
      <w:r>
        <w:t xml:space="preserve"> 1.3% of prescriptions supplied in 1994, 6.7% in 2003, 14% in 2012 and 15% in 2013 (to end September).  The gradual increase in prescribing of the more expensive single dose unit products is</w:t>
      </w:r>
      <w:r w:rsidRPr="003750DD">
        <w:t xml:space="preserve"> likely to explain the small gradual increase in expenditure </w:t>
      </w:r>
      <w:r w:rsidR="00730752">
        <w:t xml:space="preserve">on ocular lubricants </w:t>
      </w:r>
      <w:r w:rsidR="002A50C6">
        <w:t>despite</w:t>
      </w:r>
      <w:r w:rsidRPr="003750DD">
        <w:t xml:space="preserve"> stable prescription numbers.</w:t>
      </w:r>
    </w:p>
    <w:p w14:paraId="5E82A29A" w14:textId="77777777" w:rsidR="006F0BB8" w:rsidRPr="006F0BB8" w:rsidRDefault="00357AEF" w:rsidP="00710758">
      <w:pPr>
        <w:rPr>
          <w:bCs/>
        </w:rPr>
      </w:pPr>
      <w:r>
        <w:t xml:space="preserve">Almost all prescriptions for ocular lubricants are </w:t>
      </w:r>
      <w:r w:rsidR="00922219">
        <w:t xml:space="preserve">priced </w:t>
      </w:r>
      <w:r>
        <w:t>ov</w:t>
      </w:r>
      <w:r w:rsidR="00CC0E65">
        <w:t>er the patient co-payment (97%), with c</w:t>
      </w:r>
      <w:r>
        <w:t>o</w:t>
      </w:r>
      <w:r w:rsidR="00CC0E65">
        <w:t>ncessional prescriptions compiling</w:t>
      </w:r>
      <w:r>
        <w:t xml:space="preserve"> the b</w:t>
      </w:r>
      <w:r w:rsidR="00A324F0">
        <w:t>ulk of prescriptions</w:t>
      </w:r>
      <w:r>
        <w:t>, wit</w:t>
      </w:r>
      <w:r w:rsidR="00A324F0">
        <w:t>h 85% of prescriptions in 2012.</w:t>
      </w:r>
      <w:r w:rsidR="00D959DD">
        <w:t xml:space="preserve"> It is noted that a number of products are available at low cost over-the-counter, which may be more attractive, particularly for general patients, who may not consider regular monitorin</w:t>
      </w:r>
      <w:r w:rsidR="006F0BB8">
        <w:t>g of their condition necessary</w:t>
      </w:r>
      <w:r w:rsidR="006F0BB8" w:rsidRPr="006F0BB8">
        <w:t xml:space="preserve">.  </w:t>
      </w:r>
      <w:r w:rsidR="006F0BB8" w:rsidRPr="006F0BB8">
        <w:rPr>
          <w:bCs/>
        </w:rPr>
        <w:t xml:space="preserve">The DUSC noted that the cost of a number of ocular lubricant products listed on the PBS is higher than the price these products are sold for from pharmacies (without a prescription). </w:t>
      </w:r>
    </w:p>
    <w:p w14:paraId="15B02424" w14:textId="54A4C7C9" w:rsidR="00357AEF" w:rsidRPr="00357AEF" w:rsidRDefault="00357AEF" w:rsidP="00710758">
      <w:r>
        <w:t>The most common prescribers of ocular lubricants are GPs, followed by ophthalmologists.  In 2013 (to end September), approximately 72% of prescriptions supplied were prescribed by GPs and 19% by ophthalmologi</w:t>
      </w:r>
      <w:r w:rsidR="009107D9">
        <w:t>sts.  Optometrists</w:t>
      </w:r>
      <w:r>
        <w:t xml:space="preserve"> accounted for </w:t>
      </w:r>
      <w:r w:rsidR="009107D9">
        <w:t xml:space="preserve">approximately </w:t>
      </w:r>
      <w:r>
        <w:t>1% of prescriptions supplied.</w:t>
      </w:r>
    </w:p>
    <w:p w14:paraId="3A74B465" w14:textId="4996ABFB" w:rsidR="007346C7" w:rsidRDefault="0086135F" w:rsidP="00A35800">
      <w:pPr>
        <w:pStyle w:val="Heading2"/>
      </w:pPr>
      <w:r>
        <w:t xml:space="preserve">DUSC </w:t>
      </w:r>
      <w:r w:rsidR="00BC35ED">
        <w:t>a</w:t>
      </w:r>
      <w:r w:rsidR="00D151EB">
        <w:t>ctions</w:t>
      </w:r>
    </w:p>
    <w:p w14:paraId="7BCF1C77" w14:textId="77777777" w:rsidR="006F0BB8" w:rsidRPr="009B7E1E" w:rsidRDefault="006F0BB8" w:rsidP="00710758">
      <w:r w:rsidRPr="009B7E1E">
        <w:t>The DUSC noted that expenditure across the ocular lubricants has been gradually increasing whilst prescription numbers are fairly stable.  The DUSC noted that there are currently a large number of ocular lubricant products listed on the PBS with a variety of prices.  The DUSC noted that currently prices vary both between ocular lubricants that contain a preservative and the ocular lubricants that are preservative free.  The DUSC also noted that a substantial price differential exists between preservative containing products and preservative free products.  The DUSC referred these matters to the PBAC to consider if the current pricing is appropriate.</w:t>
      </w:r>
    </w:p>
    <w:p w14:paraId="428F2656" w14:textId="77777777" w:rsidR="009B7E1E" w:rsidRPr="009B7E1E" w:rsidRDefault="009B7E1E" w:rsidP="009B7E1E">
      <w:pPr>
        <w:spacing w:before="360" w:after="240"/>
        <w:rPr>
          <w:b/>
          <w:sz w:val="32"/>
        </w:rPr>
      </w:pPr>
      <w:r w:rsidRPr="009B7E1E">
        <w:rPr>
          <w:b/>
          <w:sz w:val="32"/>
        </w:rPr>
        <w:t>Context for analysis</w:t>
      </w:r>
    </w:p>
    <w:p w14:paraId="08BE9935" w14:textId="77777777" w:rsidR="009B7E1E" w:rsidRDefault="009B7E1E" w:rsidP="009B7E1E">
      <w:r>
        <w:t>The DUSC is a Sub Committee of the Pharmaceutical Benefits Advisory Committee (PBAC). The DUSC assesses estimates on projected usage and financial cost of medicines.</w:t>
      </w:r>
    </w:p>
    <w:p w14:paraId="13084DF7" w14:textId="77777777" w:rsidR="009B7E1E" w:rsidRDefault="009B7E1E" w:rsidP="009B7E1E">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9D228DA" w14:textId="0E659C1B" w:rsidR="009B7E1E" w:rsidRDefault="009B7E1E" w:rsidP="009B7E1E">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r w:rsidR="00361E24">
        <w:br/>
      </w:r>
    </w:p>
    <w:p w14:paraId="68D0E1A8" w14:textId="77777777" w:rsidR="00611A80" w:rsidRDefault="00611A80" w:rsidP="00611A80">
      <w:pPr>
        <w:spacing w:after="0"/>
        <w:rPr>
          <w:rFonts w:eastAsiaTheme="majorEastAsia" w:cstheme="majorBidi"/>
          <w:bCs/>
        </w:rPr>
      </w:pPr>
      <w:r>
        <w:rPr>
          <w:rFonts w:eastAsiaTheme="majorEastAsia" w:cstheme="majorBidi"/>
          <w:bCs/>
        </w:rPr>
        <w:lastRenderedPageBreak/>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14D17660" w14:textId="77777777" w:rsidR="00361E24" w:rsidRDefault="00361E24" w:rsidP="00361E24">
      <w:pPr>
        <w:pStyle w:val="Heading2"/>
      </w:pPr>
      <w:r>
        <w:t>Sponsor</w:t>
      </w:r>
      <w:r w:rsidRPr="0092516A">
        <w:t>s</w:t>
      </w:r>
      <w:r>
        <w:t>’</w:t>
      </w:r>
      <w:r w:rsidRPr="0092516A">
        <w:t xml:space="preserve"> comments</w:t>
      </w:r>
    </w:p>
    <w:p w14:paraId="3AC2A122" w14:textId="77777777" w:rsidR="00370939" w:rsidRDefault="00370939" w:rsidP="00370939">
      <w:pPr>
        <w:spacing w:after="0"/>
      </w:pPr>
      <w:r>
        <w:t>AFT Pharmaceuticals Pty Ltd</w:t>
      </w:r>
    </w:p>
    <w:p w14:paraId="55BD7E60" w14:textId="77777777" w:rsidR="00370939" w:rsidRDefault="00370939" w:rsidP="00370939">
      <w:pPr>
        <w:spacing w:after="0"/>
      </w:pPr>
      <w:r>
        <w:t>Alcon Laboratories (Australia) Pty Ltd</w:t>
      </w:r>
    </w:p>
    <w:p w14:paraId="1A29E6C9" w14:textId="77777777" w:rsidR="00370939" w:rsidRDefault="00370939" w:rsidP="00370939">
      <w:pPr>
        <w:spacing w:after="0"/>
      </w:pPr>
      <w:r>
        <w:t>Allergan Australia Pty Ltd</w:t>
      </w:r>
    </w:p>
    <w:p w14:paraId="13EF7E9D" w14:textId="77777777" w:rsidR="00BA2DAC" w:rsidRDefault="00BA2DAC" w:rsidP="00BA2DAC">
      <w:pPr>
        <w:spacing w:after="0"/>
      </w:pPr>
      <w:r>
        <w:t>AMO Australia Pty Ltd</w:t>
      </w:r>
    </w:p>
    <w:p w14:paraId="68BE979C" w14:textId="77777777" w:rsidR="00370939" w:rsidRDefault="00370939" w:rsidP="00370939">
      <w:pPr>
        <w:spacing w:after="0"/>
      </w:pPr>
      <w:r>
        <w:t>Aspen Pharma Pty Ltd</w:t>
      </w:r>
    </w:p>
    <w:p w14:paraId="31C36BC7" w14:textId="77777777" w:rsidR="009C3B3B" w:rsidRDefault="009C3B3B" w:rsidP="009C3B3B">
      <w:pPr>
        <w:spacing w:after="0"/>
      </w:pPr>
      <w:r>
        <w:t>Bausch &amp; Lomb (Australia) Pty Ltd</w:t>
      </w:r>
    </w:p>
    <w:p w14:paraId="51D8890B" w14:textId="77777777" w:rsidR="00BA2DAC" w:rsidRDefault="00BA2DAC" w:rsidP="00BA2DAC">
      <w:pPr>
        <w:spacing w:after="0"/>
      </w:pPr>
      <w:r>
        <w:t>Bio Revive Pty Ltd</w:t>
      </w:r>
    </w:p>
    <w:p w14:paraId="78E9D7CC" w14:textId="77777777" w:rsidR="009C3B3B" w:rsidRDefault="009C3B3B" w:rsidP="009C3B3B">
      <w:pPr>
        <w:spacing w:after="0"/>
      </w:pPr>
      <w:r>
        <w:t>Contact Lens Centre Australia Limited</w:t>
      </w:r>
    </w:p>
    <w:p w14:paraId="3E089ABB" w14:textId="77777777" w:rsidR="009C3B3B" w:rsidRDefault="009C3B3B" w:rsidP="009C3B3B">
      <w:pPr>
        <w:spacing w:after="0"/>
      </w:pPr>
      <w:r>
        <w:t>Petrus Pharmaceuticals Pty Ltd</w:t>
      </w:r>
    </w:p>
    <w:p w14:paraId="7B0E5817" w14:textId="77777777" w:rsidR="00BA2DAC" w:rsidRDefault="00BA2DAC" w:rsidP="009C3B3B">
      <w:pPr>
        <w:spacing w:after="0"/>
      </w:pPr>
    </w:p>
    <w:p w14:paraId="4767A3C1" w14:textId="600C7A59" w:rsidR="00526C3C" w:rsidRPr="008006C7" w:rsidRDefault="00526C3C" w:rsidP="009C3B3B">
      <w:r>
        <w:t>The sponsors have no comment.</w:t>
      </w:r>
    </w:p>
    <w:p w14:paraId="013BC1B0" w14:textId="77777777" w:rsidR="00361E24" w:rsidRDefault="00361E24" w:rsidP="00361E24">
      <w:pPr>
        <w:spacing w:line="276" w:lineRule="auto"/>
        <w:rPr>
          <w:b/>
          <w:sz w:val="32"/>
          <w:szCs w:val="32"/>
        </w:rPr>
      </w:pPr>
      <w:r w:rsidRPr="00A4020E">
        <w:rPr>
          <w:b/>
          <w:sz w:val="32"/>
          <w:szCs w:val="32"/>
        </w:rPr>
        <w:t>Disclaimer</w:t>
      </w:r>
    </w:p>
    <w:p w14:paraId="4C90A0EC" w14:textId="24975400" w:rsidR="008006C7" w:rsidRDefault="008006C7" w:rsidP="00D53831">
      <w:pPr>
        <w:spacing w:after="0" w:line="276" w:lineRule="auto"/>
      </w:pPr>
      <w:r w:rsidRPr="000B268E">
        <w:t>The information provided in this report does not constitute medical advice and is not intended to take the place of profe</w:t>
      </w:r>
      <w:r w:rsidR="00CD6B0C">
        <w:t xml:space="preserve">ssional medical advice or care.  </w:t>
      </w:r>
      <w:r w:rsidRPr="000B268E">
        <w:t>It is not intended to define what constitutes reasonable, appropriate or best care for any individ</w:t>
      </w:r>
      <w:r w:rsidR="003138DD">
        <w:t xml:space="preserve">ual for any given health issue.  </w:t>
      </w:r>
      <w:r w:rsidRPr="000B268E">
        <w:t>The information should not be used as a substitute for the judgement and skill of a medical practitioner.</w:t>
      </w:r>
    </w:p>
    <w:p w14:paraId="79C90679" w14:textId="77777777" w:rsidR="00CB4D2D" w:rsidRPr="000B268E" w:rsidRDefault="00CB4D2D" w:rsidP="00D53831">
      <w:pPr>
        <w:spacing w:after="0" w:line="276" w:lineRule="auto"/>
      </w:pPr>
    </w:p>
    <w:p w14:paraId="637A5506" w14:textId="52EA7619" w:rsidR="008006C7" w:rsidRDefault="008006C7" w:rsidP="00D53831">
      <w:pPr>
        <w:spacing w:after="0" w:line="276" w:lineRule="auto"/>
      </w:pPr>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CD6B0C">
        <w:t xml:space="preserve">al Benefits Advisory Committee.  </w:t>
      </w:r>
      <w:r w:rsidRPr="000B268E">
        <w:t>The context for that information may have changed since publication.</w:t>
      </w:r>
    </w:p>
    <w:p w14:paraId="300A3BC8" w14:textId="77777777" w:rsidR="00CB4D2D" w:rsidRPr="000B268E" w:rsidRDefault="00CB4D2D" w:rsidP="00D53831">
      <w:pPr>
        <w:spacing w:after="0" w:line="276" w:lineRule="auto"/>
      </w:pPr>
    </w:p>
    <w:p w14:paraId="671CB878" w14:textId="3FFD0724" w:rsidR="008006C7" w:rsidRDefault="008006C7" w:rsidP="00D53831">
      <w:pPr>
        <w:spacing w:after="0" w:line="276" w:lineRule="auto"/>
      </w:pPr>
      <w:r w:rsidRPr="000B268E">
        <w:t>To the extent provided by law, DoH makes no warranties or representations as to accuracy or completeness of inform</w:t>
      </w:r>
      <w:r w:rsidR="00CB4D2D">
        <w:t>ation contained in this report.</w:t>
      </w:r>
    </w:p>
    <w:p w14:paraId="13A429D2" w14:textId="77777777" w:rsidR="00CB4D2D" w:rsidRPr="000B268E" w:rsidRDefault="00CB4D2D" w:rsidP="00D53831">
      <w:pPr>
        <w:spacing w:after="0" w:line="276" w:lineRule="auto"/>
      </w:pPr>
    </w:p>
    <w:p w14:paraId="53DDC602" w14:textId="77777777" w:rsidR="008006C7" w:rsidRPr="000B268E" w:rsidRDefault="008006C7" w:rsidP="00D53831">
      <w:pPr>
        <w:spacing w:after="0" w:line="276" w:lineRule="auto"/>
      </w:pPr>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6B226031" w14:textId="77777777" w:rsidR="00361E24" w:rsidRPr="00895694" w:rsidRDefault="00361E24" w:rsidP="009B7E1E"/>
    <w:sectPr w:rsidR="00361E24" w:rsidRPr="00895694" w:rsidSect="003C15D2">
      <w:pgSz w:w="11906" w:h="16838"/>
      <w:pgMar w:top="1644" w:right="1361" w:bottom="164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0403AD" w:rsidRDefault="000403AD" w:rsidP="00A35800">
      <w:r>
        <w:separator/>
      </w:r>
    </w:p>
  </w:endnote>
  <w:endnote w:type="continuationSeparator" w:id="0">
    <w:p w14:paraId="45A4A8C8" w14:textId="77777777" w:rsidR="000403AD" w:rsidRDefault="000403A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0403AD" w:rsidRDefault="000403AD" w:rsidP="00A35800">
      <w:r>
        <w:separator/>
      </w:r>
    </w:p>
  </w:footnote>
  <w:footnote w:type="continuationSeparator" w:id="0">
    <w:p w14:paraId="7E2CA1E4" w14:textId="77777777" w:rsidR="000403AD" w:rsidRDefault="000403AD" w:rsidP="00A35800">
      <w:r>
        <w:continuationSeparator/>
      </w:r>
    </w:p>
  </w:footnote>
  <w:footnote w:id="1">
    <w:p w14:paraId="3E03AEE1" w14:textId="3E0F03FE" w:rsidR="000403AD" w:rsidRDefault="000403AD">
      <w:pPr>
        <w:pStyle w:val="FootnoteText"/>
      </w:pPr>
      <w:r>
        <w:rPr>
          <w:rStyle w:val="FootnoteReference"/>
        </w:rPr>
        <w:footnoteRef/>
      </w:r>
      <w:r>
        <w:t xml:space="preserve"> </w:t>
      </w:r>
      <w:r w:rsidRPr="00CC0E6F">
        <w:t>Australian Medicines Handbook 2014. Adelaide: Australian Medicines Handbook Pty Ltd; 2014</w:t>
      </w:r>
      <w:r>
        <w:t>.</w:t>
      </w:r>
    </w:p>
  </w:footnote>
  <w:footnote w:id="2">
    <w:p w14:paraId="7596C556" w14:textId="7519D9B3" w:rsidR="000403AD" w:rsidRDefault="000403AD">
      <w:pPr>
        <w:pStyle w:val="FootnoteText"/>
      </w:pPr>
      <w:r>
        <w:rPr>
          <w:rStyle w:val="FootnoteReference"/>
        </w:rPr>
        <w:footnoteRef/>
      </w:r>
      <w:r>
        <w:t xml:space="preserve"> Miller S. Dry eye requires a little TLC – tear layer care. Art &amp; Science 2013;23(9): 30-33.</w:t>
      </w:r>
    </w:p>
  </w:footnote>
  <w:footnote w:id="3">
    <w:p w14:paraId="4D08DE16" w14:textId="77777777" w:rsidR="000403AD" w:rsidRDefault="000403AD" w:rsidP="00036B41">
      <w:pPr>
        <w:pStyle w:val="FootnoteText"/>
      </w:pPr>
      <w:r>
        <w:rPr>
          <w:rStyle w:val="FootnoteReference"/>
        </w:rPr>
        <w:footnoteRef/>
      </w:r>
      <w:r>
        <w:t xml:space="preserve"> Ee-Munn Chia, Paul Mitchell, Elena Rochtchina, Anne J Lee, Rita Maroun and Jie Jin Wang. Clinical and Epidemiology</w:t>
      </w:r>
    </w:p>
    <w:p w14:paraId="683CC024" w14:textId="77777777" w:rsidR="000403AD" w:rsidRDefault="000403AD" w:rsidP="00036B41">
      <w:pPr>
        <w:pStyle w:val="FootnoteText"/>
      </w:pPr>
      <w:r>
        <w:t>Prevalence and associations of dry eye syndrome in an older population: the Blue Mountains Eye Study. Clinical and Experimental Ophthalmology 2003; 31: 229–232.</w:t>
      </w:r>
    </w:p>
    <w:p w14:paraId="7DA41039" w14:textId="77777777" w:rsidR="000403AD" w:rsidRDefault="000403AD" w:rsidP="00036B4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1041"/>
    <w:multiLevelType w:val="hybridMultilevel"/>
    <w:tmpl w:val="9E6C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9117F4"/>
    <w:multiLevelType w:val="hybridMultilevel"/>
    <w:tmpl w:val="D7EE72B6"/>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324"/>
    <w:rsid w:val="00003D51"/>
    <w:rsid w:val="000116B1"/>
    <w:rsid w:val="00012C5E"/>
    <w:rsid w:val="00032375"/>
    <w:rsid w:val="0003616C"/>
    <w:rsid w:val="00036B41"/>
    <w:rsid w:val="00037E3D"/>
    <w:rsid w:val="000403AD"/>
    <w:rsid w:val="00044F5C"/>
    <w:rsid w:val="00045735"/>
    <w:rsid w:val="00047A0D"/>
    <w:rsid w:val="00051B62"/>
    <w:rsid w:val="000564F8"/>
    <w:rsid w:val="00066CE3"/>
    <w:rsid w:val="00072E7C"/>
    <w:rsid w:val="00080687"/>
    <w:rsid w:val="00082761"/>
    <w:rsid w:val="00084215"/>
    <w:rsid w:val="00084F16"/>
    <w:rsid w:val="0008537C"/>
    <w:rsid w:val="000857CA"/>
    <w:rsid w:val="00086C4B"/>
    <w:rsid w:val="00087AF8"/>
    <w:rsid w:val="00090457"/>
    <w:rsid w:val="00094346"/>
    <w:rsid w:val="00094DCF"/>
    <w:rsid w:val="00096C3B"/>
    <w:rsid w:val="00097582"/>
    <w:rsid w:val="000A01AB"/>
    <w:rsid w:val="000A2E69"/>
    <w:rsid w:val="000A70BF"/>
    <w:rsid w:val="000A7C52"/>
    <w:rsid w:val="000B796C"/>
    <w:rsid w:val="000C0C9B"/>
    <w:rsid w:val="000C11A6"/>
    <w:rsid w:val="000C7D8B"/>
    <w:rsid w:val="000D2092"/>
    <w:rsid w:val="000D2CC4"/>
    <w:rsid w:val="000D3DA2"/>
    <w:rsid w:val="000D5B08"/>
    <w:rsid w:val="000E1ADD"/>
    <w:rsid w:val="000E471F"/>
    <w:rsid w:val="000E485D"/>
    <w:rsid w:val="000F2F51"/>
    <w:rsid w:val="000F35E0"/>
    <w:rsid w:val="000F4F7B"/>
    <w:rsid w:val="0010292E"/>
    <w:rsid w:val="0010546B"/>
    <w:rsid w:val="00105559"/>
    <w:rsid w:val="00107017"/>
    <w:rsid w:val="00112EC0"/>
    <w:rsid w:val="00113D74"/>
    <w:rsid w:val="00117C5C"/>
    <w:rsid w:val="001210C5"/>
    <w:rsid w:val="001217D0"/>
    <w:rsid w:val="00123B3D"/>
    <w:rsid w:val="00126EAF"/>
    <w:rsid w:val="00131576"/>
    <w:rsid w:val="00132A88"/>
    <w:rsid w:val="00132B3D"/>
    <w:rsid w:val="00132F68"/>
    <w:rsid w:val="0013314F"/>
    <w:rsid w:val="00136059"/>
    <w:rsid w:val="001420B3"/>
    <w:rsid w:val="001440A5"/>
    <w:rsid w:val="001457E5"/>
    <w:rsid w:val="00145CC9"/>
    <w:rsid w:val="00151972"/>
    <w:rsid w:val="00154A2D"/>
    <w:rsid w:val="0015691C"/>
    <w:rsid w:val="0016078D"/>
    <w:rsid w:val="00167891"/>
    <w:rsid w:val="001704AD"/>
    <w:rsid w:val="001711E3"/>
    <w:rsid w:val="001711FC"/>
    <w:rsid w:val="001851FA"/>
    <w:rsid w:val="00191EA1"/>
    <w:rsid w:val="001A4341"/>
    <w:rsid w:val="001A6DE8"/>
    <w:rsid w:val="001B1AE3"/>
    <w:rsid w:val="001B24CE"/>
    <w:rsid w:val="001B4D24"/>
    <w:rsid w:val="001B5D37"/>
    <w:rsid w:val="001B78D5"/>
    <w:rsid w:val="001C038C"/>
    <w:rsid w:val="001C4016"/>
    <w:rsid w:val="001C47DD"/>
    <w:rsid w:val="001C5892"/>
    <w:rsid w:val="001C69AB"/>
    <w:rsid w:val="001D1AE7"/>
    <w:rsid w:val="001D1BCC"/>
    <w:rsid w:val="001D3492"/>
    <w:rsid w:val="001E31A6"/>
    <w:rsid w:val="001F20C8"/>
    <w:rsid w:val="001F2F3E"/>
    <w:rsid w:val="001F42C8"/>
    <w:rsid w:val="002008D7"/>
    <w:rsid w:val="002010B4"/>
    <w:rsid w:val="00214013"/>
    <w:rsid w:val="00215598"/>
    <w:rsid w:val="0021588B"/>
    <w:rsid w:val="002200D0"/>
    <w:rsid w:val="00224C9F"/>
    <w:rsid w:val="00227E69"/>
    <w:rsid w:val="00227F02"/>
    <w:rsid w:val="00234CE4"/>
    <w:rsid w:val="0023584B"/>
    <w:rsid w:val="002374C1"/>
    <w:rsid w:val="00237D19"/>
    <w:rsid w:val="002404C2"/>
    <w:rsid w:val="00241EFA"/>
    <w:rsid w:val="00242DAE"/>
    <w:rsid w:val="00243F5E"/>
    <w:rsid w:val="00245B9D"/>
    <w:rsid w:val="00246FF3"/>
    <w:rsid w:val="002563F9"/>
    <w:rsid w:val="00261AC9"/>
    <w:rsid w:val="00263E51"/>
    <w:rsid w:val="00264830"/>
    <w:rsid w:val="00267796"/>
    <w:rsid w:val="00280443"/>
    <w:rsid w:val="00283483"/>
    <w:rsid w:val="0028795B"/>
    <w:rsid w:val="00292383"/>
    <w:rsid w:val="002936B7"/>
    <w:rsid w:val="002964E5"/>
    <w:rsid w:val="002A336B"/>
    <w:rsid w:val="002A50C6"/>
    <w:rsid w:val="002B5662"/>
    <w:rsid w:val="002B6347"/>
    <w:rsid w:val="002C6E0C"/>
    <w:rsid w:val="002D5A55"/>
    <w:rsid w:val="002D70D4"/>
    <w:rsid w:val="002E1B96"/>
    <w:rsid w:val="002E3337"/>
    <w:rsid w:val="002E4BD4"/>
    <w:rsid w:val="002F1DAC"/>
    <w:rsid w:val="002F49A8"/>
    <w:rsid w:val="002F61CA"/>
    <w:rsid w:val="00307D84"/>
    <w:rsid w:val="003138DD"/>
    <w:rsid w:val="0032730D"/>
    <w:rsid w:val="00331261"/>
    <w:rsid w:val="003339E9"/>
    <w:rsid w:val="00334F3F"/>
    <w:rsid w:val="003370D0"/>
    <w:rsid w:val="00340F95"/>
    <w:rsid w:val="003531ED"/>
    <w:rsid w:val="00355011"/>
    <w:rsid w:val="00355A46"/>
    <w:rsid w:val="00355C00"/>
    <w:rsid w:val="00356477"/>
    <w:rsid w:val="00357AEF"/>
    <w:rsid w:val="00361E24"/>
    <w:rsid w:val="00362979"/>
    <w:rsid w:val="00367CE5"/>
    <w:rsid w:val="003703BD"/>
    <w:rsid w:val="00370939"/>
    <w:rsid w:val="0037333E"/>
    <w:rsid w:val="003750DD"/>
    <w:rsid w:val="00376627"/>
    <w:rsid w:val="003809A1"/>
    <w:rsid w:val="0038207C"/>
    <w:rsid w:val="0039017F"/>
    <w:rsid w:val="00391782"/>
    <w:rsid w:val="00391B14"/>
    <w:rsid w:val="003A10C5"/>
    <w:rsid w:val="003A4E3A"/>
    <w:rsid w:val="003A5769"/>
    <w:rsid w:val="003B5A55"/>
    <w:rsid w:val="003C04BA"/>
    <w:rsid w:val="003C15D2"/>
    <w:rsid w:val="003C2EFA"/>
    <w:rsid w:val="003C4C2F"/>
    <w:rsid w:val="003C6E24"/>
    <w:rsid w:val="003E19AD"/>
    <w:rsid w:val="003E43F3"/>
    <w:rsid w:val="003F20A3"/>
    <w:rsid w:val="003F248D"/>
    <w:rsid w:val="003F41EE"/>
    <w:rsid w:val="00400172"/>
    <w:rsid w:val="00405BCB"/>
    <w:rsid w:val="00411153"/>
    <w:rsid w:val="00414A54"/>
    <w:rsid w:val="00416AEB"/>
    <w:rsid w:val="004229FA"/>
    <w:rsid w:val="004371FB"/>
    <w:rsid w:val="004459E1"/>
    <w:rsid w:val="00447D57"/>
    <w:rsid w:val="004622A4"/>
    <w:rsid w:val="0046279D"/>
    <w:rsid w:val="00464139"/>
    <w:rsid w:val="004643A8"/>
    <w:rsid w:val="00470690"/>
    <w:rsid w:val="00476B90"/>
    <w:rsid w:val="00481108"/>
    <w:rsid w:val="00481E22"/>
    <w:rsid w:val="004826AD"/>
    <w:rsid w:val="00482ECA"/>
    <w:rsid w:val="0049042B"/>
    <w:rsid w:val="004908F3"/>
    <w:rsid w:val="00493001"/>
    <w:rsid w:val="00493567"/>
    <w:rsid w:val="00494FF4"/>
    <w:rsid w:val="00495CF1"/>
    <w:rsid w:val="00497E25"/>
    <w:rsid w:val="004A2340"/>
    <w:rsid w:val="004A458E"/>
    <w:rsid w:val="004A4D1A"/>
    <w:rsid w:val="004A6EF9"/>
    <w:rsid w:val="004B23E7"/>
    <w:rsid w:val="004B306F"/>
    <w:rsid w:val="004B7076"/>
    <w:rsid w:val="004B77B4"/>
    <w:rsid w:val="004C3186"/>
    <w:rsid w:val="004C5042"/>
    <w:rsid w:val="004C7450"/>
    <w:rsid w:val="004D24CE"/>
    <w:rsid w:val="004F0766"/>
    <w:rsid w:val="004F09C1"/>
    <w:rsid w:val="004F19B6"/>
    <w:rsid w:val="004F48E1"/>
    <w:rsid w:val="004F6AA3"/>
    <w:rsid w:val="0050355C"/>
    <w:rsid w:val="00503998"/>
    <w:rsid w:val="0050623B"/>
    <w:rsid w:val="00513DD3"/>
    <w:rsid w:val="005210CE"/>
    <w:rsid w:val="00524D5B"/>
    <w:rsid w:val="00526942"/>
    <w:rsid w:val="00526C3C"/>
    <w:rsid w:val="005274D5"/>
    <w:rsid w:val="00531FDE"/>
    <w:rsid w:val="005339F6"/>
    <w:rsid w:val="00533BD5"/>
    <w:rsid w:val="00546063"/>
    <w:rsid w:val="005518C4"/>
    <w:rsid w:val="00554156"/>
    <w:rsid w:val="00555467"/>
    <w:rsid w:val="0055624E"/>
    <w:rsid w:val="005563CE"/>
    <w:rsid w:val="00556D94"/>
    <w:rsid w:val="00561607"/>
    <w:rsid w:val="005641FF"/>
    <w:rsid w:val="0056599D"/>
    <w:rsid w:val="00566EF7"/>
    <w:rsid w:val="00591512"/>
    <w:rsid w:val="0059483A"/>
    <w:rsid w:val="00597DD6"/>
    <w:rsid w:val="005A284A"/>
    <w:rsid w:val="005A7376"/>
    <w:rsid w:val="005C04E5"/>
    <w:rsid w:val="005C05CC"/>
    <w:rsid w:val="005C4605"/>
    <w:rsid w:val="005D067A"/>
    <w:rsid w:val="005D0CEB"/>
    <w:rsid w:val="005D1F62"/>
    <w:rsid w:val="005E147D"/>
    <w:rsid w:val="005E22C2"/>
    <w:rsid w:val="005E2C14"/>
    <w:rsid w:val="005F1F4C"/>
    <w:rsid w:val="00600622"/>
    <w:rsid w:val="006041CA"/>
    <w:rsid w:val="006077C6"/>
    <w:rsid w:val="00611245"/>
    <w:rsid w:val="00611A80"/>
    <w:rsid w:val="006159D6"/>
    <w:rsid w:val="0061648E"/>
    <w:rsid w:val="00617C3D"/>
    <w:rsid w:val="006202DC"/>
    <w:rsid w:val="006245B9"/>
    <w:rsid w:val="00626B2F"/>
    <w:rsid w:val="0063421E"/>
    <w:rsid w:val="0063631C"/>
    <w:rsid w:val="00636458"/>
    <w:rsid w:val="00637B7F"/>
    <w:rsid w:val="006419FA"/>
    <w:rsid w:val="00641F75"/>
    <w:rsid w:val="0064321B"/>
    <w:rsid w:val="00644C29"/>
    <w:rsid w:val="00650A7C"/>
    <w:rsid w:val="006537D9"/>
    <w:rsid w:val="00657BE9"/>
    <w:rsid w:val="006605E0"/>
    <w:rsid w:val="00661488"/>
    <w:rsid w:val="00662288"/>
    <w:rsid w:val="00664538"/>
    <w:rsid w:val="00665DEF"/>
    <w:rsid w:val="00675BB1"/>
    <w:rsid w:val="00682298"/>
    <w:rsid w:val="006929BF"/>
    <w:rsid w:val="00695B9F"/>
    <w:rsid w:val="00696C06"/>
    <w:rsid w:val="006A44F5"/>
    <w:rsid w:val="006A4E24"/>
    <w:rsid w:val="006B4378"/>
    <w:rsid w:val="006B4537"/>
    <w:rsid w:val="006B709B"/>
    <w:rsid w:val="006C297A"/>
    <w:rsid w:val="006C62E0"/>
    <w:rsid w:val="006C716F"/>
    <w:rsid w:val="006C7B6B"/>
    <w:rsid w:val="006E0181"/>
    <w:rsid w:val="006E0893"/>
    <w:rsid w:val="006E3161"/>
    <w:rsid w:val="006E4CFE"/>
    <w:rsid w:val="006F0701"/>
    <w:rsid w:val="006F0BB8"/>
    <w:rsid w:val="00705DAD"/>
    <w:rsid w:val="00710758"/>
    <w:rsid w:val="007135C6"/>
    <w:rsid w:val="0071706C"/>
    <w:rsid w:val="007210EB"/>
    <w:rsid w:val="0072160A"/>
    <w:rsid w:val="007247B9"/>
    <w:rsid w:val="0072604A"/>
    <w:rsid w:val="0072648C"/>
    <w:rsid w:val="00727D85"/>
    <w:rsid w:val="00730752"/>
    <w:rsid w:val="007346C7"/>
    <w:rsid w:val="00736041"/>
    <w:rsid w:val="007408C7"/>
    <w:rsid w:val="00740ECF"/>
    <w:rsid w:val="007433DD"/>
    <w:rsid w:val="00743C5C"/>
    <w:rsid w:val="00744F47"/>
    <w:rsid w:val="007508B9"/>
    <w:rsid w:val="00752C7F"/>
    <w:rsid w:val="0075395F"/>
    <w:rsid w:val="00757285"/>
    <w:rsid w:val="00761FF8"/>
    <w:rsid w:val="007657F7"/>
    <w:rsid w:val="00766CDF"/>
    <w:rsid w:val="007708CC"/>
    <w:rsid w:val="007737F0"/>
    <w:rsid w:val="00776598"/>
    <w:rsid w:val="007836E9"/>
    <w:rsid w:val="0079252F"/>
    <w:rsid w:val="00794CBE"/>
    <w:rsid w:val="00794CBF"/>
    <w:rsid w:val="00796E84"/>
    <w:rsid w:val="007A4EB3"/>
    <w:rsid w:val="007B3A4F"/>
    <w:rsid w:val="007B6601"/>
    <w:rsid w:val="007B7B7A"/>
    <w:rsid w:val="007B7F8D"/>
    <w:rsid w:val="007C01AE"/>
    <w:rsid w:val="007C1595"/>
    <w:rsid w:val="007C1B4D"/>
    <w:rsid w:val="007C2B99"/>
    <w:rsid w:val="007C3490"/>
    <w:rsid w:val="007C6A2F"/>
    <w:rsid w:val="007D021B"/>
    <w:rsid w:val="007D2BE0"/>
    <w:rsid w:val="007D43A8"/>
    <w:rsid w:val="007E2FB0"/>
    <w:rsid w:val="007E4B8A"/>
    <w:rsid w:val="007E500D"/>
    <w:rsid w:val="007F302C"/>
    <w:rsid w:val="007F30B2"/>
    <w:rsid w:val="008006C7"/>
    <w:rsid w:val="00800F5D"/>
    <w:rsid w:val="0081291E"/>
    <w:rsid w:val="00813C00"/>
    <w:rsid w:val="008142B4"/>
    <w:rsid w:val="00814E01"/>
    <w:rsid w:val="008179E8"/>
    <w:rsid w:val="00822828"/>
    <w:rsid w:val="00822896"/>
    <w:rsid w:val="00826423"/>
    <w:rsid w:val="00832324"/>
    <w:rsid w:val="00835567"/>
    <w:rsid w:val="00836DBF"/>
    <w:rsid w:val="00837A99"/>
    <w:rsid w:val="00851DD7"/>
    <w:rsid w:val="008526C0"/>
    <w:rsid w:val="00857AE2"/>
    <w:rsid w:val="00857C66"/>
    <w:rsid w:val="0086135F"/>
    <w:rsid w:val="00862D2A"/>
    <w:rsid w:val="008652A3"/>
    <w:rsid w:val="008662BF"/>
    <w:rsid w:val="008721A3"/>
    <w:rsid w:val="00895694"/>
    <w:rsid w:val="008A0878"/>
    <w:rsid w:val="008B19A3"/>
    <w:rsid w:val="008B455A"/>
    <w:rsid w:val="008B4690"/>
    <w:rsid w:val="008C5723"/>
    <w:rsid w:val="008C639C"/>
    <w:rsid w:val="008D214D"/>
    <w:rsid w:val="008D4FDF"/>
    <w:rsid w:val="008D6145"/>
    <w:rsid w:val="008D64A7"/>
    <w:rsid w:val="008D64EE"/>
    <w:rsid w:val="008E4929"/>
    <w:rsid w:val="008E76D7"/>
    <w:rsid w:val="008F3E8C"/>
    <w:rsid w:val="008F4146"/>
    <w:rsid w:val="008F706D"/>
    <w:rsid w:val="00902FD0"/>
    <w:rsid w:val="009050CD"/>
    <w:rsid w:val="009053D3"/>
    <w:rsid w:val="009107D9"/>
    <w:rsid w:val="00915E34"/>
    <w:rsid w:val="00915FD1"/>
    <w:rsid w:val="00916483"/>
    <w:rsid w:val="00917A98"/>
    <w:rsid w:val="00921576"/>
    <w:rsid w:val="00922219"/>
    <w:rsid w:val="00924BE9"/>
    <w:rsid w:val="0093111F"/>
    <w:rsid w:val="00935689"/>
    <w:rsid w:val="00940C7C"/>
    <w:rsid w:val="00946298"/>
    <w:rsid w:val="00946C16"/>
    <w:rsid w:val="00946CC9"/>
    <w:rsid w:val="00952C08"/>
    <w:rsid w:val="009656D8"/>
    <w:rsid w:val="009663B6"/>
    <w:rsid w:val="009674EF"/>
    <w:rsid w:val="00972CFE"/>
    <w:rsid w:val="00974475"/>
    <w:rsid w:val="00976654"/>
    <w:rsid w:val="00977CCD"/>
    <w:rsid w:val="00980286"/>
    <w:rsid w:val="0098156A"/>
    <w:rsid w:val="00983D4B"/>
    <w:rsid w:val="00993195"/>
    <w:rsid w:val="0099651B"/>
    <w:rsid w:val="00997E55"/>
    <w:rsid w:val="009A2709"/>
    <w:rsid w:val="009A3DC2"/>
    <w:rsid w:val="009A4CD6"/>
    <w:rsid w:val="009A6A16"/>
    <w:rsid w:val="009A70C8"/>
    <w:rsid w:val="009B2C43"/>
    <w:rsid w:val="009B7194"/>
    <w:rsid w:val="009B7E1E"/>
    <w:rsid w:val="009C0886"/>
    <w:rsid w:val="009C1100"/>
    <w:rsid w:val="009C35F2"/>
    <w:rsid w:val="009C3B3B"/>
    <w:rsid w:val="009C6DA0"/>
    <w:rsid w:val="009C79D0"/>
    <w:rsid w:val="009D32F4"/>
    <w:rsid w:val="009D44E2"/>
    <w:rsid w:val="009D6008"/>
    <w:rsid w:val="009E058E"/>
    <w:rsid w:val="009E077D"/>
    <w:rsid w:val="009E09FC"/>
    <w:rsid w:val="009E21A7"/>
    <w:rsid w:val="009E463B"/>
    <w:rsid w:val="009E748E"/>
    <w:rsid w:val="009F04EB"/>
    <w:rsid w:val="009F41C9"/>
    <w:rsid w:val="009F5FA9"/>
    <w:rsid w:val="00A02284"/>
    <w:rsid w:val="00A07500"/>
    <w:rsid w:val="00A103ED"/>
    <w:rsid w:val="00A13C60"/>
    <w:rsid w:val="00A1489B"/>
    <w:rsid w:val="00A16116"/>
    <w:rsid w:val="00A16CE7"/>
    <w:rsid w:val="00A21FF4"/>
    <w:rsid w:val="00A239DF"/>
    <w:rsid w:val="00A24175"/>
    <w:rsid w:val="00A30C24"/>
    <w:rsid w:val="00A30F99"/>
    <w:rsid w:val="00A324F0"/>
    <w:rsid w:val="00A35800"/>
    <w:rsid w:val="00A43280"/>
    <w:rsid w:val="00A43CAB"/>
    <w:rsid w:val="00A47587"/>
    <w:rsid w:val="00A55796"/>
    <w:rsid w:val="00A56977"/>
    <w:rsid w:val="00A610A4"/>
    <w:rsid w:val="00A61368"/>
    <w:rsid w:val="00A61A86"/>
    <w:rsid w:val="00A62543"/>
    <w:rsid w:val="00A663D8"/>
    <w:rsid w:val="00A73CFE"/>
    <w:rsid w:val="00A751B4"/>
    <w:rsid w:val="00A7525B"/>
    <w:rsid w:val="00A821E6"/>
    <w:rsid w:val="00A84CAD"/>
    <w:rsid w:val="00A87E07"/>
    <w:rsid w:val="00A97995"/>
    <w:rsid w:val="00AA3146"/>
    <w:rsid w:val="00AA364D"/>
    <w:rsid w:val="00AB3733"/>
    <w:rsid w:val="00AB38D6"/>
    <w:rsid w:val="00AB3D2C"/>
    <w:rsid w:val="00AC2B95"/>
    <w:rsid w:val="00AC5A46"/>
    <w:rsid w:val="00AD0653"/>
    <w:rsid w:val="00AD3826"/>
    <w:rsid w:val="00AD467D"/>
    <w:rsid w:val="00AD5036"/>
    <w:rsid w:val="00AE0DAC"/>
    <w:rsid w:val="00AF2936"/>
    <w:rsid w:val="00AF4E36"/>
    <w:rsid w:val="00B0065E"/>
    <w:rsid w:val="00B01AE0"/>
    <w:rsid w:val="00B031FA"/>
    <w:rsid w:val="00B03D8B"/>
    <w:rsid w:val="00B04FCF"/>
    <w:rsid w:val="00B05310"/>
    <w:rsid w:val="00B056A4"/>
    <w:rsid w:val="00B07FED"/>
    <w:rsid w:val="00B102E3"/>
    <w:rsid w:val="00B15B91"/>
    <w:rsid w:val="00B15FF4"/>
    <w:rsid w:val="00B1730B"/>
    <w:rsid w:val="00B2373F"/>
    <w:rsid w:val="00B239A4"/>
    <w:rsid w:val="00B24700"/>
    <w:rsid w:val="00B27FD4"/>
    <w:rsid w:val="00B3253E"/>
    <w:rsid w:val="00B333FD"/>
    <w:rsid w:val="00B362A3"/>
    <w:rsid w:val="00B45A97"/>
    <w:rsid w:val="00B500C1"/>
    <w:rsid w:val="00B5298A"/>
    <w:rsid w:val="00B628B1"/>
    <w:rsid w:val="00B63EDC"/>
    <w:rsid w:val="00B65196"/>
    <w:rsid w:val="00B67BCA"/>
    <w:rsid w:val="00B711F8"/>
    <w:rsid w:val="00B726CC"/>
    <w:rsid w:val="00B77D4A"/>
    <w:rsid w:val="00B804FB"/>
    <w:rsid w:val="00B82586"/>
    <w:rsid w:val="00B90241"/>
    <w:rsid w:val="00B9120F"/>
    <w:rsid w:val="00B916B5"/>
    <w:rsid w:val="00B924A4"/>
    <w:rsid w:val="00B93EDA"/>
    <w:rsid w:val="00BA1BBF"/>
    <w:rsid w:val="00BA2DAC"/>
    <w:rsid w:val="00BB0D1A"/>
    <w:rsid w:val="00BB1D3B"/>
    <w:rsid w:val="00BB3945"/>
    <w:rsid w:val="00BC35ED"/>
    <w:rsid w:val="00BD06EE"/>
    <w:rsid w:val="00BD452D"/>
    <w:rsid w:val="00BE5F91"/>
    <w:rsid w:val="00BF1128"/>
    <w:rsid w:val="00BF1D5B"/>
    <w:rsid w:val="00BF238E"/>
    <w:rsid w:val="00BF66AC"/>
    <w:rsid w:val="00C0076F"/>
    <w:rsid w:val="00C01909"/>
    <w:rsid w:val="00C113FB"/>
    <w:rsid w:val="00C1453A"/>
    <w:rsid w:val="00C23CC5"/>
    <w:rsid w:val="00C24A5D"/>
    <w:rsid w:val="00C32DB3"/>
    <w:rsid w:val="00C350BF"/>
    <w:rsid w:val="00C41246"/>
    <w:rsid w:val="00C41B41"/>
    <w:rsid w:val="00C42500"/>
    <w:rsid w:val="00C42527"/>
    <w:rsid w:val="00C42A65"/>
    <w:rsid w:val="00C42D09"/>
    <w:rsid w:val="00C45E5F"/>
    <w:rsid w:val="00C50435"/>
    <w:rsid w:val="00C522D9"/>
    <w:rsid w:val="00C5290F"/>
    <w:rsid w:val="00C56281"/>
    <w:rsid w:val="00C6422F"/>
    <w:rsid w:val="00C65425"/>
    <w:rsid w:val="00C714D0"/>
    <w:rsid w:val="00C73C87"/>
    <w:rsid w:val="00C80EDB"/>
    <w:rsid w:val="00C847EA"/>
    <w:rsid w:val="00C96ABF"/>
    <w:rsid w:val="00CA2B39"/>
    <w:rsid w:val="00CA403C"/>
    <w:rsid w:val="00CB406B"/>
    <w:rsid w:val="00CB4D2D"/>
    <w:rsid w:val="00CC01C6"/>
    <w:rsid w:val="00CC0E65"/>
    <w:rsid w:val="00CC0E6F"/>
    <w:rsid w:val="00CD5285"/>
    <w:rsid w:val="00CD6B0C"/>
    <w:rsid w:val="00CE6704"/>
    <w:rsid w:val="00CF0B79"/>
    <w:rsid w:val="00CF2292"/>
    <w:rsid w:val="00CF24C2"/>
    <w:rsid w:val="00CF34CF"/>
    <w:rsid w:val="00CF4AD9"/>
    <w:rsid w:val="00CF5EE3"/>
    <w:rsid w:val="00CF70E7"/>
    <w:rsid w:val="00D0143B"/>
    <w:rsid w:val="00D025BA"/>
    <w:rsid w:val="00D05484"/>
    <w:rsid w:val="00D05863"/>
    <w:rsid w:val="00D06857"/>
    <w:rsid w:val="00D148F4"/>
    <w:rsid w:val="00D151EB"/>
    <w:rsid w:val="00D1669A"/>
    <w:rsid w:val="00D22288"/>
    <w:rsid w:val="00D331BD"/>
    <w:rsid w:val="00D367A9"/>
    <w:rsid w:val="00D37816"/>
    <w:rsid w:val="00D456E8"/>
    <w:rsid w:val="00D51ECC"/>
    <w:rsid w:val="00D53831"/>
    <w:rsid w:val="00D574D5"/>
    <w:rsid w:val="00D6154E"/>
    <w:rsid w:val="00D650CE"/>
    <w:rsid w:val="00D6649D"/>
    <w:rsid w:val="00D85386"/>
    <w:rsid w:val="00D85592"/>
    <w:rsid w:val="00D8758B"/>
    <w:rsid w:val="00D94635"/>
    <w:rsid w:val="00D959DD"/>
    <w:rsid w:val="00D97753"/>
    <w:rsid w:val="00DA086A"/>
    <w:rsid w:val="00DA247E"/>
    <w:rsid w:val="00DA7D09"/>
    <w:rsid w:val="00DB354B"/>
    <w:rsid w:val="00DB5209"/>
    <w:rsid w:val="00DB5F4E"/>
    <w:rsid w:val="00DC49E9"/>
    <w:rsid w:val="00DD78B4"/>
    <w:rsid w:val="00DE0B96"/>
    <w:rsid w:val="00DE1645"/>
    <w:rsid w:val="00DE2391"/>
    <w:rsid w:val="00DE2F5E"/>
    <w:rsid w:val="00DE4D5D"/>
    <w:rsid w:val="00DF0B13"/>
    <w:rsid w:val="00DF2C71"/>
    <w:rsid w:val="00DF2D4A"/>
    <w:rsid w:val="00DF4A94"/>
    <w:rsid w:val="00DF7A7A"/>
    <w:rsid w:val="00E02160"/>
    <w:rsid w:val="00E066C3"/>
    <w:rsid w:val="00E1066F"/>
    <w:rsid w:val="00E1353A"/>
    <w:rsid w:val="00E1564B"/>
    <w:rsid w:val="00E16801"/>
    <w:rsid w:val="00E208A0"/>
    <w:rsid w:val="00E212F0"/>
    <w:rsid w:val="00E23968"/>
    <w:rsid w:val="00E31DA6"/>
    <w:rsid w:val="00E33EBE"/>
    <w:rsid w:val="00E352B4"/>
    <w:rsid w:val="00E37027"/>
    <w:rsid w:val="00E37C36"/>
    <w:rsid w:val="00E421C4"/>
    <w:rsid w:val="00E43951"/>
    <w:rsid w:val="00E43CDF"/>
    <w:rsid w:val="00E454DF"/>
    <w:rsid w:val="00E45B6B"/>
    <w:rsid w:val="00E46B13"/>
    <w:rsid w:val="00E51C20"/>
    <w:rsid w:val="00E54FDE"/>
    <w:rsid w:val="00E56E17"/>
    <w:rsid w:val="00E63320"/>
    <w:rsid w:val="00E657B7"/>
    <w:rsid w:val="00E66A51"/>
    <w:rsid w:val="00E677DD"/>
    <w:rsid w:val="00E741EC"/>
    <w:rsid w:val="00E76A9B"/>
    <w:rsid w:val="00E83AF9"/>
    <w:rsid w:val="00E84EA5"/>
    <w:rsid w:val="00E8685D"/>
    <w:rsid w:val="00E926EC"/>
    <w:rsid w:val="00E954D7"/>
    <w:rsid w:val="00E9706D"/>
    <w:rsid w:val="00EA254D"/>
    <w:rsid w:val="00EA2A6B"/>
    <w:rsid w:val="00EA4C88"/>
    <w:rsid w:val="00EA54BF"/>
    <w:rsid w:val="00EB4542"/>
    <w:rsid w:val="00EB4608"/>
    <w:rsid w:val="00EB6A15"/>
    <w:rsid w:val="00EB6C07"/>
    <w:rsid w:val="00EC00CF"/>
    <w:rsid w:val="00EC0212"/>
    <w:rsid w:val="00EC028D"/>
    <w:rsid w:val="00EC3C06"/>
    <w:rsid w:val="00ED0909"/>
    <w:rsid w:val="00ED1EB7"/>
    <w:rsid w:val="00ED633B"/>
    <w:rsid w:val="00EE156C"/>
    <w:rsid w:val="00EE256F"/>
    <w:rsid w:val="00EE478C"/>
    <w:rsid w:val="00EE5A4B"/>
    <w:rsid w:val="00EF3EE6"/>
    <w:rsid w:val="00EF4EB5"/>
    <w:rsid w:val="00F01A89"/>
    <w:rsid w:val="00F04D12"/>
    <w:rsid w:val="00F04E50"/>
    <w:rsid w:val="00F2007B"/>
    <w:rsid w:val="00F204F0"/>
    <w:rsid w:val="00F22BE4"/>
    <w:rsid w:val="00F27E32"/>
    <w:rsid w:val="00F30B9C"/>
    <w:rsid w:val="00F34B3D"/>
    <w:rsid w:val="00F34F3B"/>
    <w:rsid w:val="00F37BF4"/>
    <w:rsid w:val="00F429C8"/>
    <w:rsid w:val="00F5423A"/>
    <w:rsid w:val="00F543EE"/>
    <w:rsid w:val="00F55466"/>
    <w:rsid w:val="00F56E1B"/>
    <w:rsid w:val="00F626C9"/>
    <w:rsid w:val="00F66321"/>
    <w:rsid w:val="00F77795"/>
    <w:rsid w:val="00F808FA"/>
    <w:rsid w:val="00F825FD"/>
    <w:rsid w:val="00F8312E"/>
    <w:rsid w:val="00F85356"/>
    <w:rsid w:val="00F9176F"/>
    <w:rsid w:val="00F942F1"/>
    <w:rsid w:val="00F944AB"/>
    <w:rsid w:val="00F9736C"/>
    <w:rsid w:val="00F975C0"/>
    <w:rsid w:val="00F97B63"/>
    <w:rsid w:val="00FA08A5"/>
    <w:rsid w:val="00FA0C6F"/>
    <w:rsid w:val="00FA1BE1"/>
    <w:rsid w:val="00FA616A"/>
    <w:rsid w:val="00FB2FF1"/>
    <w:rsid w:val="00FB314E"/>
    <w:rsid w:val="00FB53C6"/>
    <w:rsid w:val="00FB7005"/>
    <w:rsid w:val="00FB788F"/>
    <w:rsid w:val="00FC3EE0"/>
    <w:rsid w:val="00FC4A73"/>
    <w:rsid w:val="00FC5E38"/>
    <w:rsid w:val="00FD1D8D"/>
    <w:rsid w:val="00FD3900"/>
    <w:rsid w:val="00FD3D18"/>
    <w:rsid w:val="00FD6FF0"/>
    <w:rsid w:val="00FE645A"/>
    <w:rsid w:val="00FF64B9"/>
    <w:rsid w:val="00FF66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3631C"/>
    <w:pPr>
      <w:keepNext/>
      <w:keepLines/>
      <w:spacing w:before="36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Normal"/>
    <w:next w:val="Normal"/>
    <w:link w:val="Heading4Char"/>
    <w:uiPriority w:val="9"/>
    <w:unhideWhenUsed/>
    <w:qFormat/>
    <w:rsid w:val="0063631C"/>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63631C"/>
    <w:rPr>
      <w:rFonts w:ascii="Lucida Bright" w:eastAsiaTheme="majorEastAsia" w:hAnsi="Lucida Bright" w:cstheme="majorBidi"/>
      <w:b/>
      <w:bCs/>
      <w:sz w:val="32"/>
      <w:szCs w:val="26"/>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63631C"/>
    <w:rPr>
      <w:rFonts w:ascii="Lucida Bright" w:eastAsiaTheme="majorEastAsia" w:hAnsi="Lucida Bright" w:cstheme="majorBidi"/>
      <w:b/>
      <w:bCs/>
      <w:i/>
      <w:iCs/>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A35800"/>
    <w:pPr>
      <w:spacing w:after="20"/>
    </w:pPr>
    <w:rPr>
      <w:i w:val="0"/>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FE645A"/>
    <w:rPr>
      <w:rFonts w:ascii="Lucida Bright" w:eastAsiaTheme="majorEastAsia" w:hAnsi="Lucida Bright" w:cstheme="majorBidi"/>
      <w:b/>
      <w:bCs/>
      <w:i w:val="0"/>
      <w:i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C42D09"/>
    <w:pPr>
      <w:ind w:left="720"/>
      <w:contextualSpacing/>
    </w:pPr>
  </w:style>
  <w:style w:type="paragraph" w:styleId="Caption">
    <w:name w:val="caption"/>
    <w:basedOn w:val="Normal"/>
    <w:next w:val="Normal"/>
    <w:uiPriority w:val="35"/>
    <w:unhideWhenUsed/>
    <w:qFormat/>
    <w:rsid w:val="009D6008"/>
    <w:rPr>
      <w:b/>
      <w:bCs/>
      <w:color w:val="4F81BD" w:themeColor="accent1"/>
      <w:sz w:val="18"/>
      <w:szCs w:val="18"/>
    </w:rPr>
  </w:style>
  <w:style w:type="paragraph" w:styleId="Subtitle">
    <w:name w:val="Subtitle"/>
    <w:basedOn w:val="Heading1"/>
    <w:next w:val="Normal"/>
    <w:link w:val="SubtitleChar"/>
    <w:uiPriority w:val="11"/>
    <w:qFormat/>
    <w:rsid w:val="000403AD"/>
  </w:style>
  <w:style w:type="character" w:customStyle="1" w:styleId="SubtitleChar">
    <w:name w:val="Subtitle Char"/>
    <w:basedOn w:val="DefaultParagraphFont"/>
    <w:link w:val="Subtitle"/>
    <w:uiPriority w:val="11"/>
    <w:rsid w:val="000403AD"/>
    <w:rPr>
      <w:rFonts w:eastAsiaTheme="majorEastAsia" w:cstheme="majorBidi"/>
      <w:b/>
      <w:bCs/>
      <w:sz w:val="40"/>
      <w:szCs w:val="28"/>
    </w:rPr>
  </w:style>
  <w:style w:type="character" w:styleId="Hyperlink">
    <w:name w:val="Hyperlink"/>
    <w:basedOn w:val="DefaultParagraphFont"/>
    <w:uiPriority w:val="99"/>
    <w:unhideWhenUsed/>
    <w:rsid w:val="007B3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3631C"/>
    <w:pPr>
      <w:keepNext/>
      <w:keepLines/>
      <w:spacing w:before="36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Normal"/>
    <w:next w:val="Normal"/>
    <w:link w:val="Heading4Char"/>
    <w:uiPriority w:val="9"/>
    <w:unhideWhenUsed/>
    <w:qFormat/>
    <w:rsid w:val="0063631C"/>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63631C"/>
    <w:rPr>
      <w:rFonts w:ascii="Lucida Bright" w:eastAsiaTheme="majorEastAsia" w:hAnsi="Lucida Bright" w:cstheme="majorBidi"/>
      <w:b/>
      <w:bCs/>
      <w:sz w:val="32"/>
      <w:szCs w:val="26"/>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63631C"/>
    <w:rPr>
      <w:rFonts w:ascii="Lucida Bright" w:eastAsiaTheme="majorEastAsia" w:hAnsi="Lucida Bright" w:cstheme="majorBidi"/>
      <w:b/>
      <w:bCs/>
      <w:i/>
      <w:iCs/>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A35800"/>
    <w:pPr>
      <w:spacing w:after="20"/>
    </w:pPr>
    <w:rPr>
      <w:i w:val="0"/>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FE645A"/>
    <w:rPr>
      <w:rFonts w:ascii="Lucida Bright" w:eastAsiaTheme="majorEastAsia" w:hAnsi="Lucida Bright" w:cstheme="majorBidi"/>
      <w:b/>
      <w:bCs/>
      <w:i w:val="0"/>
      <w:i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C42D09"/>
    <w:pPr>
      <w:ind w:left="720"/>
      <w:contextualSpacing/>
    </w:pPr>
  </w:style>
  <w:style w:type="paragraph" w:styleId="Caption">
    <w:name w:val="caption"/>
    <w:basedOn w:val="Normal"/>
    <w:next w:val="Normal"/>
    <w:uiPriority w:val="35"/>
    <w:unhideWhenUsed/>
    <w:qFormat/>
    <w:rsid w:val="009D6008"/>
    <w:rPr>
      <w:b/>
      <w:bCs/>
      <w:color w:val="4F81BD" w:themeColor="accent1"/>
      <w:sz w:val="18"/>
      <w:szCs w:val="18"/>
    </w:rPr>
  </w:style>
  <w:style w:type="paragraph" w:styleId="Subtitle">
    <w:name w:val="Subtitle"/>
    <w:basedOn w:val="Heading1"/>
    <w:next w:val="Normal"/>
    <w:link w:val="SubtitleChar"/>
    <w:uiPriority w:val="11"/>
    <w:qFormat/>
    <w:rsid w:val="000403AD"/>
  </w:style>
  <w:style w:type="character" w:customStyle="1" w:styleId="SubtitleChar">
    <w:name w:val="Subtitle Char"/>
    <w:basedOn w:val="DefaultParagraphFont"/>
    <w:link w:val="Subtitle"/>
    <w:uiPriority w:val="11"/>
    <w:rsid w:val="000403AD"/>
    <w:rPr>
      <w:rFonts w:eastAsiaTheme="majorEastAsia" w:cstheme="majorBidi"/>
      <w:b/>
      <w:bCs/>
      <w:sz w:val="40"/>
      <w:szCs w:val="28"/>
    </w:rPr>
  </w:style>
  <w:style w:type="character" w:styleId="Hyperlink">
    <w:name w:val="Hyperlink"/>
    <w:basedOn w:val="DefaultParagraphFont"/>
    <w:uiPriority w:val="99"/>
    <w:unhideWhenUsed/>
    <w:rsid w:val="007B3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778">
      <w:bodyDiv w:val="1"/>
      <w:marLeft w:val="0"/>
      <w:marRight w:val="0"/>
      <w:marTop w:val="0"/>
      <w:marBottom w:val="0"/>
      <w:divBdr>
        <w:top w:val="none" w:sz="0" w:space="0" w:color="auto"/>
        <w:left w:val="none" w:sz="0" w:space="0" w:color="auto"/>
        <w:bottom w:val="none" w:sz="0" w:space="0" w:color="auto"/>
        <w:right w:val="none" w:sz="0" w:space="0" w:color="auto"/>
      </w:divBdr>
    </w:div>
    <w:div w:id="212010056">
      <w:bodyDiv w:val="1"/>
      <w:marLeft w:val="0"/>
      <w:marRight w:val="0"/>
      <w:marTop w:val="0"/>
      <w:marBottom w:val="0"/>
      <w:divBdr>
        <w:top w:val="none" w:sz="0" w:space="0" w:color="auto"/>
        <w:left w:val="none" w:sz="0" w:space="0" w:color="auto"/>
        <w:bottom w:val="none" w:sz="0" w:space="0" w:color="auto"/>
        <w:right w:val="none" w:sz="0" w:space="0" w:color="auto"/>
      </w:divBdr>
    </w:div>
    <w:div w:id="295261581">
      <w:bodyDiv w:val="1"/>
      <w:marLeft w:val="0"/>
      <w:marRight w:val="0"/>
      <w:marTop w:val="0"/>
      <w:marBottom w:val="0"/>
      <w:divBdr>
        <w:top w:val="none" w:sz="0" w:space="0" w:color="auto"/>
        <w:left w:val="none" w:sz="0" w:space="0" w:color="auto"/>
        <w:bottom w:val="none" w:sz="0" w:space="0" w:color="auto"/>
        <w:right w:val="none" w:sz="0" w:space="0" w:color="auto"/>
      </w:divBdr>
    </w:div>
    <w:div w:id="33726903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37958723">
      <w:bodyDiv w:val="1"/>
      <w:marLeft w:val="0"/>
      <w:marRight w:val="0"/>
      <w:marTop w:val="0"/>
      <w:marBottom w:val="0"/>
      <w:divBdr>
        <w:top w:val="none" w:sz="0" w:space="0" w:color="auto"/>
        <w:left w:val="none" w:sz="0" w:space="0" w:color="auto"/>
        <w:bottom w:val="none" w:sz="0" w:space="0" w:color="auto"/>
        <w:right w:val="none" w:sz="0" w:space="0" w:color="auto"/>
      </w:divBdr>
    </w:div>
    <w:div w:id="869757607">
      <w:bodyDiv w:val="1"/>
      <w:marLeft w:val="0"/>
      <w:marRight w:val="0"/>
      <w:marTop w:val="0"/>
      <w:marBottom w:val="0"/>
      <w:divBdr>
        <w:top w:val="none" w:sz="0" w:space="0" w:color="auto"/>
        <w:left w:val="none" w:sz="0" w:space="0" w:color="auto"/>
        <w:bottom w:val="none" w:sz="0" w:space="0" w:color="auto"/>
        <w:right w:val="none" w:sz="0" w:space="0" w:color="auto"/>
      </w:divBdr>
    </w:div>
    <w:div w:id="882136006">
      <w:bodyDiv w:val="1"/>
      <w:marLeft w:val="0"/>
      <w:marRight w:val="0"/>
      <w:marTop w:val="0"/>
      <w:marBottom w:val="0"/>
      <w:divBdr>
        <w:top w:val="none" w:sz="0" w:space="0" w:color="auto"/>
        <w:left w:val="none" w:sz="0" w:space="0" w:color="auto"/>
        <w:bottom w:val="none" w:sz="0" w:space="0" w:color="auto"/>
        <w:right w:val="none" w:sz="0" w:space="0" w:color="auto"/>
      </w:divBdr>
    </w:div>
    <w:div w:id="985625221">
      <w:bodyDiv w:val="1"/>
      <w:marLeft w:val="0"/>
      <w:marRight w:val="0"/>
      <w:marTop w:val="0"/>
      <w:marBottom w:val="0"/>
      <w:divBdr>
        <w:top w:val="none" w:sz="0" w:space="0" w:color="auto"/>
        <w:left w:val="none" w:sz="0" w:space="0" w:color="auto"/>
        <w:bottom w:val="none" w:sz="0" w:space="0" w:color="auto"/>
        <w:right w:val="none" w:sz="0" w:space="0" w:color="auto"/>
      </w:divBdr>
    </w:div>
    <w:div w:id="1079016477">
      <w:bodyDiv w:val="1"/>
      <w:marLeft w:val="0"/>
      <w:marRight w:val="0"/>
      <w:marTop w:val="0"/>
      <w:marBottom w:val="0"/>
      <w:divBdr>
        <w:top w:val="none" w:sz="0" w:space="0" w:color="auto"/>
        <w:left w:val="none" w:sz="0" w:space="0" w:color="auto"/>
        <w:bottom w:val="none" w:sz="0" w:space="0" w:color="auto"/>
        <w:right w:val="none" w:sz="0" w:space="0" w:color="auto"/>
      </w:divBdr>
    </w:div>
    <w:div w:id="1243485146">
      <w:bodyDiv w:val="1"/>
      <w:marLeft w:val="0"/>
      <w:marRight w:val="0"/>
      <w:marTop w:val="0"/>
      <w:marBottom w:val="0"/>
      <w:divBdr>
        <w:top w:val="none" w:sz="0" w:space="0" w:color="auto"/>
        <w:left w:val="none" w:sz="0" w:space="0" w:color="auto"/>
        <w:bottom w:val="none" w:sz="0" w:space="0" w:color="auto"/>
        <w:right w:val="none" w:sz="0" w:space="0" w:color="auto"/>
      </w:divBdr>
    </w:div>
    <w:div w:id="1302929561">
      <w:bodyDiv w:val="1"/>
      <w:marLeft w:val="0"/>
      <w:marRight w:val="0"/>
      <w:marTop w:val="0"/>
      <w:marBottom w:val="0"/>
      <w:divBdr>
        <w:top w:val="none" w:sz="0" w:space="0" w:color="auto"/>
        <w:left w:val="none" w:sz="0" w:space="0" w:color="auto"/>
        <w:bottom w:val="none" w:sz="0" w:space="0" w:color="auto"/>
        <w:right w:val="none" w:sz="0" w:space="0" w:color="auto"/>
      </w:divBdr>
    </w:div>
    <w:div w:id="1311133041">
      <w:bodyDiv w:val="1"/>
      <w:marLeft w:val="0"/>
      <w:marRight w:val="0"/>
      <w:marTop w:val="0"/>
      <w:marBottom w:val="0"/>
      <w:divBdr>
        <w:top w:val="none" w:sz="0" w:space="0" w:color="auto"/>
        <w:left w:val="none" w:sz="0" w:space="0" w:color="auto"/>
        <w:bottom w:val="none" w:sz="0" w:space="0" w:color="auto"/>
        <w:right w:val="none" w:sz="0" w:space="0" w:color="auto"/>
      </w:divBdr>
    </w:div>
    <w:div w:id="1404794824">
      <w:bodyDiv w:val="1"/>
      <w:marLeft w:val="0"/>
      <w:marRight w:val="0"/>
      <w:marTop w:val="0"/>
      <w:marBottom w:val="0"/>
      <w:divBdr>
        <w:top w:val="none" w:sz="0" w:space="0" w:color="auto"/>
        <w:left w:val="none" w:sz="0" w:space="0" w:color="auto"/>
        <w:bottom w:val="none" w:sz="0" w:space="0" w:color="auto"/>
        <w:right w:val="none" w:sz="0" w:space="0" w:color="auto"/>
      </w:divBdr>
    </w:div>
    <w:div w:id="1423068345">
      <w:bodyDiv w:val="1"/>
      <w:marLeft w:val="0"/>
      <w:marRight w:val="0"/>
      <w:marTop w:val="0"/>
      <w:marBottom w:val="0"/>
      <w:divBdr>
        <w:top w:val="none" w:sz="0" w:space="0" w:color="auto"/>
        <w:left w:val="none" w:sz="0" w:space="0" w:color="auto"/>
        <w:bottom w:val="none" w:sz="0" w:space="0" w:color="auto"/>
        <w:right w:val="none" w:sz="0" w:space="0" w:color="auto"/>
      </w:divBdr>
    </w:div>
    <w:div w:id="1887792862">
      <w:bodyDiv w:val="1"/>
      <w:marLeft w:val="0"/>
      <w:marRight w:val="0"/>
      <w:marTop w:val="0"/>
      <w:marBottom w:val="0"/>
      <w:divBdr>
        <w:top w:val="none" w:sz="0" w:space="0" w:color="auto"/>
        <w:left w:val="none" w:sz="0" w:space="0" w:color="auto"/>
        <w:bottom w:val="none" w:sz="0" w:space="0" w:color="auto"/>
        <w:right w:val="none" w:sz="0" w:space="0" w:color="auto"/>
      </w:divBdr>
    </w:div>
    <w:div w:id="2034912346">
      <w:bodyDiv w:val="1"/>
      <w:marLeft w:val="0"/>
      <w:marRight w:val="0"/>
      <w:marTop w:val="0"/>
      <w:marBottom w:val="0"/>
      <w:divBdr>
        <w:top w:val="none" w:sz="0" w:space="0" w:color="auto"/>
        <w:left w:val="none" w:sz="0" w:space="0" w:color="auto"/>
        <w:bottom w:val="none" w:sz="0" w:space="0" w:color="auto"/>
        <w:right w:val="none" w:sz="0" w:space="0" w:color="auto"/>
      </w:divBdr>
    </w:div>
    <w:div w:id="2077973027">
      <w:bodyDiv w:val="1"/>
      <w:marLeft w:val="0"/>
      <w:marRight w:val="0"/>
      <w:marTop w:val="0"/>
      <w:marBottom w:val="0"/>
      <w:divBdr>
        <w:top w:val="none" w:sz="0" w:space="0" w:color="auto"/>
        <w:left w:val="none" w:sz="0" w:space="0" w:color="auto"/>
        <w:bottom w:val="none" w:sz="0" w:space="0" w:color="auto"/>
        <w:right w:val="none" w:sz="0" w:space="0" w:color="auto"/>
      </w:divBdr>
    </w:div>
    <w:div w:id="21381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pbs.gov.au/pbs/home"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4%20-%20add%20LBL%20data%20c%20DUSC%20DB%20drug%20nam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4%20-%20add%20LBL%20data%20c%20DUSC%20DB%20drug%20nam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3%20-%20add%20LBL%20data%20c%20DUSC%20DB%20drug%20nam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3%20-%20add%20LBL%20data%20c%20DUSC%20DB%20drug%20nam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3%20-%20add%20LBL%20data%20c%20DUSC%20DB%20drug%20nam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MAJOR_SPECIALTY_TXT_SUM%20-%20%20DUSC%20DB%20drug%20nam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MAJOR_SPECIALTY_TXT_SUM%20-%20%20DUSC%20DB%20drug%20nam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3%20-%20add%20LBL%20data%20c%20DUSC%20DB%20drug%20nam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Jun\Ocular%20lubricants\D801%20-%20S01XA%20-%20Other%20ophthalmologicals%20v4%20-%20add%20LBL%20data%20c%20DUSC%20DB%20drug%20na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v4 - add LBL data c DUSC DB drug names.xlsx]Data scripts sum by year!PivotTable2</c:name>
    <c:fmtId val="78"/>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s>
    <c:plotArea>
      <c:layout/>
      <c:lineChart>
        <c:grouping val="standard"/>
        <c:varyColors val="0"/>
        <c:ser>
          <c:idx val="0"/>
          <c:order val="0"/>
          <c:tx>
            <c:strRef>
              <c:f>'Data scripts sum by year'!$B$3</c:f>
              <c:strCache>
                <c:ptCount val="1"/>
                <c:pt idx="0">
                  <c:v>Total</c:v>
                </c:pt>
              </c:strCache>
            </c:strRef>
          </c:tx>
          <c:cat>
            <c:strRef>
              <c:f>'Data scripts sum by year'!$A$4:$A$15</c:f>
              <c:strCache>
                <c:ptCount val="11"/>
                <c:pt idx="1">
                  <c:v>2003</c:v>
                </c:pt>
                <c:pt idx="2">
                  <c:v>2004</c:v>
                </c:pt>
                <c:pt idx="3">
                  <c:v>2005</c:v>
                </c:pt>
                <c:pt idx="4">
                  <c:v>2006</c:v>
                </c:pt>
                <c:pt idx="5">
                  <c:v>2007</c:v>
                </c:pt>
                <c:pt idx="6">
                  <c:v>2008</c:v>
                </c:pt>
                <c:pt idx="7">
                  <c:v>2009</c:v>
                </c:pt>
                <c:pt idx="8">
                  <c:v>2010</c:v>
                </c:pt>
                <c:pt idx="9">
                  <c:v>2011</c:v>
                </c:pt>
                <c:pt idx="10">
                  <c:v>2012</c:v>
                </c:pt>
              </c:strCache>
            </c:strRef>
          </c:cat>
          <c:val>
            <c:numRef>
              <c:f>'Data scripts sum by year'!$B$4:$B$15</c:f>
              <c:numCache>
                <c:formatCode>General</c:formatCode>
                <c:ptCount val="11"/>
                <c:pt idx="1">
                  <c:v>2187121</c:v>
                </c:pt>
                <c:pt idx="2">
                  <c:v>2374211</c:v>
                </c:pt>
                <c:pt idx="3">
                  <c:v>2405549</c:v>
                </c:pt>
                <c:pt idx="4">
                  <c:v>2426168</c:v>
                </c:pt>
                <c:pt idx="5">
                  <c:v>2504245</c:v>
                </c:pt>
                <c:pt idx="6">
                  <c:v>2515185</c:v>
                </c:pt>
                <c:pt idx="7">
                  <c:v>2528766</c:v>
                </c:pt>
                <c:pt idx="8">
                  <c:v>2501822</c:v>
                </c:pt>
                <c:pt idx="9">
                  <c:v>2475667</c:v>
                </c:pt>
                <c:pt idx="10">
                  <c:v>2457083</c:v>
                </c:pt>
              </c:numCache>
            </c:numRef>
          </c:val>
          <c:smooth val="0"/>
        </c:ser>
        <c:dLbls>
          <c:showLegendKey val="0"/>
          <c:showVal val="0"/>
          <c:showCatName val="0"/>
          <c:showSerName val="0"/>
          <c:showPercent val="0"/>
          <c:showBubbleSize val="0"/>
        </c:dLbls>
        <c:marker val="1"/>
        <c:smooth val="0"/>
        <c:axId val="35861632"/>
        <c:axId val="35863168"/>
      </c:lineChart>
      <c:catAx>
        <c:axId val="35861632"/>
        <c:scaling>
          <c:orientation val="minMax"/>
        </c:scaling>
        <c:delete val="0"/>
        <c:axPos val="b"/>
        <c:majorTickMark val="none"/>
        <c:minorTickMark val="none"/>
        <c:tickLblPos val="low"/>
        <c:crossAx val="35863168"/>
        <c:crossesAt val="2000000"/>
        <c:auto val="1"/>
        <c:lblAlgn val="ctr"/>
        <c:lblOffset val="100"/>
        <c:noMultiLvlLbl val="0"/>
      </c:catAx>
      <c:valAx>
        <c:axId val="35863168"/>
        <c:scaling>
          <c:orientation val="minMax"/>
          <c:min val="0"/>
        </c:scaling>
        <c:delete val="0"/>
        <c:axPos val="l"/>
        <c:majorGridlines/>
        <c:numFmt formatCode="#,##0" sourceLinked="0"/>
        <c:majorTickMark val="none"/>
        <c:minorTickMark val="none"/>
        <c:tickLblPos val="nextTo"/>
        <c:crossAx val="3586163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v4 - add LBL data c DUSC DB drug names.xlsx]Data scripts by drug!PivotTable2</c:name>
    <c:fmtId val="92"/>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s>
    <c:plotArea>
      <c:layout/>
      <c:lineChart>
        <c:grouping val="standard"/>
        <c:varyColors val="0"/>
        <c:ser>
          <c:idx val="0"/>
          <c:order val="0"/>
          <c:tx>
            <c:strRef>
              <c:f>'Data scripts by drug'!$B$3:$B$4</c:f>
              <c:strCache>
                <c:ptCount val="1"/>
                <c:pt idx="0">
                  <c:v>HYPROMELLOSE</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drug'!$B$5:$B$15</c:f>
              <c:numCache>
                <c:formatCode>General</c:formatCode>
                <c:ptCount val="10"/>
                <c:pt idx="0">
                  <c:v>953514</c:v>
                </c:pt>
                <c:pt idx="1">
                  <c:v>961985</c:v>
                </c:pt>
                <c:pt idx="2">
                  <c:v>899033</c:v>
                </c:pt>
                <c:pt idx="3">
                  <c:v>780946</c:v>
                </c:pt>
                <c:pt idx="4">
                  <c:v>762683</c:v>
                </c:pt>
                <c:pt idx="5">
                  <c:v>713221</c:v>
                </c:pt>
                <c:pt idx="6">
                  <c:v>650346</c:v>
                </c:pt>
                <c:pt idx="7">
                  <c:v>598370</c:v>
                </c:pt>
                <c:pt idx="8">
                  <c:v>549029</c:v>
                </c:pt>
                <c:pt idx="9">
                  <c:v>508620</c:v>
                </c:pt>
              </c:numCache>
            </c:numRef>
          </c:val>
          <c:smooth val="0"/>
        </c:ser>
        <c:ser>
          <c:idx val="1"/>
          <c:order val="1"/>
          <c:tx>
            <c:strRef>
              <c:f>'Data scripts by drug'!$C$3:$C$4</c:f>
              <c:strCache>
                <c:ptCount val="1"/>
                <c:pt idx="0">
                  <c:v>CARMELLOSE SODIUM</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drug'!$C$5:$C$15</c:f>
              <c:numCache>
                <c:formatCode>General</c:formatCode>
                <c:ptCount val="10"/>
                <c:pt idx="0">
                  <c:v>283058</c:v>
                </c:pt>
                <c:pt idx="1">
                  <c:v>419803</c:v>
                </c:pt>
                <c:pt idx="2">
                  <c:v>554065</c:v>
                </c:pt>
                <c:pt idx="3">
                  <c:v>642888</c:v>
                </c:pt>
                <c:pt idx="4">
                  <c:v>690070</c:v>
                </c:pt>
                <c:pt idx="5">
                  <c:v>696446</c:v>
                </c:pt>
                <c:pt idx="6">
                  <c:v>677496</c:v>
                </c:pt>
                <c:pt idx="7">
                  <c:v>652604</c:v>
                </c:pt>
                <c:pt idx="8">
                  <c:v>640727</c:v>
                </c:pt>
                <c:pt idx="9">
                  <c:v>629786</c:v>
                </c:pt>
              </c:numCache>
            </c:numRef>
          </c:val>
          <c:smooth val="0"/>
        </c:ser>
        <c:ser>
          <c:idx val="2"/>
          <c:order val="2"/>
          <c:tx>
            <c:strRef>
              <c:f>'Data scripts by drug'!$D$3:$D$4</c:f>
              <c:strCache>
                <c:ptCount val="1"/>
                <c:pt idx="0">
                  <c:v>POLYETHYLENE GLYCOL 400 with PROPYLENE GLYCOL</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drug'!$D$5:$D$15</c:f>
              <c:numCache>
                <c:formatCode>General</c:formatCode>
                <c:ptCount val="10"/>
                <c:pt idx="0">
                  <c:v>6003</c:v>
                </c:pt>
                <c:pt idx="1">
                  <c:v>124613</c:v>
                </c:pt>
                <c:pt idx="2">
                  <c:v>227470</c:v>
                </c:pt>
                <c:pt idx="3">
                  <c:v>310499</c:v>
                </c:pt>
                <c:pt idx="4">
                  <c:v>374499</c:v>
                </c:pt>
                <c:pt idx="5">
                  <c:v>437942</c:v>
                </c:pt>
                <c:pt idx="6">
                  <c:v>479154</c:v>
                </c:pt>
                <c:pt idx="7">
                  <c:v>493505</c:v>
                </c:pt>
                <c:pt idx="8">
                  <c:v>506246</c:v>
                </c:pt>
                <c:pt idx="9">
                  <c:v>518498</c:v>
                </c:pt>
              </c:numCache>
            </c:numRef>
          </c:val>
          <c:smooth val="0"/>
        </c:ser>
        <c:ser>
          <c:idx val="3"/>
          <c:order val="3"/>
          <c:tx>
            <c:strRef>
              <c:f>'Data scripts by drug'!$E$3:$E$4</c:f>
              <c:strCache>
                <c:ptCount val="1"/>
                <c:pt idx="0">
                  <c:v>CARBOMER 980</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drug'!$E$5:$E$15</c:f>
              <c:numCache>
                <c:formatCode>General</c:formatCode>
                <c:ptCount val="10"/>
                <c:pt idx="0">
                  <c:v>236617</c:v>
                </c:pt>
                <c:pt idx="1">
                  <c:v>228739</c:v>
                </c:pt>
                <c:pt idx="2">
                  <c:v>204956</c:v>
                </c:pt>
                <c:pt idx="3">
                  <c:v>190710</c:v>
                </c:pt>
                <c:pt idx="4">
                  <c:v>177059</c:v>
                </c:pt>
                <c:pt idx="5">
                  <c:v>165400</c:v>
                </c:pt>
                <c:pt idx="6">
                  <c:v>153979</c:v>
                </c:pt>
                <c:pt idx="7">
                  <c:v>142005</c:v>
                </c:pt>
                <c:pt idx="8">
                  <c:v>131889</c:v>
                </c:pt>
                <c:pt idx="9">
                  <c:v>123781</c:v>
                </c:pt>
              </c:numCache>
            </c:numRef>
          </c:val>
          <c:smooth val="0"/>
        </c:ser>
        <c:ser>
          <c:idx val="4"/>
          <c:order val="4"/>
          <c:tx>
            <c:strRef>
              <c:f>'Data scripts by drug'!$F$3:$F$4</c:f>
              <c:strCache>
                <c:ptCount val="1"/>
                <c:pt idx="0">
                  <c:v>PARAFFIN</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drug'!$F$5:$F$15</c:f>
              <c:numCache>
                <c:formatCode>General</c:formatCode>
                <c:ptCount val="10"/>
                <c:pt idx="0">
                  <c:v>164782</c:v>
                </c:pt>
                <c:pt idx="1">
                  <c:v>175312</c:v>
                </c:pt>
                <c:pt idx="2">
                  <c:v>172875</c:v>
                </c:pt>
                <c:pt idx="3">
                  <c:v>170261</c:v>
                </c:pt>
                <c:pt idx="4">
                  <c:v>173105</c:v>
                </c:pt>
                <c:pt idx="5">
                  <c:v>171326</c:v>
                </c:pt>
                <c:pt idx="6">
                  <c:v>173467</c:v>
                </c:pt>
                <c:pt idx="7">
                  <c:v>176258</c:v>
                </c:pt>
                <c:pt idx="8">
                  <c:v>180173</c:v>
                </c:pt>
                <c:pt idx="9">
                  <c:v>176987</c:v>
                </c:pt>
              </c:numCache>
            </c:numRef>
          </c:val>
          <c:smooth val="0"/>
        </c:ser>
        <c:ser>
          <c:idx val="5"/>
          <c:order val="5"/>
          <c:tx>
            <c:strRef>
              <c:f>'Data scripts by drug'!$G$3:$G$4</c:f>
              <c:strCache>
                <c:ptCount val="1"/>
                <c:pt idx="0">
                  <c:v>POLYVINYL ALCOHOL</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drug'!$G$5:$G$15</c:f>
              <c:numCache>
                <c:formatCode>General</c:formatCode>
                <c:ptCount val="10"/>
                <c:pt idx="0">
                  <c:v>235795</c:v>
                </c:pt>
                <c:pt idx="1">
                  <c:v>221181</c:v>
                </c:pt>
                <c:pt idx="2">
                  <c:v>192344</c:v>
                </c:pt>
                <c:pt idx="3">
                  <c:v>166543</c:v>
                </c:pt>
                <c:pt idx="4">
                  <c:v>146463</c:v>
                </c:pt>
                <c:pt idx="5">
                  <c:v>128741</c:v>
                </c:pt>
                <c:pt idx="6">
                  <c:v>115116</c:v>
                </c:pt>
                <c:pt idx="7">
                  <c:v>103249</c:v>
                </c:pt>
                <c:pt idx="8">
                  <c:v>92319</c:v>
                </c:pt>
                <c:pt idx="9">
                  <c:v>83908</c:v>
                </c:pt>
              </c:numCache>
            </c:numRef>
          </c:val>
          <c:smooth val="0"/>
        </c:ser>
        <c:ser>
          <c:idx val="6"/>
          <c:order val="6"/>
          <c:tx>
            <c:strRef>
              <c:f>'Data scripts by drug'!$H$3:$H$4</c:f>
              <c:strCache>
                <c:ptCount val="1"/>
                <c:pt idx="0">
                  <c:v>HYPROMELLOSE with CARBOMER 980</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drug'!$H$5:$H$15</c:f>
              <c:numCache>
                <c:formatCode>General</c:formatCode>
                <c:ptCount val="10"/>
                <c:pt idx="0">
                  <c:v>56096</c:v>
                </c:pt>
                <c:pt idx="1">
                  <c:v>74334</c:v>
                </c:pt>
                <c:pt idx="2">
                  <c:v>87792</c:v>
                </c:pt>
                <c:pt idx="3">
                  <c:v>96761</c:v>
                </c:pt>
                <c:pt idx="4">
                  <c:v>108459</c:v>
                </c:pt>
                <c:pt idx="5">
                  <c:v>117413</c:v>
                </c:pt>
                <c:pt idx="6">
                  <c:v>127398</c:v>
                </c:pt>
                <c:pt idx="7">
                  <c:v>134261</c:v>
                </c:pt>
                <c:pt idx="8">
                  <c:v>135258</c:v>
                </c:pt>
                <c:pt idx="9">
                  <c:v>137222</c:v>
                </c:pt>
              </c:numCache>
            </c:numRef>
          </c:val>
          <c:smooth val="0"/>
        </c:ser>
        <c:ser>
          <c:idx val="7"/>
          <c:order val="7"/>
          <c:tx>
            <c:strRef>
              <c:f>'Data scripts by drug'!$I$3:$I$4</c:f>
              <c:strCache>
                <c:ptCount val="1"/>
                <c:pt idx="0">
                  <c:v>HYPROMELLOSE with DEXTRAN</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drug'!$I$5:$I$15</c:f>
              <c:numCache>
                <c:formatCode>General</c:formatCode>
                <c:ptCount val="10"/>
                <c:pt idx="0">
                  <c:v>39290</c:v>
                </c:pt>
                <c:pt idx="1">
                  <c:v>44351</c:v>
                </c:pt>
                <c:pt idx="2">
                  <c:v>46305</c:v>
                </c:pt>
                <c:pt idx="3">
                  <c:v>48659</c:v>
                </c:pt>
                <c:pt idx="4">
                  <c:v>53139</c:v>
                </c:pt>
                <c:pt idx="5">
                  <c:v>62081</c:v>
                </c:pt>
                <c:pt idx="6">
                  <c:v>84561</c:v>
                </c:pt>
                <c:pt idx="7">
                  <c:v>99450</c:v>
                </c:pt>
                <c:pt idx="8">
                  <c:v>108183</c:v>
                </c:pt>
                <c:pt idx="9">
                  <c:v>119720</c:v>
                </c:pt>
              </c:numCache>
            </c:numRef>
          </c:val>
          <c:smooth val="0"/>
        </c:ser>
        <c:ser>
          <c:idx val="8"/>
          <c:order val="8"/>
          <c:tx>
            <c:strRef>
              <c:f>'Data scripts by drug'!$J$3:$J$4</c:f>
              <c:strCache>
                <c:ptCount val="1"/>
                <c:pt idx="0">
                  <c:v>CARMELLOSE SODIUM with GLYCERIN</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drug'!$J$5:$J$15</c:f>
              <c:numCache>
                <c:formatCode>General</c:formatCode>
                <c:ptCount val="10"/>
                <c:pt idx="5">
                  <c:v>1080</c:v>
                </c:pt>
                <c:pt idx="6">
                  <c:v>43030</c:v>
                </c:pt>
                <c:pt idx="7">
                  <c:v>74085</c:v>
                </c:pt>
                <c:pt idx="8">
                  <c:v>101400</c:v>
                </c:pt>
                <c:pt idx="9">
                  <c:v>125770</c:v>
                </c:pt>
              </c:numCache>
            </c:numRef>
          </c:val>
          <c:smooth val="0"/>
        </c:ser>
        <c:ser>
          <c:idx val="9"/>
          <c:order val="9"/>
          <c:tx>
            <c:strRef>
              <c:f>'Data scripts by drug'!$K$3:$K$4</c:f>
              <c:strCache>
                <c:ptCount val="1"/>
                <c:pt idx="0">
                  <c:v>POLYVINYL ALCOHOL with POVIDONE</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drug'!$K$5:$K$15</c:f>
              <c:numCache>
                <c:formatCode>General</c:formatCode>
                <c:ptCount val="10"/>
                <c:pt idx="0">
                  <c:v>192444</c:v>
                </c:pt>
                <c:pt idx="1">
                  <c:v>103768</c:v>
                </c:pt>
                <c:pt idx="2">
                  <c:v>111</c:v>
                </c:pt>
              </c:numCache>
            </c:numRef>
          </c:val>
          <c:smooth val="0"/>
        </c:ser>
        <c:ser>
          <c:idx val="10"/>
          <c:order val="10"/>
          <c:tx>
            <c:strRef>
              <c:f>'Data scripts by drug'!$L$3:$L$4</c:f>
              <c:strCache>
                <c:ptCount val="1"/>
                <c:pt idx="0">
                  <c:v>SOY LECITHIN</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drug'!$L$5:$L$15</c:f>
              <c:numCache>
                <c:formatCode>General</c:formatCode>
                <c:ptCount val="10"/>
                <c:pt idx="6">
                  <c:v>982</c:v>
                </c:pt>
                <c:pt idx="7">
                  <c:v>4783</c:v>
                </c:pt>
                <c:pt idx="8">
                  <c:v>6349</c:v>
                </c:pt>
                <c:pt idx="9">
                  <c:v>6521</c:v>
                </c:pt>
              </c:numCache>
            </c:numRef>
          </c:val>
          <c:smooth val="0"/>
        </c:ser>
        <c:ser>
          <c:idx val="11"/>
          <c:order val="11"/>
          <c:tx>
            <c:strRef>
              <c:f>'Data scripts by drug'!$M$3:$M$4</c:f>
              <c:strCache>
                <c:ptCount val="1"/>
                <c:pt idx="0">
                  <c:v>HYDROXYPROPYLCELLULOSE</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drug'!$M$5:$M$15</c:f>
              <c:numCache>
                <c:formatCode>General</c:formatCode>
                <c:ptCount val="10"/>
                <c:pt idx="0">
                  <c:v>1462</c:v>
                </c:pt>
                <c:pt idx="1">
                  <c:v>1329</c:v>
                </c:pt>
                <c:pt idx="2">
                  <c:v>1083</c:v>
                </c:pt>
                <c:pt idx="3">
                  <c:v>102</c:v>
                </c:pt>
              </c:numCache>
            </c:numRef>
          </c:val>
          <c:smooth val="0"/>
        </c:ser>
        <c:ser>
          <c:idx val="12"/>
          <c:order val="12"/>
          <c:tx>
            <c:strRef>
              <c:f>'Data scripts by drug'!$N$3:$N$4</c:f>
              <c:strCache>
                <c:ptCount val="1"/>
                <c:pt idx="0">
                  <c:v>TAMARINDUS INDICA SEED POLYSACCHARIDE</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drug'!$N$5:$N$15</c:f>
              <c:numCache>
                <c:formatCode>General</c:formatCode>
                <c:ptCount val="10"/>
                <c:pt idx="4">
                  <c:v>17</c:v>
                </c:pt>
                <c:pt idx="5">
                  <c:v>792</c:v>
                </c:pt>
                <c:pt idx="6">
                  <c:v>855</c:v>
                </c:pt>
              </c:numCache>
            </c:numRef>
          </c:val>
          <c:smooth val="0"/>
        </c:ser>
        <c:ser>
          <c:idx val="13"/>
          <c:order val="13"/>
          <c:tx>
            <c:strRef>
              <c:f>'Data scripts by drug'!$O$3:$O$4</c:f>
              <c:strCache>
                <c:ptCount val="1"/>
                <c:pt idx="0">
                  <c:v>CARBOMER with TRIGLYCERIDE LIPIDS</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drug'!$O$5:$O$15</c:f>
              <c:numCache>
                <c:formatCode>General</c:formatCode>
                <c:ptCount val="10"/>
                <c:pt idx="9">
                  <c:v>278</c:v>
                </c:pt>
              </c:numCache>
            </c:numRef>
          </c:val>
          <c:smooth val="0"/>
        </c:ser>
        <c:ser>
          <c:idx val="14"/>
          <c:order val="14"/>
          <c:tx>
            <c:strRef>
              <c:f>'Data scripts by drug'!$P$3:$P$4</c:f>
              <c:strCache>
                <c:ptCount val="1"/>
                <c:pt idx="0">
                  <c:v>HYALURONIC ACID</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drug'!$P$5:$P$15</c:f>
              <c:numCache>
                <c:formatCode>General</c:formatCode>
                <c:ptCount val="10"/>
                <c:pt idx="9">
                  <c:v>172</c:v>
                </c:pt>
              </c:numCache>
            </c:numRef>
          </c:val>
          <c:smooth val="0"/>
        </c:ser>
        <c:ser>
          <c:idx val="15"/>
          <c:order val="15"/>
          <c:tx>
            <c:strRef>
              <c:f>'Data scripts by drug'!$Q$3:$Q$4</c:f>
              <c:strCache>
                <c:ptCount val="1"/>
                <c:pt idx="0">
                  <c:v>MEDRYSONE</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drug'!$Q$5:$Q$15</c:f>
              <c:numCache>
                <c:formatCode>General</c:formatCode>
                <c:ptCount val="10"/>
                <c:pt idx="0">
                  <c:v>20</c:v>
                </c:pt>
              </c:numCache>
            </c:numRef>
          </c:val>
          <c:smooth val="0"/>
        </c:ser>
        <c:ser>
          <c:idx val="16"/>
          <c:order val="16"/>
          <c:tx>
            <c:strRef>
              <c:f>'Data scripts by drug'!$R$3:$R$4</c:f>
              <c:strCache>
                <c:ptCount val="1"/>
                <c:pt idx="0">
                  <c:v>SODIUM CHLORIDE</c:v>
                </c:pt>
              </c:strCache>
            </c:strRef>
          </c:tx>
          <c:cat>
            <c:strRef>
              <c:f>'Data scripts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scripts by drug'!$R$5:$R$15</c:f>
              <c:numCache>
                <c:formatCode>General</c:formatCode>
                <c:ptCount val="10"/>
                <c:pt idx="5">
                  <c:v>11</c:v>
                </c:pt>
              </c:numCache>
            </c:numRef>
          </c:val>
          <c:smooth val="0"/>
        </c:ser>
        <c:dLbls>
          <c:showLegendKey val="0"/>
          <c:showVal val="0"/>
          <c:showCatName val="0"/>
          <c:showSerName val="0"/>
          <c:showPercent val="0"/>
          <c:showBubbleSize val="0"/>
        </c:dLbls>
        <c:marker val="1"/>
        <c:smooth val="0"/>
        <c:axId val="157070848"/>
        <c:axId val="157072384"/>
      </c:lineChart>
      <c:catAx>
        <c:axId val="157070848"/>
        <c:scaling>
          <c:orientation val="minMax"/>
        </c:scaling>
        <c:delete val="0"/>
        <c:axPos val="b"/>
        <c:majorTickMark val="none"/>
        <c:minorTickMark val="none"/>
        <c:tickLblPos val="low"/>
        <c:crossAx val="157072384"/>
        <c:crossesAt val="2000000"/>
        <c:auto val="1"/>
        <c:lblAlgn val="ctr"/>
        <c:lblOffset val="100"/>
        <c:noMultiLvlLbl val="0"/>
      </c:catAx>
      <c:valAx>
        <c:axId val="157072384"/>
        <c:scaling>
          <c:orientation val="minMax"/>
          <c:max val="1000000"/>
        </c:scaling>
        <c:delete val="0"/>
        <c:axPos val="l"/>
        <c:majorGridlines/>
        <c:numFmt formatCode="#,##0" sourceLinked="0"/>
        <c:majorTickMark val="none"/>
        <c:minorTickMark val="none"/>
        <c:tickLblPos val="low"/>
        <c:crossAx val="157070848"/>
        <c:crosses val="autoZero"/>
        <c:crossBetween val="between"/>
      </c:valAx>
    </c:plotArea>
    <c:legend>
      <c:legendPos val="r"/>
      <c:layout>
        <c:manualLayout>
          <c:xMode val="edge"/>
          <c:yMode val="edge"/>
          <c:x val="0.6867228615653812"/>
          <c:y val="1.6040771769812612E-2"/>
          <c:w val="0.29275624200821049"/>
          <c:h val="0.9820402679361554"/>
        </c:manualLayout>
      </c:layout>
      <c:overlay val="0"/>
      <c:txPr>
        <a:bodyPr/>
        <a:lstStyle/>
        <a:p>
          <a:pPr>
            <a:defRPr sz="8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v3 - add LBL data c DUSC DB drug names.xlsx]Data no. scripts by pat cat!PivotTable2</c:name>
    <c:fmtId val="75"/>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marker>
          <c:symbol val="none"/>
        </c:marker>
      </c:pivotFmt>
      <c:pivotFmt>
        <c:idx val="230"/>
        <c:marker>
          <c:symbol val="none"/>
        </c:marker>
      </c:pivotFmt>
      <c:pivotFmt>
        <c:idx val="231"/>
        <c:marker>
          <c:symbol val="none"/>
        </c:marker>
      </c:pivotFmt>
      <c:pivotFmt>
        <c:idx val="232"/>
        <c:marker>
          <c:symbol val="none"/>
        </c:marker>
      </c:pivotFmt>
      <c:pivotFmt>
        <c:idx val="233"/>
        <c:spPr>
          <a:ln w="25400">
            <a:noFill/>
          </a:ln>
        </c:spPr>
        <c:marker>
          <c:symbol val="none"/>
        </c:marker>
      </c:pivotFmt>
      <c:pivotFmt>
        <c:idx val="234"/>
        <c:marker>
          <c:symbol val="none"/>
        </c:marker>
      </c:pivotFmt>
      <c:pivotFmt>
        <c:idx val="235"/>
        <c:marker>
          <c:symbol val="none"/>
        </c:marker>
      </c:pivotFmt>
      <c:pivotFmt>
        <c:idx val="236"/>
        <c:marker>
          <c:symbol val="none"/>
        </c:marker>
      </c:pivotFmt>
      <c:pivotFmt>
        <c:idx val="237"/>
        <c:marker>
          <c:symbol val="none"/>
        </c:marker>
      </c:pivotFmt>
      <c:pivotFmt>
        <c:idx val="238"/>
        <c:marker>
          <c:symbol val="none"/>
        </c:marker>
      </c:pivotFmt>
      <c:pivotFmt>
        <c:idx val="239"/>
        <c:marker>
          <c:symbol val="none"/>
        </c:marker>
      </c:pivotFmt>
      <c:pivotFmt>
        <c:idx val="240"/>
        <c:marker>
          <c:symbol val="none"/>
        </c:marker>
      </c:pivotFmt>
      <c:pivotFmt>
        <c:idx val="241"/>
        <c:marker>
          <c:symbol val="none"/>
        </c:marker>
      </c:pivotFmt>
    </c:pivotFmts>
    <c:plotArea>
      <c:layout/>
      <c:areaChart>
        <c:grouping val="stacked"/>
        <c:varyColors val="0"/>
        <c:ser>
          <c:idx val="0"/>
          <c:order val="0"/>
          <c:tx>
            <c:strRef>
              <c:f>'Data no. scripts by pat cat'!$B$3:$B$4</c:f>
              <c:strCache>
                <c:ptCount val="1"/>
                <c:pt idx="0">
                  <c:v>PBS/RPBS</c:v>
                </c:pt>
              </c:strCache>
            </c:strRef>
          </c:tx>
          <c:cat>
            <c:strRef>
              <c:f>'Data no. scripts by pat cat'!$A$5:$A$15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no. scripts by pat cat'!$B$5:$B$15</c:f>
              <c:numCache>
                <c:formatCode>General</c:formatCode>
                <c:ptCount val="10"/>
                <c:pt idx="0">
                  <c:v>2150630</c:v>
                </c:pt>
                <c:pt idx="1">
                  <c:v>2323025</c:v>
                </c:pt>
                <c:pt idx="2">
                  <c:v>2364326</c:v>
                </c:pt>
                <c:pt idx="3">
                  <c:v>2382742</c:v>
                </c:pt>
                <c:pt idx="4">
                  <c:v>2448416</c:v>
                </c:pt>
                <c:pt idx="5">
                  <c:v>2458973</c:v>
                </c:pt>
                <c:pt idx="6">
                  <c:v>2465515</c:v>
                </c:pt>
                <c:pt idx="7">
                  <c:v>2438857</c:v>
                </c:pt>
                <c:pt idx="8">
                  <c:v>2407443</c:v>
                </c:pt>
                <c:pt idx="9">
                  <c:v>2386538</c:v>
                </c:pt>
              </c:numCache>
            </c:numRef>
          </c:val>
        </c:ser>
        <c:ser>
          <c:idx val="1"/>
          <c:order val="1"/>
          <c:tx>
            <c:strRef>
              <c:f>'Data no. scripts by pat cat'!$C$3:$C$4</c:f>
              <c:strCache>
                <c:ptCount val="1"/>
                <c:pt idx="0">
                  <c:v>Under co-payment estimate</c:v>
                </c:pt>
              </c:strCache>
            </c:strRef>
          </c:tx>
          <c:cat>
            <c:strRef>
              <c:f>'Data no. scripts by pat cat'!$A$5:$A$15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no. scripts by pat cat'!$C$5:$C$15</c:f>
              <c:numCache>
                <c:formatCode>General</c:formatCode>
                <c:ptCount val="10"/>
                <c:pt idx="0">
                  <c:v>30243</c:v>
                </c:pt>
                <c:pt idx="1">
                  <c:v>35158</c:v>
                </c:pt>
                <c:pt idx="2">
                  <c:v>32516</c:v>
                </c:pt>
                <c:pt idx="3">
                  <c:v>34782</c:v>
                </c:pt>
                <c:pt idx="4">
                  <c:v>44975</c:v>
                </c:pt>
                <c:pt idx="5">
                  <c:v>45950</c:v>
                </c:pt>
                <c:pt idx="6">
                  <c:v>52185</c:v>
                </c:pt>
                <c:pt idx="7">
                  <c:v>50383</c:v>
                </c:pt>
                <c:pt idx="8">
                  <c:v>55031</c:v>
                </c:pt>
                <c:pt idx="9">
                  <c:v>17406</c:v>
                </c:pt>
              </c:numCache>
            </c:numRef>
          </c:val>
        </c:ser>
        <c:ser>
          <c:idx val="2"/>
          <c:order val="2"/>
          <c:tx>
            <c:strRef>
              <c:f>'Data no. scripts by pat cat'!$D$3:$D$4</c:f>
              <c:strCache>
                <c:ptCount val="1"/>
                <c:pt idx="0">
                  <c:v>Private estimate</c:v>
                </c:pt>
              </c:strCache>
            </c:strRef>
          </c:tx>
          <c:cat>
            <c:strRef>
              <c:f>'Data no. scripts by pat cat'!$A$5:$A$15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no. scripts by pat cat'!$D$5:$D$15</c:f>
              <c:numCache>
                <c:formatCode>General</c:formatCode>
                <c:ptCount val="10"/>
                <c:pt idx="0">
                  <c:v>6248</c:v>
                </c:pt>
                <c:pt idx="1">
                  <c:v>16028</c:v>
                </c:pt>
                <c:pt idx="2">
                  <c:v>8706</c:v>
                </c:pt>
                <c:pt idx="3">
                  <c:v>8643</c:v>
                </c:pt>
                <c:pt idx="4">
                  <c:v>10854</c:v>
                </c:pt>
                <c:pt idx="5">
                  <c:v>10262</c:v>
                </c:pt>
                <c:pt idx="6">
                  <c:v>11066</c:v>
                </c:pt>
                <c:pt idx="7">
                  <c:v>12533</c:v>
                </c:pt>
                <c:pt idx="8">
                  <c:v>12996</c:v>
                </c:pt>
                <c:pt idx="9">
                  <c:v>8619</c:v>
                </c:pt>
              </c:numCache>
            </c:numRef>
          </c:val>
        </c:ser>
        <c:ser>
          <c:idx val="3"/>
          <c:order val="3"/>
          <c:tx>
            <c:strRef>
              <c:f>'Data no. scripts by pat cat'!$E$3:$E$4</c:f>
              <c:strCache>
                <c:ptCount val="1"/>
                <c:pt idx="0">
                  <c:v>Under co-payment medicare</c:v>
                </c:pt>
              </c:strCache>
            </c:strRef>
          </c:tx>
          <c:cat>
            <c:strRef>
              <c:f>'Data no. scripts by pat cat'!$A$5:$A$15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no. scripts by pat cat'!$E$5:$E$15</c:f>
              <c:numCache>
                <c:formatCode>General</c:formatCode>
                <c:ptCount val="10"/>
                <c:pt idx="9">
                  <c:v>44258</c:v>
                </c:pt>
              </c:numCache>
            </c:numRef>
          </c:val>
        </c:ser>
        <c:dLbls>
          <c:showLegendKey val="0"/>
          <c:showVal val="0"/>
          <c:showCatName val="0"/>
          <c:showSerName val="0"/>
          <c:showPercent val="0"/>
          <c:showBubbleSize val="0"/>
        </c:dLbls>
        <c:axId val="157263360"/>
        <c:axId val="157264896"/>
      </c:areaChart>
      <c:catAx>
        <c:axId val="157263360"/>
        <c:scaling>
          <c:orientation val="minMax"/>
        </c:scaling>
        <c:delete val="0"/>
        <c:axPos val="b"/>
        <c:majorTickMark val="none"/>
        <c:minorTickMark val="none"/>
        <c:tickLblPos val="nextTo"/>
        <c:crossAx val="157264896"/>
        <c:crosses val="autoZero"/>
        <c:auto val="1"/>
        <c:lblAlgn val="ctr"/>
        <c:lblOffset val="100"/>
        <c:noMultiLvlLbl val="0"/>
      </c:catAx>
      <c:valAx>
        <c:axId val="157264896"/>
        <c:scaling>
          <c:orientation val="minMax"/>
          <c:min val="0"/>
        </c:scaling>
        <c:delete val="0"/>
        <c:axPos val="l"/>
        <c:majorGridlines/>
        <c:numFmt formatCode="#,##0" sourceLinked="0"/>
        <c:majorTickMark val="none"/>
        <c:minorTickMark val="none"/>
        <c:tickLblPos val="nextTo"/>
        <c:crossAx val="157263360"/>
        <c:crosses val="autoZero"/>
        <c:crossBetween val="midCat"/>
      </c:valAx>
    </c:plotArea>
    <c:legend>
      <c:legendPos val="b"/>
      <c:layout/>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v3 - add LBL data c DUSC DB drug names.xlsx]Data no. scripts C&amp;G!PivotTable2</c:name>
    <c:fmtId val="82"/>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marker>
          <c:symbol val="none"/>
        </c:marker>
      </c:pivotFmt>
      <c:pivotFmt>
        <c:idx val="230"/>
        <c:marker>
          <c:symbol val="none"/>
        </c:marker>
      </c:pivotFmt>
      <c:pivotFmt>
        <c:idx val="231"/>
        <c:marker>
          <c:symbol val="none"/>
        </c:marker>
      </c:pivotFmt>
      <c:pivotFmt>
        <c:idx val="232"/>
        <c:marker>
          <c:symbol val="none"/>
        </c:marker>
      </c:pivotFmt>
      <c:pivotFmt>
        <c:idx val="233"/>
        <c:spPr>
          <a:ln w="25400">
            <a:noFill/>
          </a:ln>
        </c:spPr>
        <c:marker>
          <c:symbol val="none"/>
        </c:marker>
      </c:pivotFmt>
      <c:pivotFmt>
        <c:idx val="234"/>
        <c:marker>
          <c:symbol val="none"/>
        </c:marker>
      </c:pivotFmt>
      <c:pivotFmt>
        <c:idx val="235"/>
        <c:marker>
          <c:symbol val="none"/>
        </c:marker>
      </c:pivotFmt>
      <c:pivotFmt>
        <c:idx val="236"/>
        <c:marker>
          <c:symbol val="none"/>
        </c:marker>
      </c:pivotFmt>
      <c:pivotFmt>
        <c:idx val="237"/>
        <c:marker>
          <c:symbol val="none"/>
        </c:marker>
      </c:pivotFmt>
      <c:pivotFmt>
        <c:idx val="238"/>
        <c:marker>
          <c:symbol val="none"/>
        </c:marker>
      </c:pivotFmt>
      <c:pivotFmt>
        <c:idx val="239"/>
        <c:marker>
          <c:symbol val="none"/>
        </c:marker>
      </c:pivotFmt>
      <c:pivotFmt>
        <c:idx val="240"/>
        <c:marker>
          <c:symbol val="none"/>
        </c:marker>
      </c:pivotFmt>
    </c:pivotFmts>
    <c:plotArea>
      <c:layout/>
      <c:barChart>
        <c:barDir val="col"/>
        <c:grouping val="clustered"/>
        <c:varyColors val="0"/>
        <c:ser>
          <c:idx val="0"/>
          <c:order val="0"/>
          <c:tx>
            <c:strRef>
              <c:f>'Data no. scripts C&amp;G'!$C$3:$C$4</c:f>
              <c:strCache>
                <c:ptCount val="1"/>
                <c:pt idx="0">
                  <c:v>Total</c:v>
                </c:pt>
              </c:strCache>
            </c:strRef>
          </c:tx>
          <c:invertIfNegative val="0"/>
          <c:cat>
            <c:multiLvlStrRef>
              <c:f>'Data no. scripts C&amp;G'!$A$5:$B$55</c:f>
              <c:multiLvlStrCache>
                <c:ptCount val="50"/>
                <c:lvl>
                  <c:pt idx="0">
                    <c:v>2003</c:v>
                  </c:pt>
                  <c:pt idx="1">
                    <c:v>2004</c:v>
                  </c:pt>
                  <c:pt idx="2">
                    <c:v>2005</c:v>
                  </c:pt>
                  <c:pt idx="3">
                    <c:v>2006</c:v>
                  </c:pt>
                  <c:pt idx="4">
                    <c:v>2007</c:v>
                  </c:pt>
                  <c:pt idx="5">
                    <c:v>2008</c:v>
                  </c:pt>
                  <c:pt idx="6">
                    <c:v>2009</c:v>
                  </c:pt>
                  <c:pt idx="7">
                    <c:v>2010</c:v>
                  </c:pt>
                  <c:pt idx="8">
                    <c:v>2011</c:v>
                  </c:pt>
                  <c:pt idx="9">
                    <c:v>2012</c:v>
                  </c:pt>
                  <c:pt idx="10">
                    <c:v>2003</c:v>
                  </c:pt>
                  <c:pt idx="11">
                    <c:v>2004</c:v>
                  </c:pt>
                  <c:pt idx="12">
                    <c:v>2005</c:v>
                  </c:pt>
                  <c:pt idx="13">
                    <c:v>2006</c:v>
                  </c:pt>
                  <c:pt idx="14">
                    <c:v>2007</c:v>
                  </c:pt>
                  <c:pt idx="15">
                    <c:v>2008</c:v>
                  </c:pt>
                  <c:pt idx="16">
                    <c:v>2009</c:v>
                  </c:pt>
                  <c:pt idx="17">
                    <c:v>2010</c:v>
                  </c:pt>
                  <c:pt idx="18">
                    <c:v>2011</c:v>
                  </c:pt>
                  <c:pt idx="19">
                    <c:v>2012</c:v>
                  </c:pt>
                  <c:pt idx="20">
                    <c:v>2003</c:v>
                  </c:pt>
                  <c:pt idx="21">
                    <c:v>2004</c:v>
                  </c:pt>
                  <c:pt idx="22">
                    <c:v>2005</c:v>
                  </c:pt>
                  <c:pt idx="23">
                    <c:v>2006</c:v>
                  </c:pt>
                  <c:pt idx="24">
                    <c:v>2007</c:v>
                  </c:pt>
                  <c:pt idx="25">
                    <c:v>2008</c:v>
                  </c:pt>
                  <c:pt idx="26">
                    <c:v>2009</c:v>
                  </c:pt>
                  <c:pt idx="27">
                    <c:v>2010</c:v>
                  </c:pt>
                  <c:pt idx="28">
                    <c:v>2011</c:v>
                  </c:pt>
                  <c:pt idx="29">
                    <c:v>2012</c:v>
                  </c:pt>
                  <c:pt idx="30">
                    <c:v>2003</c:v>
                  </c:pt>
                  <c:pt idx="31">
                    <c:v>2004</c:v>
                  </c:pt>
                  <c:pt idx="32">
                    <c:v>2005</c:v>
                  </c:pt>
                  <c:pt idx="33">
                    <c:v>2006</c:v>
                  </c:pt>
                  <c:pt idx="34">
                    <c:v>2007</c:v>
                  </c:pt>
                  <c:pt idx="35">
                    <c:v>2008</c:v>
                  </c:pt>
                  <c:pt idx="36">
                    <c:v>2009</c:v>
                  </c:pt>
                  <c:pt idx="37">
                    <c:v>2010</c:v>
                  </c:pt>
                  <c:pt idx="38">
                    <c:v>2011</c:v>
                  </c:pt>
                  <c:pt idx="39">
                    <c:v>2012</c:v>
                  </c:pt>
                  <c:pt idx="40">
                    <c:v>2003</c:v>
                  </c:pt>
                  <c:pt idx="41">
                    <c:v>2004</c:v>
                  </c:pt>
                  <c:pt idx="42">
                    <c:v>2005</c:v>
                  </c:pt>
                  <c:pt idx="43">
                    <c:v>2006</c:v>
                  </c:pt>
                  <c:pt idx="44">
                    <c:v>2007</c:v>
                  </c:pt>
                  <c:pt idx="45">
                    <c:v>2008</c:v>
                  </c:pt>
                  <c:pt idx="46">
                    <c:v>2009</c:v>
                  </c:pt>
                  <c:pt idx="47">
                    <c:v>2010</c:v>
                  </c:pt>
                  <c:pt idx="48">
                    <c:v>2011</c:v>
                  </c:pt>
                  <c:pt idx="49">
                    <c:v>2012</c:v>
                  </c:pt>
                </c:lvl>
                <c:lvl>
                  <c:pt idx="0">
                    <c:v>Concessional</c:v>
                  </c:pt>
                  <c:pt idx="10">
                    <c:v>RPBS</c:v>
                  </c:pt>
                  <c:pt idx="20">
                    <c:v>General</c:v>
                  </c:pt>
                  <c:pt idx="30">
                    <c:v>Under co-payment</c:v>
                  </c:pt>
                  <c:pt idx="40">
                    <c:v>Private</c:v>
                  </c:pt>
                </c:lvl>
              </c:multiLvlStrCache>
            </c:multiLvlStrRef>
          </c:cat>
          <c:val>
            <c:numRef>
              <c:f>'Data no. scripts C&amp;G'!$C$5:$C$55</c:f>
              <c:numCache>
                <c:formatCode>General</c:formatCode>
                <c:ptCount val="50"/>
                <c:pt idx="0">
                  <c:v>1798163</c:v>
                </c:pt>
                <c:pt idx="1">
                  <c:v>1943906</c:v>
                </c:pt>
                <c:pt idx="2">
                  <c:v>1983443</c:v>
                </c:pt>
                <c:pt idx="3">
                  <c:v>2005171</c:v>
                </c:pt>
                <c:pt idx="4">
                  <c:v>2071420</c:v>
                </c:pt>
                <c:pt idx="5">
                  <c:v>2090547</c:v>
                </c:pt>
                <c:pt idx="6">
                  <c:v>2107871</c:v>
                </c:pt>
                <c:pt idx="7">
                  <c:v>2093415</c:v>
                </c:pt>
                <c:pt idx="8">
                  <c:v>2083092</c:v>
                </c:pt>
                <c:pt idx="9">
                  <c:v>2086385</c:v>
                </c:pt>
                <c:pt idx="10">
                  <c:v>316826</c:v>
                </c:pt>
                <c:pt idx="11">
                  <c:v>339154</c:v>
                </c:pt>
                <c:pt idx="12">
                  <c:v>341731</c:v>
                </c:pt>
                <c:pt idx="13">
                  <c:v>340857</c:v>
                </c:pt>
                <c:pt idx="14">
                  <c:v>339701</c:v>
                </c:pt>
                <c:pt idx="15">
                  <c:v>325493</c:v>
                </c:pt>
                <c:pt idx="16">
                  <c:v>315668</c:v>
                </c:pt>
                <c:pt idx="17">
                  <c:v>300439</c:v>
                </c:pt>
                <c:pt idx="18">
                  <c:v>280478</c:v>
                </c:pt>
                <c:pt idx="19">
                  <c:v>263402</c:v>
                </c:pt>
                <c:pt idx="20">
                  <c:v>35641</c:v>
                </c:pt>
                <c:pt idx="21">
                  <c:v>39965</c:v>
                </c:pt>
                <c:pt idx="22">
                  <c:v>39152</c:v>
                </c:pt>
                <c:pt idx="23">
                  <c:v>36714</c:v>
                </c:pt>
                <c:pt idx="24">
                  <c:v>37295</c:v>
                </c:pt>
                <c:pt idx="25">
                  <c:v>42933</c:v>
                </c:pt>
                <c:pt idx="26">
                  <c:v>41976</c:v>
                </c:pt>
                <c:pt idx="27">
                  <c:v>45003</c:v>
                </c:pt>
                <c:pt idx="28">
                  <c:v>43873</c:v>
                </c:pt>
                <c:pt idx="29">
                  <c:v>36751</c:v>
                </c:pt>
                <c:pt idx="30">
                  <c:v>30243</c:v>
                </c:pt>
                <c:pt idx="31">
                  <c:v>35158</c:v>
                </c:pt>
                <c:pt idx="32">
                  <c:v>32516</c:v>
                </c:pt>
                <c:pt idx="33">
                  <c:v>34782</c:v>
                </c:pt>
                <c:pt idx="34">
                  <c:v>44975</c:v>
                </c:pt>
                <c:pt idx="35">
                  <c:v>45950</c:v>
                </c:pt>
                <c:pt idx="36">
                  <c:v>52185</c:v>
                </c:pt>
                <c:pt idx="37">
                  <c:v>50432</c:v>
                </c:pt>
                <c:pt idx="38">
                  <c:v>55228</c:v>
                </c:pt>
                <c:pt idx="39">
                  <c:v>61926</c:v>
                </c:pt>
                <c:pt idx="40">
                  <c:v>6248</c:v>
                </c:pt>
                <c:pt idx="41">
                  <c:v>16028</c:v>
                </c:pt>
                <c:pt idx="42">
                  <c:v>8706</c:v>
                </c:pt>
                <c:pt idx="43">
                  <c:v>8643</c:v>
                </c:pt>
                <c:pt idx="44">
                  <c:v>10854</c:v>
                </c:pt>
                <c:pt idx="45">
                  <c:v>10262</c:v>
                </c:pt>
                <c:pt idx="46">
                  <c:v>11066</c:v>
                </c:pt>
                <c:pt idx="47">
                  <c:v>12533</c:v>
                </c:pt>
                <c:pt idx="48">
                  <c:v>12996</c:v>
                </c:pt>
                <c:pt idx="49">
                  <c:v>8619</c:v>
                </c:pt>
              </c:numCache>
            </c:numRef>
          </c:val>
        </c:ser>
        <c:dLbls>
          <c:showLegendKey val="0"/>
          <c:showVal val="0"/>
          <c:showCatName val="0"/>
          <c:showSerName val="0"/>
          <c:showPercent val="0"/>
          <c:showBubbleSize val="0"/>
        </c:dLbls>
        <c:gapWidth val="150"/>
        <c:axId val="157297664"/>
        <c:axId val="157397760"/>
      </c:barChart>
      <c:catAx>
        <c:axId val="157297664"/>
        <c:scaling>
          <c:orientation val="minMax"/>
        </c:scaling>
        <c:delete val="0"/>
        <c:axPos val="b"/>
        <c:majorTickMark val="none"/>
        <c:minorTickMark val="none"/>
        <c:tickLblPos val="nextTo"/>
        <c:crossAx val="157397760"/>
        <c:crosses val="autoZero"/>
        <c:auto val="1"/>
        <c:lblAlgn val="ctr"/>
        <c:lblOffset val="100"/>
        <c:noMultiLvlLbl val="0"/>
      </c:catAx>
      <c:valAx>
        <c:axId val="157397760"/>
        <c:scaling>
          <c:orientation val="minMax"/>
          <c:min val="0"/>
        </c:scaling>
        <c:delete val="0"/>
        <c:axPos val="l"/>
        <c:majorGridlines/>
        <c:numFmt formatCode="#,##0" sourceLinked="0"/>
        <c:majorTickMark val="none"/>
        <c:minorTickMark val="none"/>
        <c:tickLblPos val="nextTo"/>
        <c:crossAx val="15729766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v3 - add LBL data c DUSC DB drug names.xlsx]data scripts by form!PivotTable2</c:name>
    <c:fmtId val="7"/>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marker>
          <c:symbol val="none"/>
        </c:marker>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marker>
          <c:symbol val="none"/>
        </c:marker>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marker>
          <c:symbol val="none"/>
        </c:marker>
      </c:pivotFmt>
      <c:pivotFmt>
        <c:idx val="209"/>
        <c:marker>
          <c:symbol val="none"/>
        </c:marker>
      </c:pivotFmt>
      <c:pivotFmt>
        <c:idx val="210"/>
        <c:marker>
          <c:symbol val="none"/>
        </c:marker>
      </c:pivotFmt>
      <c:pivotFmt>
        <c:idx val="211"/>
        <c:marker>
          <c:symbol val="none"/>
        </c:marker>
      </c:pivotFmt>
      <c:pivotFmt>
        <c:idx val="212"/>
        <c:marker>
          <c:symbol val="none"/>
        </c:marker>
      </c:pivotFmt>
      <c:pivotFmt>
        <c:idx val="213"/>
        <c:marker>
          <c:symbol val="none"/>
        </c:marker>
      </c:pivotFmt>
      <c:pivotFmt>
        <c:idx val="214"/>
        <c:marker>
          <c:symbol val="none"/>
        </c:marker>
      </c:pivotFmt>
      <c:pivotFmt>
        <c:idx val="215"/>
        <c:marker>
          <c:symbol val="none"/>
        </c:marker>
      </c:pivotFmt>
      <c:pivotFmt>
        <c:idx val="216"/>
        <c:marker>
          <c:symbol val="none"/>
        </c:marker>
      </c:pivotFmt>
      <c:pivotFmt>
        <c:idx val="217"/>
        <c:marker>
          <c:symbol val="none"/>
        </c:marker>
      </c:pivotFmt>
      <c:pivotFmt>
        <c:idx val="218"/>
        <c:marker>
          <c:symbol val="none"/>
        </c:marker>
      </c:pivotFmt>
      <c:pivotFmt>
        <c:idx val="219"/>
        <c:marker>
          <c:symbol val="none"/>
        </c:marker>
      </c:pivotFmt>
      <c:pivotFmt>
        <c:idx val="220"/>
        <c:marker>
          <c:symbol val="none"/>
        </c:marker>
      </c:pivotFmt>
      <c:pivotFmt>
        <c:idx val="221"/>
        <c:marker>
          <c:symbol val="none"/>
        </c:marker>
      </c:pivotFmt>
      <c:pivotFmt>
        <c:idx val="222"/>
        <c:marker>
          <c:symbol val="none"/>
        </c:marker>
      </c:pivotFmt>
      <c:pivotFmt>
        <c:idx val="223"/>
        <c:marker>
          <c:symbol val="none"/>
        </c:marker>
      </c:pivotFmt>
      <c:pivotFmt>
        <c:idx val="224"/>
        <c:marker>
          <c:symbol val="none"/>
        </c:marker>
      </c:pivotFmt>
      <c:pivotFmt>
        <c:idx val="225"/>
        <c:marker>
          <c:symbol val="none"/>
        </c:marker>
      </c:pivotFmt>
      <c:pivotFmt>
        <c:idx val="226"/>
        <c:marker>
          <c:symbol val="none"/>
        </c:marker>
      </c:pivotFmt>
      <c:pivotFmt>
        <c:idx val="227"/>
        <c:marker>
          <c:symbol val="none"/>
        </c:marker>
      </c:pivotFmt>
      <c:pivotFmt>
        <c:idx val="228"/>
        <c:marker>
          <c:symbol val="none"/>
        </c:marker>
      </c:pivotFmt>
      <c:pivotFmt>
        <c:idx val="229"/>
        <c:marker>
          <c:symbol val="none"/>
        </c:marker>
      </c:pivotFmt>
      <c:pivotFmt>
        <c:idx val="230"/>
        <c:marker>
          <c:symbol val="none"/>
        </c:marker>
      </c:pivotFmt>
      <c:pivotFmt>
        <c:idx val="231"/>
        <c:marker>
          <c:symbol val="none"/>
        </c:marker>
      </c:pivotFmt>
      <c:pivotFmt>
        <c:idx val="232"/>
        <c:marker>
          <c:symbol val="none"/>
        </c:marker>
      </c:pivotFmt>
      <c:pivotFmt>
        <c:idx val="233"/>
        <c:marker>
          <c:symbol val="none"/>
        </c:marker>
      </c:pivotFmt>
      <c:pivotFmt>
        <c:idx val="234"/>
        <c:marker>
          <c:symbol val="none"/>
        </c:marker>
      </c:pivotFmt>
      <c:pivotFmt>
        <c:idx val="235"/>
        <c:marker>
          <c:symbol val="none"/>
        </c:marker>
      </c:pivotFmt>
      <c:pivotFmt>
        <c:idx val="236"/>
        <c:marker>
          <c:symbol val="none"/>
        </c:marker>
      </c:pivotFmt>
      <c:pivotFmt>
        <c:idx val="237"/>
        <c:marker>
          <c:symbol val="none"/>
        </c:marker>
      </c:pivotFmt>
      <c:pivotFmt>
        <c:idx val="238"/>
        <c:marker>
          <c:symbol val="none"/>
        </c:marker>
      </c:pivotFmt>
      <c:pivotFmt>
        <c:idx val="239"/>
        <c:marker>
          <c:symbol val="none"/>
        </c:marker>
      </c:pivotFmt>
      <c:pivotFmt>
        <c:idx val="240"/>
        <c:marker>
          <c:symbol val="none"/>
        </c:marker>
      </c:pivotFmt>
      <c:pivotFmt>
        <c:idx val="241"/>
        <c:marker>
          <c:symbol val="none"/>
        </c:marker>
      </c:pivotFmt>
      <c:pivotFmt>
        <c:idx val="242"/>
        <c:marker>
          <c:symbol val="none"/>
        </c:marker>
      </c:pivotFmt>
      <c:pivotFmt>
        <c:idx val="243"/>
        <c:marker>
          <c:symbol val="none"/>
        </c:marker>
      </c:pivotFmt>
      <c:pivotFmt>
        <c:idx val="244"/>
        <c:marker>
          <c:symbol val="none"/>
        </c:marker>
      </c:pivotFmt>
      <c:pivotFmt>
        <c:idx val="245"/>
        <c:marker>
          <c:symbol val="none"/>
        </c:marker>
      </c:pivotFmt>
      <c:pivotFmt>
        <c:idx val="246"/>
        <c:marker>
          <c:symbol val="none"/>
        </c:marker>
      </c:pivotFmt>
      <c:pivotFmt>
        <c:idx val="247"/>
        <c:marker>
          <c:symbol val="none"/>
        </c:marker>
      </c:pivotFmt>
      <c:pivotFmt>
        <c:idx val="248"/>
        <c:marker>
          <c:symbol val="none"/>
        </c:marker>
      </c:pivotFmt>
      <c:pivotFmt>
        <c:idx val="249"/>
        <c:marker>
          <c:symbol val="none"/>
        </c:marker>
      </c:pivotFmt>
      <c:pivotFmt>
        <c:idx val="250"/>
        <c:marker>
          <c:symbol val="none"/>
        </c:marker>
      </c:pivotFmt>
      <c:pivotFmt>
        <c:idx val="251"/>
        <c:marker>
          <c:symbol val="none"/>
        </c:marker>
      </c:pivotFmt>
      <c:pivotFmt>
        <c:idx val="252"/>
        <c:marker>
          <c:symbol val="none"/>
        </c:marker>
      </c:pivotFmt>
      <c:pivotFmt>
        <c:idx val="253"/>
        <c:marker>
          <c:symbol val="none"/>
        </c:marker>
      </c:pivotFmt>
      <c:pivotFmt>
        <c:idx val="254"/>
        <c:marker>
          <c:symbol val="none"/>
        </c:marker>
      </c:pivotFmt>
      <c:pivotFmt>
        <c:idx val="255"/>
        <c:marker>
          <c:symbol val="none"/>
        </c:marker>
      </c:pivotFmt>
      <c:pivotFmt>
        <c:idx val="256"/>
        <c:marker>
          <c:symbol val="none"/>
        </c:marker>
      </c:pivotFmt>
      <c:pivotFmt>
        <c:idx val="257"/>
        <c:marker>
          <c:symbol val="none"/>
        </c:marker>
      </c:pivotFmt>
      <c:pivotFmt>
        <c:idx val="258"/>
        <c:marker>
          <c:symbol val="none"/>
        </c:marker>
      </c:pivotFmt>
      <c:pivotFmt>
        <c:idx val="259"/>
        <c:marker>
          <c:symbol val="none"/>
        </c:marker>
      </c:pivotFmt>
      <c:pivotFmt>
        <c:idx val="260"/>
        <c:marker>
          <c:symbol val="none"/>
        </c:marker>
      </c:pivotFmt>
      <c:pivotFmt>
        <c:idx val="261"/>
        <c:marker>
          <c:symbol val="none"/>
        </c:marker>
      </c:pivotFmt>
      <c:pivotFmt>
        <c:idx val="262"/>
        <c:marker>
          <c:symbol val="none"/>
        </c:marker>
      </c:pivotFmt>
      <c:pivotFmt>
        <c:idx val="263"/>
        <c:marker>
          <c:symbol val="none"/>
        </c:marker>
      </c:pivotFmt>
      <c:pivotFmt>
        <c:idx val="264"/>
        <c:marker>
          <c:symbol val="none"/>
        </c:marker>
      </c:pivotFmt>
      <c:pivotFmt>
        <c:idx val="265"/>
        <c:marker>
          <c:symbol val="none"/>
        </c:marker>
      </c:pivotFmt>
      <c:pivotFmt>
        <c:idx val="266"/>
        <c:marker>
          <c:symbol val="none"/>
        </c:marker>
      </c:pivotFmt>
      <c:pivotFmt>
        <c:idx val="267"/>
        <c:marker>
          <c:symbol val="none"/>
        </c:marker>
      </c:pivotFmt>
      <c:pivotFmt>
        <c:idx val="268"/>
        <c:marker>
          <c:symbol val="none"/>
        </c:marker>
      </c:pivotFmt>
      <c:pivotFmt>
        <c:idx val="269"/>
        <c:marker>
          <c:symbol val="none"/>
        </c:marker>
      </c:pivotFmt>
      <c:pivotFmt>
        <c:idx val="270"/>
        <c:marker>
          <c:symbol val="none"/>
        </c:marker>
      </c:pivotFmt>
      <c:pivotFmt>
        <c:idx val="271"/>
        <c:marker>
          <c:symbol val="none"/>
        </c:marker>
      </c:pivotFmt>
      <c:pivotFmt>
        <c:idx val="272"/>
        <c:marker>
          <c:symbol val="none"/>
        </c:marker>
      </c:pivotFmt>
      <c:pivotFmt>
        <c:idx val="273"/>
        <c:marker>
          <c:symbol val="none"/>
        </c:marker>
      </c:pivotFmt>
      <c:pivotFmt>
        <c:idx val="274"/>
        <c:marker>
          <c:symbol val="none"/>
        </c:marker>
      </c:pivotFmt>
      <c:pivotFmt>
        <c:idx val="275"/>
        <c:marker>
          <c:symbol val="none"/>
        </c:marker>
      </c:pivotFmt>
      <c:pivotFmt>
        <c:idx val="276"/>
        <c:marker>
          <c:symbol val="none"/>
        </c:marker>
      </c:pivotFmt>
      <c:pivotFmt>
        <c:idx val="277"/>
        <c:marker>
          <c:symbol val="none"/>
        </c:marker>
      </c:pivotFmt>
      <c:pivotFmt>
        <c:idx val="278"/>
        <c:marker>
          <c:symbol val="none"/>
        </c:marker>
      </c:pivotFmt>
      <c:pivotFmt>
        <c:idx val="279"/>
        <c:marker>
          <c:symbol val="none"/>
        </c:marker>
      </c:pivotFmt>
      <c:pivotFmt>
        <c:idx val="280"/>
        <c:marker>
          <c:symbol val="none"/>
        </c:marker>
      </c:pivotFmt>
      <c:pivotFmt>
        <c:idx val="281"/>
        <c:marker>
          <c:symbol val="none"/>
        </c:marker>
      </c:pivotFmt>
      <c:pivotFmt>
        <c:idx val="282"/>
        <c:marker>
          <c:symbol val="none"/>
        </c:marker>
      </c:pivotFmt>
      <c:pivotFmt>
        <c:idx val="283"/>
        <c:marker>
          <c:symbol val="none"/>
        </c:marker>
      </c:pivotFmt>
      <c:pivotFmt>
        <c:idx val="284"/>
        <c:marker>
          <c:symbol val="none"/>
        </c:marker>
      </c:pivotFmt>
      <c:pivotFmt>
        <c:idx val="285"/>
        <c:marker>
          <c:symbol val="none"/>
        </c:marker>
      </c:pivotFmt>
      <c:pivotFmt>
        <c:idx val="286"/>
        <c:marker>
          <c:symbol val="none"/>
        </c:marker>
      </c:pivotFmt>
      <c:pivotFmt>
        <c:idx val="287"/>
        <c:marker>
          <c:symbol val="none"/>
        </c:marker>
      </c:pivotFmt>
      <c:pivotFmt>
        <c:idx val="288"/>
        <c:marker>
          <c:symbol val="none"/>
        </c:marker>
      </c:pivotFmt>
      <c:pivotFmt>
        <c:idx val="289"/>
        <c:marker>
          <c:symbol val="none"/>
        </c:marker>
      </c:pivotFmt>
      <c:pivotFmt>
        <c:idx val="290"/>
        <c:marker>
          <c:symbol val="none"/>
        </c:marker>
      </c:pivotFmt>
      <c:pivotFmt>
        <c:idx val="291"/>
        <c:marker>
          <c:symbol val="none"/>
        </c:marker>
      </c:pivotFmt>
      <c:pivotFmt>
        <c:idx val="292"/>
        <c:marker>
          <c:symbol val="none"/>
        </c:marker>
      </c:pivotFmt>
      <c:pivotFmt>
        <c:idx val="293"/>
        <c:marker>
          <c:symbol val="none"/>
        </c:marker>
      </c:pivotFmt>
      <c:pivotFmt>
        <c:idx val="294"/>
        <c:marker>
          <c:symbol val="none"/>
        </c:marker>
      </c:pivotFmt>
      <c:pivotFmt>
        <c:idx val="295"/>
        <c:marker>
          <c:symbol val="none"/>
        </c:marker>
      </c:pivotFmt>
      <c:pivotFmt>
        <c:idx val="296"/>
        <c:marker>
          <c:symbol val="none"/>
        </c:marker>
      </c:pivotFmt>
      <c:pivotFmt>
        <c:idx val="297"/>
        <c:marker>
          <c:symbol val="none"/>
        </c:marker>
      </c:pivotFmt>
      <c:pivotFmt>
        <c:idx val="298"/>
        <c:marker>
          <c:symbol val="none"/>
        </c:marker>
      </c:pivotFmt>
      <c:pivotFmt>
        <c:idx val="299"/>
        <c:marker>
          <c:symbol val="none"/>
        </c:marker>
      </c:pivotFmt>
      <c:pivotFmt>
        <c:idx val="300"/>
        <c:marker>
          <c:symbol val="none"/>
        </c:marker>
      </c:pivotFmt>
      <c:pivotFmt>
        <c:idx val="301"/>
        <c:marker>
          <c:symbol val="none"/>
        </c:marker>
      </c:pivotFmt>
      <c:pivotFmt>
        <c:idx val="302"/>
        <c:marker>
          <c:symbol val="none"/>
        </c:marker>
      </c:pivotFmt>
      <c:pivotFmt>
        <c:idx val="303"/>
        <c:marker>
          <c:symbol val="none"/>
        </c:marker>
      </c:pivotFmt>
      <c:pivotFmt>
        <c:idx val="304"/>
        <c:marker>
          <c:symbol val="none"/>
        </c:marker>
      </c:pivotFmt>
      <c:pivotFmt>
        <c:idx val="305"/>
        <c:marker>
          <c:symbol val="none"/>
        </c:marker>
      </c:pivotFmt>
      <c:pivotFmt>
        <c:idx val="306"/>
        <c:marker>
          <c:symbol val="none"/>
        </c:marker>
      </c:pivotFmt>
      <c:pivotFmt>
        <c:idx val="307"/>
        <c:marker>
          <c:symbol val="none"/>
        </c:marker>
      </c:pivotFmt>
      <c:pivotFmt>
        <c:idx val="308"/>
        <c:marker>
          <c:symbol val="none"/>
        </c:marker>
      </c:pivotFmt>
      <c:pivotFmt>
        <c:idx val="309"/>
        <c:marker>
          <c:symbol val="none"/>
        </c:marker>
      </c:pivotFmt>
      <c:pivotFmt>
        <c:idx val="310"/>
        <c:marker>
          <c:symbol val="none"/>
        </c:marker>
      </c:pivotFmt>
      <c:pivotFmt>
        <c:idx val="311"/>
        <c:marker>
          <c:symbol val="none"/>
        </c:marker>
      </c:pivotFmt>
      <c:pivotFmt>
        <c:idx val="312"/>
        <c:marker>
          <c:symbol val="none"/>
        </c:marker>
      </c:pivotFmt>
      <c:pivotFmt>
        <c:idx val="313"/>
        <c:marker>
          <c:symbol val="none"/>
        </c:marker>
      </c:pivotFmt>
      <c:pivotFmt>
        <c:idx val="314"/>
        <c:marker>
          <c:symbol val="none"/>
        </c:marker>
      </c:pivotFmt>
      <c:pivotFmt>
        <c:idx val="315"/>
        <c:marker>
          <c:symbol val="none"/>
        </c:marker>
      </c:pivotFmt>
      <c:pivotFmt>
        <c:idx val="316"/>
        <c:marker>
          <c:symbol val="none"/>
        </c:marker>
      </c:pivotFmt>
      <c:pivotFmt>
        <c:idx val="317"/>
        <c:marker>
          <c:symbol val="none"/>
        </c:marker>
      </c:pivotFmt>
      <c:pivotFmt>
        <c:idx val="318"/>
        <c:marker>
          <c:symbol val="none"/>
        </c:marker>
      </c:pivotFmt>
      <c:pivotFmt>
        <c:idx val="319"/>
        <c:marker>
          <c:symbol val="none"/>
        </c:marker>
      </c:pivotFmt>
      <c:pivotFmt>
        <c:idx val="320"/>
        <c:marker>
          <c:symbol val="none"/>
        </c:marker>
      </c:pivotFmt>
      <c:pivotFmt>
        <c:idx val="321"/>
        <c:marker>
          <c:symbol val="none"/>
        </c:marker>
      </c:pivotFmt>
      <c:pivotFmt>
        <c:idx val="322"/>
        <c:marker>
          <c:symbol val="none"/>
        </c:marker>
      </c:pivotFmt>
      <c:pivotFmt>
        <c:idx val="323"/>
        <c:marker>
          <c:symbol val="none"/>
        </c:marker>
      </c:pivotFmt>
      <c:pivotFmt>
        <c:idx val="324"/>
        <c:marker>
          <c:symbol val="none"/>
        </c:marker>
      </c:pivotFmt>
      <c:pivotFmt>
        <c:idx val="325"/>
        <c:marker>
          <c:symbol val="none"/>
        </c:marker>
      </c:pivotFmt>
      <c:pivotFmt>
        <c:idx val="326"/>
        <c:marker>
          <c:symbol val="none"/>
        </c:marker>
      </c:pivotFmt>
      <c:pivotFmt>
        <c:idx val="327"/>
        <c:marker>
          <c:symbol val="none"/>
        </c:marker>
      </c:pivotFmt>
      <c:pivotFmt>
        <c:idx val="328"/>
        <c:marker>
          <c:symbol val="none"/>
        </c:marker>
      </c:pivotFmt>
      <c:pivotFmt>
        <c:idx val="329"/>
        <c:marker>
          <c:symbol val="none"/>
        </c:marker>
      </c:pivotFmt>
      <c:pivotFmt>
        <c:idx val="330"/>
        <c:marker>
          <c:symbol val="none"/>
        </c:marker>
      </c:pivotFmt>
      <c:pivotFmt>
        <c:idx val="331"/>
        <c:marker>
          <c:symbol val="none"/>
        </c:marker>
      </c:pivotFmt>
      <c:pivotFmt>
        <c:idx val="332"/>
        <c:marker>
          <c:symbol val="none"/>
        </c:marker>
      </c:pivotFmt>
      <c:pivotFmt>
        <c:idx val="333"/>
        <c:marker>
          <c:symbol val="none"/>
        </c:marker>
      </c:pivotFmt>
      <c:pivotFmt>
        <c:idx val="334"/>
        <c:marker>
          <c:symbol val="none"/>
        </c:marker>
      </c:pivotFmt>
      <c:pivotFmt>
        <c:idx val="335"/>
        <c:marker>
          <c:symbol val="none"/>
        </c:marker>
      </c:pivotFmt>
      <c:pivotFmt>
        <c:idx val="336"/>
        <c:marker>
          <c:symbol val="none"/>
        </c:marker>
      </c:pivotFmt>
      <c:pivotFmt>
        <c:idx val="337"/>
        <c:marker>
          <c:symbol val="none"/>
        </c:marker>
      </c:pivotFmt>
      <c:pivotFmt>
        <c:idx val="338"/>
        <c:marker>
          <c:symbol val="none"/>
        </c:marker>
      </c:pivotFmt>
      <c:pivotFmt>
        <c:idx val="339"/>
        <c:marker>
          <c:symbol val="none"/>
        </c:marker>
      </c:pivotFmt>
      <c:pivotFmt>
        <c:idx val="340"/>
        <c:marker>
          <c:symbol val="none"/>
        </c:marker>
      </c:pivotFmt>
      <c:pivotFmt>
        <c:idx val="341"/>
        <c:marker>
          <c:symbol val="none"/>
        </c:marker>
      </c:pivotFmt>
      <c:pivotFmt>
        <c:idx val="342"/>
        <c:marker>
          <c:symbol val="none"/>
        </c:marker>
      </c:pivotFmt>
      <c:pivotFmt>
        <c:idx val="343"/>
        <c:marker>
          <c:symbol val="none"/>
        </c:marker>
      </c:pivotFmt>
      <c:pivotFmt>
        <c:idx val="344"/>
        <c:marker>
          <c:symbol val="none"/>
        </c:marker>
      </c:pivotFmt>
      <c:pivotFmt>
        <c:idx val="345"/>
        <c:marker>
          <c:symbol val="none"/>
        </c:marker>
      </c:pivotFmt>
      <c:pivotFmt>
        <c:idx val="346"/>
        <c:marker>
          <c:symbol val="none"/>
        </c:marker>
      </c:pivotFmt>
      <c:pivotFmt>
        <c:idx val="347"/>
        <c:marker>
          <c:symbol val="none"/>
        </c:marker>
      </c:pivotFmt>
      <c:pivotFmt>
        <c:idx val="348"/>
        <c:marker>
          <c:symbol val="none"/>
        </c:marker>
      </c:pivotFmt>
      <c:pivotFmt>
        <c:idx val="349"/>
        <c:marker>
          <c:symbol val="none"/>
        </c:marker>
      </c:pivotFmt>
      <c:pivotFmt>
        <c:idx val="350"/>
        <c:marker>
          <c:symbol val="none"/>
        </c:marker>
      </c:pivotFmt>
      <c:pivotFmt>
        <c:idx val="351"/>
        <c:marker>
          <c:symbol val="none"/>
        </c:marker>
      </c:pivotFmt>
      <c:pivotFmt>
        <c:idx val="352"/>
        <c:marker>
          <c:symbol val="none"/>
        </c:marker>
      </c:pivotFmt>
      <c:pivotFmt>
        <c:idx val="353"/>
        <c:marker>
          <c:symbol val="none"/>
        </c:marker>
      </c:pivotFmt>
      <c:pivotFmt>
        <c:idx val="354"/>
        <c:marker>
          <c:symbol val="none"/>
        </c:marker>
      </c:pivotFmt>
      <c:pivotFmt>
        <c:idx val="355"/>
        <c:marker>
          <c:symbol val="none"/>
        </c:marker>
      </c:pivotFmt>
      <c:pivotFmt>
        <c:idx val="356"/>
        <c:marker>
          <c:symbol val="none"/>
        </c:marker>
      </c:pivotFmt>
      <c:pivotFmt>
        <c:idx val="357"/>
        <c:marker>
          <c:symbol val="none"/>
        </c:marker>
      </c:pivotFmt>
      <c:pivotFmt>
        <c:idx val="358"/>
        <c:marker>
          <c:symbol val="none"/>
        </c:marker>
      </c:pivotFmt>
      <c:pivotFmt>
        <c:idx val="359"/>
        <c:marker>
          <c:symbol val="none"/>
        </c:marker>
      </c:pivotFmt>
      <c:pivotFmt>
        <c:idx val="360"/>
        <c:marker>
          <c:symbol val="none"/>
        </c:marker>
      </c:pivotFmt>
      <c:pivotFmt>
        <c:idx val="361"/>
        <c:marker>
          <c:symbol val="none"/>
        </c:marker>
      </c:pivotFmt>
      <c:pivotFmt>
        <c:idx val="362"/>
        <c:marker>
          <c:symbol val="none"/>
        </c:marker>
      </c:pivotFmt>
      <c:pivotFmt>
        <c:idx val="363"/>
        <c:marker>
          <c:symbol val="none"/>
        </c:marker>
      </c:pivotFmt>
      <c:pivotFmt>
        <c:idx val="364"/>
        <c:marker>
          <c:symbol val="none"/>
        </c:marker>
      </c:pivotFmt>
      <c:pivotFmt>
        <c:idx val="365"/>
        <c:spPr>
          <a:ln w="25400">
            <a:noFill/>
          </a:ln>
        </c:spPr>
        <c:marker>
          <c:symbol val="none"/>
        </c:marker>
      </c:pivotFmt>
      <c:pivotFmt>
        <c:idx val="366"/>
        <c:marker>
          <c:symbol val="none"/>
        </c:marker>
      </c:pivotFmt>
      <c:pivotFmt>
        <c:idx val="367"/>
        <c:spPr>
          <a:ln w="25400">
            <a:noFill/>
          </a:ln>
        </c:spPr>
        <c:marker>
          <c:symbol val="none"/>
        </c:marker>
      </c:pivotFmt>
      <c:pivotFmt>
        <c:idx val="368"/>
        <c:spPr>
          <a:ln w="25400">
            <a:noFill/>
          </a:ln>
        </c:spPr>
        <c:marker>
          <c:symbol val="none"/>
        </c:marker>
      </c:pivotFmt>
      <c:pivotFmt>
        <c:idx val="369"/>
        <c:spPr>
          <a:ln w="25400">
            <a:noFill/>
          </a:ln>
        </c:spPr>
        <c:marker>
          <c:symbol val="none"/>
        </c:marker>
      </c:pivotFmt>
      <c:pivotFmt>
        <c:idx val="370"/>
        <c:spPr>
          <a:ln w="25400">
            <a:noFill/>
          </a:ln>
        </c:spPr>
        <c:marker>
          <c:symbol val="none"/>
        </c:marker>
      </c:pivotFmt>
      <c:pivotFmt>
        <c:idx val="371"/>
        <c:marker>
          <c:symbol val="none"/>
        </c:marker>
      </c:pivotFmt>
      <c:pivotFmt>
        <c:idx val="372"/>
        <c:spPr>
          <a:ln w="25400">
            <a:noFill/>
          </a:ln>
        </c:spPr>
        <c:marker>
          <c:symbol val="none"/>
        </c:marker>
      </c:pivotFmt>
      <c:pivotFmt>
        <c:idx val="373"/>
        <c:spPr>
          <a:ln w="25400">
            <a:noFill/>
          </a:ln>
        </c:spPr>
        <c:marker>
          <c:symbol val="none"/>
        </c:marker>
      </c:pivotFmt>
      <c:pivotFmt>
        <c:idx val="374"/>
        <c:spPr>
          <a:ln w="25400">
            <a:noFill/>
          </a:ln>
        </c:spPr>
        <c:marker>
          <c:symbol val="none"/>
        </c:marker>
      </c:pivotFmt>
      <c:pivotFmt>
        <c:idx val="375"/>
        <c:spPr>
          <a:ln w="25400">
            <a:noFill/>
          </a:ln>
        </c:spPr>
        <c:marker>
          <c:symbol val="none"/>
        </c:marker>
      </c:pivotFmt>
      <c:pivotFmt>
        <c:idx val="376"/>
        <c:spPr>
          <a:ln w="25400">
            <a:noFill/>
          </a:ln>
        </c:spPr>
        <c:marker>
          <c:symbol val="none"/>
        </c:marker>
      </c:pivotFmt>
      <c:pivotFmt>
        <c:idx val="377"/>
        <c:spPr>
          <a:ln w="25400">
            <a:noFill/>
          </a:ln>
        </c:spPr>
        <c:marker>
          <c:symbol val="none"/>
        </c:marker>
      </c:pivotFmt>
      <c:pivotFmt>
        <c:idx val="378"/>
        <c:spPr>
          <a:ln w="25400">
            <a:noFill/>
          </a:ln>
        </c:spPr>
        <c:marker>
          <c:symbol val="none"/>
        </c:marker>
      </c:pivotFmt>
      <c:pivotFmt>
        <c:idx val="379"/>
        <c:spPr>
          <a:ln w="25400">
            <a:noFill/>
          </a:ln>
        </c:spPr>
        <c:marker>
          <c:symbol val="none"/>
        </c:marker>
      </c:pivotFmt>
      <c:pivotFmt>
        <c:idx val="380"/>
        <c:marker>
          <c:symbol val="none"/>
        </c:marker>
      </c:pivotFmt>
      <c:pivotFmt>
        <c:idx val="381"/>
        <c:spPr>
          <a:ln w="25400">
            <a:noFill/>
          </a:ln>
        </c:spPr>
        <c:marker>
          <c:symbol val="none"/>
        </c:marker>
      </c:pivotFmt>
      <c:pivotFmt>
        <c:idx val="382"/>
        <c:spPr>
          <a:ln w="25400">
            <a:noFill/>
          </a:ln>
        </c:spPr>
        <c:marker>
          <c:symbol val="none"/>
        </c:marker>
      </c:pivotFmt>
      <c:pivotFmt>
        <c:idx val="383"/>
        <c:spPr>
          <a:ln w="25400">
            <a:noFill/>
          </a:ln>
        </c:spPr>
        <c:marker>
          <c:symbol val="none"/>
        </c:marker>
      </c:pivotFmt>
      <c:pivotFmt>
        <c:idx val="384"/>
        <c:marker>
          <c:symbol val="none"/>
        </c:marker>
      </c:pivotFmt>
      <c:pivotFmt>
        <c:idx val="385"/>
        <c:spPr>
          <a:ln w="25400">
            <a:noFill/>
          </a:ln>
        </c:spPr>
        <c:marker>
          <c:symbol val="none"/>
        </c:marker>
      </c:pivotFmt>
      <c:pivotFmt>
        <c:idx val="386"/>
        <c:marker>
          <c:symbol val="none"/>
        </c:marker>
      </c:pivotFmt>
      <c:pivotFmt>
        <c:idx val="387"/>
        <c:spPr>
          <a:ln w="25400">
            <a:noFill/>
          </a:ln>
        </c:spPr>
        <c:marker>
          <c:symbol val="none"/>
        </c:marker>
      </c:pivotFmt>
    </c:pivotFmts>
    <c:plotArea>
      <c:layout/>
      <c:barChart>
        <c:barDir val="col"/>
        <c:grouping val="percentStacked"/>
        <c:varyColors val="0"/>
        <c:ser>
          <c:idx val="0"/>
          <c:order val="0"/>
          <c:tx>
            <c:strRef>
              <c:f>'data scripts by form'!$B$3:$B$4</c:f>
              <c:strCache>
                <c:ptCount val="1"/>
                <c:pt idx="0">
                  <c:v>Multiple Dose</c:v>
                </c:pt>
              </c:strCache>
            </c:strRef>
          </c:tx>
          <c:invertIfNegative val="0"/>
          <c:cat>
            <c:strRef>
              <c:f>'data scripts by form'!$A$5:$A$25</c:f>
              <c:strCach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strCache>
            </c:strRef>
          </c:cat>
          <c:val>
            <c:numRef>
              <c:f>'data scripts by form'!$B$5:$B$25</c:f>
              <c:numCache>
                <c:formatCode>General</c:formatCode>
                <c:ptCount val="20"/>
                <c:pt idx="0">
                  <c:v>1084739</c:v>
                </c:pt>
                <c:pt idx="1">
                  <c:v>1219095</c:v>
                </c:pt>
                <c:pt idx="2">
                  <c:v>1334017</c:v>
                </c:pt>
                <c:pt idx="3">
                  <c:v>1352635</c:v>
                </c:pt>
                <c:pt idx="4">
                  <c:v>1433108</c:v>
                </c:pt>
                <c:pt idx="5">
                  <c:v>1599682</c:v>
                </c:pt>
                <c:pt idx="6">
                  <c:v>1743118</c:v>
                </c:pt>
                <c:pt idx="7">
                  <c:v>1865473</c:v>
                </c:pt>
                <c:pt idx="8">
                  <c:v>1974614</c:v>
                </c:pt>
                <c:pt idx="9">
                  <c:v>2040884</c:v>
                </c:pt>
                <c:pt idx="10">
                  <c:v>2209621</c:v>
                </c:pt>
                <c:pt idx="11">
                  <c:v>2240235</c:v>
                </c:pt>
                <c:pt idx="12">
                  <c:v>2252798</c:v>
                </c:pt>
                <c:pt idx="13">
                  <c:v>2315512</c:v>
                </c:pt>
                <c:pt idx="14">
                  <c:v>2300618</c:v>
                </c:pt>
                <c:pt idx="15">
                  <c:v>2283354</c:v>
                </c:pt>
                <c:pt idx="16">
                  <c:v>2229229</c:v>
                </c:pt>
                <c:pt idx="17">
                  <c:v>2171673</c:v>
                </c:pt>
                <c:pt idx="18">
                  <c:v>2113073</c:v>
                </c:pt>
                <c:pt idx="19">
                  <c:v>1395302</c:v>
                </c:pt>
              </c:numCache>
            </c:numRef>
          </c:val>
        </c:ser>
        <c:ser>
          <c:idx val="1"/>
          <c:order val="1"/>
          <c:tx>
            <c:strRef>
              <c:f>'data scripts by form'!$C$3:$C$4</c:f>
              <c:strCache>
                <c:ptCount val="1"/>
                <c:pt idx="0">
                  <c:v>Single dose</c:v>
                </c:pt>
              </c:strCache>
            </c:strRef>
          </c:tx>
          <c:spPr>
            <a:ln w="25400">
              <a:noFill/>
            </a:ln>
          </c:spPr>
          <c:invertIfNegative val="0"/>
          <c:cat>
            <c:strRef>
              <c:f>'data scripts by form'!$A$5:$A$25</c:f>
              <c:strCach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strCache>
            </c:strRef>
          </c:cat>
          <c:val>
            <c:numRef>
              <c:f>'data scripts by form'!$C$5:$C$25</c:f>
              <c:numCache>
                <c:formatCode>General</c:formatCode>
                <c:ptCount val="20"/>
                <c:pt idx="0">
                  <c:v>13807</c:v>
                </c:pt>
                <c:pt idx="1">
                  <c:v>22562</c:v>
                </c:pt>
                <c:pt idx="2">
                  <c:v>33698</c:v>
                </c:pt>
                <c:pt idx="3">
                  <c:v>45125</c:v>
                </c:pt>
                <c:pt idx="4">
                  <c:v>66179</c:v>
                </c:pt>
                <c:pt idx="5">
                  <c:v>74232</c:v>
                </c:pt>
                <c:pt idx="6">
                  <c:v>93171</c:v>
                </c:pt>
                <c:pt idx="7">
                  <c:v>115343</c:v>
                </c:pt>
                <c:pt idx="8">
                  <c:v>134503</c:v>
                </c:pt>
                <c:pt idx="9">
                  <c:v>145558</c:v>
                </c:pt>
                <c:pt idx="10">
                  <c:v>157899</c:v>
                </c:pt>
                <c:pt idx="11">
                  <c:v>164815</c:v>
                </c:pt>
                <c:pt idx="12">
                  <c:v>172955</c:v>
                </c:pt>
                <c:pt idx="13">
                  <c:v>188642</c:v>
                </c:pt>
                <c:pt idx="14">
                  <c:v>214356</c:v>
                </c:pt>
                <c:pt idx="15">
                  <c:v>245199</c:v>
                </c:pt>
                <c:pt idx="16">
                  <c:v>272422</c:v>
                </c:pt>
                <c:pt idx="17">
                  <c:v>303460</c:v>
                </c:pt>
                <c:pt idx="18">
                  <c:v>343819</c:v>
                </c:pt>
                <c:pt idx="19">
                  <c:v>245949</c:v>
                </c:pt>
              </c:numCache>
            </c:numRef>
          </c:val>
        </c:ser>
        <c:dLbls>
          <c:showLegendKey val="0"/>
          <c:showVal val="0"/>
          <c:showCatName val="0"/>
          <c:showSerName val="0"/>
          <c:showPercent val="0"/>
          <c:showBubbleSize val="0"/>
        </c:dLbls>
        <c:gapWidth val="150"/>
        <c:overlap val="100"/>
        <c:axId val="167502208"/>
        <c:axId val="167503744"/>
      </c:barChart>
      <c:catAx>
        <c:axId val="167502208"/>
        <c:scaling>
          <c:orientation val="minMax"/>
        </c:scaling>
        <c:delete val="0"/>
        <c:axPos val="b"/>
        <c:majorTickMark val="none"/>
        <c:minorTickMark val="none"/>
        <c:tickLblPos val="nextTo"/>
        <c:crossAx val="167503744"/>
        <c:crosses val="autoZero"/>
        <c:auto val="1"/>
        <c:lblAlgn val="ctr"/>
        <c:lblOffset val="100"/>
        <c:noMultiLvlLbl val="0"/>
      </c:catAx>
      <c:valAx>
        <c:axId val="167503744"/>
        <c:scaling>
          <c:orientation val="minMax"/>
          <c:min val="0"/>
        </c:scaling>
        <c:delete val="0"/>
        <c:axPos val="l"/>
        <c:majorGridlines/>
        <c:numFmt formatCode="0%" sourceLinked="1"/>
        <c:majorTickMark val="none"/>
        <c:minorTickMark val="none"/>
        <c:tickLblPos val="nextTo"/>
        <c:crossAx val="167502208"/>
        <c:crosses val="autoZero"/>
        <c:crossBetween val="between"/>
      </c:valAx>
    </c:plotArea>
    <c:legend>
      <c:legendPos val="r"/>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MAJOR_SPECIALTY_TXT_SUM -  DUSC DB drug names.xlsx]data scripts by specialty!PivotTable1</c:name>
    <c:fmtId val="9"/>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marker>
          <c:symbol val="none"/>
        </c:marker>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marker>
          <c:symbol val="none"/>
        </c:marker>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marker>
          <c:symbol val="none"/>
        </c:marker>
      </c:pivotFmt>
      <c:pivotFmt>
        <c:idx val="209"/>
        <c:marker>
          <c:symbol val="none"/>
        </c:marker>
      </c:pivotFmt>
      <c:pivotFmt>
        <c:idx val="210"/>
        <c:marker>
          <c:symbol val="none"/>
        </c:marker>
      </c:pivotFmt>
      <c:pivotFmt>
        <c:idx val="211"/>
        <c:marker>
          <c:symbol val="none"/>
        </c:marker>
      </c:pivotFmt>
      <c:pivotFmt>
        <c:idx val="212"/>
        <c:marker>
          <c:symbol val="none"/>
        </c:marker>
      </c:pivotFmt>
      <c:pivotFmt>
        <c:idx val="213"/>
        <c:marker>
          <c:symbol val="none"/>
        </c:marker>
      </c:pivotFmt>
      <c:pivotFmt>
        <c:idx val="214"/>
        <c:marker>
          <c:symbol val="none"/>
        </c:marker>
      </c:pivotFmt>
      <c:pivotFmt>
        <c:idx val="215"/>
        <c:marker>
          <c:symbol val="none"/>
        </c:marker>
      </c:pivotFmt>
      <c:pivotFmt>
        <c:idx val="216"/>
        <c:marker>
          <c:symbol val="none"/>
        </c:marker>
      </c:pivotFmt>
      <c:pivotFmt>
        <c:idx val="217"/>
        <c:marker>
          <c:symbol val="none"/>
        </c:marker>
      </c:pivotFmt>
      <c:pivotFmt>
        <c:idx val="218"/>
        <c:marker>
          <c:symbol val="none"/>
        </c:marker>
      </c:pivotFmt>
      <c:pivotFmt>
        <c:idx val="219"/>
        <c:marker>
          <c:symbol val="none"/>
        </c:marker>
      </c:pivotFmt>
      <c:pivotFmt>
        <c:idx val="220"/>
        <c:marker>
          <c:symbol val="none"/>
        </c:marker>
      </c:pivotFmt>
      <c:pivotFmt>
        <c:idx val="221"/>
        <c:marker>
          <c:symbol val="none"/>
        </c:marker>
      </c:pivotFmt>
      <c:pivotFmt>
        <c:idx val="222"/>
        <c:marker>
          <c:symbol val="none"/>
        </c:marker>
      </c:pivotFmt>
      <c:pivotFmt>
        <c:idx val="223"/>
        <c:marker>
          <c:symbol val="none"/>
        </c:marker>
      </c:pivotFmt>
      <c:pivotFmt>
        <c:idx val="224"/>
        <c:marker>
          <c:symbol val="none"/>
        </c:marker>
      </c:pivotFmt>
      <c:pivotFmt>
        <c:idx val="225"/>
        <c:marker>
          <c:symbol val="none"/>
        </c:marker>
      </c:pivotFmt>
      <c:pivotFmt>
        <c:idx val="226"/>
        <c:marker>
          <c:symbol val="none"/>
        </c:marker>
      </c:pivotFmt>
      <c:pivotFmt>
        <c:idx val="227"/>
        <c:marker>
          <c:symbol val="none"/>
        </c:marker>
      </c:pivotFmt>
      <c:pivotFmt>
        <c:idx val="228"/>
        <c:marker>
          <c:symbol val="none"/>
        </c:marker>
      </c:pivotFmt>
      <c:pivotFmt>
        <c:idx val="229"/>
        <c:marker>
          <c:symbol val="none"/>
        </c:marker>
      </c:pivotFmt>
      <c:pivotFmt>
        <c:idx val="230"/>
        <c:marker>
          <c:symbol val="none"/>
        </c:marker>
      </c:pivotFmt>
      <c:pivotFmt>
        <c:idx val="231"/>
        <c:marker>
          <c:symbol val="none"/>
        </c:marker>
      </c:pivotFmt>
      <c:pivotFmt>
        <c:idx val="232"/>
        <c:marker>
          <c:symbol val="none"/>
        </c:marker>
      </c:pivotFmt>
      <c:pivotFmt>
        <c:idx val="233"/>
        <c:marker>
          <c:symbol val="none"/>
        </c:marker>
      </c:pivotFmt>
      <c:pivotFmt>
        <c:idx val="234"/>
        <c:marker>
          <c:symbol val="none"/>
        </c:marker>
      </c:pivotFmt>
      <c:pivotFmt>
        <c:idx val="235"/>
        <c:marker>
          <c:symbol val="none"/>
        </c:marker>
      </c:pivotFmt>
      <c:pivotFmt>
        <c:idx val="236"/>
        <c:marker>
          <c:symbol val="none"/>
        </c:marker>
      </c:pivotFmt>
      <c:pivotFmt>
        <c:idx val="237"/>
        <c:marker>
          <c:symbol val="none"/>
        </c:marker>
      </c:pivotFmt>
      <c:pivotFmt>
        <c:idx val="238"/>
        <c:marker>
          <c:symbol val="none"/>
        </c:marker>
      </c:pivotFmt>
      <c:pivotFmt>
        <c:idx val="239"/>
        <c:marker>
          <c:symbol val="none"/>
        </c:marker>
      </c:pivotFmt>
      <c:pivotFmt>
        <c:idx val="240"/>
        <c:marker>
          <c:symbol val="none"/>
        </c:marker>
      </c:pivotFmt>
      <c:pivotFmt>
        <c:idx val="241"/>
        <c:marker>
          <c:symbol val="none"/>
        </c:marker>
      </c:pivotFmt>
      <c:pivotFmt>
        <c:idx val="242"/>
        <c:marker>
          <c:symbol val="none"/>
        </c:marker>
      </c:pivotFmt>
      <c:pivotFmt>
        <c:idx val="243"/>
        <c:marker>
          <c:symbol val="none"/>
        </c:marker>
      </c:pivotFmt>
      <c:pivotFmt>
        <c:idx val="244"/>
        <c:marker>
          <c:symbol val="none"/>
        </c:marker>
      </c:pivotFmt>
      <c:pivotFmt>
        <c:idx val="245"/>
        <c:marker>
          <c:symbol val="none"/>
        </c:marker>
      </c:pivotFmt>
      <c:pivotFmt>
        <c:idx val="246"/>
        <c:marker>
          <c:symbol val="none"/>
        </c:marker>
      </c:pivotFmt>
      <c:pivotFmt>
        <c:idx val="247"/>
        <c:marker>
          <c:symbol val="none"/>
        </c:marker>
      </c:pivotFmt>
      <c:pivotFmt>
        <c:idx val="248"/>
        <c:marker>
          <c:symbol val="none"/>
        </c:marker>
      </c:pivotFmt>
      <c:pivotFmt>
        <c:idx val="249"/>
        <c:marker>
          <c:symbol val="none"/>
        </c:marker>
      </c:pivotFmt>
      <c:pivotFmt>
        <c:idx val="250"/>
        <c:marker>
          <c:symbol val="none"/>
        </c:marker>
      </c:pivotFmt>
      <c:pivotFmt>
        <c:idx val="251"/>
        <c:marker>
          <c:symbol val="none"/>
        </c:marker>
      </c:pivotFmt>
      <c:pivotFmt>
        <c:idx val="252"/>
        <c:marker>
          <c:symbol val="none"/>
        </c:marker>
      </c:pivotFmt>
      <c:pivotFmt>
        <c:idx val="253"/>
        <c:marker>
          <c:symbol val="none"/>
        </c:marker>
      </c:pivotFmt>
    </c:pivotFmts>
    <c:plotArea>
      <c:layout/>
      <c:lineChart>
        <c:grouping val="standard"/>
        <c:varyColors val="0"/>
        <c:ser>
          <c:idx val="0"/>
          <c:order val="0"/>
          <c:tx>
            <c:strRef>
              <c:f>'data scripts by specialty'!$B$1:$B$2</c:f>
              <c:strCache>
                <c:ptCount val="1"/>
                <c:pt idx="0">
                  <c:v>Vocationally Registered GP</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specialty'!$B$3:$B$28</c:f>
              <c:numCache>
                <c:formatCode>General</c:formatCode>
                <c:ptCount val="25"/>
                <c:pt idx="0">
                  <c:v>90819</c:v>
                </c:pt>
                <c:pt idx="1">
                  <c:v>94604</c:v>
                </c:pt>
                <c:pt idx="2">
                  <c:v>103407</c:v>
                </c:pt>
                <c:pt idx="3">
                  <c:v>131761</c:v>
                </c:pt>
                <c:pt idx="4">
                  <c:v>65663</c:v>
                </c:pt>
                <c:pt idx="5">
                  <c:v>73255</c:v>
                </c:pt>
                <c:pt idx="6">
                  <c:v>80667</c:v>
                </c:pt>
                <c:pt idx="7">
                  <c:v>75953</c:v>
                </c:pt>
                <c:pt idx="8">
                  <c:v>83207</c:v>
                </c:pt>
                <c:pt idx="9">
                  <c:v>77897</c:v>
                </c:pt>
                <c:pt idx="10">
                  <c:v>81757</c:v>
                </c:pt>
                <c:pt idx="11">
                  <c:v>87241</c:v>
                </c:pt>
                <c:pt idx="12">
                  <c:v>83789</c:v>
                </c:pt>
                <c:pt idx="13">
                  <c:v>96750</c:v>
                </c:pt>
                <c:pt idx="14">
                  <c:v>100530</c:v>
                </c:pt>
                <c:pt idx="15">
                  <c:v>125152</c:v>
                </c:pt>
                <c:pt idx="16">
                  <c:v>66837</c:v>
                </c:pt>
                <c:pt idx="17">
                  <c:v>68358</c:v>
                </c:pt>
                <c:pt idx="18">
                  <c:v>75388</c:v>
                </c:pt>
                <c:pt idx="19">
                  <c:v>75575</c:v>
                </c:pt>
                <c:pt idx="20">
                  <c:v>78258</c:v>
                </c:pt>
                <c:pt idx="21">
                  <c:v>70004</c:v>
                </c:pt>
                <c:pt idx="22">
                  <c:v>78337</c:v>
                </c:pt>
                <c:pt idx="23">
                  <c:v>77978</c:v>
                </c:pt>
                <c:pt idx="24">
                  <c:v>73551</c:v>
                </c:pt>
              </c:numCache>
            </c:numRef>
          </c:val>
          <c:smooth val="0"/>
        </c:ser>
        <c:ser>
          <c:idx val="1"/>
          <c:order val="1"/>
          <c:tx>
            <c:strRef>
              <c:f>'data scripts by specialty'!$C$1:$C$2</c:f>
              <c:strCache>
                <c:ptCount val="1"/>
                <c:pt idx="0">
                  <c:v>Fellow of the College of GPs</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specialty'!$C$3:$C$28</c:f>
              <c:numCache>
                <c:formatCode>General</c:formatCode>
                <c:ptCount val="25"/>
                <c:pt idx="0">
                  <c:v>59705</c:v>
                </c:pt>
                <c:pt idx="1">
                  <c:v>63663</c:v>
                </c:pt>
                <c:pt idx="2">
                  <c:v>70037</c:v>
                </c:pt>
                <c:pt idx="3">
                  <c:v>89090</c:v>
                </c:pt>
                <c:pt idx="4">
                  <c:v>43954</c:v>
                </c:pt>
                <c:pt idx="5">
                  <c:v>50011</c:v>
                </c:pt>
                <c:pt idx="6">
                  <c:v>55106</c:v>
                </c:pt>
                <c:pt idx="7">
                  <c:v>52598</c:v>
                </c:pt>
                <c:pt idx="8">
                  <c:v>58447</c:v>
                </c:pt>
                <c:pt idx="9">
                  <c:v>54868</c:v>
                </c:pt>
                <c:pt idx="10">
                  <c:v>58320</c:v>
                </c:pt>
                <c:pt idx="11">
                  <c:v>63812</c:v>
                </c:pt>
                <c:pt idx="12">
                  <c:v>61662</c:v>
                </c:pt>
                <c:pt idx="13">
                  <c:v>72161</c:v>
                </c:pt>
                <c:pt idx="14">
                  <c:v>75844</c:v>
                </c:pt>
                <c:pt idx="15">
                  <c:v>93996</c:v>
                </c:pt>
                <c:pt idx="16">
                  <c:v>49770</c:v>
                </c:pt>
                <c:pt idx="17">
                  <c:v>51619</c:v>
                </c:pt>
                <c:pt idx="18">
                  <c:v>57172</c:v>
                </c:pt>
                <c:pt idx="19">
                  <c:v>57930</c:v>
                </c:pt>
                <c:pt idx="20">
                  <c:v>61224</c:v>
                </c:pt>
                <c:pt idx="21">
                  <c:v>55325</c:v>
                </c:pt>
                <c:pt idx="22">
                  <c:v>62380</c:v>
                </c:pt>
                <c:pt idx="23">
                  <c:v>64179</c:v>
                </c:pt>
                <c:pt idx="24">
                  <c:v>60605</c:v>
                </c:pt>
              </c:numCache>
            </c:numRef>
          </c:val>
          <c:smooth val="0"/>
        </c:ser>
        <c:ser>
          <c:idx val="2"/>
          <c:order val="2"/>
          <c:tx>
            <c:strRef>
              <c:f>'data scripts by specialty'!$D$1:$D$2</c:f>
              <c:strCache>
                <c:ptCount val="1"/>
                <c:pt idx="0">
                  <c:v>Ophthalmology</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specialty'!$D$3:$D$28</c:f>
              <c:numCache>
                <c:formatCode>General</c:formatCode>
                <c:ptCount val="25"/>
                <c:pt idx="0">
                  <c:v>40648</c:v>
                </c:pt>
                <c:pt idx="1">
                  <c:v>42245</c:v>
                </c:pt>
                <c:pt idx="2">
                  <c:v>46590</c:v>
                </c:pt>
                <c:pt idx="3">
                  <c:v>59839</c:v>
                </c:pt>
                <c:pt idx="4">
                  <c:v>26728</c:v>
                </c:pt>
                <c:pt idx="5">
                  <c:v>31760</c:v>
                </c:pt>
                <c:pt idx="6">
                  <c:v>35430</c:v>
                </c:pt>
                <c:pt idx="7">
                  <c:v>32274</c:v>
                </c:pt>
                <c:pt idx="8">
                  <c:v>36902</c:v>
                </c:pt>
                <c:pt idx="9">
                  <c:v>34829</c:v>
                </c:pt>
                <c:pt idx="10">
                  <c:v>36189</c:v>
                </c:pt>
                <c:pt idx="11">
                  <c:v>39672</c:v>
                </c:pt>
                <c:pt idx="12">
                  <c:v>37648</c:v>
                </c:pt>
                <c:pt idx="13">
                  <c:v>44031</c:v>
                </c:pt>
                <c:pt idx="14">
                  <c:v>46387</c:v>
                </c:pt>
                <c:pt idx="15">
                  <c:v>57124</c:v>
                </c:pt>
                <c:pt idx="16">
                  <c:v>28395</c:v>
                </c:pt>
                <c:pt idx="17">
                  <c:v>31191</c:v>
                </c:pt>
                <c:pt idx="18">
                  <c:v>33895</c:v>
                </c:pt>
                <c:pt idx="19">
                  <c:v>33077</c:v>
                </c:pt>
                <c:pt idx="20">
                  <c:v>36087</c:v>
                </c:pt>
                <c:pt idx="21">
                  <c:v>32456</c:v>
                </c:pt>
                <c:pt idx="22">
                  <c:v>35525</c:v>
                </c:pt>
                <c:pt idx="23">
                  <c:v>37202</c:v>
                </c:pt>
                <c:pt idx="24">
                  <c:v>34126</c:v>
                </c:pt>
              </c:numCache>
            </c:numRef>
          </c:val>
          <c:smooth val="0"/>
        </c:ser>
        <c:ser>
          <c:idx val="3"/>
          <c:order val="3"/>
          <c:tx>
            <c:strRef>
              <c:f>'data scripts by specialty'!$E$1:$E$2</c:f>
              <c:strCache>
                <c:ptCount val="1"/>
                <c:pt idx="0">
                  <c:v>Remote OMP</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specialty'!$E$3:$E$28</c:f>
              <c:numCache>
                <c:formatCode>General</c:formatCode>
                <c:ptCount val="25"/>
                <c:pt idx="0">
                  <c:v>3786</c:v>
                </c:pt>
                <c:pt idx="1">
                  <c:v>3861</c:v>
                </c:pt>
                <c:pt idx="2">
                  <c:v>4338</c:v>
                </c:pt>
                <c:pt idx="3">
                  <c:v>5109</c:v>
                </c:pt>
                <c:pt idx="4">
                  <c:v>3079</c:v>
                </c:pt>
                <c:pt idx="5">
                  <c:v>3247</c:v>
                </c:pt>
                <c:pt idx="6">
                  <c:v>3600</c:v>
                </c:pt>
                <c:pt idx="7">
                  <c:v>3416</c:v>
                </c:pt>
                <c:pt idx="8">
                  <c:v>3674</c:v>
                </c:pt>
                <c:pt idx="9">
                  <c:v>3443</c:v>
                </c:pt>
                <c:pt idx="10">
                  <c:v>3701</c:v>
                </c:pt>
                <c:pt idx="11">
                  <c:v>3989</c:v>
                </c:pt>
                <c:pt idx="12">
                  <c:v>3809</c:v>
                </c:pt>
                <c:pt idx="13">
                  <c:v>4332</c:v>
                </c:pt>
                <c:pt idx="14">
                  <c:v>4439</c:v>
                </c:pt>
                <c:pt idx="15">
                  <c:v>5203</c:v>
                </c:pt>
                <c:pt idx="16">
                  <c:v>3177</c:v>
                </c:pt>
                <c:pt idx="17">
                  <c:v>3243</c:v>
                </c:pt>
                <c:pt idx="18">
                  <c:v>3347</c:v>
                </c:pt>
                <c:pt idx="19">
                  <c:v>3413</c:v>
                </c:pt>
                <c:pt idx="20">
                  <c:v>3543</c:v>
                </c:pt>
                <c:pt idx="21">
                  <c:v>3171</c:v>
                </c:pt>
                <c:pt idx="22">
                  <c:v>3607</c:v>
                </c:pt>
                <c:pt idx="23">
                  <c:v>3632</c:v>
                </c:pt>
                <c:pt idx="24">
                  <c:v>3522</c:v>
                </c:pt>
              </c:numCache>
            </c:numRef>
          </c:val>
          <c:smooth val="0"/>
        </c:ser>
        <c:ser>
          <c:idx val="4"/>
          <c:order val="4"/>
          <c:tx>
            <c:strRef>
              <c:f>'data scripts by specialty'!$F$1:$F$2</c:f>
              <c:strCache>
                <c:ptCount val="1"/>
                <c:pt idx="0">
                  <c:v>GP Trainee - from March 2002</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specialty'!$F$3:$F$28</c:f>
              <c:numCache>
                <c:formatCode>General</c:formatCode>
                <c:ptCount val="25"/>
                <c:pt idx="0">
                  <c:v>2788</c:v>
                </c:pt>
                <c:pt idx="1">
                  <c:v>2902</c:v>
                </c:pt>
                <c:pt idx="2">
                  <c:v>3031</c:v>
                </c:pt>
                <c:pt idx="3">
                  <c:v>3886</c:v>
                </c:pt>
                <c:pt idx="4">
                  <c:v>2161</c:v>
                </c:pt>
                <c:pt idx="5">
                  <c:v>2248</c:v>
                </c:pt>
                <c:pt idx="6">
                  <c:v>2633</c:v>
                </c:pt>
                <c:pt idx="7">
                  <c:v>2553</c:v>
                </c:pt>
                <c:pt idx="8">
                  <c:v>2916</c:v>
                </c:pt>
                <c:pt idx="9">
                  <c:v>2722</c:v>
                </c:pt>
                <c:pt idx="10">
                  <c:v>2994</c:v>
                </c:pt>
                <c:pt idx="11">
                  <c:v>3041</c:v>
                </c:pt>
                <c:pt idx="12">
                  <c:v>2875</c:v>
                </c:pt>
                <c:pt idx="13">
                  <c:v>3365</c:v>
                </c:pt>
                <c:pt idx="14">
                  <c:v>3575</c:v>
                </c:pt>
                <c:pt idx="15">
                  <c:v>4282</c:v>
                </c:pt>
                <c:pt idx="16">
                  <c:v>2619</c:v>
                </c:pt>
                <c:pt idx="17">
                  <c:v>2514</c:v>
                </c:pt>
                <c:pt idx="18">
                  <c:v>3025</c:v>
                </c:pt>
                <c:pt idx="19">
                  <c:v>3050</c:v>
                </c:pt>
                <c:pt idx="20">
                  <c:v>3303</c:v>
                </c:pt>
                <c:pt idx="21">
                  <c:v>2846</c:v>
                </c:pt>
                <c:pt idx="22">
                  <c:v>3435</c:v>
                </c:pt>
                <c:pt idx="23">
                  <c:v>3311</c:v>
                </c:pt>
                <c:pt idx="24">
                  <c:v>3225</c:v>
                </c:pt>
              </c:numCache>
            </c:numRef>
          </c:val>
          <c:smooth val="0"/>
        </c:ser>
        <c:ser>
          <c:idx val="5"/>
          <c:order val="5"/>
          <c:tx>
            <c:strRef>
              <c:f>'data scripts by specialty'!$G$1:$G$2</c:f>
              <c:strCache>
                <c:ptCount val="1"/>
                <c:pt idx="0">
                  <c:v>Other non-specialist</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specialty'!$G$3:$G$28</c:f>
              <c:numCache>
                <c:formatCode>General</c:formatCode>
                <c:ptCount val="25"/>
                <c:pt idx="0">
                  <c:v>3048</c:v>
                </c:pt>
                <c:pt idx="1">
                  <c:v>3238</c:v>
                </c:pt>
                <c:pt idx="2">
                  <c:v>3546</c:v>
                </c:pt>
                <c:pt idx="3">
                  <c:v>4440</c:v>
                </c:pt>
                <c:pt idx="4">
                  <c:v>2074</c:v>
                </c:pt>
                <c:pt idx="5">
                  <c:v>2323</c:v>
                </c:pt>
                <c:pt idx="6">
                  <c:v>2600</c:v>
                </c:pt>
                <c:pt idx="7">
                  <c:v>2364</c:v>
                </c:pt>
                <c:pt idx="8">
                  <c:v>2654</c:v>
                </c:pt>
                <c:pt idx="9">
                  <c:v>2627</c:v>
                </c:pt>
                <c:pt idx="10">
                  <c:v>2658</c:v>
                </c:pt>
                <c:pt idx="11">
                  <c:v>2846</c:v>
                </c:pt>
                <c:pt idx="12">
                  <c:v>2762</c:v>
                </c:pt>
                <c:pt idx="13">
                  <c:v>3326</c:v>
                </c:pt>
                <c:pt idx="14">
                  <c:v>3543</c:v>
                </c:pt>
                <c:pt idx="15">
                  <c:v>4310</c:v>
                </c:pt>
                <c:pt idx="16">
                  <c:v>2158</c:v>
                </c:pt>
                <c:pt idx="17">
                  <c:v>2173</c:v>
                </c:pt>
                <c:pt idx="18">
                  <c:v>2408</c:v>
                </c:pt>
                <c:pt idx="19">
                  <c:v>2477</c:v>
                </c:pt>
                <c:pt idx="20">
                  <c:v>2445</c:v>
                </c:pt>
                <c:pt idx="21">
                  <c:v>2300</c:v>
                </c:pt>
                <c:pt idx="22">
                  <c:v>2486</c:v>
                </c:pt>
                <c:pt idx="23">
                  <c:v>2492</c:v>
                </c:pt>
                <c:pt idx="24">
                  <c:v>2486</c:v>
                </c:pt>
              </c:numCache>
            </c:numRef>
          </c:val>
          <c:smooth val="0"/>
        </c:ser>
        <c:ser>
          <c:idx val="6"/>
          <c:order val="6"/>
          <c:tx>
            <c:strRef>
              <c:f>'data scripts by specialty'!$H$1:$H$2</c:f>
              <c:strCache>
                <c:ptCount val="1"/>
                <c:pt idx="0">
                  <c:v>Optometry - from 1 Jan 1999</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specialty'!$H$3:$H$28</c:f>
              <c:numCache>
                <c:formatCode>General</c:formatCode>
                <c:ptCount val="25"/>
                <c:pt idx="0">
                  <c:v>1840</c:v>
                </c:pt>
                <c:pt idx="1">
                  <c:v>2026</c:v>
                </c:pt>
                <c:pt idx="2">
                  <c:v>2260</c:v>
                </c:pt>
                <c:pt idx="3">
                  <c:v>2846</c:v>
                </c:pt>
                <c:pt idx="4">
                  <c:v>1465</c:v>
                </c:pt>
                <c:pt idx="5">
                  <c:v>1691</c:v>
                </c:pt>
                <c:pt idx="6">
                  <c:v>1811</c:v>
                </c:pt>
                <c:pt idx="7">
                  <c:v>1588</c:v>
                </c:pt>
                <c:pt idx="8">
                  <c:v>1872</c:v>
                </c:pt>
                <c:pt idx="9">
                  <c:v>1724</c:v>
                </c:pt>
                <c:pt idx="10">
                  <c:v>1829</c:v>
                </c:pt>
                <c:pt idx="11">
                  <c:v>2029</c:v>
                </c:pt>
                <c:pt idx="12">
                  <c:v>1966</c:v>
                </c:pt>
                <c:pt idx="13">
                  <c:v>2341</c:v>
                </c:pt>
                <c:pt idx="14">
                  <c:v>2642</c:v>
                </c:pt>
                <c:pt idx="15">
                  <c:v>3096</c:v>
                </c:pt>
                <c:pt idx="16">
                  <c:v>1657</c:v>
                </c:pt>
                <c:pt idx="17">
                  <c:v>1783</c:v>
                </c:pt>
                <c:pt idx="18">
                  <c:v>1953</c:v>
                </c:pt>
                <c:pt idx="19">
                  <c:v>2000</c:v>
                </c:pt>
                <c:pt idx="20">
                  <c:v>2139</c:v>
                </c:pt>
                <c:pt idx="21">
                  <c:v>1894</c:v>
                </c:pt>
                <c:pt idx="22">
                  <c:v>2187</c:v>
                </c:pt>
                <c:pt idx="23">
                  <c:v>2329</c:v>
                </c:pt>
                <c:pt idx="24">
                  <c:v>2343</c:v>
                </c:pt>
              </c:numCache>
            </c:numRef>
          </c:val>
          <c:smooth val="0"/>
        </c:ser>
        <c:ser>
          <c:idx val="7"/>
          <c:order val="7"/>
          <c:tx>
            <c:strRef>
              <c:f>'data scripts by specialty'!$I$1:$I$2</c:f>
              <c:strCache>
                <c:ptCount val="1"/>
                <c:pt idx="0">
                  <c:v>Medicare Plus pre 1996 OMP (un-restricted)</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specialty'!$I$3:$I$28</c:f>
              <c:numCache>
                <c:formatCode>General</c:formatCode>
                <c:ptCount val="25"/>
                <c:pt idx="0">
                  <c:v>919</c:v>
                </c:pt>
                <c:pt idx="1">
                  <c:v>1023</c:v>
                </c:pt>
                <c:pt idx="2">
                  <c:v>1129</c:v>
                </c:pt>
                <c:pt idx="3">
                  <c:v>1454</c:v>
                </c:pt>
                <c:pt idx="4">
                  <c:v>636</c:v>
                </c:pt>
                <c:pt idx="5">
                  <c:v>762</c:v>
                </c:pt>
                <c:pt idx="6">
                  <c:v>928</c:v>
                </c:pt>
                <c:pt idx="7">
                  <c:v>789</c:v>
                </c:pt>
                <c:pt idx="8">
                  <c:v>919</c:v>
                </c:pt>
                <c:pt idx="9">
                  <c:v>918</c:v>
                </c:pt>
                <c:pt idx="10">
                  <c:v>941</c:v>
                </c:pt>
                <c:pt idx="11">
                  <c:v>1078</c:v>
                </c:pt>
                <c:pt idx="12">
                  <c:v>997</c:v>
                </c:pt>
                <c:pt idx="13">
                  <c:v>1132</c:v>
                </c:pt>
                <c:pt idx="14">
                  <c:v>1334</c:v>
                </c:pt>
                <c:pt idx="15">
                  <c:v>1593</c:v>
                </c:pt>
                <c:pt idx="16">
                  <c:v>787</c:v>
                </c:pt>
                <c:pt idx="17">
                  <c:v>820</c:v>
                </c:pt>
                <c:pt idx="18">
                  <c:v>915</c:v>
                </c:pt>
                <c:pt idx="19">
                  <c:v>905</c:v>
                </c:pt>
                <c:pt idx="20">
                  <c:v>1069</c:v>
                </c:pt>
                <c:pt idx="21">
                  <c:v>836</c:v>
                </c:pt>
                <c:pt idx="22">
                  <c:v>1041</c:v>
                </c:pt>
                <c:pt idx="23">
                  <c:v>1059</c:v>
                </c:pt>
                <c:pt idx="24">
                  <c:v>962</c:v>
                </c:pt>
              </c:numCache>
            </c:numRef>
          </c:val>
          <c:smooth val="0"/>
        </c:ser>
        <c:ser>
          <c:idx val="8"/>
          <c:order val="8"/>
          <c:tx>
            <c:strRef>
              <c:f>'data scripts by specialty'!$J$1:$J$2</c:f>
              <c:strCache>
                <c:ptCount val="1"/>
                <c:pt idx="0">
                  <c:v>Surgeon - non-specialist</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specialty'!$J$3:$J$28</c:f>
              <c:numCache>
                <c:formatCode>General</c:formatCode>
                <c:ptCount val="25"/>
                <c:pt idx="0">
                  <c:v>735</c:v>
                </c:pt>
                <c:pt idx="1">
                  <c:v>823</c:v>
                </c:pt>
                <c:pt idx="2">
                  <c:v>841</c:v>
                </c:pt>
                <c:pt idx="3">
                  <c:v>1035</c:v>
                </c:pt>
                <c:pt idx="4">
                  <c:v>554</c:v>
                </c:pt>
                <c:pt idx="5">
                  <c:v>611</c:v>
                </c:pt>
                <c:pt idx="6">
                  <c:v>638</c:v>
                </c:pt>
                <c:pt idx="7">
                  <c:v>620</c:v>
                </c:pt>
                <c:pt idx="8">
                  <c:v>705</c:v>
                </c:pt>
                <c:pt idx="9">
                  <c:v>690</c:v>
                </c:pt>
                <c:pt idx="10">
                  <c:v>768</c:v>
                </c:pt>
                <c:pt idx="11">
                  <c:v>794</c:v>
                </c:pt>
                <c:pt idx="12">
                  <c:v>799</c:v>
                </c:pt>
                <c:pt idx="13">
                  <c:v>848</c:v>
                </c:pt>
                <c:pt idx="14">
                  <c:v>908</c:v>
                </c:pt>
                <c:pt idx="15">
                  <c:v>1112</c:v>
                </c:pt>
                <c:pt idx="16">
                  <c:v>731</c:v>
                </c:pt>
                <c:pt idx="17">
                  <c:v>680</c:v>
                </c:pt>
                <c:pt idx="18">
                  <c:v>737</c:v>
                </c:pt>
                <c:pt idx="19">
                  <c:v>754</c:v>
                </c:pt>
                <c:pt idx="20">
                  <c:v>763</c:v>
                </c:pt>
                <c:pt idx="21">
                  <c:v>715</c:v>
                </c:pt>
                <c:pt idx="22">
                  <c:v>787</c:v>
                </c:pt>
                <c:pt idx="23">
                  <c:v>818</c:v>
                </c:pt>
                <c:pt idx="24">
                  <c:v>806</c:v>
                </c:pt>
              </c:numCache>
            </c:numRef>
          </c:val>
          <c:smooth val="0"/>
        </c:ser>
        <c:ser>
          <c:idx val="9"/>
          <c:order val="9"/>
          <c:tx>
            <c:strRef>
              <c:f>'data scripts by specialty'!$K$1:$K$2</c:f>
              <c:strCache>
                <c:ptCount val="1"/>
                <c:pt idx="0">
                  <c:v>Intern</c:v>
                </c:pt>
              </c:strCache>
            </c:strRef>
          </c:tx>
          <c:marker>
            <c:symbol val="none"/>
          </c:marker>
          <c:cat>
            <c:strRef>
              <c:f>'data scripts by specialty'!$A$3:$A$28</c:f>
              <c:strCache>
                <c:ptCount val="25"/>
                <c:pt idx="0">
                  <c:v>201109</c:v>
                </c:pt>
                <c:pt idx="1">
                  <c:v>201110</c:v>
                </c:pt>
                <c:pt idx="2">
                  <c:v>201111</c:v>
                </c:pt>
                <c:pt idx="3">
                  <c:v>201112</c:v>
                </c:pt>
                <c:pt idx="4">
                  <c:v>201201</c:v>
                </c:pt>
                <c:pt idx="5">
                  <c:v>201202</c:v>
                </c:pt>
                <c:pt idx="6">
                  <c:v>201203</c:v>
                </c:pt>
                <c:pt idx="7">
                  <c:v>201204</c:v>
                </c:pt>
                <c:pt idx="8">
                  <c:v>201205</c:v>
                </c:pt>
                <c:pt idx="9">
                  <c:v>201206</c:v>
                </c:pt>
                <c:pt idx="10">
                  <c:v>201207</c:v>
                </c:pt>
                <c:pt idx="11">
                  <c:v>201208</c:v>
                </c:pt>
                <c:pt idx="12">
                  <c:v>201209</c:v>
                </c:pt>
                <c:pt idx="13">
                  <c:v>201210</c:v>
                </c:pt>
                <c:pt idx="14">
                  <c:v>201211</c:v>
                </c:pt>
                <c:pt idx="15">
                  <c:v>201212</c:v>
                </c:pt>
                <c:pt idx="16">
                  <c:v>201301</c:v>
                </c:pt>
                <c:pt idx="17">
                  <c:v>201302</c:v>
                </c:pt>
                <c:pt idx="18">
                  <c:v>201303</c:v>
                </c:pt>
                <c:pt idx="19">
                  <c:v>201304</c:v>
                </c:pt>
                <c:pt idx="20">
                  <c:v>201305</c:v>
                </c:pt>
                <c:pt idx="21">
                  <c:v>201306</c:v>
                </c:pt>
                <c:pt idx="22">
                  <c:v>201307</c:v>
                </c:pt>
                <c:pt idx="23">
                  <c:v>201308</c:v>
                </c:pt>
                <c:pt idx="24">
                  <c:v>201309</c:v>
                </c:pt>
              </c:strCache>
            </c:strRef>
          </c:cat>
          <c:val>
            <c:numRef>
              <c:f>'data scripts by specialty'!$K$3:$K$28</c:f>
              <c:numCache>
                <c:formatCode>General</c:formatCode>
                <c:ptCount val="25"/>
                <c:pt idx="0">
                  <c:v>689</c:v>
                </c:pt>
                <c:pt idx="1">
                  <c:v>717</c:v>
                </c:pt>
                <c:pt idx="2">
                  <c:v>693</c:v>
                </c:pt>
                <c:pt idx="3">
                  <c:v>802</c:v>
                </c:pt>
                <c:pt idx="4">
                  <c:v>436</c:v>
                </c:pt>
                <c:pt idx="5">
                  <c:v>520</c:v>
                </c:pt>
                <c:pt idx="6">
                  <c:v>606</c:v>
                </c:pt>
                <c:pt idx="7">
                  <c:v>645</c:v>
                </c:pt>
                <c:pt idx="8">
                  <c:v>725</c:v>
                </c:pt>
                <c:pt idx="9">
                  <c:v>731</c:v>
                </c:pt>
                <c:pt idx="10">
                  <c:v>773</c:v>
                </c:pt>
                <c:pt idx="11">
                  <c:v>824</c:v>
                </c:pt>
                <c:pt idx="12">
                  <c:v>735</c:v>
                </c:pt>
                <c:pt idx="13">
                  <c:v>839</c:v>
                </c:pt>
                <c:pt idx="14">
                  <c:v>831</c:v>
                </c:pt>
                <c:pt idx="15">
                  <c:v>907</c:v>
                </c:pt>
                <c:pt idx="16">
                  <c:v>635</c:v>
                </c:pt>
                <c:pt idx="17">
                  <c:v>604</c:v>
                </c:pt>
                <c:pt idx="18">
                  <c:v>699</c:v>
                </c:pt>
                <c:pt idx="19">
                  <c:v>712</c:v>
                </c:pt>
                <c:pt idx="20">
                  <c:v>728</c:v>
                </c:pt>
                <c:pt idx="21">
                  <c:v>685</c:v>
                </c:pt>
                <c:pt idx="22">
                  <c:v>737</c:v>
                </c:pt>
                <c:pt idx="23">
                  <c:v>819</c:v>
                </c:pt>
                <c:pt idx="24">
                  <c:v>777</c:v>
                </c:pt>
              </c:numCache>
            </c:numRef>
          </c:val>
          <c:smooth val="0"/>
        </c:ser>
        <c:dLbls>
          <c:showLegendKey val="0"/>
          <c:showVal val="0"/>
          <c:showCatName val="0"/>
          <c:showSerName val="0"/>
          <c:showPercent val="0"/>
          <c:showBubbleSize val="0"/>
        </c:dLbls>
        <c:marker val="1"/>
        <c:smooth val="0"/>
        <c:axId val="167678720"/>
        <c:axId val="167680256"/>
      </c:lineChart>
      <c:catAx>
        <c:axId val="167678720"/>
        <c:scaling>
          <c:orientation val="minMax"/>
        </c:scaling>
        <c:delete val="0"/>
        <c:axPos val="b"/>
        <c:majorTickMark val="out"/>
        <c:minorTickMark val="none"/>
        <c:tickLblPos val="nextTo"/>
        <c:crossAx val="167680256"/>
        <c:crosses val="autoZero"/>
        <c:auto val="1"/>
        <c:lblAlgn val="ctr"/>
        <c:lblOffset val="100"/>
        <c:noMultiLvlLbl val="0"/>
      </c:catAx>
      <c:valAx>
        <c:axId val="167680256"/>
        <c:scaling>
          <c:orientation val="minMax"/>
        </c:scaling>
        <c:delete val="0"/>
        <c:axPos val="l"/>
        <c:majorGridlines/>
        <c:numFmt formatCode="General" sourceLinked="1"/>
        <c:majorTickMark val="out"/>
        <c:minorTickMark val="none"/>
        <c:tickLblPos val="nextTo"/>
        <c:crossAx val="167678720"/>
        <c:crosses val="autoZero"/>
        <c:crossBetween val="between"/>
      </c:valAx>
    </c:plotArea>
    <c:legend>
      <c:legendPos val="b"/>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MAJOR_SPECIALTY_TXT_SUM -  DUSC DB drug names.xlsx]Sheet3!PivotTable3</c:name>
    <c:fmtId val="8"/>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Sheet3!$B$1</c:f>
              <c:strCache>
                <c:ptCount val="1"/>
                <c:pt idx="0">
                  <c:v>Total</c:v>
                </c:pt>
              </c:strCache>
            </c:strRef>
          </c:tx>
          <c:invertIfNegative val="0"/>
          <c:cat>
            <c:multiLvlStrRef>
              <c:f>Sheet3!$A$2:$A$11</c:f>
              <c:multiLvlStrCache>
                <c:ptCount val="6"/>
                <c:lvl>
                  <c:pt idx="0">
                    <c:v>Multiple Dose</c:v>
                  </c:pt>
                  <c:pt idx="1">
                    <c:v>Single dose</c:v>
                  </c:pt>
                  <c:pt idx="2">
                    <c:v>Multiple Dose</c:v>
                  </c:pt>
                  <c:pt idx="3">
                    <c:v>Single dose</c:v>
                  </c:pt>
                  <c:pt idx="4">
                    <c:v>Multiple Dose</c:v>
                  </c:pt>
                  <c:pt idx="5">
                    <c:v>Single dose</c:v>
                  </c:pt>
                </c:lvl>
                <c:lvl>
                  <c:pt idx="0">
                    <c:v>Vocationally Registered GP</c:v>
                  </c:pt>
                  <c:pt idx="2">
                    <c:v>Fellow of the College of GPs</c:v>
                  </c:pt>
                  <c:pt idx="4">
                    <c:v>Ophthalmology</c:v>
                  </c:pt>
                </c:lvl>
              </c:multiLvlStrCache>
            </c:multiLvlStrRef>
          </c:cat>
          <c:val>
            <c:numRef>
              <c:f>Sheet3!$B$2:$B$11</c:f>
              <c:numCache>
                <c:formatCode>General</c:formatCode>
                <c:ptCount val="6"/>
                <c:pt idx="0">
                  <c:v>1856995</c:v>
                </c:pt>
                <c:pt idx="1">
                  <c:v>259743</c:v>
                </c:pt>
                <c:pt idx="2">
                  <c:v>1331639</c:v>
                </c:pt>
                <c:pt idx="3">
                  <c:v>211839</c:v>
                </c:pt>
                <c:pt idx="4">
                  <c:v>774473</c:v>
                </c:pt>
                <c:pt idx="5">
                  <c:v>175777</c:v>
                </c:pt>
              </c:numCache>
            </c:numRef>
          </c:val>
        </c:ser>
        <c:dLbls>
          <c:showLegendKey val="0"/>
          <c:showVal val="0"/>
          <c:showCatName val="0"/>
          <c:showSerName val="0"/>
          <c:showPercent val="0"/>
          <c:showBubbleSize val="0"/>
        </c:dLbls>
        <c:gapWidth val="150"/>
        <c:axId val="167712640"/>
        <c:axId val="167714176"/>
      </c:barChart>
      <c:catAx>
        <c:axId val="167712640"/>
        <c:scaling>
          <c:orientation val="minMax"/>
        </c:scaling>
        <c:delete val="0"/>
        <c:axPos val="b"/>
        <c:majorTickMark val="out"/>
        <c:minorTickMark val="none"/>
        <c:tickLblPos val="nextTo"/>
        <c:crossAx val="167714176"/>
        <c:crosses val="autoZero"/>
        <c:auto val="1"/>
        <c:lblAlgn val="ctr"/>
        <c:lblOffset val="100"/>
        <c:noMultiLvlLbl val="0"/>
      </c:catAx>
      <c:valAx>
        <c:axId val="167714176"/>
        <c:scaling>
          <c:orientation val="minMax"/>
        </c:scaling>
        <c:delete val="0"/>
        <c:axPos val="l"/>
        <c:majorGridlines/>
        <c:numFmt formatCode="#,##0" sourceLinked="0"/>
        <c:majorTickMark val="out"/>
        <c:minorTickMark val="none"/>
        <c:tickLblPos val="nextTo"/>
        <c:crossAx val="167712640"/>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v3 - add LBL data c DUSC DB drug names.xlsx]Expenditure by year!PivotTable2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s>
    <c:plotArea>
      <c:layout/>
      <c:lineChart>
        <c:grouping val="standard"/>
        <c:varyColors val="0"/>
        <c:ser>
          <c:idx val="0"/>
          <c:order val="0"/>
          <c:tx>
            <c:strRef>
              <c:f>'Expenditure by year'!$B$3</c:f>
              <c:strCache>
                <c:ptCount val="1"/>
                <c:pt idx="0">
                  <c:v>Total</c:v>
                </c:pt>
              </c:strCache>
            </c:strRef>
          </c:tx>
          <c:cat>
            <c:strRef>
              <c:f>'Expenditure by year'!$A$4:$A$15</c:f>
              <c:strCache>
                <c:ptCount val="11"/>
                <c:pt idx="1">
                  <c:v>2003</c:v>
                </c:pt>
                <c:pt idx="2">
                  <c:v>2004</c:v>
                </c:pt>
                <c:pt idx="3">
                  <c:v>2005</c:v>
                </c:pt>
                <c:pt idx="4">
                  <c:v>2006</c:v>
                </c:pt>
                <c:pt idx="5">
                  <c:v>2007</c:v>
                </c:pt>
                <c:pt idx="6">
                  <c:v>2008</c:v>
                </c:pt>
                <c:pt idx="7">
                  <c:v>2009</c:v>
                </c:pt>
                <c:pt idx="8">
                  <c:v>2010</c:v>
                </c:pt>
                <c:pt idx="9">
                  <c:v>2011</c:v>
                </c:pt>
                <c:pt idx="10">
                  <c:v>2012</c:v>
                </c:pt>
              </c:strCache>
            </c:strRef>
          </c:cat>
          <c:val>
            <c:numRef>
              <c:f>'Expenditure by year'!$B$4:$B$15</c:f>
              <c:numCache>
                <c:formatCode>General</c:formatCode>
                <c:ptCount val="11"/>
                <c:pt idx="1">
                  <c:v>21231850.679999989</c:v>
                </c:pt>
                <c:pt idx="2">
                  <c:v>22954215.080000009</c:v>
                </c:pt>
                <c:pt idx="3">
                  <c:v>21005904.339999944</c:v>
                </c:pt>
                <c:pt idx="4">
                  <c:v>19732883.330000028</c:v>
                </c:pt>
                <c:pt idx="5">
                  <c:v>20743566.679999992</c:v>
                </c:pt>
                <c:pt idx="6">
                  <c:v>22617376.680000015</c:v>
                </c:pt>
                <c:pt idx="7">
                  <c:v>24496909.109999929</c:v>
                </c:pt>
                <c:pt idx="8">
                  <c:v>25251151.439999927</c:v>
                </c:pt>
                <c:pt idx="9">
                  <c:v>25329589.19999994</c:v>
                </c:pt>
                <c:pt idx="10">
                  <c:v>26232542.809999909</c:v>
                </c:pt>
              </c:numCache>
            </c:numRef>
          </c:val>
          <c:smooth val="0"/>
        </c:ser>
        <c:dLbls>
          <c:showLegendKey val="0"/>
          <c:showVal val="0"/>
          <c:showCatName val="0"/>
          <c:showSerName val="0"/>
          <c:showPercent val="0"/>
          <c:showBubbleSize val="0"/>
        </c:dLbls>
        <c:marker val="1"/>
        <c:smooth val="0"/>
        <c:axId val="167725312"/>
        <c:axId val="167882752"/>
      </c:lineChart>
      <c:catAx>
        <c:axId val="167725312"/>
        <c:scaling>
          <c:orientation val="minMax"/>
        </c:scaling>
        <c:delete val="0"/>
        <c:axPos val="b"/>
        <c:majorTickMark val="none"/>
        <c:minorTickMark val="none"/>
        <c:tickLblPos val="nextTo"/>
        <c:crossAx val="167882752"/>
        <c:crosses val="autoZero"/>
        <c:auto val="1"/>
        <c:lblAlgn val="ctr"/>
        <c:lblOffset val="100"/>
        <c:noMultiLvlLbl val="0"/>
      </c:catAx>
      <c:valAx>
        <c:axId val="167882752"/>
        <c:scaling>
          <c:orientation val="minMax"/>
        </c:scaling>
        <c:delete val="0"/>
        <c:axPos val="l"/>
        <c:majorGridlines/>
        <c:numFmt formatCode="&quot;$&quot;#,,&quot; M&quot;" sourceLinked="0"/>
        <c:majorTickMark val="none"/>
        <c:minorTickMark val="none"/>
        <c:tickLblPos val="nextTo"/>
        <c:crossAx val="16772531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[D801 - S01XA - Other ophthalmologicals v4 - add LBL data c DUSC DB drug names.xlsx]Data expenditure by drug!PivotTable2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s>
    <c:plotArea>
      <c:layout/>
      <c:lineChart>
        <c:grouping val="standard"/>
        <c:varyColors val="0"/>
        <c:ser>
          <c:idx val="0"/>
          <c:order val="0"/>
          <c:tx>
            <c:strRef>
              <c:f>'Data expenditure by drug'!$B$3:$B$4</c:f>
              <c:strCache>
                <c:ptCount val="1"/>
                <c:pt idx="0">
                  <c:v>CARMELLOSE SODIUM</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drug'!$B$5:$B$15</c:f>
              <c:numCache>
                <c:formatCode>General</c:formatCode>
                <c:ptCount val="10"/>
                <c:pt idx="0">
                  <c:v>4317411.72</c:v>
                </c:pt>
                <c:pt idx="1">
                  <c:v>5621584.7099999934</c:v>
                </c:pt>
                <c:pt idx="2">
                  <c:v>6460645.4299999969</c:v>
                </c:pt>
                <c:pt idx="3">
                  <c:v>6108068.2399999993</c:v>
                </c:pt>
                <c:pt idx="4">
                  <c:v>6613147.1900000023</c:v>
                </c:pt>
                <c:pt idx="5">
                  <c:v>7354384.0800000047</c:v>
                </c:pt>
                <c:pt idx="6">
                  <c:v>7784847.1900000004</c:v>
                </c:pt>
                <c:pt idx="7">
                  <c:v>7993057.7999999765</c:v>
                </c:pt>
                <c:pt idx="8">
                  <c:v>8133238.0699999975</c:v>
                </c:pt>
                <c:pt idx="9">
                  <c:v>8502428.4600000009</c:v>
                </c:pt>
              </c:numCache>
            </c:numRef>
          </c:val>
          <c:smooth val="0"/>
        </c:ser>
        <c:ser>
          <c:idx val="1"/>
          <c:order val="1"/>
          <c:tx>
            <c:strRef>
              <c:f>'Data expenditure by drug'!$C$3:$C$4</c:f>
              <c:strCache>
                <c:ptCount val="1"/>
                <c:pt idx="0">
                  <c:v>HYPROMELLOSE</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drug'!$C$5:$C$15</c:f>
              <c:numCache>
                <c:formatCode>General</c:formatCode>
                <c:ptCount val="10"/>
                <c:pt idx="0">
                  <c:v>7661763.8099999987</c:v>
                </c:pt>
                <c:pt idx="1">
                  <c:v>7704980.3899999959</c:v>
                </c:pt>
                <c:pt idx="2">
                  <c:v>5833716.1500000004</c:v>
                </c:pt>
                <c:pt idx="3">
                  <c:v>4552859.2699999996</c:v>
                </c:pt>
                <c:pt idx="4">
                  <c:v>4466854.5100000007</c:v>
                </c:pt>
                <c:pt idx="5">
                  <c:v>4444740.4200000018</c:v>
                </c:pt>
                <c:pt idx="6">
                  <c:v>4324332.8499999996</c:v>
                </c:pt>
                <c:pt idx="7">
                  <c:v>4048459.4799999995</c:v>
                </c:pt>
                <c:pt idx="8">
                  <c:v>3591268.9700000049</c:v>
                </c:pt>
                <c:pt idx="9">
                  <c:v>3306071.9900000067</c:v>
                </c:pt>
              </c:numCache>
            </c:numRef>
          </c:val>
          <c:smooth val="0"/>
        </c:ser>
        <c:ser>
          <c:idx val="2"/>
          <c:order val="2"/>
          <c:tx>
            <c:strRef>
              <c:f>'Data expenditure by drug'!$D$3:$D$4</c:f>
              <c:strCache>
                <c:ptCount val="1"/>
                <c:pt idx="0">
                  <c:v>PARAFFIN</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drug'!$D$5:$D$15</c:f>
              <c:numCache>
                <c:formatCode>General</c:formatCode>
                <c:ptCount val="10"/>
                <c:pt idx="0">
                  <c:v>2466463.31</c:v>
                </c:pt>
                <c:pt idx="1">
                  <c:v>2621251.0400000005</c:v>
                </c:pt>
                <c:pt idx="2">
                  <c:v>2533155.5099999993</c:v>
                </c:pt>
                <c:pt idx="3">
                  <c:v>2630365.0799999987</c:v>
                </c:pt>
                <c:pt idx="4">
                  <c:v>2736467.830000001</c:v>
                </c:pt>
                <c:pt idx="5">
                  <c:v>2865747.660000002</c:v>
                </c:pt>
                <c:pt idx="6">
                  <c:v>2939214.3399999985</c:v>
                </c:pt>
                <c:pt idx="7">
                  <c:v>2936275.54</c:v>
                </c:pt>
                <c:pt idx="8">
                  <c:v>2851020.5700000022</c:v>
                </c:pt>
                <c:pt idx="9">
                  <c:v>2901290.7900000005</c:v>
                </c:pt>
              </c:numCache>
            </c:numRef>
          </c:val>
          <c:smooth val="0"/>
        </c:ser>
        <c:ser>
          <c:idx val="3"/>
          <c:order val="3"/>
          <c:tx>
            <c:strRef>
              <c:f>'Data expenditure by drug'!$E$3:$E$4</c:f>
              <c:strCache>
                <c:ptCount val="1"/>
                <c:pt idx="0">
                  <c:v>POLYETHYLENE GLYCOL 400 with PROPYLENE GLYCOL</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drug'!$E$5:$E$15</c:f>
              <c:numCache>
                <c:formatCode>General</c:formatCode>
                <c:ptCount val="10"/>
                <c:pt idx="0">
                  <c:v>41924.729999999996</c:v>
                </c:pt>
                <c:pt idx="1">
                  <c:v>795327.18000000017</c:v>
                </c:pt>
                <c:pt idx="2">
                  <c:v>1324923.98</c:v>
                </c:pt>
                <c:pt idx="3">
                  <c:v>1825089.8500000003</c:v>
                </c:pt>
                <c:pt idx="4">
                  <c:v>2229041.6</c:v>
                </c:pt>
                <c:pt idx="5">
                  <c:v>2866506.58</c:v>
                </c:pt>
                <c:pt idx="6">
                  <c:v>3593468.7000000011</c:v>
                </c:pt>
                <c:pt idx="7">
                  <c:v>3898881.350000002</c:v>
                </c:pt>
                <c:pt idx="8">
                  <c:v>4091863.5099999993</c:v>
                </c:pt>
                <c:pt idx="9">
                  <c:v>4311444.42</c:v>
                </c:pt>
              </c:numCache>
            </c:numRef>
          </c:val>
          <c:smooth val="0"/>
        </c:ser>
        <c:ser>
          <c:idx val="4"/>
          <c:order val="4"/>
          <c:tx>
            <c:strRef>
              <c:f>'Data expenditure by drug'!$F$3:$F$4</c:f>
              <c:strCache>
                <c:ptCount val="1"/>
                <c:pt idx="0">
                  <c:v>HYPROMELLOSE with DEXTRAN</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drug'!$F$5:$F$15</c:f>
              <c:numCache>
                <c:formatCode>General</c:formatCode>
                <c:ptCount val="10"/>
                <c:pt idx="0">
                  <c:v>1076751.9000000004</c:v>
                </c:pt>
                <c:pt idx="1">
                  <c:v>1218743.0899999999</c:v>
                </c:pt>
                <c:pt idx="2">
                  <c:v>1245019.2600000002</c:v>
                </c:pt>
                <c:pt idx="3">
                  <c:v>1297713.2600000002</c:v>
                </c:pt>
                <c:pt idx="4">
                  <c:v>1488528.6500000006</c:v>
                </c:pt>
                <c:pt idx="5">
                  <c:v>1733219.2200000002</c:v>
                </c:pt>
                <c:pt idx="6">
                  <c:v>2097786.9800000009</c:v>
                </c:pt>
                <c:pt idx="7">
                  <c:v>2358936.6</c:v>
                </c:pt>
                <c:pt idx="8">
                  <c:v>2478342.5999999987</c:v>
                </c:pt>
                <c:pt idx="9">
                  <c:v>2767771.8500000015</c:v>
                </c:pt>
              </c:numCache>
            </c:numRef>
          </c:val>
          <c:smooth val="0"/>
        </c:ser>
        <c:ser>
          <c:idx val="5"/>
          <c:order val="5"/>
          <c:tx>
            <c:strRef>
              <c:f>'Data expenditure by drug'!$G$3:$G$4</c:f>
              <c:strCache>
                <c:ptCount val="1"/>
                <c:pt idx="0">
                  <c:v>CARBOMER 980</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drug'!$G$5:$G$15</c:f>
              <c:numCache>
                <c:formatCode>General</c:formatCode>
                <c:ptCount val="10"/>
                <c:pt idx="0">
                  <c:v>1677454.2299999997</c:v>
                </c:pt>
                <c:pt idx="1">
                  <c:v>1652347.19</c:v>
                </c:pt>
                <c:pt idx="2">
                  <c:v>1330412.8099999998</c:v>
                </c:pt>
                <c:pt idx="3">
                  <c:v>1246261.0400000003</c:v>
                </c:pt>
                <c:pt idx="4">
                  <c:v>1184752.2100000002</c:v>
                </c:pt>
                <c:pt idx="5">
                  <c:v>1191911.9099999997</c:v>
                </c:pt>
                <c:pt idx="6">
                  <c:v>1178538.8799999997</c:v>
                </c:pt>
                <c:pt idx="7">
                  <c:v>1108899.1000000001</c:v>
                </c:pt>
                <c:pt idx="8">
                  <c:v>1011338.7399999999</c:v>
                </c:pt>
                <c:pt idx="9">
                  <c:v>957690.52999999968</c:v>
                </c:pt>
              </c:numCache>
            </c:numRef>
          </c:val>
          <c:smooth val="0"/>
        </c:ser>
        <c:ser>
          <c:idx val="6"/>
          <c:order val="6"/>
          <c:tx>
            <c:strRef>
              <c:f>'Data expenditure by drug'!$H$3:$H$4</c:f>
              <c:strCache>
                <c:ptCount val="1"/>
                <c:pt idx="0">
                  <c:v>POLYVINYL ALCOHOL</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drug'!$H$5:$H$15</c:f>
              <c:numCache>
                <c:formatCode>General</c:formatCode>
                <c:ptCount val="10"/>
                <c:pt idx="0">
                  <c:v>1746226.6099999999</c:v>
                </c:pt>
                <c:pt idx="1">
                  <c:v>1622146.8200000005</c:v>
                </c:pt>
                <c:pt idx="2">
                  <c:v>1165194.1300000001</c:v>
                </c:pt>
                <c:pt idx="3">
                  <c:v>953455.26999999944</c:v>
                </c:pt>
                <c:pt idx="4">
                  <c:v>843993.62</c:v>
                </c:pt>
                <c:pt idx="5">
                  <c:v>786847.78999999992</c:v>
                </c:pt>
                <c:pt idx="6">
                  <c:v>733373.9100000005</c:v>
                </c:pt>
                <c:pt idx="7">
                  <c:v>663928.94000000099</c:v>
                </c:pt>
                <c:pt idx="8">
                  <c:v>571921.30000000028</c:v>
                </c:pt>
                <c:pt idx="9">
                  <c:v>516942.64999999932</c:v>
                </c:pt>
              </c:numCache>
            </c:numRef>
          </c:val>
          <c:smooth val="0"/>
        </c:ser>
        <c:ser>
          <c:idx val="7"/>
          <c:order val="7"/>
          <c:tx>
            <c:strRef>
              <c:f>'Data expenditure by drug'!$I$3:$I$4</c:f>
              <c:strCache>
                <c:ptCount val="1"/>
                <c:pt idx="0">
                  <c:v>HYPROMELLOSE with CARBOMER 980</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drug'!$I$5:$I$15</c:f>
              <c:numCache>
                <c:formatCode>General</c:formatCode>
                <c:ptCount val="10"/>
                <c:pt idx="0">
                  <c:v>371919.28</c:v>
                </c:pt>
                <c:pt idx="1">
                  <c:v>500602.11</c:v>
                </c:pt>
                <c:pt idx="2">
                  <c:v>528453.03000000014</c:v>
                </c:pt>
                <c:pt idx="3">
                  <c:v>572505.29000000015</c:v>
                </c:pt>
                <c:pt idx="4">
                  <c:v>643207.29</c:v>
                </c:pt>
                <c:pt idx="5">
                  <c:v>748536.65999999992</c:v>
                </c:pt>
                <c:pt idx="6">
                  <c:v>847391.37</c:v>
                </c:pt>
                <c:pt idx="7">
                  <c:v>899279.33000000031</c:v>
                </c:pt>
                <c:pt idx="8">
                  <c:v>879957.38</c:v>
                </c:pt>
                <c:pt idx="9">
                  <c:v>881800.84999999974</c:v>
                </c:pt>
              </c:numCache>
            </c:numRef>
          </c:val>
          <c:smooth val="0"/>
        </c:ser>
        <c:ser>
          <c:idx val="8"/>
          <c:order val="8"/>
          <c:tx>
            <c:strRef>
              <c:f>'Data expenditure by drug'!$J$3:$J$4</c:f>
              <c:strCache>
                <c:ptCount val="1"/>
                <c:pt idx="0">
                  <c:v>CARMELLOSE SODIUM with GLYCERIN</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drug'!$J$5:$J$15</c:f>
              <c:numCache>
                <c:formatCode>General</c:formatCode>
                <c:ptCount val="10"/>
                <c:pt idx="5">
                  <c:v>8237.0999999999985</c:v>
                </c:pt>
                <c:pt idx="6">
                  <c:v>292786.68999999977</c:v>
                </c:pt>
                <c:pt idx="7">
                  <c:v>532975.00000000023</c:v>
                </c:pt>
                <c:pt idx="8">
                  <c:v>843283.74000000057</c:v>
                </c:pt>
                <c:pt idx="9">
                  <c:v>1130576.5000000005</c:v>
                </c:pt>
              </c:numCache>
            </c:numRef>
          </c:val>
          <c:smooth val="0"/>
        </c:ser>
        <c:ser>
          <c:idx val="9"/>
          <c:order val="9"/>
          <c:tx>
            <c:strRef>
              <c:f>'Data expenditure by drug'!$K$3:$K$4</c:f>
              <c:strCache>
                <c:ptCount val="1"/>
                <c:pt idx="0">
                  <c:v>POLYVINYL ALCOHOL with POVIDONE</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drug'!$K$5:$K$15</c:f>
              <c:numCache>
                <c:formatCode>General</c:formatCode>
                <c:ptCount val="10"/>
                <c:pt idx="0">
                  <c:v>1327611.1099999999</c:v>
                </c:pt>
                <c:pt idx="1">
                  <c:v>611472.53999999992</c:v>
                </c:pt>
                <c:pt idx="2">
                  <c:v>0</c:v>
                </c:pt>
              </c:numCache>
            </c:numRef>
          </c:val>
          <c:smooth val="0"/>
        </c:ser>
        <c:ser>
          <c:idx val="10"/>
          <c:order val="10"/>
          <c:tx>
            <c:strRef>
              <c:f>'Data expenditure by drug'!$L$3:$L$4</c:f>
              <c:strCache>
                <c:ptCount val="1"/>
                <c:pt idx="0">
                  <c:v>SOY LECITHIN</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drug'!$L$5:$L$15</c:f>
              <c:numCache>
                <c:formatCode>General</c:formatCode>
                <c:ptCount val="10"/>
                <c:pt idx="6">
                  <c:v>28234.329999999994</c:v>
                </c:pt>
                <c:pt idx="7">
                  <c:v>131392.99000000002</c:v>
                </c:pt>
                <c:pt idx="8">
                  <c:v>170840.72</c:v>
                </c:pt>
                <c:pt idx="9">
                  <c:v>185884.85999999996</c:v>
                </c:pt>
              </c:numCache>
            </c:numRef>
          </c:val>
          <c:smooth val="0"/>
        </c:ser>
        <c:ser>
          <c:idx val="11"/>
          <c:order val="11"/>
          <c:tx>
            <c:strRef>
              <c:f>'Data expenditure by drug'!$M$3:$M$4</c:f>
              <c:strCache>
                <c:ptCount val="1"/>
                <c:pt idx="0">
                  <c:v>HYDROXYPROPYLCELLULOSE</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drug'!$M$5:$M$15</c:f>
              <c:numCache>
                <c:formatCode>General</c:formatCode>
                <c:ptCount val="10"/>
                <c:pt idx="0">
                  <c:v>43374.399999999987</c:v>
                </c:pt>
                <c:pt idx="1">
                  <c:v>48125.770000000004</c:v>
                </c:pt>
                <c:pt idx="2">
                  <c:v>30806.350000000009</c:v>
                </c:pt>
                <c:pt idx="3">
                  <c:v>2707.14</c:v>
                </c:pt>
              </c:numCache>
            </c:numRef>
          </c:val>
          <c:smooth val="0"/>
        </c:ser>
        <c:ser>
          <c:idx val="12"/>
          <c:order val="12"/>
          <c:tx>
            <c:strRef>
              <c:f>'Data expenditure by drug'!$N$3:$N$4</c:f>
              <c:strCache>
                <c:ptCount val="1"/>
                <c:pt idx="0">
                  <c:v>TAMARINDUS INDICA SEED POLYSACCHARIDE</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drug'!$N$5:$N$15</c:f>
              <c:numCache>
                <c:formatCode>General</c:formatCode>
                <c:ptCount val="10"/>
                <c:pt idx="4">
                  <c:v>524.79</c:v>
                </c:pt>
                <c:pt idx="5">
                  <c:v>17948.199999999997</c:v>
                </c:pt>
                <c:pt idx="6">
                  <c:v>22945.299999999996</c:v>
                </c:pt>
              </c:numCache>
            </c:numRef>
          </c:val>
          <c:smooth val="0"/>
        </c:ser>
        <c:ser>
          <c:idx val="13"/>
          <c:order val="13"/>
          <c:tx>
            <c:strRef>
              <c:f>'Data expenditure by drug'!$O$3:$O$4</c:f>
              <c:strCache>
                <c:ptCount val="1"/>
                <c:pt idx="0">
                  <c:v>HYALURONIC ACID</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drug'!$O$5:$O$15</c:f>
              <c:numCache>
                <c:formatCode>General</c:formatCode>
                <c:ptCount val="10"/>
                <c:pt idx="9">
                  <c:v>4983.4399999999996</c:v>
                </c:pt>
              </c:numCache>
            </c:numRef>
          </c:val>
          <c:smooth val="0"/>
        </c:ser>
        <c:ser>
          <c:idx val="14"/>
          <c:order val="14"/>
          <c:tx>
            <c:strRef>
              <c:f>'Data expenditure by drug'!$P$3:$P$4</c:f>
              <c:strCache>
                <c:ptCount val="1"/>
                <c:pt idx="0">
                  <c:v>CARBOMER with TRIGLYCERIDE LIPIDS</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drug'!$P$5:$P$15</c:f>
              <c:numCache>
                <c:formatCode>General</c:formatCode>
                <c:ptCount val="10"/>
                <c:pt idx="9">
                  <c:v>3460.67</c:v>
                </c:pt>
              </c:numCache>
            </c:numRef>
          </c:val>
          <c:smooth val="0"/>
        </c:ser>
        <c:ser>
          <c:idx val="15"/>
          <c:order val="15"/>
          <c:tx>
            <c:strRef>
              <c:f>'Data expenditure by drug'!$Q$3:$Q$4</c:f>
              <c:strCache>
                <c:ptCount val="1"/>
                <c:pt idx="0">
                  <c:v>SODIUM CHLORIDE</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drug'!$Q$5:$Q$15</c:f>
              <c:numCache>
                <c:formatCode>General</c:formatCode>
                <c:ptCount val="10"/>
                <c:pt idx="5">
                  <c:v>0</c:v>
                </c:pt>
              </c:numCache>
            </c:numRef>
          </c:val>
          <c:smooth val="0"/>
        </c:ser>
        <c:ser>
          <c:idx val="16"/>
          <c:order val="16"/>
          <c:tx>
            <c:strRef>
              <c:f>'Data expenditure by drug'!$R$3:$R$4</c:f>
              <c:strCache>
                <c:ptCount val="1"/>
                <c:pt idx="0">
                  <c:v>MEDRYSONE</c:v>
                </c:pt>
              </c:strCache>
            </c:strRef>
          </c:tx>
          <c:cat>
            <c:strRef>
              <c:f>'Data expenditure by drug'!$A$5:$A$15</c:f>
              <c:strCache>
                <c:ptCount val="10"/>
                <c:pt idx="0">
                  <c:v>2003</c:v>
                </c:pt>
                <c:pt idx="1">
                  <c:v>2004</c:v>
                </c:pt>
                <c:pt idx="2">
                  <c:v>2005</c:v>
                </c:pt>
                <c:pt idx="3">
                  <c:v>2006</c:v>
                </c:pt>
                <c:pt idx="4">
                  <c:v>2007</c:v>
                </c:pt>
                <c:pt idx="5">
                  <c:v>2008</c:v>
                </c:pt>
                <c:pt idx="6">
                  <c:v>2009</c:v>
                </c:pt>
                <c:pt idx="7">
                  <c:v>2010</c:v>
                </c:pt>
                <c:pt idx="8">
                  <c:v>2011</c:v>
                </c:pt>
                <c:pt idx="9">
                  <c:v>2012</c:v>
                </c:pt>
              </c:strCache>
            </c:strRef>
          </c:cat>
          <c:val>
            <c:numRef>
              <c:f>'Data expenditure by drug'!$R$5:$R$15</c:f>
              <c:numCache>
                <c:formatCode>General</c:formatCode>
                <c:ptCount val="10"/>
                <c:pt idx="0">
                  <c:v>0</c:v>
                </c:pt>
              </c:numCache>
            </c:numRef>
          </c:val>
          <c:smooth val="0"/>
        </c:ser>
        <c:dLbls>
          <c:showLegendKey val="0"/>
          <c:showVal val="0"/>
          <c:showCatName val="0"/>
          <c:showSerName val="0"/>
          <c:showPercent val="0"/>
          <c:showBubbleSize val="0"/>
        </c:dLbls>
        <c:marker val="1"/>
        <c:smooth val="0"/>
        <c:axId val="168079744"/>
        <c:axId val="168081280"/>
      </c:lineChart>
      <c:catAx>
        <c:axId val="168079744"/>
        <c:scaling>
          <c:orientation val="minMax"/>
        </c:scaling>
        <c:delete val="0"/>
        <c:axPos val="b"/>
        <c:majorTickMark val="none"/>
        <c:minorTickMark val="none"/>
        <c:tickLblPos val="nextTo"/>
        <c:crossAx val="168081280"/>
        <c:crosses val="autoZero"/>
        <c:auto val="1"/>
        <c:lblAlgn val="ctr"/>
        <c:lblOffset val="100"/>
        <c:noMultiLvlLbl val="0"/>
      </c:catAx>
      <c:valAx>
        <c:axId val="168081280"/>
        <c:scaling>
          <c:orientation val="minMax"/>
        </c:scaling>
        <c:delete val="0"/>
        <c:axPos val="l"/>
        <c:majorGridlines/>
        <c:numFmt formatCode="#,##0" sourceLinked="0"/>
        <c:majorTickMark val="none"/>
        <c:minorTickMark val="none"/>
        <c:tickLblPos val="nextTo"/>
        <c:crossAx val="168079744"/>
        <c:crosses val="autoZero"/>
        <c:crossBetween val="between"/>
      </c:valAx>
    </c:plotArea>
    <c:legend>
      <c:legendPos val="r"/>
      <c:layout>
        <c:manualLayout>
          <c:xMode val="edge"/>
          <c:yMode val="edge"/>
          <c:x val="0.66081532149666955"/>
          <c:y val="1.3211658727844204E-2"/>
          <c:w val="0.337465103294249"/>
          <c:h val="0.98678834127215576"/>
        </c:manualLayout>
      </c:layout>
      <c:overlay val="0"/>
      <c:txPr>
        <a:bodyPr/>
        <a:lstStyle/>
        <a:p>
          <a:pPr>
            <a:defRPr sz="8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2014-10-24T04:25:00Z</dcterms:created>
  <dcterms:modified xsi:type="dcterms:W3CDTF">2014-10-24T04:27:00Z</dcterms:modified>
</cp:coreProperties>
</file>