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62E5CD1C" w:rsidR="00832324" w:rsidRDefault="00D07337" w:rsidP="00FE645A">
      <w:pPr>
        <w:pStyle w:val="Title"/>
      </w:pPr>
      <w:r>
        <w:t>Pazopanib and s</w:t>
      </w:r>
      <w:r w:rsidRPr="00D07337">
        <w:t xml:space="preserve">unitinib for </w:t>
      </w:r>
      <w:r>
        <w:t>r</w:t>
      </w:r>
      <w:r w:rsidRPr="00D07337">
        <w:t xml:space="preserve">enal </w:t>
      </w:r>
      <w:r>
        <w:t>cell c</w:t>
      </w:r>
      <w:r w:rsidRPr="00D07337">
        <w:t xml:space="preserve">arcinoma: </w:t>
      </w:r>
      <w:r>
        <w:t xml:space="preserve">analysis of </w:t>
      </w:r>
      <w:r w:rsidRPr="00D07337">
        <w:t>predicted v</w:t>
      </w:r>
      <w:r>
        <w:t>ersus</w:t>
      </w:r>
      <w:r w:rsidRPr="00D07337">
        <w:t xml:space="preserve"> actual utilisation</w:t>
      </w:r>
      <w:r w:rsidR="001C4016">
        <w:t xml:space="preserve"> </w:t>
      </w:r>
    </w:p>
    <w:p w14:paraId="68F00614" w14:textId="799F8740" w:rsidR="00736041" w:rsidRDefault="009053D3" w:rsidP="00A35800">
      <w:pPr>
        <w:pStyle w:val="Heading1"/>
      </w:pPr>
      <w:r>
        <w:t>D</w:t>
      </w:r>
      <w:r w:rsidR="00832324" w:rsidRPr="0063631C">
        <w:t xml:space="preserve">rug utilisation sub-committee </w:t>
      </w:r>
      <w:r w:rsidR="00832324">
        <w:t>(DUSC)</w:t>
      </w:r>
    </w:p>
    <w:p w14:paraId="78148839" w14:textId="39DAFD81" w:rsidR="009053D3" w:rsidRPr="009053D3" w:rsidRDefault="009F5E96" w:rsidP="00947EAD">
      <w:pPr>
        <w:pStyle w:val="Heading2"/>
      </w:pPr>
      <w:r>
        <w:t>June</w:t>
      </w:r>
      <w:r w:rsidR="00D151EB">
        <w:t xml:space="preserve"> 20</w:t>
      </w:r>
      <w:r>
        <w:t>14</w:t>
      </w:r>
    </w:p>
    <w:p w14:paraId="7EFD635C" w14:textId="77777777" w:rsidR="000F760B" w:rsidRDefault="000F760B" w:rsidP="00B02AB9">
      <w:pPr>
        <w:pStyle w:val="Heading2"/>
      </w:pPr>
      <w:r>
        <w:t>Abstract</w:t>
      </w:r>
    </w:p>
    <w:p w14:paraId="59D9C006" w14:textId="77777777" w:rsidR="000F760B" w:rsidRDefault="000F760B" w:rsidP="001714FD">
      <w:pPr>
        <w:pStyle w:val="Heading3"/>
      </w:pPr>
      <w:r>
        <w:t>Purpose</w:t>
      </w:r>
    </w:p>
    <w:p w14:paraId="529B4C3C" w14:textId="40DE5510" w:rsidR="00784C68" w:rsidRDefault="00784C68" w:rsidP="00046D7D">
      <w:r w:rsidRPr="00784C68">
        <w:t xml:space="preserve">Pazopanib and sunitinib are tyrosine kinase inhibitors. They inhibit factors that contribute to tumour growth in patients with </w:t>
      </w:r>
      <w:r w:rsidR="006257F5">
        <w:t>renal cell carcinoma (</w:t>
      </w:r>
      <w:r w:rsidRPr="00784C68">
        <w:t>RCC</w:t>
      </w:r>
      <w:r w:rsidR="006257F5">
        <w:t>)</w:t>
      </w:r>
      <w:r w:rsidRPr="00784C68">
        <w:t xml:space="preserve">. </w:t>
      </w:r>
      <w:r w:rsidR="006257F5">
        <w:t>Prior to the PBS listing of these medicines, there was some uncertainty regarding the number of patients who would receive treatment, the distribution of strengths, and the length of treatment. This analysis was undertaken to assess how the predicted use of pazopanib and sunitinib for RCC compared to actual use.</w:t>
      </w:r>
    </w:p>
    <w:p w14:paraId="3BA390B2" w14:textId="581F46EF" w:rsidR="00856BB4" w:rsidRPr="007411F3" w:rsidRDefault="00856BB4" w:rsidP="007411F3">
      <w:pPr>
        <w:pStyle w:val="Heading3"/>
      </w:pPr>
      <w:r w:rsidRPr="007411F3">
        <w:t>Date of listing on PBS</w:t>
      </w:r>
    </w:p>
    <w:p w14:paraId="1215AB99" w14:textId="3ACD48C4" w:rsidR="00784C68" w:rsidRDefault="00784C68" w:rsidP="00947EAD">
      <w:r w:rsidRPr="00784C68">
        <w:t xml:space="preserve">Sunitinib and pazopanib were PBS-listed for RCC on 1 May 2009 and 1 October 2012, respectively. The current PBS listings (restrictions and item codes) for RCC indications for sunitinib and pazopanib are available from </w:t>
      </w:r>
      <w:hyperlink r:id="rId8" w:history="1">
        <w:r w:rsidR="005E5FDC">
          <w:rPr>
            <w:rStyle w:val="Hyperlink"/>
          </w:rPr>
          <w:t>the PBS website</w:t>
        </w:r>
      </w:hyperlink>
      <w:r w:rsidRPr="00784C68">
        <w:t>.</w:t>
      </w:r>
    </w:p>
    <w:p w14:paraId="0A327B3F" w14:textId="6464CB5F" w:rsidR="000F760B" w:rsidRPr="007411F3" w:rsidRDefault="000F760B" w:rsidP="007411F3">
      <w:pPr>
        <w:pStyle w:val="Heading3"/>
      </w:pPr>
      <w:r w:rsidRPr="007411F3">
        <w:t>Data Source / methodology</w:t>
      </w:r>
    </w:p>
    <w:p w14:paraId="226B9B6C" w14:textId="77777777" w:rsidR="00784C68" w:rsidRDefault="00784C68" w:rsidP="00784C68">
      <w:pPr>
        <w:rPr>
          <w:b/>
        </w:rPr>
      </w:pPr>
      <w:r w:rsidRPr="00784C68">
        <w:t xml:space="preserve">The utilisation of pazopanib and sunitinib for RCC was determined by extracting data on the number of PBS/RPBS prescriptions and the benefits paid from the Department of Human Services (DHS) PBS prescription database for the period May 2009 to September 2013 inclusive. The analysis was based on the date the prescription was supplied to the patient. </w:t>
      </w:r>
    </w:p>
    <w:p w14:paraId="49E08693" w14:textId="15364C50" w:rsidR="000F760B" w:rsidRDefault="000F760B" w:rsidP="001714FD">
      <w:pPr>
        <w:pStyle w:val="Heading3"/>
      </w:pPr>
      <w:r>
        <w:t>Key Findings</w:t>
      </w:r>
    </w:p>
    <w:p w14:paraId="5A70F42F" w14:textId="572E900A" w:rsidR="00205CA8" w:rsidRDefault="00205CA8" w:rsidP="000F760B">
      <w:pPr>
        <w:pStyle w:val="NoSpacing"/>
        <w:numPr>
          <w:ilvl w:val="0"/>
          <w:numId w:val="1"/>
        </w:numPr>
      </w:pPr>
      <w:r>
        <w:t>Following the PBS listing of sunitin</w:t>
      </w:r>
      <w:r w:rsidR="001C15A0">
        <w:t>i</w:t>
      </w:r>
      <w:r>
        <w:t>b, more patients started treatment for RCC than originally predicted.</w:t>
      </w:r>
    </w:p>
    <w:p w14:paraId="389A1E41" w14:textId="2313F676" w:rsidR="00205CA8" w:rsidRPr="00321032" w:rsidRDefault="00205CA8" w:rsidP="000F760B">
      <w:pPr>
        <w:pStyle w:val="NoSpacing"/>
        <w:numPr>
          <w:ilvl w:val="0"/>
          <w:numId w:val="1"/>
        </w:numPr>
      </w:pPr>
      <w:r>
        <w:t xml:space="preserve">The number of new patients </w:t>
      </w:r>
      <w:r w:rsidR="001C15A0">
        <w:t xml:space="preserve">who start </w:t>
      </w:r>
      <w:r>
        <w:t>treatment with either pazopanib or sunitinib for RCC each year is approximately 500.</w:t>
      </w:r>
    </w:p>
    <w:p w14:paraId="27C0C982" w14:textId="569BE002" w:rsidR="00321032" w:rsidRDefault="00C5713D" w:rsidP="00E12B3B">
      <w:pPr>
        <w:pStyle w:val="NoSpacing"/>
        <w:numPr>
          <w:ilvl w:val="0"/>
          <w:numId w:val="1"/>
        </w:numPr>
      </w:pPr>
      <w:r>
        <w:t>Following the PBS listing of pazopanib, the number of prevalent patients</w:t>
      </w:r>
      <w:r w:rsidR="00E72178">
        <w:t xml:space="preserve"> </w:t>
      </w:r>
      <w:r w:rsidR="00743008">
        <w:t xml:space="preserve">receiving either pazopanib or sunitinib </w:t>
      </w:r>
      <w:r w:rsidR="00E72178">
        <w:t>increased from</w:t>
      </w:r>
      <w:r>
        <w:t xml:space="preserve"> approximately 600 patients</w:t>
      </w:r>
      <w:r w:rsidR="00E72178">
        <w:t xml:space="preserve"> in the 12-</w:t>
      </w:r>
      <w:r w:rsidR="00E72178">
        <w:lastRenderedPageBreak/>
        <w:t xml:space="preserve">month period prior to listing to approximately 700 patients </w:t>
      </w:r>
      <w:r>
        <w:t>in the 12-month period after listing</w:t>
      </w:r>
      <w:r w:rsidR="00E72178">
        <w:t>.</w:t>
      </w:r>
      <w:r>
        <w:t xml:space="preserve"> </w:t>
      </w:r>
    </w:p>
    <w:p w14:paraId="5637BA72" w14:textId="4CFA88E3" w:rsidR="005275BE" w:rsidRDefault="00B31E88" w:rsidP="00E12B3B">
      <w:pPr>
        <w:pStyle w:val="NoSpacing"/>
        <w:numPr>
          <w:ilvl w:val="0"/>
          <w:numId w:val="1"/>
        </w:numPr>
      </w:pPr>
      <w:r>
        <w:t>The number of p</w:t>
      </w:r>
      <w:r w:rsidR="005275BE">
        <w:t>rescriptions</w:t>
      </w:r>
      <w:r w:rsidR="00226902">
        <w:t xml:space="preserve"> for sunitinib were lower than </w:t>
      </w:r>
      <w:r w:rsidR="00036E18">
        <w:t xml:space="preserve">originally </w:t>
      </w:r>
      <w:r w:rsidR="00226902">
        <w:t>expected, indicating that patients treated with sunitinib received fewer prescriptions per year than originally estimated.</w:t>
      </w:r>
    </w:p>
    <w:p w14:paraId="0CCC9127" w14:textId="6C96235A" w:rsidR="00340F95" w:rsidRPr="00340F95" w:rsidRDefault="00B31E88" w:rsidP="00340F95">
      <w:pPr>
        <w:pStyle w:val="NoSpacing"/>
        <w:numPr>
          <w:ilvl w:val="0"/>
          <w:numId w:val="1"/>
        </w:numPr>
      </w:pPr>
      <w:r>
        <w:t>The number of p</w:t>
      </w:r>
      <w:r w:rsidR="00226902">
        <w:t xml:space="preserve">rescriptions for pazopanib were more than double that expected. </w:t>
      </w:r>
      <w:r w:rsidR="00EA75CD">
        <w:t xml:space="preserve">Pazopanib appeared to be substituting for sunitinib, with sunitinib prescriptions decreasing </w:t>
      </w:r>
      <w:r w:rsidR="002F34C5">
        <w:t>after</w:t>
      </w:r>
      <w:r w:rsidR="00EA75CD">
        <w:t xml:space="preserve"> the PBS listing of pazopanib.</w:t>
      </w:r>
    </w:p>
    <w:p w14:paraId="38B57ECC" w14:textId="77E7034F" w:rsidR="00BB0D1A" w:rsidRDefault="00BB0D1A" w:rsidP="00226902">
      <w:pPr>
        <w:spacing w:line="276" w:lineRule="auto"/>
        <w:rPr>
          <w:rFonts w:eastAsiaTheme="majorEastAsia" w:cstheme="majorBidi"/>
          <w:b/>
          <w:bCs/>
          <w:sz w:val="32"/>
          <w:szCs w:val="26"/>
        </w:rPr>
      </w:pPr>
      <w:r>
        <w:br w:type="page"/>
      </w:r>
    </w:p>
    <w:p w14:paraId="5B262047" w14:textId="525241DC" w:rsidR="00E677DD" w:rsidRPr="005E22C2" w:rsidRDefault="00E677DD" w:rsidP="00A35800">
      <w:pPr>
        <w:pStyle w:val="Heading2"/>
      </w:pPr>
      <w:r w:rsidRPr="005E22C2">
        <w:lastRenderedPageBreak/>
        <w:t xml:space="preserve">Purpose of </w:t>
      </w:r>
      <w:r w:rsidR="00D151EB">
        <w:t>analysis</w:t>
      </w:r>
    </w:p>
    <w:p w14:paraId="12880614" w14:textId="749B06AC" w:rsidR="007247B9" w:rsidRPr="005E22C2" w:rsidRDefault="005E6020" w:rsidP="00A35800">
      <w:r>
        <w:t xml:space="preserve">This analysis was undertaken to assess how the predicted use of pazopanib and sunitinib for renal cell carcinoma </w:t>
      </w:r>
      <w:r w:rsidR="00A33D09">
        <w:t xml:space="preserve">(RCC) </w:t>
      </w:r>
      <w:r>
        <w:t>compare</w:t>
      </w:r>
      <w:r w:rsidR="00612468">
        <w:t>d</w:t>
      </w:r>
      <w:r>
        <w:t xml:space="preserve"> to actual use.</w:t>
      </w:r>
    </w:p>
    <w:p w14:paraId="0A7F0B57" w14:textId="034D22D5" w:rsidR="006537D9" w:rsidRPr="005E22C2" w:rsidRDefault="00736041" w:rsidP="00A35800">
      <w:pPr>
        <w:pStyle w:val="Heading2"/>
      </w:pPr>
      <w:r w:rsidRPr="005E22C2">
        <w:t>Background</w:t>
      </w:r>
    </w:p>
    <w:p w14:paraId="0183A567" w14:textId="413DF87B" w:rsidR="007247B9" w:rsidRDefault="007247B9" w:rsidP="00FE645A">
      <w:pPr>
        <w:pStyle w:val="Heading3"/>
      </w:pPr>
      <w:r>
        <w:t>Pharmacology</w:t>
      </w:r>
    </w:p>
    <w:p w14:paraId="480BBDA3" w14:textId="66074A74" w:rsidR="005E6020" w:rsidRDefault="005E6020" w:rsidP="009721A8">
      <w:r w:rsidRPr="005E6020">
        <w:t>Pazopanib and sunitinib are tyrosine kinase inhibitors.</w:t>
      </w:r>
      <w:r>
        <w:t xml:space="preserve"> </w:t>
      </w:r>
      <w:r w:rsidR="00CD3F9C">
        <w:t xml:space="preserve">They </w:t>
      </w:r>
      <w:r w:rsidR="0016404A">
        <w:t xml:space="preserve">inhibit factors that contribute to tumour growth in patients with </w:t>
      </w:r>
      <w:r w:rsidR="008B5F69">
        <w:t>RCC</w:t>
      </w:r>
      <w:r w:rsidR="0016404A">
        <w:t xml:space="preserve">. </w:t>
      </w:r>
    </w:p>
    <w:p w14:paraId="6AC18C88" w14:textId="0576F0BB" w:rsidR="001420B3" w:rsidRPr="005E22C2" w:rsidRDefault="001420B3" w:rsidP="005E6020">
      <w:pPr>
        <w:pStyle w:val="Heading3"/>
      </w:pPr>
      <w:r w:rsidRPr="005E22C2">
        <w:t>T</w:t>
      </w:r>
      <w:r w:rsidR="000F22BC">
        <w:t xml:space="preserve">herapeutic </w:t>
      </w:r>
      <w:r w:rsidRPr="005E22C2">
        <w:t>G</w:t>
      </w:r>
      <w:r w:rsidR="000F22BC">
        <w:t xml:space="preserve">oods </w:t>
      </w:r>
      <w:r w:rsidRPr="005E22C2">
        <w:t>A</w:t>
      </w:r>
      <w:r w:rsidR="000F22BC">
        <w:t>dministration (TGA)</w:t>
      </w:r>
      <w:r w:rsidRPr="005E22C2">
        <w:t xml:space="preserve"> approved </w:t>
      </w:r>
      <w:r>
        <w:t>i</w:t>
      </w:r>
      <w:r w:rsidRPr="005E22C2">
        <w:t>ndications</w:t>
      </w:r>
    </w:p>
    <w:p w14:paraId="03579725" w14:textId="148F4D79" w:rsidR="002E565C" w:rsidRDefault="002E565C" w:rsidP="009721A8">
      <w:r w:rsidRPr="002E565C">
        <w:t xml:space="preserve">Pazopanib is </w:t>
      </w:r>
      <w:r w:rsidR="000970F1">
        <w:t>approved by the TGA</w:t>
      </w:r>
      <w:r w:rsidRPr="002E565C">
        <w:t xml:space="preserve"> for the</w:t>
      </w:r>
      <w:r w:rsidR="000970F1">
        <w:t xml:space="preserve"> treatment of patients with a</w:t>
      </w:r>
      <w:r w:rsidRPr="002E565C">
        <w:t xml:space="preserve">dvanced and/or metastatic </w:t>
      </w:r>
      <w:r w:rsidR="008B5F69">
        <w:t>RCC</w:t>
      </w:r>
      <w:r w:rsidRPr="002E565C">
        <w:t>.</w:t>
      </w:r>
      <w:r w:rsidR="000970F1">
        <w:t xml:space="preserve"> It is also approved for use in some patients with soft tissue sarcoma.</w:t>
      </w:r>
    </w:p>
    <w:p w14:paraId="5630CBB8" w14:textId="4C583590" w:rsidR="002E565C" w:rsidRPr="002E565C" w:rsidRDefault="002E565C" w:rsidP="009721A8">
      <w:r w:rsidRPr="002E565C">
        <w:t xml:space="preserve">Sunitinib </w:t>
      </w:r>
      <w:r w:rsidR="000970F1">
        <w:t xml:space="preserve">is approved by the TGA for the treatment of patients with </w:t>
      </w:r>
      <w:r>
        <w:t xml:space="preserve">advanced </w:t>
      </w:r>
      <w:r w:rsidR="008B5F69">
        <w:t>RCC</w:t>
      </w:r>
      <w:r w:rsidR="000970F1">
        <w:t xml:space="preserve">. It is also approved for use in some patients with </w:t>
      </w:r>
      <w:r w:rsidRPr="002E565C">
        <w:t>gastrointestinal stromal tumour</w:t>
      </w:r>
      <w:r w:rsidR="000970F1">
        <w:t xml:space="preserve">s and </w:t>
      </w:r>
      <w:r w:rsidRPr="002E565C">
        <w:t>unresectable, well-differentiated pancreatic neuroend</w:t>
      </w:r>
      <w:r w:rsidR="000970F1">
        <w:t>ocrine tumours.</w:t>
      </w:r>
    </w:p>
    <w:p w14:paraId="15E919C1" w14:textId="05B4AE79" w:rsidR="006B709B" w:rsidRDefault="006B709B" w:rsidP="002E565C">
      <w:pPr>
        <w:pStyle w:val="Heading3"/>
      </w:pPr>
      <w:r>
        <w:t>Dosage and administration</w:t>
      </w:r>
    </w:p>
    <w:p w14:paraId="58094A0D" w14:textId="77777777" w:rsidR="00A33D09" w:rsidRPr="008B1A9D" w:rsidRDefault="00A33D09" w:rsidP="008B1A9D">
      <w:pPr>
        <w:pStyle w:val="Heading4"/>
      </w:pPr>
      <w:r w:rsidRPr="008B1A9D">
        <w:t>Pazopanib</w:t>
      </w:r>
    </w:p>
    <w:p w14:paraId="564F7299" w14:textId="142A6D7D" w:rsidR="00A33D09" w:rsidRPr="00A33D09" w:rsidRDefault="008B5F69" w:rsidP="009721A8">
      <w:r>
        <w:t>P</w:t>
      </w:r>
      <w:r w:rsidR="00A33D09" w:rsidRPr="00A33D09">
        <w:t xml:space="preserve">azopanib </w:t>
      </w:r>
      <w:r w:rsidR="00A33D09">
        <w:t xml:space="preserve">is usually administered at a dose of </w:t>
      </w:r>
      <w:r w:rsidR="00A33D09" w:rsidRPr="00A33D09">
        <w:t>800 mg orally once daily</w:t>
      </w:r>
      <w:r>
        <w:t xml:space="preserve"> for the treatment of RCC</w:t>
      </w:r>
      <w:r w:rsidR="00A33D09" w:rsidRPr="00A33D09">
        <w:t xml:space="preserve">. </w:t>
      </w:r>
      <w:r w:rsidR="00A33D09">
        <w:t xml:space="preserve"> The dose can be decreased in order to manage adverse reactions: this is usually done in stepwise increments of 200 mg. </w:t>
      </w:r>
    </w:p>
    <w:p w14:paraId="40EC4919" w14:textId="77777777" w:rsidR="00A33D09" w:rsidRPr="008B1A9D" w:rsidRDefault="00A33D09" w:rsidP="008B1A9D">
      <w:pPr>
        <w:pStyle w:val="Heading4"/>
      </w:pPr>
      <w:r w:rsidRPr="008B1A9D">
        <w:t>Sunitinib</w:t>
      </w:r>
    </w:p>
    <w:p w14:paraId="43BD250A" w14:textId="2B7C6D08" w:rsidR="00A33D09" w:rsidRDefault="008B5F69" w:rsidP="009721A8">
      <w:r>
        <w:t>S</w:t>
      </w:r>
      <w:r w:rsidR="00A33D09">
        <w:t>unitinib is usually administered in a dose of 50 mg orally on</w:t>
      </w:r>
      <w:r w:rsidR="00A33D09" w:rsidRPr="00A33D09">
        <w:t xml:space="preserve">ce daily </w:t>
      </w:r>
      <w:r>
        <w:t xml:space="preserve">for the treatment of RCC. Treatment is </w:t>
      </w:r>
      <w:r w:rsidR="00A33D09" w:rsidRPr="00A33D09">
        <w:t xml:space="preserve">for 4 consecutive weeks followed by a </w:t>
      </w:r>
      <w:r w:rsidR="00A33D09">
        <w:t>2-</w:t>
      </w:r>
      <w:r w:rsidR="00A33D09" w:rsidRPr="00A33D09">
        <w:t xml:space="preserve">week rest period to comprise a complete cycle of 6 weeks. </w:t>
      </w:r>
      <w:r w:rsidR="00360D43">
        <w:t xml:space="preserve">The dose may be modified in increments of 12.5 mg to improve tolerability, but a dose range of between 25 to 75 mg is recommended. </w:t>
      </w:r>
      <w:r w:rsidR="00370E6A">
        <w:t xml:space="preserve">Dose interruptions may also be required. </w:t>
      </w:r>
    </w:p>
    <w:p w14:paraId="337D0FBB" w14:textId="011467CE" w:rsidR="006B709B" w:rsidRPr="002F61CA" w:rsidRDefault="00A33D09" w:rsidP="009721A8">
      <w:pPr>
        <w:spacing w:before="240"/>
      </w:pPr>
      <w:r>
        <w:t>Information on the currently approved TGA indications</w:t>
      </w:r>
      <w:r w:rsidR="004058A5">
        <w:t xml:space="preserve"> as well as</w:t>
      </w:r>
      <w:r>
        <w:t xml:space="preserve"> dosage and administration </w:t>
      </w:r>
      <w:r w:rsidR="004058A5">
        <w:t>is</w:t>
      </w:r>
      <w:r>
        <w:t xml:space="preserve"> available in the </w:t>
      </w:r>
      <w:r w:rsidR="006B709B" w:rsidRPr="002F61CA">
        <w:t>Product Information (PI</w:t>
      </w:r>
      <w:r w:rsidR="006E0183">
        <w:t xml:space="preserve">). This can be found on the </w:t>
      </w:r>
      <w:hyperlink r:id="rId9" w:history="1">
        <w:r w:rsidR="009F1B68">
          <w:rPr>
            <w:rStyle w:val="Hyperlink"/>
          </w:rPr>
          <w:t>TGA website product information page</w:t>
        </w:r>
      </w:hyperlink>
      <w:r>
        <w:t>.</w:t>
      </w:r>
      <w:r w:rsidR="00561CB4">
        <w:t xml:space="preserve"> </w:t>
      </w:r>
      <w:r>
        <w:t xml:space="preserve">Further information for consumers is available from the </w:t>
      </w:r>
      <w:r w:rsidRPr="00A33D09">
        <w:t>Cons</w:t>
      </w:r>
      <w:r w:rsidR="00EC07AD">
        <w:t>umer Medicine Information (CMI)</w:t>
      </w:r>
      <w:r w:rsidR="00DE1B1B">
        <w:t>. This can also be found on</w:t>
      </w:r>
      <w:r w:rsidR="006E0183">
        <w:t xml:space="preserve"> </w:t>
      </w:r>
      <w:hyperlink r:id="rId10" w:history="1">
        <w:r w:rsidR="009F1B68">
          <w:rPr>
            <w:rStyle w:val="Hyperlink"/>
          </w:rPr>
          <w:t>the TGA website consumer medicines information page</w:t>
        </w:r>
      </w:hyperlink>
      <w:r w:rsidR="0024294B">
        <w:t>.</w:t>
      </w:r>
    </w:p>
    <w:p w14:paraId="143CC403" w14:textId="5A441729" w:rsidR="001420B3" w:rsidRPr="007247B9" w:rsidRDefault="001420B3" w:rsidP="00FE645A">
      <w:pPr>
        <w:pStyle w:val="Heading3"/>
      </w:pPr>
      <w:r w:rsidRPr="007247B9">
        <w:t>Clinical situation</w:t>
      </w:r>
    </w:p>
    <w:p w14:paraId="2DBDEE60" w14:textId="685D0ACE" w:rsidR="007A0882" w:rsidRDefault="007A0882" w:rsidP="00A35800">
      <w:r w:rsidRPr="007A0882">
        <w:t xml:space="preserve">Renal cell carcinoma is the most common form of kidney cancer. </w:t>
      </w:r>
      <w:r>
        <w:t xml:space="preserve">According to data from the Australian Institute of Health and Welfare (AIHW), the </w:t>
      </w:r>
      <w:r w:rsidRPr="007A0882">
        <w:t xml:space="preserve">number of new cases of kidney cancer </w:t>
      </w:r>
      <w:r>
        <w:t xml:space="preserve">has increased from approximately 2000 cases per year in the year 2000 to </w:t>
      </w:r>
      <w:r>
        <w:lastRenderedPageBreak/>
        <w:t>approximately 2,</w:t>
      </w:r>
      <w:r w:rsidR="004B78BB">
        <w:t>7</w:t>
      </w:r>
      <w:r>
        <w:t>00 cases per year in 2010.</w:t>
      </w:r>
      <w:r>
        <w:rPr>
          <w:rStyle w:val="FootnoteReference"/>
        </w:rPr>
        <w:footnoteReference w:id="1"/>
      </w:r>
      <w:r>
        <w:t xml:space="preserve"> Kidney cancer is associated with a high death rate, with approximately 850</w:t>
      </w:r>
      <w:r w:rsidR="00E71CDD">
        <w:t xml:space="preserve"> to 900</w:t>
      </w:r>
      <w:r>
        <w:t xml:space="preserve"> patients dying from the disease each year.</w:t>
      </w:r>
      <w:r w:rsidRPr="007A0882">
        <w:rPr>
          <w:vertAlign w:val="superscript"/>
        </w:rPr>
        <w:t>1</w:t>
      </w:r>
      <w:r>
        <w:t xml:space="preserve"> </w:t>
      </w:r>
    </w:p>
    <w:p w14:paraId="46E2BB42" w14:textId="10EC42DA" w:rsidR="00DF0B13" w:rsidRPr="007247B9" w:rsidRDefault="00DF0B13" w:rsidP="00FE645A">
      <w:pPr>
        <w:pStyle w:val="Heading3"/>
      </w:pPr>
      <w:r w:rsidRPr="007247B9">
        <w:t>PBS listing details</w:t>
      </w:r>
      <w:r w:rsidR="00D151EB">
        <w:t xml:space="preserve"> as at </w:t>
      </w:r>
      <w:r w:rsidR="006C1597">
        <w:t>1</w:t>
      </w:r>
      <w:r w:rsidR="000D06D7">
        <w:t>4 April</w:t>
      </w:r>
      <w:r w:rsidR="006C1597">
        <w:t xml:space="preserve"> 2014</w:t>
      </w:r>
    </w:p>
    <w:p w14:paraId="77F6BDF4" w14:textId="21BAE80D" w:rsidR="00A8563E" w:rsidRPr="00A8563E" w:rsidRDefault="00A8563E" w:rsidP="009721A8">
      <w:r w:rsidRPr="00A8563E">
        <w:t>Pazopanib (Votrient®), film-coated tablets, 200 mg and 400 mg (as hydrochloride), GlaxoSmithKline Australia Pty Ltd</w:t>
      </w:r>
      <w:r w:rsidR="005539EB">
        <w:t>.</w:t>
      </w:r>
    </w:p>
    <w:p w14:paraId="4FE24408" w14:textId="1A65122B" w:rsidR="00A8563E" w:rsidRPr="00A8563E" w:rsidRDefault="00A8563E" w:rsidP="009721A8">
      <w:r w:rsidRPr="00A8563E">
        <w:t>Sunitinib malate (Sutent®), capsules, 12.5 mg, 25 mg and 50 mg (base), Pfizer Australia Pty Ltd</w:t>
      </w:r>
      <w:r w:rsidR="005539EB">
        <w:t>.</w:t>
      </w:r>
    </w:p>
    <w:p w14:paraId="579A0F26" w14:textId="77777777" w:rsidR="000D06D7" w:rsidRPr="00BB7C07" w:rsidRDefault="000D06D7" w:rsidP="000D06D7">
      <w:pPr>
        <w:keepNext/>
        <w:keepLines/>
        <w:spacing w:before="240" w:after="20"/>
        <w:outlineLvl w:val="3"/>
        <w:rPr>
          <w:rFonts w:ascii="Calibri" w:eastAsia="MS Gothic" w:hAnsi="Calibri" w:cs="Times New Roman"/>
          <w:b/>
          <w:bCs/>
          <w:iCs/>
        </w:rPr>
      </w:pPr>
      <w:r w:rsidRPr="00BB7C07">
        <w:rPr>
          <w:rFonts w:ascii="Calibri" w:eastAsia="MS Gothic" w:hAnsi="Calibri" w:cs="Times New Roman"/>
          <w:b/>
          <w:bCs/>
          <w:iCs/>
        </w:rPr>
        <w:t xml:space="preserve">Table </w:t>
      </w:r>
      <w:r>
        <w:rPr>
          <w:rFonts w:ascii="Calibri" w:eastAsia="MS Gothic" w:hAnsi="Calibri" w:cs="Times New Roman"/>
          <w:b/>
          <w:bCs/>
          <w:iCs/>
        </w:rPr>
        <w:t>1</w:t>
      </w:r>
      <w:r w:rsidRPr="00BB7C07">
        <w:rPr>
          <w:rFonts w:ascii="Calibri" w:eastAsia="MS Gothic" w:hAnsi="Calibri" w:cs="Times New Roman"/>
          <w:b/>
          <w:bCs/>
          <w:iCs/>
        </w:rPr>
        <w:t xml:space="preserve">: PBS item listing history for </w:t>
      </w:r>
      <w:r w:rsidRPr="00A74BE8">
        <w:rPr>
          <w:rFonts w:ascii="Calibri" w:eastAsia="MS Gothic" w:hAnsi="Calibri" w:cs="Times New Roman"/>
          <w:b/>
          <w:bCs/>
          <w:iCs/>
        </w:rPr>
        <w:t>RCC indications for sunitinib and pazopanib</w:t>
      </w:r>
    </w:p>
    <w:tbl>
      <w:tblPr>
        <w:tblW w:w="5067" w:type="pct"/>
        <w:tblLayout w:type="fixed"/>
        <w:tblLook w:val="04A0" w:firstRow="1" w:lastRow="0" w:firstColumn="1" w:lastColumn="0" w:noHBand="0" w:noVBand="1"/>
      </w:tblPr>
      <w:tblGrid>
        <w:gridCol w:w="1158"/>
        <w:gridCol w:w="1162"/>
        <w:gridCol w:w="872"/>
        <w:gridCol w:w="1893"/>
        <w:gridCol w:w="1162"/>
        <w:gridCol w:w="874"/>
        <w:gridCol w:w="1216"/>
        <w:gridCol w:w="959"/>
      </w:tblGrid>
      <w:tr w:rsidR="00A8563E" w:rsidRPr="00BB7C07" w14:paraId="0E3B9E60" w14:textId="77777777" w:rsidTr="00A8563E">
        <w:trPr>
          <w:trHeight w:val="510"/>
        </w:trPr>
        <w:tc>
          <w:tcPr>
            <w:tcW w:w="623" w:type="pct"/>
            <w:tcBorders>
              <w:top w:val="single" w:sz="4" w:space="0" w:color="auto"/>
              <w:left w:val="single" w:sz="4" w:space="0" w:color="auto"/>
              <w:bottom w:val="nil"/>
              <w:right w:val="nil"/>
            </w:tcBorders>
          </w:tcPr>
          <w:p w14:paraId="4C43FFC4" w14:textId="77777777" w:rsidR="000D06D7" w:rsidRPr="00B72135" w:rsidRDefault="000D06D7" w:rsidP="00445A02">
            <w:pPr>
              <w:spacing w:after="0"/>
              <w:jc w:val="center"/>
              <w:rPr>
                <w:rFonts w:ascii="Calibri" w:eastAsia="Times New Roman" w:hAnsi="Calibri" w:cs="Times New Roman"/>
                <w:b/>
                <w:sz w:val="20"/>
                <w:szCs w:val="20"/>
              </w:rPr>
            </w:pPr>
            <w:r w:rsidRPr="00B72135">
              <w:rPr>
                <w:rFonts w:ascii="Calibri" w:eastAsia="Times New Roman" w:hAnsi="Calibri" w:cs="Times New Roman"/>
                <w:b/>
                <w:sz w:val="20"/>
                <w:szCs w:val="20"/>
              </w:rPr>
              <w:t>Drug</w:t>
            </w:r>
          </w:p>
        </w:tc>
        <w:tc>
          <w:tcPr>
            <w:tcW w:w="625" w:type="pct"/>
            <w:tcBorders>
              <w:top w:val="single" w:sz="4" w:space="0" w:color="auto"/>
              <w:left w:val="single" w:sz="4" w:space="0" w:color="auto"/>
              <w:bottom w:val="nil"/>
              <w:right w:val="nil"/>
            </w:tcBorders>
            <w:shd w:val="clear" w:color="auto" w:fill="auto"/>
            <w:hideMark/>
          </w:tcPr>
          <w:p w14:paraId="67B7EFAC" w14:textId="77777777" w:rsidR="000D06D7" w:rsidRPr="00B72135" w:rsidRDefault="000D06D7" w:rsidP="00445A02">
            <w:pPr>
              <w:spacing w:after="0"/>
              <w:jc w:val="center"/>
              <w:rPr>
                <w:rFonts w:ascii="Calibri" w:eastAsia="Times New Roman" w:hAnsi="Calibri" w:cs="Times New Roman"/>
                <w:b/>
                <w:sz w:val="20"/>
                <w:szCs w:val="20"/>
              </w:rPr>
            </w:pPr>
            <w:r w:rsidRPr="00B72135">
              <w:rPr>
                <w:rFonts w:ascii="Calibri" w:eastAsia="Times New Roman" w:hAnsi="Calibri" w:cs="Times New Roman"/>
                <w:b/>
                <w:sz w:val="20"/>
                <w:szCs w:val="20"/>
              </w:rPr>
              <w:t>Item Listing Date</w:t>
            </w:r>
          </w:p>
        </w:tc>
        <w:tc>
          <w:tcPr>
            <w:tcW w:w="469" w:type="pct"/>
            <w:tcBorders>
              <w:top w:val="single" w:sz="4" w:space="0" w:color="auto"/>
              <w:left w:val="single" w:sz="4" w:space="0" w:color="000000"/>
              <w:bottom w:val="nil"/>
              <w:right w:val="nil"/>
            </w:tcBorders>
            <w:shd w:val="clear" w:color="auto" w:fill="auto"/>
            <w:hideMark/>
          </w:tcPr>
          <w:p w14:paraId="167281CA" w14:textId="77777777" w:rsidR="000D06D7" w:rsidRPr="00B72135" w:rsidRDefault="000D06D7" w:rsidP="00445A02">
            <w:pPr>
              <w:spacing w:after="0"/>
              <w:jc w:val="center"/>
              <w:rPr>
                <w:rFonts w:ascii="Calibri" w:eastAsia="Times New Roman" w:hAnsi="Calibri" w:cs="Times New Roman"/>
                <w:b/>
                <w:sz w:val="20"/>
                <w:szCs w:val="20"/>
              </w:rPr>
            </w:pPr>
            <w:r w:rsidRPr="00B72135">
              <w:rPr>
                <w:rFonts w:ascii="Calibri" w:eastAsia="Times New Roman" w:hAnsi="Calibri" w:cs="Times New Roman"/>
                <w:b/>
                <w:sz w:val="20"/>
                <w:szCs w:val="20"/>
              </w:rPr>
              <w:t xml:space="preserve">PBS item code </w:t>
            </w:r>
          </w:p>
        </w:tc>
        <w:tc>
          <w:tcPr>
            <w:tcW w:w="1018" w:type="pct"/>
            <w:tcBorders>
              <w:top w:val="single" w:sz="4" w:space="0" w:color="auto"/>
              <w:left w:val="single" w:sz="4" w:space="0" w:color="000000"/>
              <w:bottom w:val="nil"/>
              <w:right w:val="nil"/>
            </w:tcBorders>
            <w:shd w:val="clear" w:color="auto" w:fill="auto"/>
            <w:hideMark/>
          </w:tcPr>
          <w:p w14:paraId="41E9CFDD" w14:textId="77777777" w:rsidR="000D06D7" w:rsidRPr="00B72135" w:rsidRDefault="000D06D7" w:rsidP="00445A02">
            <w:pPr>
              <w:spacing w:after="0"/>
              <w:jc w:val="center"/>
              <w:rPr>
                <w:rFonts w:ascii="Calibri" w:eastAsia="Times New Roman" w:hAnsi="Calibri" w:cs="Times New Roman"/>
                <w:b/>
                <w:sz w:val="20"/>
                <w:szCs w:val="20"/>
              </w:rPr>
            </w:pPr>
            <w:r w:rsidRPr="00B72135">
              <w:rPr>
                <w:rFonts w:ascii="Calibri" w:eastAsia="Times New Roman" w:hAnsi="Calibri" w:cs="Times New Roman"/>
                <w:b/>
                <w:sz w:val="20"/>
                <w:szCs w:val="20"/>
              </w:rPr>
              <w:t>Form and Strength</w:t>
            </w:r>
          </w:p>
        </w:tc>
        <w:tc>
          <w:tcPr>
            <w:tcW w:w="625" w:type="pct"/>
            <w:tcBorders>
              <w:top w:val="single" w:sz="4" w:space="0" w:color="auto"/>
              <w:left w:val="single" w:sz="4" w:space="0" w:color="000000"/>
              <w:bottom w:val="nil"/>
              <w:right w:val="nil"/>
            </w:tcBorders>
            <w:shd w:val="clear" w:color="auto" w:fill="auto"/>
            <w:hideMark/>
          </w:tcPr>
          <w:p w14:paraId="41D834F1" w14:textId="77777777" w:rsidR="000D06D7" w:rsidRPr="00B72135" w:rsidRDefault="000D06D7" w:rsidP="00445A02">
            <w:pPr>
              <w:spacing w:after="0"/>
              <w:jc w:val="center"/>
              <w:rPr>
                <w:rFonts w:ascii="Calibri" w:eastAsia="Times New Roman" w:hAnsi="Calibri" w:cs="Times New Roman"/>
                <w:b/>
                <w:sz w:val="20"/>
                <w:szCs w:val="20"/>
              </w:rPr>
            </w:pPr>
            <w:r w:rsidRPr="00B72135">
              <w:rPr>
                <w:rFonts w:ascii="Calibri" w:eastAsia="Times New Roman" w:hAnsi="Calibri" w:cs="Times New Roman"/>
                <w:b/>
                <w:sz w:val="20"/>
                <w:szCs w:val="20"/>
              </w:rPr>
              <w:t>Maximum Quantity</w:t>
            </w:r>
          </w:p>
        </w:tc>
        <w:tc>
          <w:tcPr>
            <w:tcW w:w="470" w:type="pct"/>
            <w:tcBorders>
              <w:top w:val="single" w:sz="4" w:space="0" w:color="auto"/>
              <w:left w:val="single" w:sz="4" w:space="0" w:color="000000"/>
              <w:bottom w:val="nil"/>
              <w:right w:val="nil"/>
            </w:tcBorders>
            <w:shd w:val="clear" w:color="auto" w:fill="auto"/>
            <w:hideMark/>
          </w:tcPr>
          <w:p w14:paraId="1E73CB5C" w14:textId="77777777" w:rsidR="000D06D7" w:rsidRPr="00B72135" w:rsidRDefault="000D06D7" w:rsidP="00445A02">
            <w:pPr>
              <w:spacing w:after="0"/>
              <w:jc w:val="center"/>
              <w:rPr>
                <w:rFonts w:ascii="Calibri" w:eastAsia="Times New Roman" w:hAnsi="Calibri" w:cs="Times New Roman"/>
                <w:b/>
                <w:sz w:val="20"/>
                <w:szCs w:val="20"/>
              </w:rPr>
            </w:pPr>
            <w:r w:rsidRPr="00B72135">
              <w:rPr>
                <w:rFonts w:ascii="Calibri" w:eastAsia="Times New Roman" w:hAnsi="Calibri" w:cs="Times New Roman"/>
                <w:b/>
                <w:sz w:val="20"/>
                <w:szCs w:val="20"/>
              </w:rPr>
              <w:t>Max. Repeats</w:t>
            </w:r>
          </w:p>
        </w:tc>
        <w:tc>
          <w:tcPr>
            <w:tcW w:w="654" w:type="pct"/>
            <w:tcBorders>
              <w:top w:val="single" w:sz="4" w:space="0" w:color="auto"/>
              <w:left w:val="single" w:sz="4" w:space="0" w:color="000000"/>
              <w:bottom w:val="nil"/>
              <w:right w:val="nil"/>
            </w:tcBorders>
            <w:shd w:val="clear" w:color="auto" w:fill="auto"/>
            <w:hideMark/>
          </w:tcPr>
          <w:p w14:paraId="5B4D38AD" w14:textId="77777777" w:rsidR="000D06D7" w:rsidRPr="00B72135" w:rsidRDefault="000D06D7" w:rsidP="00445A02">
            <w:pPr>
              <w:spacing w:after="0"/>
              <w:jc w:val="center"/>
              <w:rPr>
                <w:rFonts w:ascii="Calibri" w:eastAsia="Times New Roman" w:hAnsi="Calibri" w:cs="Times New Roman"/>
                <w:b/>
                <w:sz w:val="20"/>
                <w:szCs w:val="20"/>
              </w:rPr>
            </w:pPr>
            <w:r w:rsidRPr="00B72135">
              <w:rPr>
                <w:rFonts w:ascii="Calibri" w:eastAsia="Times New Roman" w:hAnsi="Calibri" w:cs="Times New Roman"/>
                <w:b/>
                <w:sz w:val="20"/>
                <w:szCs w:val="20"/>
              </w:rPr>
              <w:t>DPMQ</w:t>
            </w:r>
            <w:r>
              <w:rPr>
                <w:rFonts w:ascii="Calibri" w:eastAsia="Times New Roman" w:hAnsi="Calibri" w:cs="Times New Roman"/>
                <w:b/>
                <w:sz w:val="20"/>
                <w:szCs w:val="20"/>
              </w:rPr>
              <w:t>*</w:t>
            </w:r>
          </w:p>
          <w:p w14:paraId="3C841DCA" w14:textId="77777777" w:rsidR="000D06D7" w:rsidRPr="00B72135" w:rsidRDefault="000D06D7" w:rsidP="00445A02">
            <w:pPr>
              <w:spacing w:after="0"/>
              <w:jc w:val="center"/>
              <w:rPr>
                <w:rFonts w:ascii="Calibri" w:eastAsia="Times New Roman" w:hAnsi="Calibri" w:cs="Times New Roman"/>
                <w:b/>
                <w:sz w:val="20"/>
                <w:szCs w:val="20"/>
              </w:rPr>
            </w:pPr>
            <w:r w:rsidRPr="00B72135">
              <w:rPr>
                <w:rFonts w:ascii="Calibri" w:eastAsia="Times New Roman" w:hAnsi="Calibri" w:cs="Times New Roman"/>
                <w:b/>
                <w:sz w:val="20"/>
                <w:szCs w:val="20"/>
              </w:rPr>
              <w:t>(as at 1/4/2014)</w:t>
            </w:r>
          </w:p>
        </w:tc>
        <w:tc>
          <w:tcPr>
            <w:tcW w:w="516" w:type="pct"/>
            <w:tcBorders>
              <w:top w:val="single" w:sz="4" w:space="0" w:color="auto"/>
              <w:left w:val="single" w:sz="4" w:space="0" w:color="000000"/>
              <w:bottom w:val="nil"/>
              <w:right w:val="single" w:sz="4" w:space="0" w:color="auto"/>
            </w:tcBorders>
            <w:shd w:val="clear" w:color="auto" w:fill="auto"/>
            <w:hideMark/>
          </w:tcPr>
          <w:p w14:paraId="3377992A" w14:textId="77777777" w:rsidR="000D06D7" w:rsidRPr="00B72135" w:rsidRDefault="000D06D7" w:rsidP="00445A02">
            <w:pPr>
              <w:spacing w:after="0"/>
              <w:jc w:val="center"/>
              <w:rPr>
                <w:rFonts w:ascii="Calibri" w:eastAsia="Times New Roman" w:hAnsi="Calibri" w:cs="Times New Roman"/>
                <w:b/>
                <w:sz w:val="20"/>
                <w:szCs w:val="20"/>
              </w:rPr>
            </w:pPr>
            <w:r w:rsidRPr="00B72135">
              <w:rPr>
                <w:rFonts w:ascii="Calibri" w:eastAsia="Times New Roman" w:hAnsi="Calibri" w:cs="Times New Roman"/>
                <w:b/>
                <w:sz w:val="20"/>
                <w:szCs w:val="20"/>
              </w:rPr>
              <w:t>Brand Name</w:t>
            </w:r>
          </w:p>
        </w:tc>
      </w:tr>
      <w:tr w:rsidR="00A8563E" w:rsidRPr="00BB7C07" w14:paraId="66EC82FB" w14:textId="77777777" w:rsidTr="00A8563E">
        <w:trPr>
          <w:trHeight w:val="255"/>
        </w:trPr>
        <w:tc>
          <w:tcPr>
            <w:tcW w:w="623" w:type="pct"/>
            <w:tcBorders>
              <w:top w:val="single" w:sz="4" w:space="0" w:color="auto"/>
              <w:left w:val="single" w:sz="4" w:space="0" w:color="auto"/>
              <w:bottom w:val="nil"/>
              <w:right w:val="nil"/>
            </w:tcBorders>
            <w:vAlign w:val="bottom"/>
          </w:tcPr>
          <w:p w14:paraId="2037929B"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Sunitinib</w:t>
            </w:r>
          </w:p>
        </w:tc>
        <w:tc>
          <w:tcPr>
            <w:tcW w:w="625" w:type="pct"/>
            <w:tcBorders>
              <w:top w:val="single" w:sz="4" w:space="0" w:color="auto"/>
              <w:left w:val="single" w:sz="4" w:space="0" w:color="auto"/>
              <w:bottom w:val="nil"/>
              <w:right w:val="nil"/>
            </w:tcBorders>
            <w:shd w:val="clear" w:color="auto" w:fill="auto"/>
            <w:noWrap/>
            <w:vAlign w:val="bottom"/>
          </w:tcPr>
          <w:p w14:paraId="0F0013F6"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1/05/2009</w:t>
            </w:r>
          </w:p>
        </w:tc>
        <w:tc>
          <w:tcPr>
            <w:tcW w:w="469" w:type="pct"/>
            <w:tcBorders>
              <w:top w:val="single" w:sz="4" w:space="0" w:color="000000"/>
              <w:left w:val="single" w:sz="4" w:space="0" w:color="000000"/>
              <w:bottom w:val="nil"/>
              <w:right w:val="nil"/>
            </w:tcBorders>
            <w:shd w:val="clear" w:color="auto" w:fill="auto"/>
            <w:noWrap/>
            <w:vAlign w:val="bottom"/>
          </w:tcPr>
          <w:p w14:paraId="110A7B11"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9417P</w:t>
            </w:r>
          </w:p>
        </w:tc>
        <w:tc>
          <w:tcPr>
            <w:tcW w:w="1018" w:type="pct"/>
            <w:tcBorders>
              <w:top w:val="single" w:sz="4" w:space="0" w:color="000000"/>
              <w:left w:val="single" w:sz="4" w:space="0" w:color="000000"/>
              <w:bottom w:val="nil"/>
              <w:right w:val="nil"/>
            </w:tcBorders>
            <w:shd w:val="clear" w:color="auto" w:fill="auto"/>
            <w:noWrap/>
            <w:vAlign w:val="bottom"/>
          </w:tcPr>
          <w:p w14:paraId="5A200594"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Capsule 12.5 mg (as malate)</w:t>
            </w:r>
          </w:p>
        </w:tc>
        <w:tc>
          <w:tcPr>
            <w:tcW w:w="625" w:type="pct"/>
            <w:tcBorders>
              <w:top w:val="single" w:sz="4" w:space="0" w:color="000000"/>
              <w:left w:val="single" w:sz="4" w:space="0" w:color="000000"/>
              <w:bottom w:val="nil"/>
              <w:right w:val="nil"/>
            </w:tcBorders>
            <w:shd w:val="clear" w:color="auto" w:fill="auto"/>
            <w:noWrap/>
            <w:vAlign w:val="bottom"/>
          </w:tcPr>
          <w:p w14:paraId="1982E6C5"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28</w:t>
            </w:r>
          </w:p>
        </w:tc>
        <w:tc>
          <w:tcPr>
            <w:tcW w:w="470" w:type="pct"/>
            <w:tcBorders>
              <w:top w:val="single" w:sz="4" w:space="0" w:color="000000"/>
              <w:left w:val="single" w:sz="4" w:space="0" w:color="000000"/>
              <w:bottom w:val="nil"/>
              <w:right w:val="nil"/>
            </w:tcBorders>
            <w:shd w:val="clear" w:color="auto" w:fill="auto"/>
            <w:noWrap/>
            <w:vAlign w:val="bottom"/>
          </w:tcPr>
          <w:p w14:paraId="4DDBCB8A"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1</w:t>
            </w:r>
          </w:p>
        </w:tc>
        <w:tc>
          <w:tcPr>
            <w:tcW w:w="654" w:type="pct"/>
            <w:tcBorders>
              <w:top w:val="single" w:sz="4" w:space="0" w:color="000000"/>
              <w:left w:val="single" w:sz="4" w:space="0" w:color="000000"/>
              <w:bottom w:val="nil"/>
              <w:right w:val="nil"/>
            </w:tcBorders>
            <w:shd w:val="clear" w:color="auto" w:fill="auto"/>
            <w:noWrap/>
            <w:vAlign w:val="bottom"/>
          </w:tcPr>
          <w:p w14:paraId="041C3AEA"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xml:space="preserve"> $ 1,834.41 </w:t>
            </w:r>
          </w:p>
        </w:tc>
        <w:tc>
          <w:tcPr>
            <w:tcW w:w="516" w:type="pct"/>
            <w:tcBorders>
              <w:top w:val="single" w:sz="4" w:space="0" w:color="000000"/>
              <w:left w:val="single" w:sz="4" w:space="0" w:color="000000"/>
              <w:bottom w:val="nil"/>
              <w:right w:val="single" w:sz="4" w:space="0" w:color="auto"/>
            </w:tcBorders>
            <w:shd w:val="clear" w:color="auto" w:fill="auto"/>
            <w:noWrap/>
            <w:vAlign w:val="bottom"/>
          </w:tcPr>
          <w:p w14:paraId="4A0CC4F3"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Sutent</w:t>
            </w:r>
          </w:p>
        </w:tc>
      </w:tr>
      <w:tr w:rsidR="00A8563E" w:rsidRPr="00BB7C07" w14:paraId="177BEC77" w14:textId="77777777" w:rsidTr="00A8563E">
        <w:trPr>
          <w:trHeight w:val="255"/>
        </w:trPr>
        <w:tc>
          <w:tcPr>
            <w:tcW w:w="623" w:type="pct"/>
            <w:tcBorders>
              <w:top w:val="nil"/>
              <w:left w:val="single" w:sz="4" w:space="0" w:color="auto"/>
              <w:bottom w:val="nil"/>
              <w:right w:val="nil"/>
            </w:tcBorders>
          </w:tcPr>
          <w:p w14:paraId="1A69B5D2" w14:textId="77777777" w:rsidR="000D06D7" w:rsidRPr="00B72135" w:rsidRDefault="000D06D7" w:rsidP="00445A02">
            <w:pPr>
              <w:spacing w:after="0"/>
              <w:jc w:val="center"/>
              <w:rPr>
                <w:rFonts w:ascii="Calibri" w:eastAsia="Times New Roman" w:hAnsi="Calibri" w:cs="Times New Roman"/>
                <w:sz w:val="20"/>
                <w:szCs w:val="20"/>
              </w:rPr>
            </w:pPr>
          </w:p>
        </w:tc>
        <w:tc>
          <w:tcPr>
            <w:tcW w:w="625" w:type="pct"/>
            <w:tcBorders>
              <w:top w:val="nil"/>
              <w:left w:val="single" w:sz="4" w:space="0" w:color="auto"/>
              <w:bottom w:val="nil"/>
              <w:right w:val="nil"/>
            </w:tcBorders>
            <w:shd w:val="clear" w:color="auto" w:fill="auto"/>
            <w:noWrap/>
            <w:vAlign w:val="bottom"/>
          </w:tcPr>
          <w:p w14:paraId="6470FC93"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w:t>
            </w:r>
          </w:p>
        </w:tc>
        <w:tc>
          <w:tcPr>
            <w:tcW w:w="469" w:type="pct"/>
            <w:tcBorders>
              <w:top w:val="single" w:sz="4" w:space="0" w:color="000000"/>
              <w:left w:val="single" w:sz="4" w:space="0" w:color="000000"/>
              <w:bottom w:val="nil"/>
              <w:right w:val="nil"/>
            </w:tcBorders>
            <w:shd w:val="clear" w:color="auto" w:fill="auto"/>
            <w:noWrap/>
            <w:vAlign w:val="bottom"/>
          </w:tcPr>
          <w:p w14:paraId="5D967196"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9418Q</w:t>
            </w:r>
          </w:p>
        </w:tc>
        <w:tc>
          <w:tcPr>
            <w:tcW w:w="1018" w:type="pct"/>
            <w:tcBorders>
              <w:top w:val="single" w:sz="4" w:space="0" w:color="000000"/>
              <w:left w:val="single" w:sz="4" w:space="0" w:color="000000"/>
              <w:bottom w:val="nil"/>
              <w:right w:val="nil"/>
            </w:tcBorders>
            <w:shd w:val="clear" w:color="auto" w:fill="auto"/>
            <w:noWrap/>
            <w:vAlign w:val="bottom"/>
          </w:tcPr>
          <w:p w14:paraId="6F906DB1"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Capsule 25 mg (as malate)</w:t>
            </w:r>
          </w:p>
        </w:tc>
        <w:tc>
          <w:tcPr>
            <w:tcW w:w="625" w:type="pct"/>
            <w:tcBorders>
              <w:top w:val="single" w:sz="4" w:space="0" w:color="000000"/>
              <w:left w:val="single" w:sz="4" w:space="0" w:color="000000"/>
              <w:bottom w:val="nil"/>
              <w:right w:val="nil"/>
            </w:tcBorders>
            <w:shd w:val="clear" w:color="auto" w:fill="auto"/>
            <w:noWrap/>
            <w:vAlign w:val="bottom"/>
          </w:tcPr>
          <w:p w14:paraId="12CD1637"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28</w:t>
            </w:r>
          </w:p>
        </w:tc>
        <w:tc>
          <w:tcPr>
            <w:tcW w:w="470" w:type="pct"/>
            <w:tcBorders>
              <w:top w:val="single" w:sz="4" w:space="0" w:color="000000"/>
              <w:left w:val="single" w:sz="4" w:space="0" w:color="000000"/>
              <w:bottom w:val="nil"/>
              <w:right w:val="nil"/>
            </w:tcBorders>
            <w:shd w:val="clear" w:color="auto" w:fill="auto"/>
            <w:noWrap/>
            <w:vAlign w:val="bottom"/>
          </w:tcPr>
          <w:p w14:paraId="60D9F9A5"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1</w:t>
            </w:r>
          </w:p>
        </w:tc>
        <w:tc>
          <w:tcPr>
            <w:tcW w:w="654" w:type="pct"/>
            <w:tcBorders>
              <w:top w:val="single" w:sz="4" w:space="0" w:color="000000"/>
              <w:left w:val="single" w:sz="4" w:space="0" w:color="000000"/>
              <w:bottom w:val="nil"/>
              <w:right w:val="nil"/>
            </w:tcBorders>
            <w:shd w:val="clear" w:color="auto" w:fill="auto"/>
            <w:noWrap/>
            <w:vAlign w:val="bottom"/>
          </w:tcPr>
          <w:p w14:paraId="254B1B97"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xml:space="preserve"> $ 3,521.97 </w:t>
            </w:r>
          </w:p>
        </w:tc>
        <w:tc>
          <w:tcPr>
            <w:tcW w:w="516" w:type="pct"/>
            <w:tcBorders>
              <w:top w:val="single" w:sz="4" w:space="0" w:color="000000"/>
              <w:left w:val="single" w:sz="4" w:space="0" w:color="000000"/>
              <w:bottom w:val="nil"/>
              <w:right w:val="single" w:sz="4" w:space="0" w:color="auto"/>
            </w:tcBorders>
            <w:shd w:val="clear" w:color="auto" w:fill="auto"/>
            <w:noWrap/>
            <w:vAlign w:val="bottom"/>
          </w:tcPr>
          <w:p w14:paraId="4D6E31DE"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Sutent</w:t>
            </w:r>
          </w:p>
        </w:tc>
      </w:tr>
      <w:tr w:rsidR="00A8563E" w:rsidRPr="00BB7C07" w14:paraId="65212DCC" w14:textId="77777777" w:rsidTr="00A8563E">
        <w:trPr>
          <w:trHeight w:val="255"/>
        </w:trPr>
        <w:tc>
          <w:tcPr>
            <w:tcW w:w="623" w:type="pct"/>
            <w:tcBorders>
              <w:top w:val="nil"/>
              <w:left w:val="single" w:sz="4" w:space="0" w:color="auto"/>
              <w:bottom w:val="nil"/>
              <w:right w:val="nil"/>
            </w:tcBorders>
          </w:tcPr>
          <w:p w14:paraId="082B4A68" w14:textId="77777777" w:rsidR="000D06D7" w:rsidRPr="00B72135" w:rsidRDefault="000D06D7" w:rsidP="00445A02">
            <w:pPr>
              <w:spacing w:after="0"/>
              <w:jc w:val="center"/>
              <w:rPr>
                <w:rFonts w:ascii="Calibri" w:eastAsia="Times New Roman" w:hAnsi="Calibri" w:cs="Times New Roman"/>
                <w:sz w:val="20"/>
                <w:szCs w:val="20"/>
              </w:rPr>
            </w:pPr>
          </w:p>
        </w:tc>
        <w:tc>
          <w:tcPr>
            <w:tcW w:w="625" w:type="pct"/>
            <w:tcBorders>
              <w:top w:val="nil"/>
              <w:left w:val="single" w:sz="4" w:space="0" w:color="auto"/>
              <w:bottom w:val="nil"/>
              <w:right w:val="nil"/>
            </w:tcBorders>
            <w:shd w:val="clear" w:color="auto" w:fill="auto"/>
            <w:noWrap/>
            <w:vAlign w:val="bottom"/>
          </w:tcPr>
          <w:p w14:paraId="7FD21B98"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w:t>
            </w:r>
          </w:p>
        </w:tc>
        <w:tc>
          <w:tcPr>
            <w:tcW w:w="469" w:type="pct"/>
            <w:tcBorders>
              <w:top w:val="single" w:sz="4" w:space="0" w:color="000000"/>
              <w:left w:val="single" w:sz="4" w:space="0" w:color="000000"/>
              <w:bottom w:val="nil"/>
              <w:right w:val="nil"/>
            </w:tcBorders>
            <w:shd w:val="clear" w:color="auto" w:fill="auto"/>
            <w:noWrap/>
            <w:vAlign w:val="bottom"/>
          </w:tcPr>
          <w:p w14:paraId="3A798FAE"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9419R</w:t>
            </w:r>
          </w:p>
        </w:tc>
        <w:tc>
          <w:tcPr>
            <w:tcW w:w="1018" w:type="pct"/>
            <w:tcBorders>
              <w:top w:val="single" w:sz="4" w:space="0" w:color="000000"/>
              <w:left w:val="single" w:sz="4" w:space="0" w:color="000000"/>
              <w:bottom w:val="nil"/>
              <w:right w:val="nil"/>
            </w:tcBorders>
            <w:shd w:val="clear" w:color="auto" w:fill="auto"/>
            <w:noWrap/>
            <w:vAlign w:val="bottom"/>
          </w:tcPr>
          <w:p w14:paraId="6489CA9E"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Capsule 50 mg (as malate)</w:t>
            </w:r>
          </w:p>
        </w:tc>
        <w:tc>
          <w:tcPr>
            <w:tcW w:w="625" w:type="pct"/>
            <w:tcBorders>
              <w:top w:val="single" w:sz="4" w:space="0" w:color="000000"/>
              <w:left w:val="single" w:sz="4" w:space="0" w:color="000000"/>
              <w:bottom w:val="nil"/>
              <w:right w:val="nil"/>
            </w:tcBorders>
            <w:shd w:val="clear" w:color="auto" w:fill="auto"/>
            <w:noWrap/>
            <w:vAlign w:val="bottom"/>
          </w:tcPr>
          <w:p w14:paraId="152F0962"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28</w:t>
            </w:r>
          </w:p>
        </w:tc>
        <w:tc>
          <w:tcPr>
            <w:tcW w:w="470" w:type="pct"/>
            <w:tcBorders>
              <w:top w:val="single" w:sz="4" w:space="0" w:color="000000"/>
              <w:left w:val="single" w:sz="4" w:space="0" w:color="000000"/>
              <w:bottom w:val="nil"/>
              <w:right w:val="nil"/>
            </w:tcBorders>
            <w:shd w:val="clear" w:color="auto" w:fill="auto"/>
            <w:noWrap/>
            <w:vAlign w:val="bottom"/>
          </w:tcPr>
          <w:p w14:paraId="4887C35A"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1</w:t>
            </w:r>
          </w:p>
        </w:tc>
        <w:tc>
          <w:tcPr>
            <w:tcW w:w="654" w:type="pct"/>
            <w:tcBorders>
              <w:top w:val="single" w:sz="4" w:space="0" w:color="000000"/>
              <w:left w:val="single" w:sz="4" w:space="0" w:color="000000"/>
              <w:bottom w:val="nil"/>
              <w:right w:val="nil"/>
            </w:tcBorders>
            <w:shd w:val="clear" w:color="auto" w:fill="auto"/>
            <w:noWrap/>
            <w:vAlign w:val="bottom"/>
          </w:tcPr>
          <w:p w14:paraId="1B5E29DE"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xml:space="preserve"> $ 6,897.65 </w:t>
            </w:r>
          </w:p>
        </w:tc>
        <w:tc>
          <w:tcPr>
            <w:tcW w:w="516" w:type="pct"/>
            <w:tcBorders>
              <w:top w:val="single" w:sz="4" w:space="0" w:color="000000"/>
              <w:left w:val="single" w:sz="4" w:space="0" w:color="000000"/>
              <w:bottom w:val="nil"/>
              <w:right w:val="single" w:sz="4" w:space="0" w:color="auto"/>
            </w:tcBorders>
            <w:shd w:val="clear" w:color="auto" w:fill="auto"/>
            <w:noWrap/>
            <w:vAlign w:val="bottom"/>
          </w:tcPr>
          <w:p w14:paraId="0678D8C8"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Sutent</w:t>
            </w:r>
          </w:p>
        </w:tc>
      </w:tr>
      <w:tr w:rsidR="00A8563E" w:rsidRPr="00BB7C07" w14:paraId="0466A7A9" w14:textId="77777777" w:rsidTr="00A8563E">
        <w:trPr>
          <w:trHeight w:val="255"/>
        </w:trPr>
        <w:tc>
          <w:tcPr>
            <w:tcW w:w="623" w:type="pct"/>
            <w:vMerge w:val="restart"/>
            <w:tcBorders>
              <w:top w:val="nil"/>
              <w:left w:val="single" w:sz="4" w:space="0" w:color="auto"/>
              <w:right w:val="nil"/>
            </w:tcBorders>
          </w:tcPr>
          <w:p w14:paraId="44E6CD57" w14:textId="77777777" w:rsidR="000D06D7" w:rsidRPr="00B72135" w:rsidRDefault="000D06D7" w:rsidP="00445A02">
            <w:pPr>
              <w:spacing w:after="0"/>
              <w:jc w:val="center"/>
              <w:rPr>
                <w:rFonts w:ascii="Calibri" w:eastAsia="Times New Roman" w:hAnsi="Calibri" w:cs="Times New Roman"/>
                <w:sz w:val="20"/>
                <w:szCs w:val="20"/>
              </w:rPr>
            </w:pPr>
          </w:p>
        </w:tc>
        <w:tc>
          <w:tcPr>
            <w:tcW w:w="625" w:type="pct"/>
            <w:vMerge w:val="restart"/>
            <w:tcBorders>
              <w:top w:val="nil"/>
              <w:left w:val="single" w:sz="4" w:space="0" w:color="auto"/>
              <w:right w:val="nil"/>
            </w:tcBorders>
            <w:shd w:val="clear" w:color="auto" w:fill="auto"/>
            <w:noWrap/>
            <w:vAlign w:val="bottom"/>
          </w:tcPr>
          <w:p w14:paraId="65606176"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w:t>
            </w:r>
          </w:p>
          <w:p w14:paraId="3D87EA6C"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w:t>
            </w:r>
          </w:p>
        </w:tc>
        <w:tc>
          <w:tcPr>
            <w:tcW w:w="469" w:type="pct"/>
            <w:tcBorders>
              <w:top w:val="single" w:sz="4" w:space="0" w:color="000000"/>
              <w:left w:val="single" w:sz="4" w:space="0" w:color="000000"/>
              <w:bottom w:val="nil"/>
              <w:right w:val="nil"/>
            </w:tcBorders>
            <w:shd w:val="clear" w:color="auto" w:fill="auto"/>
            <w:noWrap/>
            <w:vAlign w:val="bottom"/>
          </w:tcPr>
          <w:p w14:paraId="2239030F"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9420T</w:t>
            </w:r>
          </w:p>
        </w:tc>
        <w:tc>
          <w:tcPr>
            <w:tcW w:w="1018" w:type="pct"/>
            <w:tcBorders>
              <w:top w:val="single" w:sz="4" w:space="0" w:color="000000"/>
              <w:left w:val="single" w:sz="4" w:space="0" w:color="000000"/>
              <w:bottom w:val="nil"/>
              <w:right w:val="nil"/>
            </w:tcBorders>
            <w:shd w:val="clear" w:color="auto" w:fill="auto"/>
            <w:noWrap/>
            <w:vAlign w:val="bottom"/>
          </w:tcPr>
          <w:p w14:paraId="0037176B"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Capsule 12.5 mg (as malate)</w:t>
            </w:r>
          </w:p>
        </w:tc>
        <w:tc>
          <w:tcPr>
            <w:tcW w:w="625" w:type="pct"/>
            <w:tcBorders>
              <w:top w:val="single" w:sz="4" w:space="0" w:color="000000"/>
              <w:left w:val="single" w:sz="4" w:space="0" w:color="000000"/>
              <w:bottom w:val="nil"/>
              <w:right w:val="nil"/>
            </w:tcBorders>
            <w:shd w:val="clear" w:color="auto" w:fill="auto"/>
            <w:noWrap/>
            <w:vAlign w:val="bottom"/>
          </w:tcPr>
          <w:p w14:paraId="5C8A037D"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28</w:t>
            </w:r>
          </w:p>
        </w:tc>
        <w:tc>
          <w:tcPr>
            <w:tcW w:w="470" w:type="pct"/>
            <w:tcBorders>
              <w:top w:val="single" w:sz="4" w:space="0" w:color="000000"/>
              <w:left w:val="single" w:sz="4" w:space="0" w:color="000000"/>
              <w:bottom w:val="nil"/>
              <w:right w:val="nil"/>
            </w:tcBorders>
            <w:shd w:val="clear" w:color="auto" w:fill="auto"/>
            <w:noWrap/>
            <w:vAlign w:val="bottom"/>
          </w:tcPr>
          <w:p w14:paraId="35B4C547"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3</w:t>
            </w:r>
          </w:p>
        </w:tc>
        <w:tc>
          <w:tcPr>
            <w:tcW w:w="654" w:type="pct"/>
            <w:tcBorders>
              <w:top w:val="single" w:sz="4" w:space="0" w:color="000000"/>
              <w:left w:val="single" w:sz="4" w:space="0" w:color="000000"/>
              <w:bottom w:val="nil"/>
              <w:right w:val="nil"/>
            </w:tcBorders>
            <w:shd w:val="clear" w:color="auto" w:fill="auto"/>
            <w:noWrap/>
            <w:vAlign w:val="bottom"/>
          </w:tcPr>
          <w:p w14:paraId="7301081C"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xml:space="preserve"> $ 1,834.41 </w:t>
            </w:r>
          </w:p>
        </w:tc>
        <w:tc>
          <w:tcPr>
            <w:tcW w:w="516" w:type="pct"/>
            <w:tcBorders>
              <w:top w:val="single" w:sz="4" w:space="0" w:color="000000"/>
              <w:left w:val="single" w:sz="4" w:space="0" w:color="000000"/>
              <w:bottom w:val="nil"/>
              <w:right w:val="single" w:sz="4" w:space="0" w:color="auto"/>
            </w:tcBorders>
            <w:shd w:val="clear" w:color="auto" w:fill="auto"/>
            <w:noWrap/>
            <w:vAlign w:val="bottom"/>
          </w:tcPr>
          <w:p w14:paraId="09A119C7"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Sutent</w:t>
            </w:r>
          </w:p>
        </w:tc>
      </w:tr>
      <w:tr w:rsidR="00A8563E" w:rsidRPr="00BB7C07" w14:paraId="32820371" w14:textId="77777777" w:rsidTr="00A8563E">
        <w:trPr>
          <w:trHeight w:val="255"/>
        </w:trPr>
        <w:tc>
          <w:tcPr>
            <w:tcW w:w="623" w:type="pct"/>
            <w:vMerge/>
            <w:tcBorders>
              <w:left w:val="single" w:sz="4" w:space="0" w:color="auto"/>
              <w:bottom w:val="nil"/>
              <w:right w:val="nil"/>
            </w:tcBorders>
          </w:tcPr>
          <w:p w14:paraId="713AB2FE" w14:textId="77777777" w:rsidR="000D06D7" w:rsidRPr="00B72135" w:rsidRDefault="000D06D7" w:rsidP="00445A02">
            <w:pPr>
              <w:spacing w:after="0"/>
              <w:jc w:val="center"/>
              <w:rPr>
                <w:rFonts w:ascii="Calibri" w:eastAsia="Times New Roman" w:hAnsi="Calibri" w:cs="Times New Roman"/>
                <w:sz w:val="20"/>
                <w:szCs w:val="20"/>
              </w:rPr>
            </w:pPr>
          </w:p>
        </w:tc>
        <w:tc>
          <w:tcPr>
            <w:tcW w:w="625" w:type="pct"/>
            <w:vMerge/>
            <w:tcBorders>
              <w:left w:val="single" w:sz="4" w:space="0" w:color="auto"/>
              <w:bottom w:val="nil"/>
              <w:right w:val="nil"/>
            </w:tcBorders>
            <w:shd w:val="clear" w:color="auto" w:fill="auto"/>
            <w:noWrap/>
            <w:vAlign w:val="bottom"/>
          </w:tcPr>
          <w:p w14:paraId="73F1A7BE" w14:textId="77777777" w:rsidR="000D06D7" w:rsidRPr="00B72135" w:rsidRDefault="000D06D7" w:rsidP="00445A02">
            <w:pPr>
              <w:spacing w:after="0"/>
              <w:jc w:val="center"/>
              <w:rPr>
                <w:rFonts w:ascii="Calibri" w:eastAsia="Times New Roman" w:hAnsi="Calibri" w:cs="Times New Roman"/>
                <w:sz w:val="20"/>
                <w:szCs w:val="20"/>
              </w:rPr>
            </w:pPr>
          </w:p>
        </w:tc>
        <w:tc>
          <w:tcPr>
            <w:tcW w:w="469" w:type="pct"/>
            <w:tcBorders>
              <w:top w:val="single" w:sz="4" w:space="0" w:color="auto"/>
              <w:left w:val="single" w:sz="4" w:space="0" w:color="000000"/>
              <w:bottom w:val="nil"/>
              <w:right w:val="nil"/>
            </w:tcBorders>
            <w:shd w:val="clear" w:color="auto" w:fill="auto"/>
            <w:noWrap/>
            <w:vAlign w:val="bottom"/>
          </w:tcPr>
          <w:p w14:paraId="18BD0C67"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9421W</w:t>
            </w:r>
          </w:p>
        </w:tc>
        <w:tc>
          <w:tcPr>
            <w:tcW w:w="1018" w:type="pct"/>
            <w:tcBorders>
              <w:top w:val="single" w:sz="4" w:space="0" w:color="auto"/>
              <w:left w:val="single" w:sz="4" w:space="0" w:color="000000"/>
              <w:bottom w:val="nil"/>
              <w:right w:val="nil"/>
            </w:tcBorders>
            <w:shd w:val="clear" w:color="auto" w:fill="auto"/>
            <w:noWrap/>
            <w:vAlign w:val="bottom"/>
          </w:tcPr>
          <w:p w14:paraId="27917FF2"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Capsule 25 mg (as malate)</w:t>
            </w:r>
          </w:p>
        </w:tc>
        <w:tc>
          <w:tcPr>
            <w:tcW w:w="625" w:type="pct"/>
            <w:tcBorders>
              <w:top w:val="single" w:sz="4" w:space="0" w:color="auto"/>
              <w:left w:val="single" w:sz="4" w:space="0" w:color="000000"/>
              <w:bottom w:val="nil"/>
              <w:right w:val="nil"/>
            </w:tcBorders>
            <w:shd w:val="clear" w:color="auto" w:fill="auto"/>
            <w:noWrap/>
            <w:vAlign w:val="bottom"/>
          </w:tcPr>
          <w:p w14:paraId="13E6270E"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28</w:t>
            </w:r>
          </w:p>
        </w:tc>
        <w:tc>
          <w:tcPr>
            <w:tcW w:w="470" w:type="pct"/>
            <w:tcBorders>
              <w:top w:val="single" w:sz="4" w:space="0" w:color="auto"/>
              <w:left w:val="single" w:sz="4" w:space="0" w:color="000000"/>
              <w:bottom w:val="nil"/>
              <w:right w:val="nil"/>
            </w:tcBorders>
            <w:shd w:val="clear" w:color="auto" w:fill="auto"/>
            <w:noWrap/>
            <w:vAlign w:val="bottom"/>
          </w:tcPr>
          <w:p w14:paraId="7F750A24"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3</w:t>
            </w:r>
          </w:p>
        </w:tc>
        <w:tc>
          <w:tcPr>
            <w:tcW w:w="654" w:type="pct"/>
            <w:tcBorders>
              <w:top w:val="single" w:sz="4" w:space="0" w:color="auto"/>
              <w:left w:val="single" w:sz="4" w:space="0" w:color="000000"/>
              <w:bottom w:val="nil"/>
              <w:right w:val="nil"/>
            </w:tcBorders>
            <w:shd w:val="clear" w:color="auto" w:fill="auto"/>
            <w:noWrap/>
            <w:vAlign w:val="bottom"/>
          </w:tcPr>
          <w:p w14:paraId="481300E9"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xml:space="preserve"> $ 3,521.97 </w:t>
            </w:r>
          </w:p>
        </w:tc>
        <w:tc>
          <w:tcPr>
            <w:tcW w:w="516" w:type="pct"/>
            <w:tcBorders>
              <w:top w:val="single" w:sz="4" w:space="0" w:color="auto"/>
              <w:left w:val="single" w:sz="4" w:space="0" w:color="000000"/>
              <w:bottom w:val="nil"/>
              <w:right w:val="single" w:sz="4" w:space="0" w:color="auto"/>
            </w:tcBorders>
            <w:shd w:val="clear" w:color="auto" w:fill="auto"/>
            <w:noWrap/>
            <w:vAlign w:val="bottom"/>
          </w:tcPr>
          <w:p w14:paraId="1C16D1F9"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Sutent</w:t>
            </w:r>
          </w:p>
        </w:tc>
      </w:tr>
      <w:tr w:rsidR="00A8563E" w:rsidRPr="00BB7C07" w14:paraId="5C362ACD" w14:textId="77777777" w:rsidTr="00A8563E">
        <w:trPr>
          <w:trHeight w:val="255"/>
        </w:trPr>
        <w:tc>
          <w:tcPr>
            <w:tcW w:w="623" w:type="pct"/>
            <w:tcBorders>
              <w:top w:val="nil"/>
              <w:left w:val="single" w:sz="4" w:space="0" w:color="auto"/>
              <w:bottom w:val="nil"/>
              <w:right w:val="nil"/>
            </w:tcBorders>
          </w:tcPr>
          <w:p w14:paraId="40CAD28E" w14:textId="77777777" w:rsidR="000D06D7" w:rsidRPr="00B72135" w:rsidRDefault="000D06D7" w:rsidP="00445A02">
            <w:pPr>
              <w:spacing w:after="0"/>
              <w:jc w:val="center"/>
              <w:rPr>
                <w:rFonts w:ascii="Calibri" w:eastAsia="Times New Roman" w:hAnsi="Calibri" w:cs="Times New Roman"/>
                <w:sz w:val="20"/>
                <w:szCs w:val="20"/>
              </w:rPr>
            </w:pPr>
          </w:p>
        </w:tc>
        <w:tc>
          <w:tcPr>
            <w:tcW w:w="625" w:type="pct"/>
            <w:tcBorders>
              <w:top w:val="nil"/>
              <w:left w:val="single" w:sz="4" w:space="0" w:color="auto"/>
              <w:bottom w:val="single" w:sz="4" w:space="0" w:color="auto"/>
              <w:right w:val="nil"/>
            </w:tcBorders>
            <w:shd w:val="clear" w:color="auto" w:fill="auto"/>
            <w:noWrap/>
            <w:vAlign w:val="bottom"/>
          </w:tcPr>
          <w:p w14:paraId="3FFC5685"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w:t>
            </w:r>
          </w:p>
        </w:tc>
        <w:tc>
          <w:tcPr>
            <w:tcW w:w="469" w:type="pct"/>
            <w:tcBorders>
              <w:top w:val="single" w:sz="4" w:space="0" w:color="000000"/>
              <w:left w:val="single" w:sz="4" w:space="0" w:color="000000"/>
              <w:bottom w:val="nil"/>
              <w:right w:val="nil"/>
            </w:tcBorders>
            <w:shd w:val="clear" w:color="auto" w:fill="auto"/>
            <w:noWrap/>
            <w:vAlign w:val="bottom"/>
          </w:tcPr>
          <w:p w14:paraId="4E900A5A"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9422X</w:t>
            </w:r>
          </w:p>
        </w:tc>
        <w:tc>
          <w:tcPr>
            <w:tcW w:w="1018" w:type="pct"/>
            <w:tcBorders>
              <w:top w:val="single" w:sz="4" w:space="0" w:color="000000"/>
              <w:left w:val="single" w:sz="4" w:space="0" w:color="000000"/>
              <w:bottom w:val="nil"/>
              <w:right w:val="nil"/>
            </w:tcBorders>
            <w:shd w:val="clear" w:color="auto" w:fill="auto"/>
            <w:noWrap/>
            <w:vAlign w:val="bottom"/>
          </w:tcPr>
          <w:p w14:paraId="06E9F6F7"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Capsule 50 mg (as malate)</w:t>
            </w:r>
          </w:p>
        </w:tc>
        <w:tc>
          <w:tcPr>
            <w:tcW w:w="625" w:type="pct"/>
            <w:tcBorders>
              <w:top w:val="single" w:sz="4" w:space="0" w:color="000000"/>
              <w:left w:val="single" w:sz="4" w:space="0" w:color="000000"/>
              <w:bottom w:val="nil"/>
              <w:right w:val="nil"/>
            </w:tcBorders>
            <w:shd w:val="clear" w:color="auto" w:fill="auto"/>
            <w:noWrap/>
            <w:vAlign w:val="bottom"/>
          </w:tcPr>
          <w:p w14:paraId="58B41428"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28</w:t>
            </w:r>
          </w:p>
        </w:tc>
        <w:tc>
          <w:tcPr>
            <w:tcW w:w="470" w:type="pct"/>
            <w:tcBorders>
              <w:top w:val="single" w:sz="4" w:space="0" w:color="000000"/>
              <w:left w:val="single" w:sz="4" w:space="0" w:color="000000"/>
              <w:bottom w:val="nil"/>
              <w:right w:val="nil"/>
            </w:tcBorders>
            <w:shd w:val="clear" w:color="auto" w:fill="auto"/>
            <w:noWrap/>
            <w:vAlign w:val="bottom"/>
          </w:tcPr>
          <w:p w14:paraId="0F7625BD"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3</w:t>
            </w:r>
          </w:p>
        </w:tc>
        <w:tc>
          <w:tcPr>
            <w:tcW w:w="654" w:type="pct"/>
            <w:tcBorders>
              <w:top w:val="single" w:sz="4" w:space="0" w:color="000000"/>
              <w:left w:val="single" w:sz="4" w:space="0" w:color="000000"/>
              <w:bottom w:val="nil"/>
              <w:right w:val="nil"/>
            </w:tcBorders>
            <w:shd w:val="clear" w:color="auto" w:fill="auto"/>
            <w:noWrap/>
            <w:vAlign w:val="bottom"/>
          </w:tcPr>
          <w:p w14:paraId="42928A05"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xml:space="preserve"> $ 6,897.65 </w:t>
            </w:r>
          </w:p>
        </w:tc>
        <w:tc>
          <w:tcPr>
            <w:tcW w:w="516" w:type="pct"/>
            <w:tcBorders>
              <w:top w:val="single" w:sz="4" w:space="0" w:color="000000"/>
              <w:left w:val="single" w:sz="4" w:space="0" w:color="000000"/>
              <w:bottom w:val="nil"/>
              <w:right w:val="single" w:sz="4" w:space="0" w:color="auto"/>
            </w:tcBorders>
            <w:shd w:val="clear" w:color="auto" w:fill="auto"/>
            <w:noWrap/>
            <w:vAlign w:val="bottom"/>
          </w:tcPr>
          <w:p w14:paraId="0AC5AACD"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Sutent</w:t>
            </w:r>
          </w:p>
        </w:tc>
      </w:tr>
      <w:tr w:rsidR="00A8563E" w:rsidRPr="00BB7C07" w14:paraId="087C805D" w14:textId="77777777" w:rsidTr="00A8563E">
        <w:trPr>
          <w:trHeight w:val="255"/>
        </w:trPr>
        <w:tc>
          <w:tcPr>
            <w:tcW w:w="623" w:type="pct"/>
            <w:tcBorders>
              <w:top w:val="single" w:sz="4" w:space="0" w:color="000000"/>
              <w:left w:val="single" w:sz="4" w:space="0" w:color="auto"/>
              <w:bottom w:val="nil"/>
              <w:right w:val="nil"/>
            </w:tcBorders>
            <w:vAlign w:val="bottom"/>
          </w:tcPr>
          <w:p w14:paraId="2514DA62"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Pazopanib</w:t>
            </w:r>
          </w:p>
        </w:tc>
        <w:tc>
          <w:tcPr>
            <w:tcW w:w="625" w:type="pct"/>
            <w:tcBorders>
              <w:top w:val="single" w:sz="4" w:space="0" w:color="000000"/>
              <w:left w:val="single" w:sz="4" w:space="0" w:color="auto"/>
              <w:bottom w:val="nil"/>
              <w:right w:val="nil"/>
            </w:tcBorders>
            <w:shd w:val="clear" w:color="auto" w:fill="auto"/>
            <w:noWrap/>
            <w:vAlign w:val="bottom"/>
            <w:hideMark/>
          </w:tcPr>
          <w:p w14:paraId="2C0AA843"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1/10/2012</w:t>
            </w:r>
          </w:p>
        </w:tc>
        <w:tc>
          <w:tcPr>
            <w:tcW w:w="469" w:type="pct"/>
            <w:tcBorders>
              <w:top w:val="single" w:sz="4" w:space="0" w:color="000000"/>
              <w:left w:val="single" w:sz="4" w:space="0" w:color="000000"/>
              <w:bottom w:val="nil"/>
              <w:right w:val="nil"/>
            </w:tcBorders>
            <w:shd w:val="clear" w:color="auto" w:fill="auto"/>
            <w:noWrap/>
            <w:vAlign w:val="bottom"/>
            <w:hideMark/>
          </w:tcPr>
          <w:p w14:paraId="2FE5D0D5"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2029T</w:t>
            </w:r>
          </w:p>
        </w:tc>
        <w:tc>
          <w:tcPr>
            <w:tcW w:w="1018" w:type="pct"/>
            <w:tcBorders>
              <w:top w:val="single" w:sz="4" w:space="0" w:color="000000"/>
              <w:left w:val="single" w:sz="4" w:space="0" w:color="000000"/>
              <w:bottom w:val="nil"/>
              <w:right w:val="nil"/>
            </w:tcBorders>
            <w:shd w:val="clear" w:color="auto" w:fill="auto"/>
            <w:noWrap/>
            <w:vAlign w:val="bottom"/>
            <w:hideMark/>
          </w:tcPr>
          <w:p w14:paraId="1E894197"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Tablet 200 mg (as hydrochloride)</w:t>
            </w:r>
          </w:p>
        </w:tc>
        <w:tc>
          <w:tcPr>
            <w:tcW w:w="625" w:type="pct"/>
            <w:tcBorders>
              <w:top w:val="single" w:sz="4" w:space="0" w:color="000000"/>
              <w:left w:val="single" w:sz="4" w:space="0" w:color="000000"/>
              <w:bottom w:val="nil"/>
              <w:right w:val="nil"/>
            </w:tcBorders>
            <w:shd w:val="clear" w:color="auto" w:fill="auto"/>
            <w:noWrap/>
            <w:vAlign w:val="bottom"/>
            <w:hideMark/>
          </w:tcPr>
          <w:p w14:paraId="12A5F8E7"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90</w:t>
            </w:r>
          </w:p>
        </w:tc>
        <w:tc>
          <w:tcPr>
            <w:tcW w:w="470" w:type="pct"/>
            <w:tcBorders>
              <w:top w:val="single" w:sz="4" w:space="0" w:color="000000"/>
              <w:left w:val="single" w:sz="4" w:space="0" w:color="000000"/>
              <w:bottom w:val="nil"/>
              <w:right w:val="nil"/>
            </w:tcBorders>
            <w:shd w:val="clear" w:color="auto" w:fill="auto"/>
            <w:noWrap/>
            <w:vAlign w:val="bottom"/>
            <w:hideMark/>
          </w:tcPr>
          <w:p w14:paraId="044A6E7E"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2</w:t>
            </w:r>
          </w:p>
        </w:tc>
        <w:tc>
          <w:tcPr>
            <w:tcW w:w="654" w:type="pct"/>
            <w:tcBorders>
              <w:top w:val="single" w:sz="4" w:space="0" w:color="000000"/>
              <w:left w:val="single" w:sz="4" w:space="0" w:color="000000"/>
              <w:bottom w:val="nil"/>
              <w:right w:val="nil"/>
            </w:tcBorders>
            <w:shd w:val="clear" w:color="auto" w:fill="auto"/>
            <w:noWrap/>
            <w:vAlign w:val="bottom"/>
            <w:hideMark/>
          </w:tcPr>
          <w:p w14:paraId="367D9092"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xml:space="preserve"> $ 3,542.03 </w:t>
            </w:r>
          </w:p>
        </w:tc>
        <w:tc>
          <w:tcPr>
            <w:tcW w:w="516" w:type="pct"/>
            <w:tcBorders>
              <w:top w:val="single" w:sz="4" w:space="0" w:color="000000"/>
              <w:left w:val="single" w:sz="4" w:space="0" w:color="000000"/>
              <w:bottom w:val="nil"/>
              <w:right w:val="single" w:sz="4" w:space="0" w:color="auto"/>
            </w:tcBorders>
            <w:shd w:val="clear" w:color="auto" w:fill="auto"/>
            <w:noWrap/>
            <w:vAlign w:val="bottom"/>
            <w:hideMark/>
          </w:tcPr>
          <w:p w14:paraId="0A1FFEBE"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Votrient</w:t>
            </w:r>
          </w:p>
        </w:tc>
      </w:tr>
      <w:tr w:rsidR="00A8563E" w:rsidRPr="00BB7C07" w14:paraId="1294EDE8" w14:textId="77777777" w:rsidTr="00A8563E">
        <w:trPr>
          <w:trHeight w:val="255"/>
        </w:trPr>
        <w:tc>
          <w:tcPr>
            <w:tcW w:w="623" w:type="pct"/>
            <w:vMerge w:val="restart"/>
            <w:tcBorders>
              <w:top w:val="nil"/>
              <w:left w:val="single" w:sz="4" w:space="0" w:color="auto"/>
              <w:right w:val="nil"/>
            </w:tcBorders>
          </w:tcPr>
          <w:p w14:paraId="2B553240" w14:textId="77777777" w:rsidR="000D06D7" w:rsidRPr="00B72135" w:rsidRDefault="000D06D7" w:rsidP="00445A02">
            <w:pPr>
              <w:spacing w:after="0"/>
              <w:jc w:val="center"/>
              <w:rPr>
                <w:rFonts w:ascii="Calibri" w:eastAsia="Times New Roman" w:hAnsi="Calibri" w:cs="Times New Roman"/>
                <w:sz w:val="20"/>
                <w:szCs w:val="20"/>
              </w:rPr>
            </w:pPr>
          </w:p>
        </w:tc>
        <w:tc>
          <w:tcPr>
            <w:tcW w:w="625" w:type="pct"/>
            <w:vMerge w:val="restart"/>
            <w:tcBorders>
              <w:top w:val="nil"/>
              <w:left w:val="single" w:sz="4" w:space="0" w:color="auto"/>
              <w:right w:val="nil"/>
            </w:tcBorders>
            <w:shd w:val="clear" w:color="auto" w:fill="auto"/>
            <w:noWrap/>
            <w:vAlign w:val="bottom"/>
            <w:hideMark/>
          </w:tcPr>
          <w:p w14:paraId="7E757925"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w:t>
            </w:r>
          </w:p>
          <w:p w14:paraId="7BB56D9C"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w:t>
            </w:r>
          </w:p>
        </w:tc>
        <w:tc>
          <w:tcPr>
            <w:tcW w:w="469" w:type="pct"/>
            <w:tcBorders>
              <w:top w:val="single" w:sz="4" w:space="0" w:color="000000"/>
              <w:left w:val="single" w:sz="4" w:space="0" w:color="000000"/>
              <w:bottom w:val="nil"/>
              <w:right w:val="nil"/>
            </w:tcBorders>
            <w:shd w:val="clear" w:color="auto" w:fill="auto"/>
            <w:noWrap/>
            <w:vAlign w:val="bottom"/>
            <w:hideMark/>
          </w:tcPr>
          <w:p w14:paraId="7A3AEC89"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2030W</w:t>
            </w:r>
          </w:p>
        </w:tc>
        <w:tc>
          <w:tcPr>
            <w:tcW w:w="1018" w:type="pct"/>
            <w:tcBorders>
              <w:top w:val="single" w:sz="4" w:space="0" w:color="000000"/>
              <w:left w:val="single" w:sz="4" w:space="0" w:color="000000"/>
              <w:bottom w:val="nil"/>
              <w:right w:val="nil"/>
            </w:tcBorders>
            <w:shd w:val="clear" w:color="auto" w:fill="auto"/>
            <w:noWrap/>
            <w:vAlign w:val="bottom"/>
            <w:hideMark/>
          </w:tcPr>
          <w:p w14:paraId="41912F24"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Tablet 400 mg (as hydrochloride)</w:t>
            </w:r>
          </w:p>
        </w:tc>
        <w:tc>
          <w:tcPr>
            <w:tcW w:w="625" w:type="pct"/>
            <w:tcBorders>
              <w:top w:val="single" w:sz="4" w:space="0" w:color="000000"/>
              <w:left w:val="single" w:sz="4" w:space="0" w:color="000000"/>
              <w:bottom w:val="nil"/>
              <w:right w:val="nil"/>
            </w:tcBorders>
            <w:shd w:val="clear" w:color="auto" w:fill="auto"/>
            <w:noWrap/>
            <w:vAlign w:val="bottom"/>
            <w:hideMark/>
          </w:tcPr>
          <w:p w14:paraId="79CA5D27"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60</w:t>
            </w:r>
          </w:p>
        </w:tc>
        <w:tc>
          <w:tcPr>
            <w:tcW w:w="470" w:type="pct"/>
            <w:tcBorders>
              <w:top w:val="single" w:sz="4" w:space="0" w:color="000000"/>
              <w:left w:val="single" w:sz="4" w:space="0" w:color="000000"/>
              <w:bottom w:val="nil"/>
              <w:right w:val="nil"/>
            </w:tcBorders>
            <w:shd w:val="clear" w:color="auto" w:fill="auto"/>
            <w:noWrap/>
            <w:vAlign w:val="bottom"/>
            <w:hideMark/>
          </w:tcPr>
          <w:p w14:paraId="6364A2A4"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2</w:t>
            </w:r>
          </w:p>
        </w:tc>
        <w:tc>
          <w:tcPr>
            <w:tcW w:w="654" w:type="pct"/>
            <w:tcBorders>
              <w:top w:val="single" w:sz="4" w:space="0" w:color="000000"/>
              <w:left w:val="single" w:sz="4" w:space="0" w:color="000000"/>
              <w:bottom w:val="nil"/>
              <w:right w:val="nil"/>
            </w:tcBorders>
            <w:shd w:val="clear" w:color="auto" w:fill="auto"/>
            <w:noWrap/>
            <w:vAlign w:val="bottom"/>
            <w:hideMark/>
          </w:tcPr>
          <w:p w14:paraId="26C068FD"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xml:space="preserve"> $ 4,673.85 </w:t>
            </w:r>
          </w:p>
        </w:tc>
        <w:tc>
          <w:tcPr>
            <w:tcW w:w="516" w:type="pct"/>
            <w:tcBorders>
              <w:top w:val="single" w:sz="4" w:space="0" w:color="000000"/>
              <w:left w:val="single" w:sz="4" w:space="0" w:color="000000"/>
              <w:bottom w:val="nil"/>
              <w:right w:val="single" w:sz="4" w:space="0" w:color="auto"/>
            </w:tcBorders>
            <w:shd w:val="clear" w:color="auto" w:fill="auto"/>
            <w:noWrap/>
            <w:vAlign w:val="bottom"/>
            <w:hideMark/>
          </w:tcPr>
          <w:p w14:paraId="3E886B9B"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Votrient</w:t>
            </w:r>
          </w:p>
        </w:tc>
      </w:tr>
      <w:tr w:rsidR="00A8563E" w:rsidRPr="00BB7C07" w14:paraId="14EA0F13" w14:textId="77777777" w:rsidTr="00A8563E">
        <w:trPr>
          <w:trHeight w:val="255"/>
        </w:trPr>
        <w:tc>
          <w:tcPr>
            <w:tcW w:w="623" w:type="pct"/>
            <w:vMerge/>
            <w:tcBorders>
              <w:left w:val="single" w:sz="4" w:space="0" w:color="auto"/>
              <w:bottom w:val="nil"/>
              <w:right w:val="nil"/>
            </w:tcBorders>
          </w:tcPr>
          <w:p w14:paraId="76779387" w14:textId="77777777" w:rsidR="000D06D7" w:rsidRPr="00B72135" w:rsidRDefault="000D06D7" w:rsidP="00445A02">
            <w:pPr>
              <w:spacing w:after="0"/>
              <w:jc w:val="center"/>
              <w:rPr>
                <w:rFonts w:ascii="Calibri" w:eastAsia="Times New Roman" w:hAnsi="Calibri" w:cs="Times New Roman"/>
                <w:sz w:val="20"/>
                <w:szCs w:val="20"/>
              </w:rPr>
            </w:pPr>
          </w:p>
        </w:tc>
        <w:tc>
          <w:tcPr>
            <w:tcW w:w="625" w:type="pct"/>
            <w:vMerge/>
            <w:tcBorders>
              <w:left w:val="single" w:sz="4" w:space="0" w:color="auto"/>
              <w:bottom w:val="nil"/>
              <w:right w:val="nil"/>
            </w:tcBorders>
            <w:shd w:val="clear" w:color="auto" w:fill="auto"/>
            <w:noWrap/>
            <w:vAlign w:val="bottom"/>
            <w:hideMark/>
          </w:tcPr>
          <w:p w14:paraId="64638F5D" w14:textId="77777777" w:rsidR="000D06D7" w:rsidRPr="00B72135" w:rsidRDefault="000D06D7" w:rsidP="00445A02">
            <w:pPr>
              <w:spacing w:after="0"/>
              <w:jc w:val="center"/>
              <w:rPr>
                <w:rFonts w:ascii="Calibri" w:eastAsia="Times New Roman" w:hAnsi="Calibri" w:cs="Times New Roman"/>
                <w:sz w:val="20"/>
                <w:szCs w:val="20"/>
              </w:rPr>
            </w:pPr>
          </w:p>
        </w:tc>
        <w:tc>
          <w:tcPr>
            <w:tcW w:w="469" w:type="pct"/>
            <w:tcBorders>
              <w:top w:val="single" w:sz="4" w:space="0" w:color="000000"/>
              <w:left w:val="single" w:sz="4" w:space="0" w:color="000000"/>
              <w:bottom w:val="nil"/>
              <w:right w:val="nil"/>
            </w:tcBorders>
            <w:shd w:val="clear" w:color="auto" w:fill="auto"/>
            <w:noWrap/>
            <w:vAlign w:val="bottom"/>
            <w:hideMark/>
          </w:tcPr>
          <w:p w14:paraId="5A7FBD39"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2034C</w:t>
            </w:r>
          </w:p>
        </w:tc>
        <w:tc>
          <w:tcPr>
            <w:tcW w:w="1018" w:type="pct"/>
            <w:tcBorders>
              <w:top w:val="single" w:sz="4" w:space="0" w:color="000000"/>
              <w:left w:val="single" w:sz="4" w:space="0" w:color="000000"/>
              <w:bottom w:val="nil"/>
              <w:right w:val="nil"/>
            </w:tcBorders>
            <w:shd w:val="clear" w:color="auto" w:fill="auto"/>
            <w:noWrap/>
            <w:vAlign w:val="bottom"/>
            <w:hideMark/>
          </w:tcPr>
          <w:p w14:paraId="718B16C2"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Tablet 200 mg (as hydrochloride)</w:t>
            </w:r>
          </w:p>
        </w:tc>
        <w:tc>
          <w:tcPr>
            <w:tcW w:w="625" w:type="pct"/>
            <w:tcBorders>
              <w:top w:val="single" w:sz="4" w:space="0" w:color="000000"/>
              <w:left w:val="single" w:sz="4" w:space="0" w:color="000000"/>
              <w:bottom w:val="nil"/>
              <w:right w:val="nil"/>
            </w:tcBorders>
            <w:shd w:val="clear" w:color="auto" w:fill="auto"/>
            <w:noWrap/>
            <w:vAlign w:val="bottom"/>
            <w:hideMark/>
          </w:tcPr>
          <w:p w14:paraId="7FF5159F"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90</w:t>
            </w:r>
          </w:p>
        </w:tc>
        <w:tc>
          <w:tcPr>
            <w:tcW w:w="470" w:type="pct"/>
            <w:tcBorders>
              <w:top w:val="single" w:sz="4" w:space="0" w:color="000000"/>
              <w:left w:val="single" w:sz="4" w:space="0" w:color="000000"/>
              <w:bottom w:val="nil"/>
              <w:right w:val="nil"/>
            </w:tcBorders>
            <w:shd w:val="clear" w:color="auto" w:fill="auto"/>
            <w:noWrap/>
            <w:vAlign w:val="bottom"/>
            <w:hideMark/>
          </w:tcPr>
          <w:p w14:paraId="784B6C6B"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5</w:t>
            </w:r>
          </w:p>
        </w:tc>
        <w:tc>
          <w:tcPr>
            <w:tcW w:w="654" w:type="pct"/>
            <w:tcBorders>
              <w:top w:val="single" w:sz="4" w:space="0" w:color="000000"/>
              <w:left w:val="single" w:sz="4" w:space="0" w:color="000000"/>
              <w:bottom w:val="nil"/>
              <w:right w:val="nil"/>
            </w:tcBorders>
            <w:shd w:val="clear" w:color="auto" w:fill="auto"/>
            <w:noWrap/>
            <w:vAlign w:val="bottom"/>
            <w:hideMark/>
          </w:tcPr>
          <w:p w14:paraId="008B4839"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xml:space="preserve"> $ 3,542.03 </w:t>
            </w:r>
          </w:p>
        </w:tc>
        <w:tc>
          <w:tcPr>
            <w:tcW w:w="516" w:type="pct"/>
            <w:tcBorders>
              <w:top w:val="single" w:sz="4" w:space="0" w:color="000000"/>
              <w:left w:val="single" w:sz="4" w:space="0" w:color="000000"/>
              <w:bottom w:val="nil"/>
              <w:right w:val="single" w:sz="4" w:space="0" w:color="auto"/>
            </w:tcBorders>
            <w:shd w:val="clear" w:color="auto" w:fill="auto"/>
            <w:noWrap/>
            <w:vAlign w:val="bottom"/>
            <w:hideMark/>
          </w:tcPr>
          <w:p w14:paraId="7A5E7637"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Votrient</w:t>
            </w:r>
          </w:p>
        </w:tc>
      </w:tr>
      <w:tr w:rsidR="00A8563E" w:rsidRPr="00BB7C07" w14:paraId="5A13552A" w14:textId="77777777" w:rsidTr="00A8563E">
        <w:trPr>
          <w:trHeight w:val="255"/>
        </w:trPr>
        <w:tc>
          <w:tcPr>
            <w:tcW w:w="623" w:type="pct"/>
            <w:tcBorders>
              <w:top w:val="nil"/>
              <w:left w:val="single" w:sz="4" w:space="0" w:color="auto"/>
              <w:bottom w:val="nil"/>
              <w:right w:val="nil"/>
            </w:tcBorders>
          </w:tcPr>
          <w:p w14:paraId="72510AEA" w14:textId="77777777" w:rsidR="000D06D7" w:rsidRPr="00B72135" w:rsidRDefault="000D06D7" w:rsidP="00445A02">
            <w:pPr>
              <w:spacing w:after="0"/>
              <w:jc w:val="center"/>
              <w:rPr>
                <w:rFonts w:ascii="Calibri" w:eastAsia="Times New Roman" w:hAnsi="Calibri" w:cs="Times New Roman"/>
                <w:sz w:val="20"/>
                <w:szCs w:val="20"/>
              </w:rPr>
            </w:pPr>
          </w:p>
        </w:tc>
        <w:tc>
          <w:tcPr>
            <w:tcW w:w="625" w:type="pct"/>
            <w:tcBorders>
              <w:top w:val="nil"/>
              <w:left w:val="single" w:sz="4" w:space="0" w:color="auto"/>
              <w:bottom w:val="single" w:sz="4" w:space="0" w:color="auto"/>
              <w:right w:val="nil"/>
            </w:tcBorders>
            <w:shd w:val="clear" w:color="auto" w:fill="auto"/>
            <w:noWrap/>
            <w:vAlign w:val="bottom"/>
            <w:hideMark/>
          </w:tcPr>
          <w:p w14:paraId="2A1CA9FF"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w:t>
            </w:r>
          </w:p>
        </w:tc>
        <w:tc>
          <w:tcPr>
            <w:tcW w:w="469" w:type="pct"/>
            <w:tcBorders>
              <w:top w:val="single" w:sz="4" w:space="0" w:color="000000"/>
              <w:left w:val="single" w:sz="4" w:space="0" w:color="000000"/>
              <w:bottom w:val="nil"/>
              <w:right w:val="nil"/>
            </w:tcBorders>
            <w:shd w:val="clear" w:color="auto" w:fill="auto"/>
            <w:noWrap/>
            <w:vAlign w:val="bottom"/>
            <w:hideMark/>
          </w:tcPr>
          <w:p w14:paraId="28B26033"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2035D</w:t>
            </w:r>
          </w:p>
        </w:tc>
        <w:tc>
          <w:tcPr>
            <w:tcW w:w="1018" w:type="pct"/>
            <w:tcBorders>
              <w:top w:val="single" w:sz="4" w:space="0" w:color="000000"/>
              <w:left w:val="single" w:sz="4" w:space="0" w:color="000000"/>
              <w:bottom w:val="nil"/>
              <w:right w:val="nil"/>
            </w:tcBorders>
            <w:shd w:val="clear" w:color="auto" w:fill="auto"/>
            <w:noWrap/>
            <w:vAlign w:val="bottom"/>
            <w:hideMark/>
          </w:tcPr>
          <w:p w14:paraId="5E213FB8"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Tablet 400 mg (as hydrochloride)</w:t>
            </w:r>
          </w:p>
        </w:tc>
        <w:tc>
          <w:tcPr>
            <w:tcW w:w="625" w:type="pct"/>
            <w:tcBorders>
              <w:top w:val="single" w:sz="4" w:space="0" w:color="000000"/>
              <w:left w:val="single" w:sz="4" w:space="0" w:color="000000"/>
              <w:bottom w:val="nil"/>
              <w:right w:val="nil"/>
            </w:tcBorders>
            <w:shd w:val="clear" w:color="auto" w:fill="auto"/>
            <w:noWrap/>
            <w:vAlign w:val="bottom"/>
            <w:hideMark/>
          </w:tcPr>
          <w:p w14:paraId="3C9662B7"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60</w:t>
            </w:r>
          </w:p>
        </w:tc>
        <w:tc>
          <w:tcPr>
            <w:tcW w:w="470" w:type="pct"/>
            <w:tcBorders>
              <w:top w:val="single" w:sz="4" w:space="0" w:color="000000"/>
              <w:left w:val="single" w:sz="4" w:space="0" w:color="000000"/>
              <w:bottom w:val="nil"/>
              <w:right w:val="nil"/>
            </w:tcBorders>
            <w:shd w:val="clear" w:color="auto" w:fill="auto"/>
            <w:noWrap/>
            <w:vAlign w:val="bottom"/>
            <w:hideMark/>
          </w:tcPr>
          <w:p w14:paraId="7055DD65"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5</w:t>
            </w:r>
          </w:p>
        </w:tc>
        <w:tc>
          <w:tcPr>
            <w:tcW w:w="654" w:type="pct"/>
            <w:tcBorders>
              <w:top w:val="single" w:sz="4" w:space="0" w:color="000000"/>
              <w:left w:val="single" w:sz="4" w:space="0" w:color="000000"/>
              <w:bottom w:val="nil"/>
              <w:right w:val="nil"/>
            </w:tcBorders>
            <w:shd w:val="clear" w:color="auto" w:fill="auto"/>
            <w:noWrap/>
            <w:vAlign w:val="bottom"/>
            <w:hideMark/>
          </w:tcPr>
          <w:p w14:paraId="291B6082"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xml:space="preserve"> $ 4,673.85 </w:t>
            </w:r>
          </w:p>
        </w:tc>
        <w:tc>
          <w:tcPr>
            <w:tcW w:w="516" w:type="pct"/>
            <w:tcBorders>
              <w:top w:val="single" w:sz="4" w:space="0" w:color="000000"/>
              <w:left w:val="single" w:sz="4" w:space="0" w:color="000000"/>
              <w:bottom w:val="nil"/>
              <w:right w:val="single" w:sz="4" w:space="0" w:color="auto"/>
            </w:tcBorders>
            <w:shd w:val="clear" w:color="auto" w:fill="auto"/>
            <w:noWrap/>
            <w:vAlign w:val="bottom"/>
            <w:hideMark/>
          </w:tcPr>
          <w:p w14:paraId="1A521599"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Votrient</w:t>
            </w:r>
          </w:p>
        </w:tc>
      </w:tr>
      <w:tr w:rsidR="00A8563E" w:rsidRPr="00BB7C07" w14:paraId="09970B1B" w14:textId="77777777" w:rsidTr="00A8563E">
        <w:trPr>
          <w:trHeight w:val="255"/>
        </w:trPr>
        <w:tc>
          <w:tcPr>
            <w:tcW w:w="623" w:type="pct"/>
            <w:tcBorders>
              <w:top w:val="nil"/>
              <w:left w:val="single" w:sz="4" w:space="0" w:color="auto"/>
              <w:bottom w:val="nil"/>
              <w:right w:val="nil"/>
            </w:tcBorders>
          </w:tcPr>
          <w:p w14:paraId="32B70A25" w14:textId="77777777" w:rsidR="000D06D7" w:rsidRPr="00B72135" w:rsidRDefault="000D06D7" w:rsidP="00445A02">
            <w:pPr>
              <w:spacing w:after="0"/>
              <w:jc w:val="center"/>
              <w:rPr>
                <w:rFonts w:ascii="Calibri" w:eastAsia="Times New Roman" w:hAnsi="Calibri" w:cs="Times New Roman"/>
                <w:sz w:val="20"/>
                <w:szCs w:val="20"/>
              </w:rPr>
            </w:pPr>
          </w:p>
        </w:tc>
        <w:tc>
          <w:tcPr>
            <w:tcW w:w="625" w:type="pct"/>
            <w:tcBorders>
              <w:top w:val="single" w:sz="4" w:space="0" w:color="auto"/>
              <w:left w:val="single" w:sz="4" w:space="0" w:color="auto"/>
              <w:bottom w:val="nil"/>
              <w:right w:val="nil"/>
            </w:tcBorders>
            <w:shd w:val="clear" w:color="auto" w:fill="auto"/>
            <w:noWrap/>
            <w:vAlign w:val="bottom"/>
            <w:hideMark/>
          </w:tcPr>
          <w:p w14:paraId="330CF7C5"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1/12/2012</w:t>
            </w:r>
          </w:p>
        </w:tc>
        <w:tc>
          <w:tcPr>
            <w:tcW w:w="469" w:type="pct"/>
            <w:tcBorders>
              <w:top w:val="single" w:sz="4" w:space="0" w:color="000000"/>
              <w:left w:val="single" w:sz="4" w:space="0" w:color="000000"/>
              <w:bottom w:val="nil"/>
              <w:right w:val="nil"/>
            </w:tcBorders>
            <w:shd w:val="clear" w:color="auto" w:fill="auto"/>
            <w:noWrap/>
            <w:vAlign w:val="bottom"/>
            <w:hideMark/>
          </w:tcPr>
          <w:p w14:paraId="138A219A"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2201W</w:t>
            </w:r>
          </w:p>
        </w:tc>
        <w:tc>
          <w:tcPr>
            <w:tcW w:w="1018" w:type="pct"/>
            <w:tcBorders>
              <w:top w:val="single" w:sz="4" w:space="0" w:color="000000"/>
              <w:left w:val="single" w:sz="4" w:space="0" w:color="000000"/>
              <w:bottom w:val="nil"/>
              <w:right w:val="nil"/>
            </w:tcBorders>
            <w:shd w:val="clear" w:color="auto" w:fill="auto"/>
            <w:noWrap/>
            <w:vAlign w:val="bottom"/>
            <w:hideMark/>
          </w:tcPr>
          <w:p w14:paraId="3537CD0A"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Tablet 400 mg (as hydrochloride)</w:t>
            </w:r>
          </w:p>
        </w:tc>
        <w:tc>
          <w:tcPr>
            <w:tcW w:w="625" w:type="pct"/>
            <w:tcBorders>
              <w:top w:val="single" w:sz="4" w:space="0" w:color="000000"/>
              <w:left w:val="single" w:sz="4" w:space="0" w:color="000000"/>
              <w:bottom w:val="nil"/>
              <w:right w:val="nil"/>
            </w:tcBorders>
            <w:shd w:val="clear" w:color="auto" w:fill="auto"/>
            <w:noWrap/>
            <w:vAlign w:val="bottom"/>
            <w:hideMark/>
          </w:tcPr>
          <w:p w14:paraId="38C1C609"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30</w:t>
            </w:r>
          </w:p>
        </w:tc>
        <w:tc>
          <w:tcPr>
            <w:tcW w:w="470" w:type="pct"/>
            <w:tcBorders>
              <w:top w:val="single" w:sz="4" w:space="0" w:color="000000"/>
              <w:left w:val="single" w:sz="4" w:space="0" w:color="000000"/>
              <w:bottom w:val="nil"/>
              <w:right w:val="nil"/>
            </w:tcBorders>
            <w:shd w:val="clear" w:color="auto" w:fill="auto"/>
            <w:noWrap/>
            <w:vAlign w:val="bottom"/>
            <w:hideMark/>
          </w:tcPr>
          <w:p w14:paraId="7CD71318"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5</w:t>
            </w:r>
          </w:p>
        </w:tc>
        <w:tc>
          <w:tcPr>
            <w:tcW w:w="654" w:type="pct"/>
            <w:tcBorders>
              <w:top w:val="single" w:sz="4" w:space="0" w:color="000000"/>
              <w:left w:val="single" w:sz="4" w:space="0" w:color="000000"/>
              <w:bottom w:val="nil"/>
              <w:right w:val="nil"/>
            </w:tcBorders>
            <w:shd w:val="clear" w:color="auto" w:fill="auto"/>
            <w:noWrap/>
            <w:vAlign w:val="bottom"/>
            <w:hideMark/>
          </w:tcPr>
          <w:p w14:paraId="62047907"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xml:space="preserve"> $ 2,410.21 </w:t>
            </w:r>
          </w:p>
        </w:tc>
        <w:tc>
          <w:tcPr>
            <w:tcW w:w="516" w:type="pct"/>
            <w:tcBorders>
              <w:top w:val="single" w:sz="4" w:space="0" w:color="000000"/>
              <w:left w:val="single" w:sz="4" w:space="0" w:color="000000"/>
              <w:bottom w:val="nil"/>
              <w:right w:val="single" w:sz="4" w:space="0" w:color="auto"/>
            </w:tcBorders>
            <w:shd w:val="clear" w:color="auto" w:fill="auto"/>
            <w:noWrap/>
            <w:vAlign w:val="bottom"/>
            <w:hideMark/>
          </w:tcPr>
          <w:p w14:paraId="60A3DE61"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Votrient</w:t>
            </w:r>
          </w:p>
        </w:tc>
      </w:tr>
      <w:tr w:rsidR="00A8563E" w:rsidRPr="00BB7C07" w14:paraId="4BEE708E" w14:textId="77777777" w:rsidTr="00A8563E">
        <w:trPr>
          <w:trHeight w:val="255"/>
        </w:trPr>
        <w:tc>
          <w:tcPr>
            <w:tcW w:w="623" w:type="pct"/>
            <w:tcBorders>
              <w:top w:val="nil"/>
              <w:left w:val="single" w:sz="4" w:space="0" w:color="auto"/>
              <w:bottom w:val="single" w:sz="4" w:space="0" w:color="auto"/>
              <w:right w:val="nil"/>
            </w:tcBorders>
          </w:tcPr>
          <w:p w14:paraId="0291B273" w14:textId="77777777" w:rsidR="000D06D7" w:rsidRPr="00B72135" w:rsidRDefault="000D06D7" w:rsidP="00445A02">
            <w:pPr>
              <w:spacing w:after="0"/>
              <w:jc w:val="center"/>
              <w:rPr>
                <w:rFonts w:ascii="Calibri" w:eastAsia="Times New Roman" w:hAnsi="Calibri" w:cs="Times New Roman"/>
                <w:sz w:val="20"/>
                <w:szCs w:val="20"/>
              </w:rPr>
            </w:pPr>
          </w:p>
        </w:tc>
        <w:tc>
          <w:tcPr>
            <w:tcW w:w="625" w:type="pct"/>
            <w:tcBorders>
              <w:top w:val="nil"/>
              <w:left w:val="single" w:sz="4" w:space="0" w:color="auto"/>
              <w:bottom w:val="single" w:sz="4" w:space="0" w:color="auto"/>
              <w:right w:val="nil"/>
            </w:tcBorders>
            <w:shd w:val="clear" w:color="auto" w:fill="auto"/>
            <w:noWrap/>
            <w:vAlign w:val="bottom"/>
            <w:hideMark/>
          </w:tcPr>
          <w:p w14:paraId="2A779CA0"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w:t>
            </w:r>
          </w:p>
        </w:tc>
        <w:tc>
          <w:tcPr>
            <w:tcW w:w="469" w:type="pct"/>
            <w:tcBorders>
              <w:top w:val="single" w:sz="4" w:space="0" w:color="000000"/>
              <w:left w:val="single" w:sz="4" w:space="0" w:color="000000"/>
              <w:bottom w:val="single" w:sz="4" w:space="0" w:color="auto"/>
              <w:right w:val="nil"/>
            </w:tcBorders>
            <w:shd w:val="clear" w:color="auto" w:fill="auto"/>
            <w:noWrap/>
            <w:vAlign w:val="bottom"/>
            <w:hideMark/>
          </w:tcPr>
          <w:p w14:paraId="49C07E78"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2232L</w:t>
            </w:r>
          </w:p>
        </w:tc>
        <w:tc>
          <w:tcPr>
            <w:tcW w:w="1018" w:type="pct"/>
            <w:tcBorders>
              <w:top w:val="single" w:sz="4" w:space="0" w:color="000000"/>
              <w:left w:val="single" w:sz="4" w:space="0" w:color="000000"/>
              <w:bottom w:val="single" w:sz="4" w:space="0" w:color="auto"/>
              <w:right w:val="nil"/>
            </w:tcBorders>
            <w:shd w:val="clear" w:color="auto" w:fill="auto"/>
            <w:noWrap/>
            <w:vAlign w:val="bottom"/>
            <w:hideMark/>
          </w:tcPr>
          <w:p w14:paraId="78C091FD"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Tablet 200 mg (as hydrochloride)</w:t>
            </w:r>
          </w:p>
        </w:tc>
        <w:tc>
          <w:tcPr>
            <w:tcW w:w="625" w:type="pct"/>
            <w:tcBorders>
              <w:top w:val="single" w:sz="4" w:space="0" w:color="000000"/>
              <w:left w:val="single" w:sz="4" w:space="0" w:color="000000"/>
              <w:bottom w:val="single" w:sz="4" w:space="0" w:color="auto"/>
              <w:right w:val="nil"/>
            </w:tcBorders>
            <w:shd w:val="clear" w:color="auto" w:fill="auto"/>
            <w:noWrap/>
            <w:vAlign w:val="bottom"/>
            <w:hideMark/>
          </w:tcPr>
          <w:p w14:paraId="0EAD934B"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30</w:t>
            </w:r>
          </w:p>
        </w:tc>
        <w:tc>
          <w:tcPr>
            <w:tcW w:w="470" w:type="pct"/>
            <w:tcBorders>
              <w:top w:val="single" w:sz="4" w:space="0" w:color="000000"/>
              <w:left w:val="single" w:sz="4" w:space="0" w:color="000000"/>
              <w:bottom w:val="single" w:sz="4" w:space="0" w:color="auto"/>
              <w:right w:val="nil"/>
            </w:tcBorders>
            <w:shd w:val="clear" w:color="auto" w:fill="auto"/>
            <w:noWrap/>
            <w:vAlign w:val="bottom"/>
            <w:hideMark/>
          </w:tcPr>
          <w:p w14:paraId="33F86BCE"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5</w:t>
            </w:r>
          </w:p>
        </w:tc>
        <w:tc>
          <w:tcPr>
            <w:tcW w:w="654" w:type="pct"/>
            <w:tcBorders>
              <w:top w:val="single" w:sz="4" w:space="0" w:color="000000"/>
              <w:left w:val="single" w:sz="4" w:space="0" w:color="000000"/>
              <w:bottom w:val="single" w:sz="4" w:space="0" w:color="auto"/>
              <w:right w:val="nil"/>
            </w:tcBorders>
            <w:shd w:val="clear" w:color="auto" w:fill="auto"/>
            <w:noWrap/>
            <w:vAlign w:val="bottom"/>
            <w:hideMark/>
          </w:tcPr>
          <w:p w14:paraId="5C4C8338"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 xml:space="preserve"> $ 1,256.46 </w:t>
            </w:r>
          </w:p>
        </w:tc>
        <w:tc>
          <w:tcPr>
            <w:tcW w:w="516" w:type="pct"/>
            <w:tcBorders>
              <w:top w:val="single" w:sz="4" w:space="0" w:color="000000"/>
              <w:left w:val="single" w:sz="4" w:space="0" w:color="000000"/>
              <w:bottom w:val="single" w:sz="4" w:space="0" w:color="auto"/>
              <w:right w:val="single" w:sz="4" w:space="0" w:color="auto"/>
            </w:tcBorders>
            <w:shd w:val="clear" w:color="auto" w:fill="auto"/>
            <w:noWrap/>
            <w:vAlign w:val="bottom"/>
            <w:hideMark/>
          </w:tcPr>
          <w:p w14:paraId="7E52DCD2" w14:textId="77777777" w:rsidR="000D06D7" w:rsidRPr="00B72135" w:rsidRDefault="000D06D7" w:rsidP="00445A02">
            <w:pPr>
              <w:spacing w:after="0"/>
              <w:jc w:val="center"/>
              <w:rPr>
                <w:rFonts w:ascii="Calibri" w:eastAsia="Times New Roman" w:hAnsi="Calibri" w:cs="Times New Roman"/>
                <w:sz w:val="20"/>
                <w:szCs w:val="20"/>
              </w:rPr>
            </w:pPr>
            <w:r w:rsidRPr="00B72135">
              <w:rPr>
                <w:rFonts w:ascii="Calibri" w:eastAsia="Times New Roman" w:hAnsi="Calibri" w:cs="Times New Roman"/>
                <w:sz w:val="20"/>
                <w:szCs w:val="20"/>
              </w:rPr>
              <w:t>Votrient</w:t>
            </w:r>
          </w:p>
        </w:tc>
      </w:tr>
    </w:tbl>
    <w:p w14:paraId="1560D2A0" w14:textId="77777777" w:rsidR="000D06D7" w:rsidRDefault="000D06D7" w:rsidP="000D06D7">
      <w:pPr>
        <w:keepNext/>
        <w:keepLines/>
        <w:spacing w:after="20"/>
        <w:outlineLvl w:val="3"/>
        <w:rPr>
          <w:rFonts w:ascii="Calibri" w:eastAsia="MS Gothic" w:hAnsi="Calibri" w:cs="Times New Roman"/>
          <w:bCs/>
          <w:iCs/>
          <w:sz w:val="20"/>
          <w:szCs w:val="20"/>
        </w:rPr>
      </w:pPr>
      <w:r w:rsidRPr="00BB7C07">
        <w:rPr>
          <w:rFonts w:ascii="Calibri" w:eastAsia="MS Gothic" w:hAnsi="Calibri" w:cs="Times New Roman"/>
          <w:bCs/>
          <w:iCs/>
          <w:sz w:val="20"/>
          <w:szCs w:val="20"/>
        </w:rPr>
        <w:t xml:space="preserve">Source: PBS Item History file accessed </w:t>
      </w:r>
      <w:r>
        <w:rPr>
          <w:rFonts w:ascii="Calibri" w:eastAsia="MS Gothic" w:hAnsi="Calibri" w:cs="Times New Roman"/>
          <w:bCs/>
          <w:iCs/>
          <w:sz w:val="20"/>
          <w:szCs w:val="20"/>
        </w:rPr>
        <w:t>14/4/2014</w:t>
      </w:r>
      <w:r w:rsidRPr="00BB7C07">
        <w:rPr>
          <w:rFonts w:ascii="Calibri" w:eastAsia="MS Gothic" w:hAnsi="Calibri" w:cs="Times New Roman"/>
          <w:bCs/>
          <w:iCs/>
          <w:sz w:val="20"/>
          <w:szCs w:val="20"/>
        </w:rPr>
        <w:t xml:space="preserve"> </w:t>
      </w:r>
    </w:p>
    <w:p w14:paraId="0E02C570" w14:textId="77777777" w:rsidR="005539EB" w:rsidRDefault="000D06D7" w:rsidP="005539EB">
      <w:pPr>
        <w:spacing w:after="20"/>
        <w:rPr>
          <w:sz w:val="20"/>
          <w:szCs w:val="20"/>
        </w:rPr>
      </w:pPr>
      <w:r w:rsidRPr="009721A8">
        <w:rPr>
          <w:sz w:val="20"/>
          <w:szCs w:val="20"/>
        </w:rPr>
        <w:t>*Note: Special Pricing Arrangements apply</w:t>
      </w:r>
      <w:r w:rsidR="00A8563E" w:rsidRPr="009721A8">
        <w:rPr>
          <w:sz w:val="20"/>
          <w:szCs w:val="20"/>
        </w:rPr>
        <w:t>, indicating that the price listed does not necessarily reflect the price paid by the Government</w:t>
      </w:r>
    </w:p>
    <w:p w14:paraId="6A2A44B2" w14:textId="1B5D1BED" w:rsidR="000D06D7" w:rsidRPr="009721A8" w:rsidRDefault="000D06D7" w:rsidP="009721A8">
      <w:pPr>
        <w:rPr>
          <w:sz w:val="20"/>
          <w:szCs w:val="20"/>
        </w:rPr>
      </w:pPr>
      <w:r w:rsidRPr="009721A8">
        <w:rPr>
          <w:sz w:val="20"/>
          <w:szCs w:val="20"/>
        </w:rPr>
        <w:t>Abbreviations: DPMQ = dispensed price for maximum quantity</w:t>
      </w:r>
    </w:p>
    <w:p w14:paraId="1AFA1485" w14:textId="129447A8" w:rsidR="004C3186" w:rsidRDefault="004C3186" w:rsidP="00A35800">
      <w:pPr>
        <w:pStyle w:val="Heading4"/>
      </w:pPr>
      <w:r>
        <w:t>Restriction</w:t>
      </w:r>
    </w:p>
    <w:p w14:paraId="538083DD" w14:textId="364015E5" w:rsidR="000D06D7" w:rsidRDefault="005351EB" w:rsidP="000D06D7">
      <w:r>
        <w:t>P</w:t>
      </w:r>
      <w:r w:rsidR="00587461">
        <w:t xml:space="preserve">azopanib and sunitinib </w:t>
      </w:r>
      <w:r>
        <w:t>a</w:t>
      </w:r>
      <w:r w:rsidR="00587461">
        <w:t xml:space="preserve">re listed as Authority Required items, with </w:t>
      </w:r>
      <w:r w:rsidR="000D06D7">
        <w:t>PBS</w:t>
      </w:r>
      <w:r w:rsidR="00587461">
        <w:t>-</w:t>
      </w:r>
      <w:r w:rsidR="000D06D7">
        <w:t xml:space="preserve">subsidised treatment limited to </w:t>
      </w:r>
      <w:r w:rsidR="00587461">
        <w:t xml:space="preserve">patients with </w:t>
      </w:r>
      <w:r w:rsidR="000D06D7">
        <w:t xml:space="preserve">Stage IV, clear cell variant </w:t>
      </w:r>
      <w:r w:rsidR="00587461">
        <w:t>RCC</w:t>
      </w:r>
      <w:r w:rsidR="000D06D7">
        <w:t xml:space="preserve">. </w:t>
      </w:r>
      <w:r w:rsidR="00587461">
        <w:t xml:space="preserve">To be eligible for </w:t>
      </w:r>
      <w:r w:rsidR="00587461">
        <w:lastRenderedPageBreak/>
        <w:t>treatment, patients must</w:t>
      </w:r>
      <w:r w:rsidR="000D06D7">
        <w:t xml:space="preserve"> </w:t>
      </w:r>
      <w:r>
        <w:t>meet</w:t>
      </w:r>
      <w:r w:rsidR="000D06D7">
        <w:t xml:space="preserve"> the Memorial Sloan Kettering Cancer Centre (MSKCC) low to intermediate risk group criteria and have a W</w:t>
      </w:r>
      <w:r w:rsidR="00B12ABF">
        <w:t>orld Health Organization (W</w:t>
      </w:r>
      <w:r w:rsidR="000D06D7">
        <w:t>HO</w:t>
      </w:r>
      <w:r w:rsidR="00B12ABF">
        <w:t>)</w:t>
      </w:r>
      <w:r w:rsidR="000D06D7">
        <w:t xml:space="preserve"> performance status of 2 or less. Patients </w:t>
      </w:r>
      <w:r>
        <w:t>a</w:t>
      </w:r>
      <w:r w:rsidR="00B12ABF">
        <w:t xml:space="preserve">re eligible to </w:t>
      </w:r>
      <w:r w:rsidR="000D06D7">
        <w:t>continue on treatment if they ha</w:t>
      </w:r>
      <w:r w:rsidR="00897A45">
        <w:t>ve</w:t>
      </w:r>
      <w:r w:rsidR="000D06D7">
        <w:t xml:space="preserve"> stable or responding disease </w:t>
      </w:r>
      <w:r w:rsidR="00B12ABF">
        <w:t xml:space="preserve">(as defined </w:t>
      </w:r>
      <w:r w:rsidR="000D06D7">
        <w:t xml:space="preserve">according to the </w:t>
      </w:r>
      <w:r w:rsidR="00E74228" w:rsidRPr="00E74228">
        <w:t>Response Evaluation Criteria In Solid Tumours</w:t>
      </w:r>
      <w:r w:rsidR="00E74228">
        <w:t xml:space="preserve"> (</w:t>
      </w:r>
      <w:r w:rsidR="000D06D7">
        <w:t>RECIST</w:t>
      </w:r>
      <w:r w:rsidR="00E74228">
        <w:t>)</w:t>
      </w:r>
      <w:r w:rsidR="00B12ABF">
        <w:t>)</w:t>
      </w:r>
      <w:r w:rsidR="000D06D7">
        <w:t>. Patients who ha</w:t>
      </w:r>
      <w:r>
        <w:t>ve</w:t>
      </w:r>
      <w:r w:rsidR="000D06D7">
        <w:t xml:space="preserve"> progressive disease </w:t>
      </w:r>
      <w:r>
        <w:t>a</w:t>
      </w:r>
      <w:r w:rsidR="000D06D7">
        <w:t>re not eligible for ongoing PBS</w:t>
      </w:r>
      <w:r w:rsidR="00B12ABF">
        <w:t>-</w:t>
      </w:r>
      <w:r w:rsidR="000D06D7">
        <w:t>subsidised treatment. Sunitinib and pazopanib c</w:t>
      </w:r>
      <w:r>
        <w:t>annot</w:t>
      </w:r>
      <w:r w:rsidR="000D06D7">
        <w:t xml:space="preserve"> be used together. Patients </w:t>
      </w:r>
      <w:r>
        <w:t>are allowed to</w:t>
      </w:r>
      <w:r w:rsidR="000D06D7">
        <w:t xml:space="preserve"> switch from one</w:t>
      </w:r>
      <w:r>
        <w:t xml:space="preserve"> medicine to the other if they develo</w:t>
      </w:r>
      <w:r w:rsidR="00173840">
        <w:t>p</w:t>
      </w:r>
      <w:r w:rsidR="000D06D7">
        <w:t xml:space="preserve"> intolerance of a severity necessitating permanent treatment withdrawal.</w:t>
      </w:r>
    </w:p>
    <w:p w14:paraId="509ADFEB" w14:textId="5D8DB94B" w:rsidR="009C35F2" w:rsidRPr="00675BB1" w:rsidRDefault="009C35F2" w:rsidP="00A35800">
      <w:pPr>
        <w:pStyle w:val="Heading4"/>
      </w:pPr>
      <w:r w:rsidRPr="00675BB1">
        <w:t>Date of listing on PBS</w:t>
      </w:r>
    </w:p>
    <w:p w14:paraId="3B50BCE6" w14:textId="39BA4F63" w:rsidR="00A8563E" w:rsidRDefault="000D06D7" w:rsidP="00A35800">
      <w:r>
        <w:t xml:space="preserve">Sunitinib and pazopanib were PBS-listed for RCC on 1 May 2009 and 1 October 2012, respectively. </w:t>
      </w:r>
      <w:r w:rsidR="00A8563E" w:rsidRPr="00A8563E">
        <w:t>The current PBS listings (restrictions and item codes) for RCC indications for s</w:t>
      </w:r>
      <w:r w:rsidR="00A8563E">
        <w:t>unitinib and pazopanib are available from</w:t>
      </w:r>
      <w:r w:rsidR="00F6664F">
        <w:t xml:space="preserve"> </w:t>
      </w:r>
      <w:hyperlink r:id="rId11" w:history="1">
        <w:r w:rsidR="00AA0693">
          <w:rPr>
            <w:rStyle w:val="Hyperlink"/>
          </w:rPr>
          <w:t>the PBS website</w:t>
        </w:r>
      </w:hyperlink>
      <w:r w:rsidR="00A8563E">
        <w:t>.</w:t>
      </w:r>
    </w:p>
    <w:p w14:paraId="383E312E" w14:textId="391486DA" w:rsidR="00736041" w:rsidRPr="005E22C2" w:rsidRDefault="00C41246" w:rsidP="00FE645A">
      <w:pPr>
        <w:pStyle w:val="Heading3"/>
      </w:pPr>
      <w:r w:rsidRPr="005E22C2">
        <w:t xml:space="preserve">Relevant aspects of </w:t>
      </w:r>
      <w:r w:rsidR="0063021F">
        <w:t xml:space="preserve">the PBAC </w:t>
      </w:r>
      <w:r w:rsidR="00736041" w:rsidRPr="005E22C2">
        <w:t>consideration</w:t>
      </w:r>
    </w:p>
    <w:p w14:paraId="3B7AA96A" w14:textId="77777777" w:rsidR="00E1755E" w:rsidRDefault="00E1755E" w:rsidP="00E1755E">
      <w:r>
        <w:t xml:space="preserve">The Pharmaceutical Benefits Advisory Committee (PBAC) consider the effectiveness, safety and cost-effectiveness of medicines prior to their listing on the PBS. When considering sunitinib at its July 2008 meeting, the committee decided that the medicine had acceptable but high cost-effectiveness compared with best supportive care at the price proposed. The high cost-effectiveness ratio was considered acceptable due to the high clinical need for treatment in patients with advanced RCC and due to the lack of an effective alternative treatment.  </w:t>
      </w:r>
    </w:p>
    <w:p w14:paraId="6BC21967" w14:textId="65C734D8" w:rsidR="00E1755E" w:rsidRDefault="00E1755E" w:rsidP="00E1755E">
      <w:r>
        <w:t>The PBAC had previously considered sunitinib for renal cell carcinoma at its March 2007 and March 2008 meetings where it did not recommend listing.  For details refer to the Public Summary Documents (links below).</w:t>
      </w:r>
    </w:p>
    <w:p w14:paraId="105572B7" w14:textId="2C5CB742" w:rsidR="00E1755E" w:rsidRDefault="00E1755E" w:rsidP="00E1755E">
      <w:r>
        <w:t>In March 2012, when considering pazopanib for listing, the committee decided that the medicine was not inferior to sunitinib in terms of effectiveness in this patient population and that it had a different safety profile. While listing was recommended on a cost-minimisation basis compared to sunitinib, pazopanib was liste</w:t>
      </w:r>
      <w:r w:rsidR="00D03810">
        <w:t xml:space="preserve">d at a lower price per outcome.  </w:t>
      </w:r>
      <w:r w:rsidR="00A61960" w:rsidRPr="00A61960">
        <w:t xml:space="preserve">In making this recommendation, the PBAC recalled that it had accepted that its consideration of sunitinib in RCC was influenced by the fact that no effective alternative treatments were available </w:t>
      </w:r>
      <w:r w:rsidR="00701258">
        <w:t xml:space="preserve">for patients with this disease.  </w:t>
      </w:r>
      <w:r w:rsidR="00A61960" w:rsidRPr="00A61960">
        <w:t>This had the effect of accepting a higher incremental cost effectiveness ratio (ICER) and thus a higher price for sunitinib than would have been the case had there been ef</w:t>
      </w:r>
      <w:r w:rsidR="00B10561">
        <w:t xml:space="preserve">fective alternative treatments.  </w:t>
      </w:r>
      <w:r w:rsidR="00A61960" w:rsidRPr="00A61960">
        <w:t>The PBAC noted that this factor, whi</w:t>
      </w:r>
      <w:r w:rsidR="00B10561">
        <w:t xml:space="preserve">ch was relevant for sunitinib, </w:t>
      </w:r>
      <w:r w:rsidR="00A61960" w:rsidRPr="00A61960">
        <w:t>was not relevant for pazopanib because, by definition, sunitinib constitutes an effective alternative treatment for RCC patients.</w:t>
      </w:r>
    </w:p>
    <w:p w14:paraId="18411916" w14:textId="391E9858" w:rsidR="00E1755E" w:rsidRDefault="00E1755E" w:rsidP="00E1755E">
      <w:r>
        <w:t>The PBAC had previously considered pazopanib for renal cell carcinoma at its July 2010 meeting where it did not recommend listing.  For details refer to the Public Summary Documents (links below).</w:t>
      </w:r>
    </w:p>
    <w:p w14:paraId="2CFA0EFE" w14:textId="0A21F7B1" w:rsidR="008844B8" w:rsidRPr="008844B8" w:rsidRDefault="008844B8" w:rsidP="009721A8">
      <w:r w:rsidRPr="008844B8">
        <w:t xml:space="preserve">Public summary documents for the PBAC considerations can be found on </w:t>
      </w:r>
      <w:r w:rsidR="00897A45">
        <w:t xml:space="preserve">the </w:t>
      </w:r>
      <w:hyperlink r:id="rId12" w:history="1">
        <w:r w:rsidR="007015DF">
          <w:rPr>
            <w:rStyle w:val="Hyperlink"/>
            <w:b/>
          </w:rPr>
          <w:t>website for the Pharmaceutical Benefits Scheme</w:t>
        </w:r>
      </w:hyperlink>
      <w:r>
        <w:t xml:space="preserve">. </w:t>
      </w:r>
      <w:r w:rsidR="004A7DCE">
        <w:t>T</w:t>
      </w:r>
      <w:r>
        <w:t>o access the</w:t>
      </w:r>
      <w:r w:rsidR="004A7DCE">
        <w:t>se documents, click on the links below:</w:t>
      </w:r>
    </w:p>
    <w:p w14:paraId="1D919DEE" w14:textId="38D60450" w:rsidR="008844B8" w:rsidRDefault="00E5660F" w:rsidP="009721A8">
      <w:hyperlink r:id="rId13" w:history="1">
        <w:r w:rsidR="00D74775">
          <w:rPr>
            <w:rStyle w:val="Hyperlink"/>
            <w:b/>
          </w:rPr>
          <w:t>Sunitinib public summary document, PBAC July 2008</w:t>
        </w:r>
      </w:hyperlink>
      <w:r w:rsidR="002E3A92">
        <w:rPr>
          <w:rStyle w:val="Hyperlink"/>
          <w:b/>
        </w:rPr>
        <w:t>.</w:t>
      </w:r>
    </w:p>
    <w:p w14:paraId="04665B85" w14:textId="5BECA509" w:rsidR="008844B8" w:rsidRDefault="00E5660F" w:rsidP="009721A8">
      <w:hyperlink r:id="rId14" w:history="1">
        <w:r w:rsidR="00D74775">
          <w:rPr>
            <w:rStyle w:val="Hyperlink"/>
            <w:b/>
          </w:rPr>
          <w:t>Pazopanib public summary document, PBAC March 2012.</w:t>
        </w:r>
      </w:hyperlink>
    </w:p>
    <w:p w14:paraId="72C2CA24" w14:textId="65D1AB65" w:rsidR="000F2F51" w:rsidRDefault="00ED633B" w:rsidP="008844B8">
      <w:pPr>
        <w:pStyle w:val="Heading3"/>
      </w:pPr>
      <w:r>
        <w:t>A</w:t>
      </w:r>
      <w:r w:rsidR="000F2F51">
        <w:t xml:space="preserve">pproach </w:t>
      </w:r>
      <w:r>
        <w:t xml:space="preserve">taken to </w:t>
      </w:r>
      <w:r w:rsidR="000F2F51">
        <w:t>estimat</w:t>
      </w:r>
      <w:r>
        <w:t>e</w:t>
      </w:r>
      <w:r w:rsidR="000F2F51">
        <w:t xml:space="preserve"> utilisation</w:t>
      </w:r>
    </w:p>
    <w:p w14:paraId="45D429CD" w14:textId="77777777" w:rsidR="004D4B13" w:rsidRDefault="004D4B13" w:rsidP="006C1002">
      <w:r w:rsidRPr="004D4B13">
        <w:t xml:space="preserve">In the PBAC submission for sunitinib, an epidemiological approach was used to estimate the number of patients in Australia with stage IV, unresectable, clear cell RCC. Assumptions were made regarding the expected uptake rate, number of prescriptions per patient per year, and the likely number of dose reductions and withdrawals from treatment with reference to clinical trial data and data from the pharmaceutical sponsor’s patient access program. </w:t>
      </w:r>
    </w:p>
    <w:p w14:paraId="5A58AC58" w14:textId="73189AEB" w:rsidR="006C003B" w:rsidRDefault="00C64137" w:rsidP="006C1002">
      <w:r>
        <w:t>For pazopanib, a</w:t>
      </w:r>
      <w:r w:rsidR="006C003B">
        <w:t xml:space="preserve"> market share approach was </w:t>
      </w:r>
      <w:r>
        <w:t>used to estimate the</w:t>
      </w:r>
      <w:r w:rsidR="006C003B">
        <w:t xml:space="preserve"> </w:t>
      </w:r>
      <w:r>
        <w:t>number of packs likely to be dispensed on the PBS each year</w:t>
      </w:r>
      <w:r w:rsidR="006C003B">
        <w:t>.</w:t>
      </w:r>
      <w:r>
        <w:t xml:space="preserve"> </w:t>
      </w:r>
      <w:r w:rsidR="00230495">
        <w:t>The submission assumed that the market would</w:t>
      </w:r>
      <w:r w:rsidR="00C43865">
        <w:t xml:space="preserve"> continue its existing growth rate</w:t>
      </w:r>
      <w:r w:rsidR="00230495">
        <w:t xml:space="preserve"> and that uptake of pazopanib while initially </w:t>
      </w:r>
      <w:r w:rsidR="003917F1">
        <w:t>low</w:t>
      </w:r>
      <w:r w:rsidR="00230495">
        <w:t xml:space="preserve"> would increase </w:t>
      </w:r>
      <w:r w:rsidR="000370E5">
        <w:t xml:space="preserve">over the first five years </w:t>
      </w:r>
      <w:r w:rsidR="00230495">
        <w:t>of listing.</w:t>
      </w:r>
    </w:p>
    <w:p w14:paraId="0312FFEC" w14:textId="5C6A9662" w:rsidR="00E677DD" w:rsidRPr="005E22C2" w:rsidRDefault="00E677DD" w:rsidP="00A35800">
      <w:pPr>
        <w:pStyle w:val="Heading2"/>
      </w:pPr>
      <w:r w:rsidRPr="005E22C2">
        <w:t>Method</w:t>
      </w:r>
      <w:r w:rsidR="001B5D37" w:rsidRPr="005E22C2">
        <w:t>s</w:t>
      </w:r>
    </w:p>
    <w:p w14:paraId="0FA98676" w14:textId="77777777" w:rsidR="00731748" w:rsidRDefault="00731748" w:rsidP="009721A8">
      <w:r>
        <w:t xml:space="preserve">The utilisation of pazopanib and sunitinib for RCC was determined by extracting data on the number of </w:t>
      </w:r>
      <w:r w:rsidRPr="00731748">
        <w:t>PBS/RPBS prescription</w:t>
      </w:r>
      <w:r>
        <w:t>s</w:t>
      </w:r>
      <w:r w:rsidRPr="00731748">
        <w:t xml:space="preserve"> and</w:t>
      </w:r>
      <w:r>
        <w:t xml:space="preserve"> the</w:t>
      </w:r>
      <w:r w:rsidRPr="00731748">
        <w:t xml:space="preserve"> benefits paid from the Department of Human Services (DHS) PBS prescription database for the period May 2009 to September 2013 inclusive. </w:t>
      </w:r>
      <w:r>
        <w:t xml:space="preserve">The analysis was based on the </w:t>
      </w:r>
      <w:r w:rsidRPr="00731748">
        <w:t xml:space="preserve">date the prescription was supplied to the patient. </w:t>
      </w:r>
    </w:p>
    <w:p w14:paraId="4820792D" w14:textId="768ED92E" w:rsidR="00731748" w:rsidRPr="00731748" w:rsidRDefault="00731748" w:rsidP="009721A8">
      <w:r>
        <w:t xml:space="preserve">The analysis also looked at the </w:t>
      </w:r>
      <w:r w:rsidRPr="00731748">
        <w:t>number of patients treated</w:t>
      </w:r>
      <w:r>
        <w:t xml:space="preserve">. This </w:t>
      </w:r>
      <w:r w:rsidRPr="00731748">
        <w:t>was determined by counting the number of individual de-identified personal identification numbers in the time period. New (initiating) patients were defined as those w</w:t>
      </w:r>
      <w:r>
        <w:t>ho had</w:t>
      </w:r>
      <w:r w:rsidRPr="00731748">
        <w:t xml:space="preserve"> no</w:t>
      </w:r>
      <w:r>
        <w:t>t had a</w:t>
      </w:r>
      <w:r w:rsidRPr="00731748">
        <w:t xml:space="preserve"> prior PBS or RPBS prescription of the</w:t>
      </w:r>
      <w:r>
        <w:t xml:space="preserve"> drug or drug group of interest</w:t>
      </w:r>
      <w:r w:rsidR="00265E3F">
        <w:t>.</w:t>
      </w:r>
      <w:r>
        <w:t xml:space="preserve"> </w:t>
      </w:r>
    </w:p>
    <w:p w14:paraId="4F91A98A" w14:textId="1536C05F" w:rsidR="00C714D0" w:rsidRPr="005E22C2" w:rsidRDefault="00C714D0" w:rsidP="00731748">
      <w:pPr>
        <w:pStyle w:val="Heading2"/>
      </w:pPr>
      <w:r w:rsidRPr="005E22C2">
        <w:t>Results</w:t>
      </w:r>
    </w:p>
    <w:p w14:paraId="2221FF19" w14:textId="336CE8B2" w:rsidR="00736041" w:rsidRPr="005E22C2" w:rsidRDefault="001B5D37" w:rsidP="00FE645A">
      <w:pPr>
        <w:pStyle w:val="Heading3"/>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35E50016" w:rsidR="006A44F5" w:rsidRPr="005E22C2" w:rsidRDefault="00736041" w:rsidP="00A35800">
      <w:pPr>
        <w:pStyle w:val="Heading4"/>
      </w:pPr>
      <w:r w:rsidRPr="005E22C2">
        <w:t>Overall utilisation</w:t>
      </w:r>
    </w:p>
    <w:p w14:paraId="317FE1B9" w14:textId="7E139E85" w:rsidR="00C41673" w:rsidRDefault="00743A28" w:rsidP="00C41673">
      <w:r>
        <w:t xml:space="preserve">The number of initiating and prevalent patients treated with a therapy for RCC is illustrated in Figure 1. The figure shows that </w:t>
      </w:r>
      <w:r w:rsidR="000862A9">
        <w:t>a</w:t>
      </w:r>
      <w:r w:rsidR="000862A9" w:rsidRPr="000862A9">
        <w:t>pproximately 500 new patients star</w:t>
      </w:r>
      <w:r w:rsidR="000862A9">
        <w:t>t</w:t>
      </w:r>
      <w:r w:rsidR="000862A9" w:rsidRPr="000862A9">
        <w:t xml:space="preserve"> treatment </w:t>
      </w:r>
      <w:r w:rsidR="000862A9">
        <w:t xml:space="preserve">for RCC </w:t>
      </w:r>
      <w:r w:rsidR="000862A9" w:rsidRPr="000862A9">
        <w:t xml:space="preserve">with </w:t>
      </w:r>
      <w:r w:rsidR="000862A9">
        <w:t xml:space="preserve">either pazopanib or sunitinib each year. </w:t>
      </w:r>
      <w:r w:rsidR="00C41673">
        <w:t>In the 12-month period following the PBS listing of pazopanib, t</w:t>
      </w:r>
      <w:r w:rsidR="000862A9" w:rsidRPr="000862A9">
        <w:t>he number of new patients gr</w:t>
      </w:r>
      <w:r w:rsidR="00C41673">
        <w:t>ew by 11.0 %: th</w:t>
      </w:r>
      <w:r w:rsidR="000862A9">
        <w:t xml:space="preserve">ere were </w:t>
      </w:r>
      <w:r w:rsidR="000862A9" w:rsidRPr="000862A9">
        <w:t xml:space="preserve">533 </w:t>
      </w:r>
      <w:r w:rsidR="000862A9">
        <w:t xml:space="preserve">new </w:t>
      </w:r>
      <w:r w:rsidR="000862A9" w:rsidRPr="000862A9">
        <w:t>patients</w:t>
      </w:r>
      <w:r w:rsidR="000862A9">
        <w:t xml:space="preserve"> in this period </w:t>
      </w:r>
      <w:r w:rsidR="000862A9" w:rsidRPr="000862A9">
        <w:t xml:space="preserve">compared </w:t>
      </w:r>
      <w:r w:rsidR="000862A9">
        <w:t>to 480 patients in the 1</w:t>
      </w:r>
      <w:r w:rsidR="000862A9" w:rsidRPr="000862A9">
        <w:t>2</w:t>
      </w:r>
      <w:r w:rsidR="000862A9">
        <w:t>-month period prior to listing. Prior to this time, the number of new patients initiating treatment each year remained fairly steady.</w:t>
      </w:r>
      <w:r w:rsidR="00C65217">
        <w:t xml:space="preserve"> </w:t>
      </w:r>
      <w:r w:rsidR="000862A9" w:rsidRPr="000862A9">
        <w:t>The average number of prevalent patients per quarter increased by 16.7 % in the 12</w:t>
      </w:r>
      <w:r w:rsidR="000862A9">
        <w:t>-</w:t>
      </w:r>
      <w:r w:rsidR="000862A9" w:rsidRPr="000862A9">
        <w:t>month</w:t>
      </w:r>
      <w:r w:rsidR="000862A9">
        <w:t xml:space="preserve"> period following</w:t>
      </w:r>
      <w:r w:rsidR="000862A9" w:rsidRPr="000862A9">
        <w:t xml:space="preserve"> pazopanib listing (700 patients) compared with </w:t>
      </w:r>
      <w:r w:rsidR="000862A9">
        <w:t>the 12-</w:t>
      </w:r>
      <w:r w:rsidR="000862A9" w:rsidRPr="000862A9">
        <w:t>month</w:t>
      </w:r>
      <w:r w:rsidR="000862A9">
        <w:t xml:space="preserve"> period</w:t>
      </w:r>
      <w:r w:rsidR="000862A9" w:rsidRPr="000862A9">
        <w:t xml:space="preserve"> prior to listing (600 patients).</w:t>
      </w:r>
    </w:p>
    <w:p w14:paraId="0F1B5D28" w14:textId="120344F6" w:rsidR="000862A9" w:rsidRDefault="000862A9" w:rsidP="00C41673">
      <w:pPr>
        <w:rPr>
          <w:highlight w:val="green"/>
        </w:rPr>
      </w:pPr>
      <w:r w:rsidRPr="003029E3">
        <w:rPr>
          <w:noProof/>
        </w:rPr>
        <w:lastRenderedPageBreak/>
        <w:drawing>
          <wp:inline distT="0" distB="0" distL="0" distR="0" wp14:anchorId="2CFE06A8" wp14:editId="4A26B13A">
            <wp:extent cx="5687695" cy="3028158"/>
            <wp:effectExtent l="0" t="0" r="8255" b="1270"/>
            <wp:docPr id="1" name="Picture 1" descr="Patients initiating and prevalent to treatment with pazopanib or sunitinib."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8077"/>
                    <a:stretch/>
                  </pic:blipFill>
                  <pic:spPr bwMode="auto">
                    <a:xfrm>
                      <a:off x="0" y="0"/>
                      <a:ext cx="5687695" cy="3028158"/>
                    </a:xfrm>
                    <a:prstGeom prst="rect">
                      <a:avLst/>
                    </a:prstGeom>
                    <a:noFill/>
                    <a:ln>
                      <a:noFill/>
                    </a:ln>
                    <a:extLst>
                      <a:ext uri="{53640926-AAD7-44D8-BBD7-CCE9431645EC}">
                        <a14:shadowObscured xmlns:a14="http://schemas.microsoft.com/office/drawing/2010/main"/>
                      </a:ext>
                    </a:extLst>
                  </pic:spPr>
                </pic:pic>
              </a:graphicData>
            </a:graphic>
          </wp:inline>
        </w:drawing>
      </w:r>
    </w:p>
    <w:p w14:paraId="29FA701D" w14:textId="1C3024F4" w:rsidR="000862A9" w:rsidRDefault="000862A9" w:rsidP="000862A9">
      <w:pPr>
        <w:rPr>
          <w:rFonts w:cs="Arial"/>
          <w:sz w:val="20"/>
          <w:szCs w:val="20"/>
        </w:rPr>
      </w:pPr>
      <w:r w:rsidRPr="004867AA">
        <w:rPr>
          <w:rStyle w:val="FigurecaptionChar"/>
          <w:b/>
        </w:rPr>
        <w:t>Figure 1: RCC patients – initiating and prevalent to treatment with pazopanib or sunitinib</w:t>
      </w:r>
      <w:r w:rsidRPr="004867AA">
        <w:rPr>
          <w:rStyle w:val="FigurecaptionChar"/>
          <w:b/>
        </w:rPr>
        <w:br/>
      </w:r>
      <w:r w:rsidRPr="000862A9">
        <w:rPr>
          <w:rFonts w:cs="Arial"/>
          <w:sz w:val="20"/>
          <w:szCs w:val="20"/>
        </w:rPr>
        <w:t>Note: Sunitinib and pazopanib were listed for RCC in May 2009 and Oct 2012 respectively.</w:t>
      </w:r>
      <w:r w:rsidRPr="000862A9">
        <w:rPr>
          <w:rFonts w:cs="Arial"/>
          <w:sz w:val="20"/>
          <w:szCs w:val="20"/>
        </w:rPr>
        <w:br/>
        <w:t>2009Q2 only contains 2 months of data as listing occurred in May 2009</w:t>
      </w:r>
    </w:p>
    <w:p w14:paraId="13E820CE" w14:textId="71CB7F36" w:rsidR="004867AA" w:rsidRDefault="00D134DB" w:rsidP="000862A9">
      <w:pPr>
        <w:rPr>
          <w:rFonts w:cs="Arial"/>
          <w:sz w:val="20"/>
          <w:szCs w:val="20"/>
        </w:rPr>
      </w:pPr>
      <w:r>
        <w:t xml:space="preserve">Figure 2 illustrates the number of initiating and prevalent patients </w:t>
      </w:r>
      <w:r w:rsidR="00BB4564">
        <w:t>supplied</w:t>
      </w:r>
      <w:r>
        <w:t xml:space="preserve"> with</w:t>
      </w:r>
      <w:r w:rsidR="00BB4564">
        <w:t xml:space="preserve"> </w:t>
      </w:r>
      <w:r>
        <w:t>either pazopanib or sunitinib</w:t>
      </w:r>
      <w:r w:rsidR="00265E3F">
        <w:t>. S</w:t>
      </w:r>
      <w:r w:rsidR="004867AA" w:rsidRPr="004867AA">
        <w:t>ince the</w:t>
      </w:r>
      <w:r w:rsidR="00BB4564">
        <w:t xml:space="preserve"> PBS</w:t>
      </w:r>
      <w:r w:rsidR="004867AA" w:rsidRPr="004867AA">
        <w:t xml:space="preserve"> listing of pazopanib</w:t>
      </w:r>
      <w:r w:rsidR="00836237">
        <w:t xml:space="preserve">, </w:t>
      </w:r>
      <w:r w:rsidR="004867AA" w:rsidRPr="004867AA">
        <w:t xml:space="preserve">the number of prevalent </w:t>
      </w:r>
      <w:r w:rsidR="002C6C09">
        <w:t xml:space="preserve">patients supplied with </w:t>
      </w:r>
      <w:r w:rsidR="004867AA" w:rsidRPr="004867AA">
        <w:t>sunitinib has been decreasing</w:t>
      </w:r>
      <w:r w:rsidR="00836237">
        <w:t xml:space="preserve">. </w:t>
      </w:r>
      <w:r w:rsidR="002C6C09">
        <w:t>The n</w:t>
      </w:r>
      <w:r w:rsidR="00836237">
        <w:t>umber</w:t>
      </w:r>
      <w:r w:rsidR="002C6C09">
        <w:t xml:space="preserve"> of patients</w:t>
      </w:r>
      <w:r w:rsidR="00836237">
        <w:t xml:space="preserve"> dropped from just over 600 in quarter 3 2012 to just over 400 in quarter </w:t>
      </w:r>
      <w:r w:rsidR="00064022">
        <w:t>3</w:t>
      </w:r>
      <w:r w:rsidR="00836237">
        <w:t xml:space="preserve"> 2013. In the same period of time, the number of prevalent patients on pazopanib has </w:t>
      </w:r>
      <w:r w:rsidR="002C6C09">
        <w:t>s</w:t>
      </w:r>
      <w:r w:rsidR="00836237">
        <w:t>teadily increas</w:t>
      </w:r>
      <w:r w:rsidR="002C6C09">
        <w:t>ed</w:t>
      </w:r>
      <w:r w:rsidR="00836237">
        <w:t>. T</w:t>
      </w:r>
      <w:r w:rsidR="00265E3F">
        <w:t>his indicat</w:t>
      </w:r>
      <w:r w:rsidR="004867AA" w:rsidRPr="004867AA">
        <w:t xml:space="preserve">es </w:t>
      </w:r>
      <w:r w:rsidR="00265E3F">
        <w:t xml:space="preserve">that patients have </w:t>
      </w:r>
      <w:r w:rsidR="004867AA" w:rsidRPr="004867AA">
        <w:t>switch</w:t>
      </w:r>
      <w:r w:rsidR="00265E3F">
        <w:t xml:space="preserve">ed from sunitinib to </w:t>
      </w:r>
      <w:r w:rsidR="004867AA" w:rsidRPr="004867AA">
        <w:t>pazopanib.</w:t>
      </w:r>
    </w:p>
    <w:p w14:paraId="4B3F3250" w14:textId="6E2A9202" w:rsidR="004867AA" w:rsidRDefault="004867AA" w:rsidP="000862A9">
      <w:pPr>
        <w:rPr>
          <w:rFonts w:cs="Arial"/>
          <w:sz w:val="20"/>
          <w:szCs w:val="20"/>
        </w:rPr>
      </w:pPr>
      <w:r w:rsidRPr="003029E3">
        <w:rPr>
          <w:noProof/>
        </w:rPr>
        <w:drawing>
          <wp:inline distT="0" distB="0" distL="0" distR="0" wp14:anchorId="72304910" wp14:editId="627AFA6C">
            <wp:extent cx="5687695" cy="3134686"/>
            <wp:effectExtent l="0" t="0" r="8255" b="8890"/>
            <wp:docPr id="2" name="Picture 2" descr="Paitents initiating and prevalent to treatment with either pazopanib or sunitinib."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5192"/>
                    <a:stretch/>
                  </pic:blipFill>
                  <pic:spPr bwMode="auto">
                    <a:xfrm>
                      <a:off x="0" y="0"/>
                      <a:ext cx="5687695" cy="3134686"/>
                    </a:xfrm>
                    <a:prstGeom prst="rect">
                      <a:avLst/>
                    </a:prstGeom>
                    <a:noFill/>
                    <a:ln>
                      <a:noFill/>
                    </a:ln>
                    <a:extLst>
                      <a:ext uri="{53640926-AAD7-44D8-BBD7-CCE9431645EC}">
                        <a14:shadowObscured xmlns:a14="http://schemas.microsoft.com/office/drawing/2010/main"/>
                      </a:ext>
                    </a:extLst>
                  </pic:spPr>
                </pic:pic>
              </a:graphicData>
            </a:graphic>
          </wp:inline>
        </w:drawing>
      </w:r>
    </w:p>
    <w:p w14:paraId="4FC2EC7B" w14:textId="2E3F9557" w:rsidR="004867AA" w:rsidRDefault="004867AA" w:rsidP="004867AA">
      <w:pPr>
        <w:rPr>
          <w:rFonts w:cs="Arial"/>
          <w:sz w:val="20"/>
          <w:szCs w:val="20"/>
        </w:rPr>
      </w:pPr>
      <w:r w:rsidRPr="004867AA">
        <w:rPr>
          <w:b/>
          <w:sz w:val="20"/>
          <w:szCs w:val="20"/>
          <w:lang w:eastAsia="en-US"/>
        </w:rPr>
        <w:lastRenderedPageBreak/>
        <w:t xml:space="preserve">Figure </w:t>
      </w:r>
      <w:r>
        <w:rPr>
          <w:b/>
          <w:sz w:val="20"/>
          <w:szCs w:val="20"/>
          <w:lang w:eastAsia="en-US"/>
        </w:rPr>
        <w:t>2</w:t>
      </w:r>
      <w:r w:rsidRPr="004867AA">
        <w:rPr>
          <w:b/>
          <w:sz w:val="20"/>
          <w:szCs w:val="20"/>
          <w:lang w:eastAsia="en-US"/>
        </w:rPr>
        <w:t xml:space="preserve">: RCC patients – initiating and prevalent to treatment with </w:t>
      </w:r>
      <w:r>
        <w:rPr>
          <w:b/>
          <w:sz w:val="20"/>
          <w:szCs w:val="20"/>
          <w:lang w:eastAsia="en-US"/>
        </w:rPr>
        <w:t xml:space="preserve">either </w:t>
      </w:r>
      <w:r w:rsidRPr="004867AA">
        <w:rPr>
          <w:b/>
          <w:sz w:val="20"/>
          <w:szCs w:val="20"/>
          <w:lang w:eastAsia="en-US"/>
        </w:rPr>
        <w:t>pazopanib or sunitinib</w:t>
      </w:r>
      <w:r w:rsidRPr="004867AA">
        <w:rPr>
          <w:b/>
          <w:sz w:val="20"/>
          <w:szCs w:val="20"/>
          <w:lang w:eastAsia="en-US"/>
        </w:rPr>
        <w:br/>
      </w:r>
      <w:r w:rsidRPr="004867AA">
        <w:rPr>
          <w:rFonts w:cs="Arial"/>
          <w:sz w:val="20"/>
          <w:szCs w:val="20"/>
        </w:rPr>
        <w:t>Note: Sunitinib and pazopanib were listed for RCC in May 2009 and Oct 2012 respectively.</w:t>
      </w:r>
      <w:r w:rsidRPr="004867AA">
        <w:rPr>
          <w:rFonts w:cs="Arial"/>
          <w:sz w:val="20"/>
          <w:szCs w:val="20"/>
        </w:rPr>
        <w:br/>
        <w:t>2009Q2 only contains 2 months of data as listing occurred in May 2009</w:t>
      </w:r>
      <w:r w:rsidR="00076B85">
        <w:rPr>
          <w:rFonts w:cs="Arial"/>
          <w:sz w:val="20"/>
          <w:szCs w:val="20"/>
        </w:rPr>
        <w:t>.</w:t>
      </w:r>
    </w:p>
    <w:p w14:paraId="3D03B086" w14:textId="26DC1D60" w:rsidR="003B6440" w:rsidRPr="003B6440" w:rsidRDefault="003B6440" w:rsidP="003B6440">
      <w:r w:rsidRPr="003B6440">
        <w:t xml:space="preserve">The </w:t>
      </w:r>
      <w:r>
        <w:t xml:space="preserve">number of PBS/RPBS prescriptions of pazopanib and sunitinib supplied per </w:t>
      </w:r>
      <w:r w:rsidR="00CA0943">
        <w:t>quarter</w:t>
      </w:r>
      <w:r>
        <w:t xml:space="preserve"> is illustrated in Figure 3. The data shows that the number of prescriptions per year increased at a rate of</w:t>
      </w:r>
      <w:r w:rsidRPr="003B6440">
        <w:t xml:space="preserve"> 16.7% in the 12</w:t>
      </w:r>
      <w:r>
        <w:t>-</w:t>
      </w:r>
      <w:r w:rsidRPr="003B6440">
        <w:t>month</w:t>
      </w:r>
      <w:r>
        <w:t xml:space="preserve"> period following </w:t>
      </w:r>
      <w:r w:rsidR="006E1C85">
        <w:t xml:space="preserve">the PBS </w:t>
      </w:r>
      <w:r>
        <w:t>listing</w:t>
      </w:r>
      <w:r w:rsidR="006E1C85">
        <w:t xml:space="preserve"> of pazopanib</w:t>
      </w:r>
      <w:r w:rsidRPr="003B6440">
        <w:t>. However</w:t>
      </w:r>
      <w:r>
        <w:t>, since a sunitinib prescription is meant to last 1.4 times as long as a pazopanib prescription, after taking this factor into account, adjusted prescription</w:t>
      </w:r>
      <w:r w:rsidRPr="003B6440">
        <w:t xml:space="preserve"> growth </w:t>
      </w:r>
      <w:r w:rsidR="006E1C85">
        <w:t>rate wa</w:t>
      </w:r>
      <w:r>
        <w:t>s</w:t>
      </w:r>
      <w:r w:rsidRPr="003B6440">
        <w:t xml:space="preserve"> 6.6%. </w:t>
      </w:r>
      <w:r>
        <w:t xml:space="preserve"> </w:t>
      </w:r>
      <w:r w:rsidR="004E3CC1">
        <w:t>This was similar to the market growth rate estimated in the pazopanib submission.</w:t>
      </w:r>
      <w:r w:rsidR="009D055B">
        <w:t xml:space="preserve"> </w:t>
      </w:r>
      <w:r>
        <w:t xml:space="preserve">In the year prior to PBS listing, the prescription growth rate was 1.6%. </w:t>
      </w:r>
    </w:p>
    <w:p w14:paraId="740E26EF" w14:textId="77777777" w:rsidR="003B6440" w:rsidRPr="003B6440" w:rsidRDefault="003B6440" w:rsidP="003B6440">
      <w:pPr>
        <w:rPr>
          <w:rFonts w:ascii="Arial" w:hAnsi="Arial" w:cs="Arial"/>
          <w:b/>
          <w:sz w:val="20"/>
          <w:szCs w:val="20"/>
        </w:rPr>
      </w:pPr>
      <w:r w:rsidRPr="003B6440">
        <w:rPr>
          <w:noProof/>
        </w:rPr>
        <w:drawing>
          <wp:inline distT="0" distB="0" distL="0" distR="0" wp14:anchorId="29AE255B" wp14:editId="739A1E01">
            <wp:extent cx="6474447" cy="3752850"/>
            <wp:effectExtent l="0" t="0" r="3175" b="0"/>
            <wp:docPr id="3" name="Picture 3" descr="Prescriptions supplied for pazopanib, sunitinib and in total (that is pazopanib and sunitinib combined)."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10859"/>
                    <a:stretch/>
                  </pic:blipFill>
                  <pic:spPr bwMode="auto">
                    <a:xfrm>
                      <a:off x="0" y="0"/>
                      <a:ext cx="6479540" cy="3755802"/>
                    </a:xfrm>
                    <a:prstGeom prst="rect">
                      <a:avLst/>
                    </a:prstGeom>
                    <a:noFill/>
                    <a:ln>
                      <a:noFill/>
                    </a:ln>
                    <a:extLst>
                      <a:ext uri="{53640926-AAD7-44D8-BBD7-CCE9431645EC}">
                        <a14:shadowObscured xmlns:a14="http://schemas.microsoft.com/office/drawing/2010/main"/>
                      </a:ext>
                    </a:extLst>
                  </pic:spPr>
                </pic:pic>
              </a:graphicData>
            </a:graphic>
          </wp:inline>
        </w:drawing>
      </w:r>
    </w:p>
    <w:p w14:paraId="5DF889D2" w14:textId="18C7B6FC" w:rsidR="003B6440" w:rsidRPr="003B6440" w:rsidRDefault="003B6440" w:rsidP="003B6440">
      <w:pPr>
        <w:rPr>
          <w:u w:val="single"/>
        </w:rPr>
      </w:pPr>
      <w:r w:rsidRPr="003B6440">
        <w:rPr>
          <w:rFonts w:cs="Arial"/>
          <w:b/>
          <w:sz w:val="20"/>
          <w:szCs w:val="20"/>
        </w:rPr>
        <w:t xml:space="preserve">Figure 3: </w:t>
      </w:r>
      <w:r w:rsidR="004E3CC1">
        <w:rPr>
          <w:rFonts w:cs="Arial"/>
          <w:b/>
          <w:sz w:val="20"/>
          <w:szCs w:val="20"/>
        </w:rPr>
        <w:t>Prescriptions</w:t>
      </w:r>
      <w:r w:rsidRPr="003B6440">
        <w:rPr>
          <w:rFonts w:cs="Arial"/>
          <w:b/>
          <w:sz w:val="20"/>
          <w:szCs w:val="20"/>
        </w:rPr>
        <w:t xml:space="preserve"> supplied for RCC treatment</w:t>
      </w:r>
      <w:r w:rsidRPr="003B6440">
        <w:rPr>
          <w:rFonts w:cs="Arial"/>
          <w:b/>
          <w:sz w:val="20"/>
          <w:szCs w:val="20"/>
        </w:rPr>
        <w:br/>
      </w:r>
      <w:r w:rsidRPr="003B6440">
        <w:rPr>
          <w:rFonts w:cs="Arial"/>
          <w:sz w:val="20"/>
          <w:szCs w:val="20"/>
        </w:rPr>
        <w:t>Note: 2009 Q2 only contains 2 months of data as listing of sunitinib occurred in May 2009</w:t>
      </w:r>
    </w:p>
    <w:p w14:paraId="09F9D349" w14:textId="501C146B" w:rsidR="00736041" w:rsidRPr="005E22C2" w:rsidRDefault="00736041" w:rsidP="00A35800">
      <w:pPr>
        <w:pStyle w:val="Heading4"/>
      </w:pPr>
      <w:r w:rsidRPr="005E22C2">
        <w:t>Utilisation by relevant sub-populations/regions</w:t>
      </w:r>
      <w:r w:rsidR="005C2AE7">
        <w:t xml:space="preserve"> </w:t>
      </w:r>
      <w:r w:rsidR="001B5D37" w:rsidRPr="005E22C2">
        <w:t>or patient level analysis</w:t>
      </w:r>
    </w:p>
    <w:p w14:paraId="1020D145" w14:textId="5608F7FE" w:rsidR="00AC3ADD" w:rsidRPr="00947EAD" w:rsidRDefault="00AC3ADD" w:rsidP="008B1A9D">
      <w:pPr>
        <w:pStyle w:val="Heading5"/>
        <w:rPr>
          <w:u w:val="single"/>
        </w:rPr>
      </w:pPr>
      <w:r w:rsidRPr="00947EAD">
        <w:rPr>
          <w:u w:val="single"/>
        </w:rPr>
        <w:t>Age at initiation of therapy</w:t>
      </w:r>
    </w:p>
    <w:p w14:paraId="4DFA4731" w14:textId="7F7D6300" w:rsidR="00F771D6" w:rsidRPr="00F771D6" w:rsidRDefault="00841DEB" w:rsidP="009721A8">
      <w:r>
        <w:t>Patient age at initiation to therapy is shown in Figure 4. The figure illustrates that initiation to therapy is most common in the 60-64 year age group for both pazopanib and sunitinib.</w:t>
      </w:r>
    </w:p>
    <w:p w14:paraId="158A0A5B" w14:textId="7E69BB57" w:rsidR="00F771D6" w:rsidRPr="00F771D6" w:rsidRDefault="00841DEB" w:rsidP="00F771D6">
      <w:pPr>
        <w:pStyle w:val="Heading3"/>
        <w:rPr>
          <w:b w:val="0"/>
          <w:sz w:val="24"/>
          <w:szCs w:val="24"/>
        </w:rPr>
      </w:pPr>
      <w:r w:rsidRPr="00C07336">
        <w:rPr>
          <w:noProof/>
        </w:rPr>
        <w:lastRenderedPageBreak/>
        <w:drawing>
          <wp:inline distT="0" distB="0" distL="0" distR="0" wp14:anchorId="39450552" wp14:editId="732626BF">
            <wp:extent cx="5687695" cy="2982763"/>
            <wp:effectExtent l="0" t="0" r="8255" b="8255"/>
            <wp:docPr id="4" name="Picture 4" descr="Age of patients initiating pazopanib or sunitinib."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9307"/>
                    <a:stretch/>
                  </pic:blipFill>
                  <pic:spPr bwMode="auto">
                    <a:xfrm>
                      <a:off x="0" y="0"/>
                      <a:ext cx="5687695" cy="2982763"/>
                    </a:xfrm>
                    <a:prstGeom prst="rect">
                      <a:avLst/>
                    </a:prstGeom>
                    <a:noFill/>
                    <a:ln>
                      <a:noFill/>
                    </a:ln>
                    <a:extLst>
                      <a:ext uri="{53640926-AAD7-44D8-BBD7-CCE9431645EC}">
                        <a14:shadowObscured xmlns:a14="http://schemas.microsoft.com/office/drawing/2010/main"/>
                      </a:ext>
                    </a:extLst>
                  </pic:spPr>
                </pic:pic>
              </a:graphicData>
            </a:graphic>
          </wp:inline>
        </w:drawing>
      </w:r>
    </w:p>
    <w:p w14:paraId="6C96945F" w14:textId="56B89224" w:rsidR="00841DEB" w:rsidRDefault="00841DEB" w:rsidP="00F20CF3">
      <w:pPr>
        <w:rPr>
          <w:rFonts w:cs="Arial"/>
          <w:sz w:val="20"/>
          <w:szCs w:val="20"/>
        </w:rPr>
      </w:pPr>
      <w:r w:rsidRPr="00841DEB">
        <w:rPr>
          <w:rFonts w:cs="Arial"/>
          <w:b/>
          <w:sz w:val="20"/>
          <w:szCs w:val="20"/>
        </w:rPr>
        <w:t>Figure 4: Age distribution (%) of initiators to drug</w:t>
      </w:r>
      <w:r w:rsidRPr="00841DEB">
        <w:rPr>
          <w:rFonts w:cs="Arial"/>
          <w:b/>
          <w:sz w:val="20"/>
          <w:szCs w:val="20"/>
        </w:rPr>
        <w:br/>
      </w:r>
      <w:r w:rsidRPr="00841DEB">
        <w:rPr>
          <w:rFonts w:cs="Arial"/>
          <w:sz w:val="20"/>
          <w:szCs w:val="20"/>
        </w:rPr>
        <w:t>Note: Initiations from May 2009 to Sept 2013</w:t>
      </w:r>
    </w:p>
    <w:p w14:paraId="58D96BC7" w14:textId="68FE5DBA" w:rsidR="00AC3ADD" w:rsidRPr="00947EAD" w:rsidRDefault="00AC3ADD" w:rsidP="00947EAD">
      <w:pPr>
        <w:rPr>
          <w:u w:val="single"/>
        </w:rPr>
      </w:pPr>
      <w:r w:rsidRPr="00947EAD">
        <w:rPr>
          <w:u w:val="single"/>
        </w:rPr>
        <w:t>Utilisation of pazopanib by prior therapy</w:t>
      </w:r>
    </w:p>
    <w:p w14:paraId="40B0F9EB" w14:textId="5742CE4A" w:rsidR="00AC3ADD" w:rsidRDefault="004E3CC1" w:rsidP="00AC3ADD">
      <w:pPr>
        <w:rPr>
          <w:rFonts w:cs="Arial"/>
        </w:rPr>
      </w:pPr>
      <w:r>
        <w:rPr>
          <w:rFonts w:cs="Arial"/>
        </w:rPr>
        <w:t xml:space="preserve">Utilisation of pazopanib by prior therapy is illustrated in Figure 5. </w:t>
      </w:r>
      <w:r w:rsidR="00AC3ADD">
        <w:rPr>
          <w:rFonts w:cs="Arial"/>
        </w:rPr>
        <w:t xml:space="preserve">Over half (55.1%) of RCC treatment initiators who started therapy on pazopanib had not been treated with sunitinib in the 12-month period immediately following the PBS listing of pazopanib. </w:t>
      </w:r>
    </w:p>
    <w:p w14:paraId="509D3394" w14:textId="60708CE1" w:rsidR="00AC3ADD" w:rsidRDefault="00AC3ADD" w:rsidP="00AC3ADD">
      <w:pPr>
        <w:rPr>
          <w:rFonts w:cs="Arial"/>
        </w:rPr>
      </w:pPr>
      <w:r>
        <w:rPr>
          <w:rFonts w:cs="Arial"/>
        </w:rPr>
        <w:t xml:space="preserve">In the first quarter following the PBS listing of pazopanib, use was </w:t>
      </w:r>
      <w:r w:rsidRPr="00AC3ADD">
        <w:rPr>
          <w:rFonts w:cs="Arial"/>
        </w:rPr>
        <w:t>initially spread almost equally between initiators who had previous</w:t>
      </w:r>
      <w:r>
        <w:rPr>
          <w:rFonts w:cs="Arial"/>
        </w:rPr>
        <w:t>ly received</w:t>
      </w:r>
      <w:r w:rsidRPr="00AC3ADD">
        <w:rPr>
          <w:rFonts w:cs="Arial"/>
        </w:rPr>
        <w:t xml:space="preserve"> sunitinib treatment and those who had not. After this the majority of initiators were naïve to PBS drug treatment for RCC.</w:t>
      </w:r>
    </w:p>
    <w:p w14:paraId="38F0D110" w14:textId="1B2F13A8" w:rsidR="004E3CC1" w:rsidRDefault="004E3CC1" w:rsidP="00AC3ADD">
      <w:pPr>
        <w:rPr>
          <w:rFonts w:cs="Arial"/>
        </w:rPr>
      </w:pPr>
      <w:r w:rsidRPr="00C07336">
        <w:rPr>
          <w:noProof/>
        </w:rPr>
        <w:drawing>
          <wp:inline distT="0" distB="0" distL="0" distR="0" wp14:anchorId="7811DB5C" wp14:editId="51D4C56C">
            <wp:extent cx="5687695" cy="2991369"/>
            <wp:effectExtent l="0" t="0" r="8255" b="0"/>
            <wp:docPr id="5" name="Picture 5" descr="Utilisation of pazopanib by prior therapy, including those with no prior treatment and those previously treated with sunitinib."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9060"/>
                    <a:stretch/>
                  </pic:blipFill>
                  <pic:spPr bwMode="auto">
                    <a:xfrm>
                      <a:off x="0" y="0"/>
                      <a:ext cx="5687695" cy="2991369"/>
                    </a:xfrm>
                    <a:prstGeom prst="rect">
                      <a:avLst/>
                    </a:prstGeom>
                    <a:noFill/>
                    <a:ln>
                      <a:noFill/>
                    </a:ln>
                    <a:extLst>
                      <a:ext uri="{53640926-AAD7-44D8-BBD7-CCE9431645EC}">
                        <a14:shadowObscured xmlns:a14="http://schemas.microsoft.com/office/drawing/2010/main"/>
                      </a:ext>
                    </a:extLst>
                  </pic:spPr>
                </pic:pic>
              </a:graphicData>
            </a:graphic>
          </wp:inline>
        </w:drawing>
      </w:r>
    </w:p>
    <w:p w14:paraId="391E9A2C" w14:textId="29D8518B" w:rsidR="004E3CC1" w:rsidRPr="004E3CC1" w:rsidRDefault="004E3CC1" w:rsidP="00F20CF3">
      <w:pPr>
        <w:rPr>
          <w:rFonts w:ascii="Arial" w:hAnsi="Arial" w:cs="Times New Roman"/>
          <w:iCs/>
          <w:sz w:val="20"/>
          <w:szCs w:val="20"/>
        </w:rPr>
      </w:pPr>
      <w:r w:rsidRPr="004E3CC1">
        <w:rPr>
          <w:rFonts w:cs="Arial"/>
          <w:b/>
          <w:sz w:val="20"/>
          <w:szCs w:val="20"/>
        </w:rPr>
        <w:t>Figure 5: Initiations to pazopanib by prior drug</w:t>
      </w:r>
    </w:p>
    <w:p w14:paraId="09912709" w14:textId="77777777" w:rsidR="004E3CC1" w:rsidRDefault="004E3CC1" w:rsidP="00AC3ADD">
      <w:pPr>
        <w:rPr>
          <w:rFonts w:cs="Arial"/>
        </w:rPr>
      </w:pPr>
    </w:p>
    <w:p w14:paraId="045F22D3" w14:textId="163D4A02" w:rsidR="0079561B" w:rsidRPr="00947EAD" w:rsidRDefault="0079561B" w:rsidP="00947EAD">
      <w:pPr>
        <w:rPr>
          <w:u w:val="single"/>
        </w:rPr>
      </w:pPr>
      <w:r w:rsidRPr="00947EAD">
        <w:rPr>
          <w:u w:val="single"/>
        </w:rPr>
        <w:t>Length of treatment</w:t>
      </w:r>
    </w:p>
    <w:p w14:paraId="50C7A622" w14:textId="5D1BF3BC" w:rsidR="0079561B" w:rsidRPr="00AC3ADD" w:rsidRDefault="0079561B" w:rsidP="00AC3ADD">
      <w:pPr>
        <w:rPr>
          <w:rFonts w:cs="Arial"/>
        </w:rPr>
      </w:pPr>
      <w:r>
        <w:rPr>
          <w:rFonts w:cs="Arial"/>
        </w:rPr>
        <w:t>Analysis of length of treatment showed that median length of treatment</w:t>
      </w:r>
      <w:r w:rsidR="007A6730">
        <w:rPr>
          <w:rFonts w:cs="Arial"/>
        </w:rPr>
        <w:t xml:space="preserve"> </w:t>
      </w:r>
      <w:r w:rsidR="002D6D18">
        <w:rPr>
          <w:rFonts w:cs="Arial"/>
        </w:rPr>
        <w:t>for sunitinib</w:t>
      </w:r>
      <w:r>
        <w:rPr>
          <w:rFonts w:cs="Arial"/>
        </w:rPr>
        <w:t xml:space="preserve"> was 7.6 months. This was consistent with the </w:t>
      </w:r>
      <w:r w:rsidR="00576825">
        <w:rPr>
          <w:rFonts w:cs="Arial"/>
        </w:rPr>
        <w:t xml:space="preserve">duration of treatment in </w:t>
      </w:r>
      <w:r w:rsidR="00DD541A">
        <w:rPr>
          <w:rFonts w:cs="Arial"/>
        </w:rPr>
        <w:t>the</w:t>
      </w:r>
      <w:r>
        <w:rPr>
          <w:rFonts w:cs="Arial"/>
        </w:rPr>
        <w:t xml:space="preserve"> recently published COMPARZ</w:t>
      </w:r>
      <w:r w:rsidR="002532F3">
        <w:rPr>
          <w:rStyle w:val="FootnoteReference"/>
          <w:rFonts w:cs="Arial"/>
        </w:rPr>
        <w:footnoteReference w:id="2"/>
      </w:r>
      <w:r w:rsidR="00DD541A">
        <w:rPr>
          <w:rFonts w:cs="Arial"/>
        </w:rPr>
        <w:t xml:space="preserve"> trial.</w:t>
      </w:r>
      <w:r w:rsidR="00FC2C7A">
        <w:rPr>
          <w:rFonts w:cs="Arial"/>
        </w:rPr>
        <w:t xml:space="preserve">  There w</w:t>
      </w:r>
      <w:r w:rsidR="00111C47">
        <w:rPr>
          <w:rFonts w:cs="Arial"/>
        </w:rPr>
        <w:t>ere</w:t>
      </w:r>
      <w:r w:rsidR="00FC2C7A">
        <w:rPr>
          <w:rFonts w:cs="Arial"/>
        </w:rPr>
        <w:t xml:space="preserve"> insufficient data available</w:t>
      </w:r>
      <w:r w:rsidR="009745C6">
        <w:rPr>
          <w:rFonts w:cs="Arial"/>
        </w:rPr>
        <w:t xml:space="preserve"> to estimate the median length of treatment for pazopanib.</w:t>
      </w:r>
    </w:p>
    <w:p w14:paraId="4F8723A6" w14:textId="62B55D19" w:rsidR="00736041" w:rsidRPr="005E22C2" w:rsidRDefault="001B5D37" w:rsidP="00F771D6">
      <w:pPr>
        <w:pStyle w:val="Heading3"/>
      </w:pPr>
      <w:r w:rsidRPr="005E22C2">
        <w:t xml:space="preserve">Analysis </w:t>
      </w:r>
      <w:r w:rsidR="00481108" w:rsidRPr="005E22C2">
        <w:t xml:space="preserve">of </w:t>
      </w:r>
      <w:r w:rsidR="0063631C">
        <w:t>e</w:t>
      </w:r>
      <w:r w:rsidR="00736041" w:rsidRPr="005E22C2">
        <w:t>xpenditure</w:t>
      </w:r>
    </w:p>
    <w:p w14:paraId="0E6F6994" w14:textId="5B95BB3C" w:rsidR="002F49A8" w:rsidRPr="009C4AD8" w:rsidRDefault="009C4AD8" w:rsidP="00A35800">
      <w:r>
        <w:t>The cost</w:t>
      </w:r>
      <w:r w:rsidR="00F20CF3">
        <w:t xml:space="preserve"> of pazopanib and sunitinib</w:t>
      </w:r>
      <w:r>
        <w:t>, based on date of supply and the published price, for the 4</w:t>
      </w:r>
      <w:r w:rsidR="00F20CF3">
        <w:t>-</w:t>
      </w:r>
      <w:r>
        <w:t>year</w:t>
      </w:r>
      <w:r w:rsidR="00F20CF3">
        <w:t xml:space="preserve"> period between </w:t>
      </w:r>
      <w:r>
        <w:t>quarter 4 2009 up to quarter 3 2013 is presented in Table 2. The actual cost to the PBS/RPBS is different to this, as special pricing arrangements apply to both medicines.</w:t>
      </w:r>
    </w:p>
    <w:p w14:paraId="2CFC4349" w14:textId="211727B9" w:rsidR="009C4AD8" w:rsidRPr="009C4AD8" w:rsidRDefault="009C4AD8" w:rsidP="009C4AD8">
      <w:pPr>
        <w:spacing w:before="200" w:after="20"/>
        <w:rPr>
          <w:rFonts w:ascii="Calibri" w:eastAsia="Times New Roman" w:hAnsi="Calibri" w:cs="Times New Roman"/>
          <w:b/>
          <w:bCs/>
          <w:color w:val="000000"/>
        </w:rPr>
      </w:pPr>
      <w:r>
        <w:rPr>
          <w:rFonts w:ascii="Calibri" w:eastAsia="Times New Roman" w:hAnsi="Calibri" w:cs="Times New Roman"/>
          <w:b/>
          <w:bCs/>
          <w:color w:val="000000"/>
        </w:rPr>
        <w:t>Table 2</w:t>
      </w:r>
      <w:r w:rsidRPr="009C4AD8">
        <w:rPr>
          <w:rFonts w:ascii="Calibri" w:eastAsia="Times New Roman" w:hAnsi="Calibri" w:cs="Times New Roman"/>
          <w:b/>
          <w:bCs/>
          <w:color w:val="000000"/>
        </w:rPr>
        <w:t xml:space="preserve">: </w:t>
      </w:r>
      <w:r>
        <w:rPr>
          <w:rFonts w:ascii="Calibri" w:eastAsia="Times New Roman" w:hAnsi="Calibri" w:cs="Times New Roman"/>
          <w:b/>
          <w:bCs/>
          <w:color w:val="000000"/>
        </w:rPr>
        <w:t>PBS/RPBS</w:t>
      </w:r>
      <w:r w:rsidRPr="009C4AD8">
        <w:rPr>
          <w:rFonts w:ascii="Calibri" w:eastAsia="Times New Roman" w:hAnsi="Calibri" w:cs="Times New Roman"/>
          <w:b/>
          <w:bCs/>
          <w:color w:val="000000"/>
        </w:rPr>
        <w:t xml:space="preserve"> expenditure (based on published price and date of supply) for RCC by drug</w:t>
      </w:r>
    </w:p>
    <w:tbl>
      <w:tblPr>
        <w:tblW w:w="5150" w:type="dxa"/>
        <w:tblInd w:w="93" w:type="dxa"/>
        <w:tblLook w:val="04A0" w:firstRow="1" w:lastRow="0" w:firstColumn="1" w:lastColumn="0" w:noHBand="0" w:noVBand="1"/>
      </w:tblPr>
      <w:tblGrid>
        <w:gridCol w:w="2283"/>
        <w:gridCol w:w="1229"/>
        <w:gridCol w:w="1300"/>
        <w:gridCol w:w="1330"/>
      </w:tblGrid>
      <w:tr w:rsidR="009C4AD8" w:rsidRPr="009C4AD8" w14:paraId="4C17DC28" w14:textId="77777777" w:rsidTr="00445A02">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E22A1" w14:textId="77777777" w:rsidR="009C4AD8" w:rsidRPr="009C4AD8" w:rsidRDefault="009C4AD8" w:rsidP="009C4AD8">
            <w:pPr>
              <w:spacing w:after="0"/>
              <w:jc w:val="center"/>
              <w:rPr>
                <w:rFonts w:ascii="Calibri" w:eastAsia="Times New Roman" w:hAnsi="Calibri" w:cs="Times New Roman"/>
                <w:b/>
                <w:bCs/>
                <w:color w:val="000000"/>
                <w:sz w:val="20"/>
                <w:szCs w:val="20"/>
              </w:rPr>
            </w:pPr>
            <w:bookmarkStart w:id="0" w:name="_GoBack" w:colFirst="0" w:colLast="4"/>
            <w:r w:rsidRPr="009C4AD8">
              <w:rPr>
                <w:rFonts w:ascii="Calibri" w:eastAsia="Times New Roman" w:hAnsi="Calibri" w:cs="Times New Roman"/>
                <w:b/>
                <w:bCs/>
                <w:color w:val="000000"/>
                <w:sz w:val="20"/>
                <w:szCs w:val="20"/>
              </w:rPr>
              <w:t>Year</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14:paraId="077375E6" w14:textId="77777777" w:rsidR="009C4AD8" w:rsidRPr="009C4AD8" w:rsidRDefault="009C4AD8" w:rsidP="009C4AD8">
            <w:pPr>
              <w:spacing w:after="0"/>
              <w:jc w:val="center"/>
              <w:rPr>
                <w:rFonts w:ascii="Calibri" w:eastAsia="Times New Roman" w:hAnsi="Calibri" w:cs="Times New Roman"/>
                <w:b/>
                <w:bCs/>
                <w:color w:val="000000"/>
                <w:sz w:val="20"/>
                <w:szCs w:val="20"/>
              </w:rPr>
            </w:pPr>
            <w:r w:rsidRPr="009C4AD8">
              <w:rPr>
                <w:rFonts w:ascii="Calibri" w:eastAsia="Times New Roman" w:hAnsi="Calibri" w:cs="Times New Roman"/>
                <w:b/>
                <w:bCs/>
                <w:color w:val="000000"/>
                <w:sz w:val="20"/>
                <w:szCs w:val="20"/>
              </w:rPr>
              <w:t>Sunitinib</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37EB23F" w14:textId="77777777" w:rsidR="009C4AD8" w:rsidRPr="009C4AD8" w:rsidRDefault="009C4AD8" w:rsidP="009C4AD8">
            <w:pPr>
              <w:spacing w:after="0"/>
              <w:jc w:val="center"/>
              <w:rPr>
                <w:rFonts w:ascii="Calibri" w:eastAsia="Times New Roman" w:hAnsi="Calibri" w:cs="Times New Roman"/>
                <w:b/>
                <w:bCs/>
                <w:color w:val="000000"/>
                <w:sz w:val="20"/>
                <w:szCs w:val="20"/>
              </w:rPr>
            </w:pPr>
            <w:r w:rsidRPr="009C4AD8">
              <w:rPr>
                <w:rFonts w:ascii="Calibri" w:eastAsia="Times New Roman" w:hAnsi="Calibri" w:cs="Times New Roman"/>
                <w:b/>
                <w:bCs/>
                <w:color w:val="000000"/>
                <w:sz w:val="20"/>
                <w:szCs w:val="20"/>
              </w:rPr>
              <w:t>Pazopanib</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5E8915D8" w14:textId="77777777" w:rsidR="009C4AD8" w:rsidRPr="009C4AD8" w:rsidRDefault="009C4AD8" w:rsidP="009C4AD8">
            <w:pPr>
              <w:spacing w:after="0"/>
              <w:jc w:val="center"/>
              <w:rPr>
                <w:rFonts w:ascii="Calibri" w:eastAsia="Times New Roman" w:hAnsi="Calibri" w:cs="Times New Roman"/>
                <w:b/>
                <w:bCs/>
                <w:color w:val="000000"/>
                <w:sz w:val="20"/>
                <w:szCs w:val="20"/>
              </w:rPr>
            </w:pPr>
            <w:r w:rsidRPr="009C4AD8">
              <w:rPr>
                <w:rFonts w:ascii="Calibri" w:eastAsia="Times New Roman" w:hAnsi="Calibri" w:cs="Times New Roman"/>
                <w:b/>
                <w:bCs/>
                <w:color w:val="000000"/>
                <w:sz w:val="20"/>
                <w:szCs w:val="20"/>
              </w:rPr>
              <w:t>Total</w:t>
            </w:r>
          </w:p>
        </w:tc>
      </w:tr>
      <w:tr w:rsidR="009C4AD8" w:rsidRPr="009C4AD8" w14:paraId="54E61596" w14:textId="77777777" w:rsidTr="00445A02">
        <w:trPr>
          <w:trHeight w:val="33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4A65B875" w14:textId="77777777" w:rsidR="009C4AD8" w:rsidRPr="009C4AD8" w:rsidRDefault="009C4AD8" w:rsidP="009C4AD8">
            <w:pPr>
              <w:spacing w:after="0"/>
              <w:jc w:val="center"/>
              <w:rPr>
                <w:rFonts w:ascii="Calibri" w:eastAsia="Times New Roman" w:hAnsi="Calibri" w:cs="Times New Roman"/>
                <w:color w:val="000000"/>
                <w:sz w:val="20"/>
                <w:szCs w:val="20"/>
              </w:rPr>
            </w:pPr>
            <w:r w:rsidRPr="009C4AD8">
              <w:rPr>
                <w:rFonts w:ascii="Calibri" w:eastAsia="Times New Roman" w:hAnsi="Calibri" w:cs="Times New Roman"/>
                <w:color w:val="000000"/>
                <w:sz w:val="20"/>
                <w:szCs w:val="20"/>
              </w:rPr>
              <w:t>2009 Q4 to 2010 Q3</w:t>
            </w:r>
          </w:p>
        </w:tc>
        <w:tc>
          <w:tcPr>
            <w:tcW w:w="237" w:type="dxa"/>
            <w:tcBorders>
              <w:top w:val="nil"/>
              <w:left w:val="nil"/>
              <w:bottom w:val="single" w:sz="4" w:space="0" w:color="auto"/>
              <w:right w:val="single" w:sz="4" w:space="0" w:color="auto"/>
            </w:tcBorders>
            <w:shd w:val="clear" w:color="auto" w:fill="auto"/>
            <w:noWrap/>
            <w:vAlign w:val="bottom"/>
            <w:hideMark/>
          </w:tcPr>
          <w:p w14:paraId="3B6236BF" w14:textId="77777777" w:rsidR="009C4AD8" w:rsidRPr="009C4AD8" w:rsidRDefault="009C4AD8" w:rsidP="009C4AD8">
            <w:pPr>
              <w:spacing w:after="0"/>
              <w:jc w:val="center"/>
              <w:rPr>
                <w:rFonts w:ascii="Calibri" w:eastAsia="Times New Roman" w:hAnsi="Calibri" w:cs="Times New Roman"/>
                <w:color w:val="000000"/>
                <w:sz w:val="20"/>
                <w:szCs w:val="20"/>
              </w:rPr>
            </w:pPr>
            <w:r w:rsidRPr="009C4AD8">
              <w:rPr>
                <w:rFonts w:ascii="Calibri" w:eastAsia="Times New Roman" w:hAnsi="Calibri" w:cs="Times New Roman"/>
                <w:color w:val="000000"/>
                <w:sz w:val="20"/>
                <w:szCs w:val="20"/>
              </w:rPr>
              <w:t>$21,427,907</w:t>
            </w:r>
          </w:p>
        </w:tc>
        <w:tc>
          <w:tcPr>
            <w:tcW w:w="1300" w:type="dxa"/>
            <w:tcBorders>
              <w:top w:val="nil"/>
              <w:left w:val="nil"/>
              <w:bottom w:val="single" w:sz="4" w:space="0" w:color="auto"/>
              <w:right w:val="single" w:sz="4" w:space="0" w:color="auto"/>
            </w:tcBorders>
            <w:shd w:val="clear" w:color="auto" w:fill="auto"/>
            <w:noWrap/>
            <w:vAlign w:val="bottom"/>
            <w:hideMark/>
          </w:tcPr>
          <w:p w14:paraId="41DB19D9" w14:textId="77777777" w:rsidR="009C4AD8" w:rsidRPr="009C4AD8" w:rsidRDefault="009C4AD8" w:rsidP="009C4AD8">
            <w:pPr>
              <w:spacing w:after="0"/>
              <w:jc w:val="center"/>
              <w:rPr>
                <w:rFonts w:ascii="Calibri" w:eastAsia="Times New Roman" w:hAnsi="Calibri" w:cs="Times New Roman"/>
                <w:color w:val="000000"/>
                <w:sz w:val="20"/>
                <w:szCs w:val="20"/>
              </w:rPr>
            </w:pPr>
          </w:p>
        </w:tc>
        <w:tc>
          <w:tcPr>
            <w:tcW w:w="1330" w:type="dxa"/>
            <w:tcBorders>
              <w:top w:val="nil"/>
              <w:left w:val="nil"/>
              <w:bottom w:val="single" w:sz="4" w:space="0" w:color="auto"/>
              <w:right w:val="single" w:sz="4" w:space="0" w:color="auto"/>
            </w:tcBorders>
            <w:shd w:val="clear" w:color="auto" w:fill="auto"/>
            <w:noWrap/>
            <w:vAlign w:val="bottom"/>
            <w:hideMark/>
          </w:tcPr>
          <w:p w14:paraId="0D7B7938" w14:textId="77777777" w:rsidR="009C4AD8" w:rsidRPr="009C4AD8" w:rsidRDefault="009C4AD8" w:rsidP="009C4AD8">
            <w:pPr>
              <w:spacing w:after="0"/>
              <w:jc w:val="center"/>
              <w:rPr>
                <w:rFonts w:ascii="Calibri" w:eastAsia="Times New Roman" w:hAnsi="Calibri" w:cs="Times New Roman"/>
                <w:color w:val="000000"/>
                <w:sz w:val="20"/>
                <w:szCs w:val="20"/>
              </w:rPr>
            </w:pPr>
            <w:r w:rsidRPr="009C4AD8">
              <w:rPr>
                <w:rFonts w:ascii="Calibri" w:eastAsia="Times New Roman" w:hAnsi="Calibri" w:cs="Times New Roman"/>
                <w:color w:val="000000"/>
                <w:sz w:val="20"/>
                <w:szCs w:val="20"/>
              </w:rPr>
              <w:t>$21,427,907</w:t>
            </w:r>
          </w:p>
        </w:tc>
      </w:tr>
      <w:tr w:rsidR="009C4AD8" w:rsidRPr="009C4AD8" w14:paraId="07389F7A" w14:textId="77777777" w:rsidTr="00445A02">
        <w:trPr>
          <w:trHeight w:val="33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19D6F6D5" w14:textId="77777777" w:rsidR="009C4AD8" w:rsidRPr="009C4AD8" w:rsidRDefault="009C4AD8" w:rsidP="009C4AD8">
            <w:pPr>
              <w:spacing w:after="0"/>
              <w:jc w:val="center"/>
              <w:rPr>
                <w:rFonts w:ascii="Calibri" w:eastAsia="Times New Roman" w:hAnsi="Calibri" w:cs="Times New Roman"/>
                <w:color w:val="000000"/>
                <w:sz w:val="20"/>
                <w:szCs w:val="20"/>
              </w:rPr>
            </w:pPr>
            <w:r w:rsidRPr="009C4AD8">
              <w:rPr>
                <w:rFonts w:ascii="Calibri" w:eastAsia="Times New Roman" w:hAnsi="Calibri" w:cs="Times New Roman"/>
                <w:color w:val="000000"/>
                <w:sz w:val="20"/>
                <w:szCs w:val="20"/>
              </w:rPr>
              <w:t>2010 Q4 to 2011 Q3</w:t>
            </w:r>
          </w:p>
        </w:tc>
        <w:tc>
          <w:tcPr>
            <w:tcW w:w="237" w:type="dxa"/>
            <w:tcBorders>
              <w:top w:val="nil"/>
              <w:left w:val="nil"/>
              <w:bottom w:val="single" w:sz="4" w:space="0" w:color="auto"/>
              <w:right w:val="single" w:sz="4" w:space="0" w:color="auto"/>
            </w:tcBorders>
            <w:shd w:val="clear" w:color="auto" w:fill="auto"/>
            <w:noWrap/>
            <w:vAlign w:val="bottom"/>
            <w:hideMark/>
          </w:tcPr>
          <w:p w14:paraId="66C80CF6" w14:textId="77777777" w:rsidR="009C4AD8" w:rsidRPr="009C4AD8" w:rsidRDefault="009C4AD8" w:rsidP="009C4AD8">
            <w:pPr>
              <w:spacing w:after="0"/>
              <w:jc w:val="center"/>
              <w:rPr>
                <w:rFonts w:ascii="Calibri" w:eastAsia="Times New Roman" w:hAnsi="Calibri" w:cs="Times New Roman"/>
                <w:color w:val="000000"/>
                <w:sz w:val="20"/>
                <w:szCs w:val="20"/>
              </w:rPr>
            </w:pPr>
            <w:r w:rsidRPr="009C4AD8">
              <w:rPr>
                <w:rFonts w:ascii="Calibri" w:eastAsia="Times New Roman" w:hAnsi="Calibri" w:cs="Times New Roman"/>
                <w:color w:val="000000"/>
                <w:sz w:val="20"/>
                <w:szCs w:val="20"/>
              </w:rPr>
              <w:t>$23,130,279</w:t>
            </w:r>
          </w:p>
        </w:tc>
        <w:tc>
          <w:tcPr>
            <w:tcW w:w="1300" w:type="dxa"/>
            <w:tcBorders>
              <w:top w:val="nil"/>
              <w:left w:val="nil"/>
              <w:bottom w:val="single" w:sz="4" w:space="0" w:color="auto"/>
              <w:right w:val="single" w:sz="4" w:space="0" w:color="auto"/>
            </w:tcBorders>
            <w:shd w:val="clear" w:color="auto" w:fill="auto"/>
            <w:noWrap/>
            <w:vAlign w:val="bottom"/>
            <w:hideMark/>
          </w:tcPr>
          <w:p w14:paraId="23A6336D" w14:textId="77777777" w:rsidR="009C4AD8" w:rsidRPr="009C4AD8" w:rsidRDefault="009C4AD8" w:rsidP="009C4AD8">
            <w:pPr>
              <w:spacing w:after="0"/>
              <w:jc w:val="center"/>
              <w:rPr>
                <w:rFonts w:ascii="Calibri" w:eastAsia="Times New Roman" w:hAnsi="Calibri" w:cs="Times New Roman"/>
                <w:color w:val="000000"/>
                <w:sz w:val="20"/>
                <w:szCs w:val="20"/>
              </w:rPr>
            </w:pPr>
          </w:p>
        </w:tc>
        <w:tc>
          <w:tcPr>
            <w:tcW w:w="1330" w:type="dxa"/>
            <w:tcBorders>
              <w:top w:val="nil"/>
              <w:left w:val="nil"/>
              <w:bottom w:val="single" w:sz="4" w:space="0" w:color="auto"/>
              <w:right w:val="single" w:sz="4" w:space="0" w:color="auto"/>
            </w:tcBorders>
            <w:shd w:val="clear" w:color="auto" w:fill="auto"/>
            <w:noWrap/>
            <w:vAlign w:val="bottom"/>
            <w:hideMark/>
          </w:tcPr>
          <w:p w14:paraId="3A0FB251" w14:textId="77777777" w:rsidR="009C4AD8" w:rsidRPr="009C4AD8" w:rsidRDefault="009C4AD8" w:rsidP="009C4AD8">
            <w:pPr>
              <w:spacing w:after="0"/>
              <w:jc w:val="center"/>
              <w:rPr>
                <w:rFonts w:ascii="Calibri" w:eastAsia="Times New Roman" w:hAnsi="Calibri" w:cs="Times New Roman"/>
                <w:color w:val="000000"/>
                <w:sz w:val="20"/>
                <w:szCs w:val="20"/>
              </w:rPr>
            </w:pPr>
            <w:r w:rsidRPr="009C4AD8">
              <w:rPr>
                <w:rFonts w:ascii="Calibri" w:eastAsia="Times New Roman" w:hAnsi="Calibri" w:cs="Times New Roman"/>
                <w:color w:val="000000"/>
                <w:sz w:val="20"/>
                <w:szCs w:val="20"/>
              </w:rPr>
              <w:t>$23,130,279</w:t>
            </w:r>
          </w:p>
        </w:tc>
      </w:tr>
      <w:tr w:rsidR="009C4AD8" w:rsidRPr="009C4AD8" w14:paraId="325190C4" w14:textId="77777777" w:rsidTr="00445A02">
        <w:trPr>
          <w:trHeight w:val="33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224ABAD4" w14:textId="77777777" w:rsidR="009C4AD8" w:rsidRPr="009C4AD8" w:rsidRDefault="009C4AD8" w:rsidP="009C4AD8">
            <w:pPr>
              <w:spacing w:after="0"/>
              <w:jc w:val="center"/>
              <w:rPr>
                <w:rFonts w:ascii="Calibri" w:eastAsia="Times New Roman" w:hAnsi="Calibri" w:cs="Times New Roman"/>
                <w:color w:val="000000"/>
                <w:sz w:val="20"/>
                <w:szCs w:val="20"/>
              </w:rPr>
            </w:pPr>
            <w:r w:rsidRPr="009C4AD8">
              <w:rPr>
                <w:rFonts w:ascii="Calibri" w:eastAsia="Times New Roman" w:hAnsi="Calibri" w:cs="Times New Roman"/>
                <w:color w:val="000000"/>
                <w:sz w:val="20"/>
                <w:szCs w:val="20"/>
              </w:rPr>
              <w:t>2011 Q4 to 2012 Q3</w:t>
            </w:r>
          </w:p>
        </w:tc>
        <w:tc>
          <w:tcPr>
            <w:tcW w:w="237" w:type="dxa"/>
            <w:tcBorders>
              <w:top w:val="nil"/>
              <w:left w:val="nil"/>
              <w:bottom w:val="single" w:sz="4" w:space="0" w:color="auto"/>
              <w:right w:val="single" w:sz="4" w:space="0" w:color="auto"/>
            </w:tcBorders>
            <w:shd w:val="clear" w:color="auto" w:fill="auto"/>
            <w:noWrap/>
            <w:vAlign w:val="bottom"/>
            <w:hideMark/>
          </w:tcPr>
          <w:p w14:paraId="27EE10A3" w14:textId="77777777" w:rsidR="009C4AD8" w:rsidRPr="009C4AD8" w:rsidRDefault="009C4AD8" w:rsidP="009C4AD8">
            <w:pPr>
              <w:spacing w:after="0"/>
              <w:jc w:val="center"/>
              <w:rPr>
                <w:rFonts w:ascii="Calibri" w:eastAsia="Times New Roman" w:hAnsi="Calibri" w:cs="Times New Roman"/>
                <w:color w:val="000000"/>
                <w:sz w:val="20"/>
                <w:szCs w:val="20"/>
              </w:rPr>
            </w:pPr>
            <w:r w:rsidRPr="009C4AD8">
              <w:rPr>
                <w:rFonts w:ascii="Calibri" w:eastAsia="Times New Roman" w:hAnsi="Calibri" w:cs="Times New Roman"/>
                <w:color w:val="000000"/>
                <w:sz w:val="20"/>
                <w:szCs w:val="20"/>
              </w:rPr>
              <w:t>$24,231,829</w:t>
            </w:r>
          </w:p>
        </w:tc>
        <w:tc>
          <w:tcPr>
            <w:tcW w:w="1300" w:type="dxa"/>
            <w:tcBorders>
              <w:top w:val="nil"/>
              <w:left w:val="nil"/>
              <w:bottom w:val="single" w:sz="4" w:space="0" w:color="auto"/>
              <w:right w:val="single" w:sz="4" w:space="0" w:color="auto"/>
            </w:tcBorders>
            <w:shd w:val="clear" w:color="auto" w:fill="auto"/>
            <w:noWrap/>
            <w:vAlign w:val="bottom"/>
            <w:hideMark/>
          </w:tcPr>
          <w:p w14:paraId="73010AD6" w14:textId="77777777" w:rsidR="009C4AD8" w:rsidRPr="009C4AD8" w:rsidRDefault="009C4AD8" w:rsidP="009C4AD8">
            <w:pPr>
              <w:spacing w:after="0"/>
              <w:jc w:val="center"/>
              <w:rPr>
                <w:rFonts w:ascii="Calibri" w:eastAsia="Times New Roman" w:hAnsi="Calibri" w:cs="Times New Roman"/>
                <w:color w:val="000000"/>
                <w:sz w:val="20"/>
                <w:szCs w:val="20"/>
              </w:rPr>
            </w:pPr>
          </w:p>
        </w:tc>
        <w:tc>
          <w:tcPr>
            <w:tcW w:w="1330" w:type="dxa"/>
            <w:tcBorders>
              <w:top w:val="nil"/>
              <w:left w:val="nil"/>
              <w:bottom w:val="single" w:sz="4" w:space="0" w:color="auto"/>
              <w:right w:val="single" w:sz="4" w:space="0" w:color="auto"/>
            </w:tcBorders>
            <w:shd w:val="clear" w:color="auto" w:fill="auto"/>
            <w:noWrap/>
            <w:vAlign w:val="bottom"/>
            <w:hideMark/>
          </w:tcPr>
          <w:p w14:paraId="0A09BAD7" w14:textId="77777777" w:rsidR="009C4AD8" w:rsidRPr="009C4AD8" w:rsidRDefault="009C4AD8" w:rsidP="009C4AD8">
            <w:pPr>
              <w:spacing w:after="0"/>
              <w:jc w:val="center"/>
              <w:rPr>
                <w:rFonts w:ascii="Calibri" w:eastAsia="Times New Roman" w:hAnsi="Calibri" w:cs="Times New Roman"/>
                <w:color w:val="000000"/>
                <w:sz w:val="20"/>
                <w:szCs w:val="20"/>
              </w:rPr>
            </w:pPr>
            <w:r w:rsidRPr="009C4AD8">
              <w:rPr>
                <w:rFonts w:ascii="Calibri" w:eastAsia="Times New Roman" w:hAnsi="Calibri" w:cs="Times New Roman"/>
                <w:color w:val="000000"/>
                <w:sz w:val="20"/>
                <w:szCs w:val="20"/>
              </w:rPr>
              <w:t>$24,231,829</w:t>
            </w:r>
          </w:p>
        </w:tc>
      </w:tr>
      <w:tr w:rsidR="009C4AD8" w:rsidRPr="009C4AD8" w14:paraId="4FD5F5E3" w14:textId="77777777" w:rsidTr="00445A02">
        <w:trPr>
          <w:trHeight w:val="33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7E2B6DB1" w14:textId="77777777" w:rsidR="009C4AD8" w:rsidRPr="009C4AD8" w:rsidRDefault="009C4AD8" w:rsidP="009C4AD8">
            <w:pPr>
              <w:spacing w:after="0"/>
              <w:jc w:val="center"/>
              <w:rPr>
                <w:rFonts w:ascii="Calibri" w:eastAsia="Times New Roman" w:hAnsi="Calibri" w:cs="Times New Roman"/>
                <w:color w:val="000000"/>
                <w:sz w:val="20"/>
                <w:szCs w:val="20"/>
              </w:rPr>
            </w:pPr>
            <w:r w:rsidRPr="009C4AD8">
              <w:rPr>
                <w:rFonts w:ascii="Calibri" w:eastAsia="Times New Roman" w:hAnsi="Calibri" w:cs="Times New Roman"/>
                <w:color w:val="000000"/>
                <w:sz w:val="20"/>
                <w:szCs w:val="20"/>
              </w:rPr>
              <w:t>2012 Q4 to 2013 Q3</w:t>
            </w:r>
          </w:p>
        </w:tc>
        <w:tc>
          <w:tcPr>
            <w:tcW w:w="237" w:type="dxa"/>
            <w:tcBorders>
              <w:top w:val="nil"/>
              <w:left w:val="nil"/>
              <w:bottom w:val="single" w:sz="4" w:space="0" w:color="auto"/>
              <w:right w:val="single" w:sz="4" w:space="0" w:color="auto"/>
            </w:tcBorders>
            <w:shd w:val="clear" w:color="auto" w:fill="auto"/>
            <w:noWrap/>
            <w:vAlign w:val="bottom"/>
            <w:hideMark/>
          </w:tcPr>
          <w:p w14:paraId="631C0BDF" w14:textId="77777777" w:rsidR="009C4AD8" w:rsidRPr="009C4AD8" w:rsidRDefault="009C4AD8" w:rsidP="009C4AD8">
            <w:pPr>
              <w:spacing w:after="0"/>
              <w:jc w:val="center"/>
              <w:rPr>
                <w:rFonts w:ascii="Calibri" w:eastAsia="Times New Roman" w:hAnsi="Calibri" w:cs="Times New Roman"/>
                <w:color w:val="000000"/>
                <w:sz w:val="20"/>
                <w:szCs w:val="20"/>
              </w:rPr>
            </w:pPr>
            <w:r w:rsidRPr="009C4AD8">
              <w:rPr>
                <w:rFonts w:ascii="Calibri" w:eastAsia="Times New Roman" w:hAnsi="Calibri" w:cs="Times New Roman"/>
                <w:color w:val="000000"/>
                <w:sz w:val="20"/>
                <w:szCs w:val="20"/>
              </w:rPr>
              <w:t>$19,443,068</w:t>
            </w:r>
          </w:p>
        </w:tc>
        <w:tc>
          <w:tcPr>
            <w:tcW w:w="1300" w:type="dxa"/>
            <w:tcBorders>
              <w:top w:val="nil"/>
              <w:left w:val="nil"/>
              <w:bottom w:val="single" w:sz="4" w:space="0" w:color="auto"/>
              <w:right w:val="single" w:sz="4" w:space="0" w:color="auto"/>
            </w:tcBorders>
            <w:shd w:val="clear" w:color="auto" w:fill="auto"/>
            <w:noWrap/>
            <w:vAlign w:val="bottom"/>
            <w:hideMark/>
          </w:tcPr>
          <w:p w14:paraId="46004B7E" w14:textId="77777777" w:rsidR="009C4AD8" w:rsidRPr="009C4AD8" w:rsidRDefault="009C4AD8" w:rsidP="009C4AD8">
            <w:pPr>
              <w:spacing w:after="0"/>
              <w:jc w:val="center"/>
              <w:rPr>
                <w:rFonts w:ascii="Calibri" w:eastAsia="Times New Roman" w:hAnsi="Calibri" w:cs="Times New Roman"/>
                <w:color w:val="000000"/>
                <w:sz w:val="20"/>
                <w:szCs w:val="20"/>
              </w:rPr>
            </w:pPr>
            <w:r w:rsidRPr="009C4AD8">
              <w:rPr>
                <w:rFonts w:ascii="Calibri" w:eastAsia="Times New Roman" w:hAnsi="Calibri" w:cs="Times New Roman"/>
                <w:color w:val="000000"/>
                <w:sz w:val="20"/>
                <w:szCs w:val="20"/>
              </w:rPr>
              <w:t>$8,855,027</w:t>
            </w:r>
          </w:p>
        </w:tc>
        <w:tc>
          <w:tcPr>
            <w:tcW w:w="1330" w:type="dxa"/>
            <w:tcBorders>
              <w:top w:val="nil"/>
              <w:left w:val="nil"/>
              <w:bottom w:val="single" w:sz="4" w:space="0" w:color="auto"/>
              <w:right w:val="single" w:sz="4" w:space="0" w:color="auto"/>
            </w:tcBorders>
            <w:shd w:val="clear" w:color="auto" w:fill="auto"/>
            <w:noWrap/>
            <w:vAlign w:val="bottom"/>
            <w:hideMark/>
          </w:tcPr>
          <w:p w14:paraId="145D06AE" w14:textId="77777777" w:rsidR="009C4AD8" w:rsidRPr="009C4AD8" w:rsidRDefault="009C4AD8" w:rsidP="009C4AD8">
            <w:pPr>
              <w:spacing w:after="0"/>
              <w:jc w:val="center"/>
              <w:rPr>
                <w:rFonts w:ascii="Calibri" w:eastAsia="Times New Roman" w:hAnsi="Calibri" w:cs="Times New Roman"/>
                <w:color w:val="000000"/>
                <w:sz w:val="20"/>
                <w:szCs w:val="20"/>
              </w:rPr>
            </w:pPr>
            <w:r w:rsidRPr="009C4AD8">
              <w:rPr>
                <w:rFonts w:ascii="Calibri" w:eastAsia="Times New Roman" w:hAnsi="Calibri" w:cs="Times New Roman"/>
                <w:color w:val="000000"/>
                <w:sz w:val="20"/>
                <w:szCs w:val="20"/>
              </w:rPr>
              <w:t>$28,298,095</w:t>
            </w:r>
          </w:p>
        </w:tc>
      </w:tr>
      <w:bookmarkEnd w:id="0"/>
    </w:tbl>
    <w:p w14:paraId="5E46D38A" w14:textId="77777777" w:rsidR="009C4AD8" w:rsidRPr="009C4AD8" w:rsidRDefault="009C4AD8" w:rsidP="009C4AD8">
      <w:pPr>
        <w:spacing w:after="0"/>
        <w:rPr>
          <w:u w:val="single"/>
        </w:rPr>
      </w:pPr>
    </w:p>
    <w:p w14:paraId="5F22B4D8" w14:textId="319090EA" w:rsidR="00736041" w:rsidRPr="005E22C2" w:rsidRDefault="00D151EB" w:rsidP="00FE645A">
      <w:pPr>
        <w:pStyle w:val="Heading3"/>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16C2955E" w14:textId="3C203221" w:rsidR="00CC4CFC" w:rsidRDefault="00CC4CFC" w:rsidP="00A35800">
      <w:r w:rsidRPr="00CC4CFC">
        <w:t>Compared to what was expected (</w:t>
      </w:r>
      <w:r w:rsidR="002941C5">
        <w:t xml:space="preserve">based on </w:t>
      </w:r>
      <w:r w:rsidRPr="00CC4CFC">
        <w:t xml:space="preserve">revised estimates agreed to by the </w:t>
      </w:r>
      <w:r w:rsidR="007B6A3D">
        <w:t>Department of Health</w:t>
      </w:r>
      <w:r w:rsidRPr="00CC4CFC">
        <w:t xml:space="preserve"> and the sponsor </w:t>
      </w:r>
      <w:r w:rsidR="00587254">
        <w:t xml:space="preserve">prior to </w:t>
      </w:r>
      <w:r w:rsidR="00102B8B">
        <w:t>listing) the analysis showed</w:t>
      </w:r>
      <w:r w:rsidRPr="00CC4CFC">
        <w:t xml:space="preserve"> a greater number of patients were treated with sunitinib</w:t>
      </w:r>
      <w:r>
        <w:t xml:space="preserve"> in years </w:t>
      </w:r>
      <w:r w:rsidR="005B54D6">
        <w:t xml:space="preserve">2 to </w:t>
      </w:r>
      <w:r>
        <w:t>4 of listing</w:t>
      </w:r>
      <w:r w:rsidRPr="00CC4CFC">
        <w:t>.</w:t>
      </w:r>
      <w:r>
        <w:t xml:space="preserve"> </w:t>
      </w:r>
      <w:r w:rsidR="004B33A3">
        <w:t>The number of p</w:t>
      </w:r>
      <w:r w:rsidR="008B12D0">
        <w:t>rescriptions for sunitinib were lower tha</w:t>
      </w:r>
      <w:r w:rsidR="003D79F2">
        <w:t>n expected.</w:t>
      </w:r>
      <w:r w:rsidR="008B12D0">
        <w:t xml:space="preserve"> This suggests that patients </w:t>
      </w:r>
      <w:r w:rsidR="00ED577F">
        <w:t>treated with sunitinib receiv</w:t>
      </w:r>
      <w:r w:rsidR="003D79F2">
        <w:t>ed</w:t>
      </w:r>
      <w:r w:rsidR="00ED577F">
        <w:t xml:space="preserve"> a lower number of</w:t>
      </w:r>
      <w:r w:rsidR="008B12D0">
        <w:t xml:space="preserve"> prescriptions </w:t>
      </w:r>
      <w:r w:rsidR="00ED577F">
        <w:t>per year</w:t>
      </w:r>
      <w:r w:rsidR="008B12D0">
        <w:t xml:space="preserve"> than originally estimated.</w:t>
      </w:r>
      <w:r w:rsidR="00BB4564">
        <w:t xml:space="preserve"> Expenditure on sunitinib was</w:t>
      </w:r>
      <w:r w:rsidR="00102B8B">
        <w:t xml:space="preserve"> also</w:t>
      </w:r>
      <w:r w:rsidR="00BB4564">
        <w:t xml:space="preserve"> lower than that estimated, with a similar cost to what would have been expected based on </w:t>
      </w:r>
      <w:r w:rsidR="00102B8B">
        <w:t xml:space="preserve">the </w:t>
      </w:r>
      <w:r w:rsidR="00BB4564">
        <w:t>supply of a reduced number of prescriptions. This</w:t>
      </w:r>
      <w:r w:rsidR="00102B8B">
        <w:t xml:space="preserve"> may</w:t>
      </w:r>
      <w:r w:rsidR="00BB4564">
        <w:t xml:space="preserve"> indicate that supply of the various strengths of sunitinib </w:t>
      </w:r>
      <w:r w:rsidR="00E960CA">
        <w:t>was similar to that originally predicted.</w:t>
      </w:r>
    </w:p>
    <w:p w14:paraId="1168EF4B" w14:textId="5B5E6A0D" w:rsidR="00CA22A7" w:rsidRPr="00CC4CFC" w:rsidRDefault="00CA22A7" w:rsidP="00A35800">
      <w:r>
        <w:t xml:space="preserve">For pazopanib, the analysis showed that prescriptions were </w:t>
      </w:r>
      <w:r w:rsidR="00867C14">
        <w:t xml:space="preserve">approximately </w:t>
      </w:r>
      <w:r w:rsidR="004260FC">
        <w:t xml:space="preserve">triple </w:t>
      </w:r>
      <w:r w:rsidR="006E1C85">
        <w:t>that</w:t>
      </w:r>
      <w:r w:rsidR="007417FA">
        <w:t xml:space="preserve"> </w:t>
      </w:r>
      <w:r w:rsidR="00547880">
        <w:t>expected</w:t>
      </w:r>
      <w:r>
        <w:t xml:space="preserve">. </w:t>
      </w:r>
      <w:r w:rsidR="00ED577F">
        <w:t xml:space="preserve">The cost to the PBS/RPBS for pazopanib was </w:t>
      </w:r>
      <w:r w:rsidR="007417FA">
        <w:t xml:space="preserve">also </w:t>
      </w:r>
      <w:r w:rsidR="00ED577F">
        <w:t>higher than estimated</w:t>
      </w:r>
      <w:r w:rsidR="007417FA">
        <w:t>, with the actual cost being greater than that which would have been expected from increased prescriptions alone</w:t>
      </w:r>
      <w:r w:rsidR="00ED577F">
        <w:t>. The higher relative</w:t>
      </w:r>
      <w:r w:rsidR="007417FA">
        <w:t xml:space="preserve"> increase in </w:t>
      </w:r>
      <w:r w:rsidR="00ED577F">
        <w:t xml:space="preserve">cost compared to prescriptions suggests </w:t>
      </w:r>
      <w:r w:rsidR="007417FA">
        <w:t>the supply of more</w:t>
      </w:r>
      <w:r w:rsidR="00ED577F">
        <w:t xml:space="preserve"> prescriptions </w:t>
      </w:r>
      <w:r w:rsidR="007417FA">
        <w:t xml:space="preserve">of the higher strengths compared to what was originally predicted. </w:t>
      </w:r>
      <w:r w:rsidR="00ED577F">
        <w:t xml:space="preserve"> </w:t>
      </w:r>
      <w:r>
        <w:t xml:space="preserve">Patient numbers for pazopanib were not estimated </w:t>
      </w:r>
      <w:r w:rsidR="007F6418">
        <w:t xml:space="preserve">prior to </w:t>
      </w:r>
      <w:r>
        <w:t xml:space="preserve">listing. </w:t>
      </w:r>
      <w:r w:rsidR="00ED577F">
        <w:t xml:space="preserve"> </w:t>
      </w:r>
    </w:p>
    <w:p w14:paraId="3555DFBA" w14:textId="60E8E761" w:rsidR="00591512" w:rsidRDefault="00AB3733" w:rsidP="00A35800">
      <w:pPr>
        <w:pStyle w:val="Heading2"/>
      </w:pPr>
      <w:r>
        <w:lastRenderedPageBreak/>
        <w:t>D</w:t>
      </w:r>
      <w:r w:rsidR="007346C7" w:rsidRPr="005E22C2">
        <w:t>iscussion</w:t>
      </w:r>
    </w:p>
    <w:p w14:paraId="4AEEE89D" w14:textId="51E86AFE" w:rsidR="0071267E" w:rsidRDefault="00E41B53" w:rsidP="00102802">
      <w:pPr>
        <w:tabs>
          <w:tab w:val="left" w:pos="4058"/>
        </w:tabs>
      </w:pPr>
      <w:r>
        <w:t>P</w:t>
      </w:r>
      <w:r w:rsidR="00102802">
        <w:t>rescriptions for p</w:t>
      </w:r>
      <w:r w:rsidR="0071267E">
        <w:t xml:space="preserve">azopanib in the first year of </w:t>
      </w:r>
      <w:r w:rsidR="00102802">
        <w:t xml:space="preserve">PBS </w:t>
      </w:r>
      <w:r w:rsidR="0071267E">
        <w:t xml:space="preserve">listing </w:t>
      </w:r>
      <w:r>
        <w:t xml:space="preserve">were significantly higher than predicted. This </w:t>
      </w:r>
      <w:r w:rsidR="0071267E">
        <w:t>indicate</w:t>
      </w:r>
      <w:r w:rsidR="009C0A08">
        <w:t>s</w:t>
      </w:r>
      <w:r w:rsidR="0071267E">
        <w:t xml:space="preserve"> greater than predicted uptake of pazopanib in the </w:t>
      </w:r>
      <w:r w:rsidR="0071267E" w:rsidRPr="00A94642">
        <w:t xml:space="preserve">Stage IV clear cell variant </w:t>
      </w:r>
      <w:r w:rsidR="0071267E">
        <w:t xml:space="preserve">RCC market. </w:t>
      </w:r>
      <w:r w:rsidR="00102802">
        <w:t>In year 1, the m</w:t>
      </w:r>
      <w:r w:rsidR="0071267E">
        <w:t xml:space="preserve">arket share </w:t>
      </w:r>
      <w:r w:rsidR="00102802">
        <w:t xml:space="preserve">of pazopanib based on prescription numbers </w:t>
      </w:r>
      <w:r w:rsidR="0071267E">
        <w:t xml:space="preserve">was approximately three times greater than predicted. </w:t>
      </w:r>
      <w:r w:rsidR="009C49A5">
        <w:t>With</w:t>
      </w:r>
      <w:r w:rsidR="00445A02">
        <w:t>in the context of a market that is not expanding,</w:t>
      </w:r>
      <w:r w:rsidR="009C49A5">
        <w:t xml:space="preserve"> </w:t>
      </w:r>
      <w:r w:rsidR="006E1C85">
        <w:t>this</w:t>
      </w:r>
      <w:r w:rsidR="00445A02">
        <w:t xml:space="preserve"> </w:t>
      </w:r>
      <w:r w:rsidR="009C0A08">
        <w:t>suggests</w:t>
      </w:r>
      <w:r w:rsidR="00102802">
        <w:t xml:space="preserve"> that </w:t>
      </w:r>
      <w:r w:rsidR="009C49A5">
        <w:t xml:space="preserve">pazopanib </w:t>
      </w:r>
      <w:r w:rsidR="00445A02">
        <w:t>is</w:t>
      </w:r>
      <w:r w:rsidR="00102802">
        <w:t xml:space="preserve"> being</w:t>
      </w:r>
      <w:r w:rsidR="009C49A5">
        <w:t xml:space="preserve"> used instead of sunitinib.</w:t>
      </w:r>
      <w:r w:rsidR="00445A02">
        <w:t xml:space="preserve"> This is consistent with the assumptions of a cost-minimisation analysis.</w:t>
      </w:r>
      <w:r w:rsidR="005A44A1">
        <w:t xml:space="preserve">  </w:t>
      </w:r>
      <w:r w:rsidR="00102802">
        <w:t>Stronger patient preference for pazopanib would explain the greater than</w:t>
      </w:r>
      <w:r w:rsidR="0071267E">
        <w:t xml:space="preserve"> expected </w:t>
      </w:r>
      <w:r w:rsidR="00102802">
        <w:t xml:space="preserve">market share for </w:t>
      </w:r>
      <w:r w:rsidR="0071267E">
        <w:t>pazopanib in year 1.</w:t>
      </w:r>
    </w:p>
    <w:p w14:paraId="24988498" w14:textId="501757DA" w:rsidR="00445A02" w:rsidRDefault="00DC441A" w:rsidP="00445A02">
      <w:pPr>
        <w:tabs>
          <w:tab w:val="left" w:pos="4058"/>
        </w:tabs>
      </w:pPr>
      <w:r>
        <w:t>More patients</w:t>
      </w:r>
      <w:r w:rsidR="00445A02">
        <w:t xml:space="preserve"> started treatment with sunitinib for RCC than predicted </w:t>
      </w:r>
      <w:r w:rsidR="007C01CD">
        <w:t>prior to</w:t>
      </w:r>
      <w:r w:rsidR="00445A02">
        <w:t xml:space="preserve"> listing. This is probably due to an underestimate of the eligible population as several assumptions were needed to estimate patients who would meet the PBS criteria (Stage IV, unresectable, clear cell histology).</w:t>
      </w:r>
    </w:p>
    <w:p w14:paraId="2628B0F5" w14:textId="2A922BF3" w:rsidR="00445A02" w:rsidRDefault="00445A02" w:rsidP="00445A02">
      <w:pPr>
        <w:tabs>
          <w:tab w:val="left" w:pos="4058"/>
        </w:tabs>
      </w:pPr>
      <w:r>
        <w:t xml:space="preserve">The number of prescriptions </w:t>
      </w:r>
      <w:r w:rsidR="002271E3">
        <w:t xml:space="preserve">for sunitinib </w:t>
      </w:r>
      <w:r>
        <w:t>per patient has been lower than expected. In year 3 (i</w:t>
      </w:r>
      <w:r w:rsidR="001200ED">
        <w:t>.</w:t>
      </w:r>
      <w:r>
        <w:t xml:space="preserve">e. the most recent year not confounded by the listing of pazopanib) it was predicted that prevalent patients would on average be supplied 7.3 </w:t>
      </w:r>
      <w:r w:rsidR="00DC441A">
        <w:t>pre</w:t>
      </w:r>
      <w:r>
        <w:t>script</w:t>
      </w:r>
      <w:r w:rsidR="00DC441A">
        <w:t>ion</w:t>
      </w:r>
      <w:r>
        <w:t>s but t</w:t>
      </w:r>
      <w:r w:rsidR="00DC441A">
        <w:t>he actual number was 5.6</w:t>
      </w:r>
      <w:r>
        <w:t>. The continuation rates from the clinical trials used in the estimates were not realised in practice.</w:t>
      </w:r>
    </w:p>
    <w:p w14:paraId="3A74B465" w14:textId="5C201DBF" w:rsidR="007346C7" w:rsidRDefault="00957837" w:rsidP="00A35800">
      <w:pPr>
        <w:pStyle w:val="Heading2"/>
      </w:pPr>
      <w:r>
        <w:t>DUSC actions</w:t>
      </w:r>
    </w:p>
    <w:p w14:paraId="5EC4C05B" w14:textId="5C6BDE0C" w:rsidR="00C87938" w:rsidRPr="00C87938" w:rsidRDefault="00BC4547" w:rsidP="009721A8">
      <w:r>
        <w:t xml:space="preserve">The </w:t>
      </w:r>
      <w:r w:rsidR="00C87938" w:rsidRPr="00C87938">
        <w:t>DUSC consider</w:t>
      </w:r>
      <w:r w:rsidR="00C87938">
        <w:t>ed</w:t>
      </w:r>
      <w:r w:rsidR="00C87938" w:rsidRPr="00C87938">
        <w:t xml:space="preserve"> that a subsequent analysis of </w:t>
      </w:r>
      <w:r w:rsidR="00C87938">
        <w:t xml:space="preserve">the utilisation of RCC </w:t>
      </w:r>
      <w:r w:rsidR="00C87938" w:rsidRPr="00C87938">
        <w:t>therapies</w:t>
      </w:r>
      <w:r w:rsidR="00C87938">
        <w:t xml:space="preserve"> </w:t>
      </w:r>
      <w:r w:rsidR="00C87938" w:rsidRPr="00C87938">
        <w:t xml:space="preserve">should be undertaken </w:t>
      </w:r>
      <w:r w:rsidR="00C87938">
        <w:t>once</w:t>
      </w:r>
      <w:r w:rsidR="00C87938" w:rsidRPr="00C87938">
        <w:t xml:space="preserve"> 24</w:t>
      </w:r>
      <w:r w:rsidR="00C87938">
        <w:t>-</w:t>
      </w:r>
      <w:r w:rsidR="00C87938" w:rsidRPr="00C87938">
        <w:t xml:space="preserve">month utilisation data </w:t>
      </w:r>
      <w:r w:rsidR="00C87938">
        <w:t xml:space="preserve">is </w:t>
      </w:r>
      <w:r w:rsidR="00C87938" w:rsidRPr="00C87938">
        <w:t>available for everolimus</w:t>
      </w:r>
      <w:r w:rsidR="00C87938">
        <w:t xml:space="preserve"> (another therapy for RCC, which was </w:t>
      </w:r>
      <w:r w:rsidR="00C87938" w:rsidRPr="00C87938">
        <w:t>recommended for second</w:t>
      </w:r>
      <w:r w:rsidR="00C87938">
        <w:t>-</w:t>
      </w:r>
      <w:r w:rsidR="00C87938" w:rsidRPr="00C87938">
        <w:t xml:space="preserve">line treatment at the March 2014 </w:t>
      </w:r>
      <w:r w:rsidR="00C87938">
        <w:t xml:space="preserve">meeting of the </w:t>
      </w:r>
      <w:r w:rsidR="00C87938" w:rsidRPr="00C87938">
        <w:t>PBAC).</w:t>
      </w:r>
    </w:p>
    <w:p w14:paraId="3D143CC0" w14:textId="3D92F4B2" w:rsidR="00C87938" w:rsidRPr="00C87938" w:rsidRDefault="000371C1" w:rsidP="009721A8">
      <w:r>
        <w:t xml:space="preserve">The </w:t>
      </w:r>
      <w:r w:rsidR="00C87938" w:rsidRPr="00C87938">
        <w:t xml:space="preserve">DUSC recommended that the PBS listings of pazopanib and sunitinib be referred to the Post-market Review of Authority Required PBS Listings for consideration of </w:t>
      </w:r>
      <w:r w:rsidR="0004493C">
        <w:t xml:space="preserve">whether a change to an </w:t>
      </w:r>
      <w:r w:rsidR="00C87938" w:rsidRPr="00C87938">
        <w:t>Authority</w:t>
      </w:r>
      <w:r w:rsidR="00C87938">
        <w:t xml:space="preserve"> </w:t>
      </w:r>
      <w:r w:rsidR="0004493C">
        <w:t>Required (Streamline</w:t>
      </w:r>
      <w:r w:rsidR="00A41282">
        <w:t>d</w:t>
      </w:r>
      <w:r w:rsidR="0004493C">
        <w:t xml:space="preserve">) </w:t>
      </w:r>
      <w:r w:rsidR="00C87938">
        <w:t>PBS listing would be appropriate</w:t>
      </w:r>
      <w:r w:rsidR="00C87938" w:rsidRPr="00C87938">
        <w:t>.</w:t>
      </w:r>
    </w:p>
    <w:p w14:paraId="34D8E1BC" w14:textId="264AEF88" w:rsidR="00C87938" w:rsidRDefault="00BD437F" w:rsidP="009721A8">
      <w:r>
        <w:t xml:space="preserve">The </w:t>
      </w:r>
      <w:r w:rsidR="00C87938" w:rsidRPr="00C87938">
        <w:t>DUSC referred the report to the PBAC for information.</w:t>
      </w:r>
    </w:p>
    <w:p w14:paraId="75A03124" w14:textId="7F58B81E" w:rsidR="001B50CA" w:rsidRPr="0092516A" w:rsidRDefault="001B50CA" w:rsidP="00C87938">
      <w:pPr>
        <w:pStyle w:val="Heading2"/>
      </w:pPr>
      <w:r w:rsidRPr="0092516A">
        <w:t>Context for analysis</w:t>
      </w:r>
    </w:p>
    <w:p w14:paraId="1D8A2B2A" w14:textId="77777777" w:rsidR="001B50CA" w:rsidRPr="00241E48" w:rsidRDefault="001B50CA" w:rsidP="001B50CA">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14:paraId="58A6B21D" w14:textId="77777777" w:rsidR="001B50CA" w:rsidRPr="00241E48" w:rsidRDefault="001B50CA" w:rsidP="001B50CA">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E0BE3CC" w14:textId="77777777" w:rsidR="001B50CA" w:rsidRDefault="001B50CA" w:rsidP="001B50CA">
      <w:pPr>
        <w:spacing w:after="240"/>
        <w:rPr>
          <w:rFonts w:eastAsiaTheme="majorEastAsia" w:cstheme="majorBidi"/>
          <w:bCs/>
        </w:rPr>
      </w:pPr>
      <w:r w:rsidRPr="00241E48">
        <w:rPr>
          <w:rFonts w:eastAsiaTheme="majorEastAsia" w:cstheme="majorBidi"/>
          <w:bCs/>
        </w:rPr>
        <w:lastRenderedPageBreak/>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2A85FF2" w14:textId="77777777" w:rsidR="00C75822" w:rsidRDefault="00C75822" w:rsidP="00C75822">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14:paraId="44EFDCE9" w14:textId="77777777" w:rsidR="003529E0" w:rsidRDefault="003529E0" w:rsidP="003529E0">
      <w:pPr>
        <w:pStyle w:val="Heading2"/>
      </w:pPr>
      <w:r>
        <w:t>Sponsor</w:t>
      </w:r>
      <w:r w:rsidRPr="0092516A">
        <w:t>s</w:t>
      </w:r>
      <w:r>
        <w:t>’</w:t>
      </w:r>
      <w:r w:rsidRPr="0092516A">
        <w:t xml:space="preserve"> comments</w:t>
      </w:r>
    </w:p>
    <w:p w14:paraId="2CBC7613" w14:textId="71461F66" w:rsidR="00E153FC" w:rsidRDefault="0072038D" w:rsidP="00E153FC">
      <w:r w:rsidRPr="0072038D">
        <w:t>GlaxoSmithKline Australia Pty Ltd</w:t>
      </w:r>
      <w:r>
        <w:t xml:space="preserve">:  </w:t>
      </w:r>
      <w:r w:rsidR="00854D4B" w:rsidRPr="00854D4B">
        <w:t>GSK regard the DUSC action to consider a subsequent analysis of RCC therapies once 24 months of utilisation data is available for everolimus, as reasonable.</w:t>
      </w:r>
    </w:p>
    <w:p w14:paraId="7E6E25AF" w14:textId="1D9F44FB" w:rsidR="00516020" w:rsidRPr="00E153FC" w:rsidRDefault="00516020" w:rsidP="00E153FC">
      <w:r w:rsidRPr="00516020">
        <w:t>Pfizer Australia Pty Ltd</w:t>
      </w:r>
      <w:r>
        <w:t>:  The sponsor has no comment.</w:t>
      </w:r>
    </w:p>
    <w:p w14:paraId="25D65B04" w14:textId="1B97A568" w:rsidR="00FE645A" w:rsidRDefault="00A4020E">
      <w:pPr>
        <w:spacing w:line="276" w:lineRule="auto"/>
        <w:rPr>
          <w:b/>
          <w:sz w:val="32"/>
          <w:szCs w:val="32"/>
        </w:rPr>
      </w:pPr>
      <w:r w:rsidRPr="00A4020E">
        <w:rPr>
          <w:b/>
          <w:sz w:val="32"/>
          <w:szCs w:val="32"/>
        </w:rPr>
        <w:t>Disclaimer</w:t>
      </w:r>
    </w:p>
    <w:p w14:paraId="477D7D94" w14:textId="739898AB" w:rsidR="000B268E" w:rsidRDefault="000B268E" w:rsidP="00E220CC">
      <w:pPr>
        <w:spacing w:after="0" w:line="276" w:lineRule="auto"/>
      </w:pPr>
      <w:r w:rsidRPr="000B268E">
        <w:t>The information provided in this report does not constitute medical advice and is not intended to take the place of profe</w:t>
      </w:r>
      <w:r w:rsidR="00F11CFC">
        <w:t xml:space="preserve">ssional medical advice or care.  </w:t>
      </w:r>
      <w:r w:rsidRPr="000B268E">
        <w:t>It is not intended to define what constitutes reasonable, appropriate or best care for any individual for any given health issue.</w:t>
      </w:r>
      <w:r w:rsidR="00E628EA">
        <w:t xml:space="preserve">  </w:t>
      </w:r>
      <w:r w:rsidRPr="000B268E">
        <w:t>The information should not be used as a substitute for the judgement and skill of a medical practitioner.</w:t>
      </w:r>
    </w:p>
    <w:p w14:paraId="64C6F3A3" w14:textId="77777777" w:rsidR="00E220CC" w:rsidRPr="000B268E" w:rsidRDefault="00E220CC" w:rsidP="00E220CC">
      <w:pPr>
        <w:spacing w:after="0" w:line="276" w:lineRule="auto"/>
      </w:pPr>
    </w:p>
    <w:p w14:paraId="34477926" w14:textId="601956EB" w:rsidR="000B268E" w:rsidRDefault="000B268E" w:rsidP="00E220CC">
      <w:pPr>
        <w:spacing w:after="0" w:line="276" w:lineRule="auto"/>
      </w:pPr>
      <w:r w:rsidRPr="000B268E">
        <w:t>The Department of Health (DoH) has made all reasonable efforts to ensure that information provided in this report is accurate. The information provided in this report was up-to-date when it was considered by the Drug Utilisation Sub-committee of the Pharmaceutic</w:t>
      </w:r>
      <w:r w:rsidR="00F11CFC">
        <w:t xml:space="preserve">al Benefits Advisory Committee.  </w:t>
      </w:r>
      <w:r w:rsidRPr="000B268E">
        <w:t>The context for that information may have changed since publication.</w:t>
      </w:r>
    </w:p>
    <w:p w14:paraId="3F7D9420" w14:textId="77777777" w:rsidR="00E220CC" w:rsidRPr="000B268E" w:rsidRDefault="00E220CC" w:rsidP="00E220CC">
      <w:pPr>
        <w:spacing w:after="0" w:line="276" w:lineRule="auto"/>
      </w:pPr>
    </w:p>
    <w:p w14:paraId="34FF6D3D" w14:textId="77777777" w:rsidR="000B268E" w:rsidRPr="000B268E" w:rsidRDefault="000B268E" w:rsidP="00E220CC">
      <w:pPr>
        <w:spacing w:after="0" w:line="276" w:lineRule="auto"/>
      </w:pPr>
      <w:r w:rsidRPr="000B268E">
        <w:t xml:space="preserve">To the extent provided by law, DoH makes no warranties or representations as to accuracy or completeness of information contained in this report. </w:t>
      </w:r>
    </w:p>
    <w:p w14:paraId="4A3EEA0C" w14:textId="4866FC14" w:rsidR="00FE645A" w:rsidRPr="009721A8" w:rsidRDefault="000B268E" w:rsidP="00E220CC">
      <w:pPr>
        <w:spacing w:after="0" w:line="276" w:lineRule="auto"/>
      </w:pPr>
      <w:r w:rsidRPr="000B268E">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w:t>
      </w:r>
      <w:r w:rsidR="009721A8">
        <w:t>site referred to in this report.</w:t>
      </w:r>
    </w:p>
    <w:sectPr w:rsidR="00FE645A" w:rsidRPr="009721A8" w:rsidSect="00945324">
      <w:headerReference w:type="even" r:id="rId20"/>
      <w:headerReference w:type="default" r:id="rId21"/>
      <w:footerReference w:type="even" r:id="rId22"/>
      <w:footerReference w:type="default" r:id="rId23"/>
      <w:headerReference w:type="first" r:id="rId24"/>
      <w:footerReference w:type="first" r:id="rId25"/>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00567" w14:textId="77777777" w:rsidR="00A124FE" w:rsidRDefault="00A124FE" w:rsidP="00A35800">
      <w:r>
        <w:separator/>
      </w:r>
    </w:p>
  </w:endnote>
  <w:endnote w:type="continuationSeparator" w:id="0">
    <w:p w14:paraId="5019B1AA" w14:textId="77777777" w:rsidR="00A124FE" w:rsidRDefault="00A124FE"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DAE2" w14:textId="77777777" w:rsidR="00E5660F" w:rsidRDefault="00E56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49236" w14:textId="77777777" w:rsidR="00E5660F" w:rsidRDefault="00E56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91B7" w14:textId="77777777" w:rsidR="00E5660F" w:rsidRDefault="00E56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A5493" w14:textId="77777777" w:rsidR="00A124FE" w:rsidRDefault="00A124FE" w:rsidP="00A35800">
      <w:r>
        <w:separator/>
      </w:r>
    </w:p>
  </w:footnote>
  <w:footnote w:type="continuationSeparator" w:id="0">
    <w:p w14:paraId="34B20D74" w14:textId="77777777" w:rsidR="00A124FE" w:rsidRDefault="00A124FE" w:rsidP="00A35800">
      <w:r>
        <w:continuationSeparator/>
      </w:r>
    </w:p>
  </w:footnote>
  <w:footnote w:id="1">
    <w:p w14:paraId="12DEDAAE" w14:textId="11FC2CB9" w:rsidR="00445A02" w:rsidRDefault="00445A02">
      <w:pPr>
        <w:pStyle w:val="FootnoteText"/>
      </w:pPr>
      <w:r>
        <w:rPr>
          <w:rStyle w:val="FootnoteReference"/>
        </w:rPr>
        <w:footnoteRef/>
      </w:r>
      <w:r>
        <w:t xml:space="preserve"> </w:t>
      </w:r>
      <w:r w:rsidRPr="007A0882">
        <w:t>Australian Institute of Health and Welfare (AIHW)</w:t>
      </w:r>
      <w:r w:rsidR="00C36DC2">
        <w:t>.</w:t>
      </w:r>
      <w:r w:rsidRPr="007A0882">
        <w:t xml:space="preserve"> Australian Cancer Incidence and Mortality book for Kidney cancer.</w:t>
      </w:r>
      <w:r w:rsidR="003917F1">
        <w:t xml:space="preserve"> </w:t>
      </w:r>
      <w:r w:rsidRPr="007A0882">
        <w:t>Canberra</w:t>
      </w:r>
      <w:r w:rsidR="00BA48BF">
        <w:t xml:space="preserve">; 2014 Available from </w:t>
      </w:r>
      <w:hyperlink r:id="rId1" w:history="1">
        <w:r w:rsidR="00BA48BF" w:rsidRPr="00BA48BF">
          <w:rPr>
            <w:rStyle w:val="Hyperlink"/>
          </w:rPr>
          <w:t>&lt;AIHW website&gt;</w:t>
        </w:r>
      </w:hyperlink>
      <w:r w:rsidR="00BA48BF">
        <w:t>.</w:t>
      </w:r>
    </w:p>
  </w:footnote>
  <w:footnote w:id="2">
    <w:p w14:paraId="71893638" w14:textId="124C78B8" w:rsidR="002532F3" w:rsidRDefault="002532F3">
      <w:pPr>
        <w:pStyle w:val="FootnoteText"/>
      </w:pPr>
      <w:r>
        <w:rPr>
          <w:rStyle w:val="FootnoteReference"/>
        </w:rPr>
        <w:footnoteRef/>
      </w:r>
      <w:r>
        <w:t xml:space="preserve"> Motzer</w:t>
      </w:r>
      <w:r w:rsidR="006608B4">
        <w:t xml:space="preserve"> RJ</w:t>
      </w:r>
      <w:r>
        <w:t>,</w:t>
      </w:r>
      <w:r w:rsidR="006608B4">
        <w:t xml:space="preserve"> Hutson TE, Cella D, Reeves J, Hawkins R, Guo J</w:t>
      </w:r>
      <w:r>
        <w:t>. et al</w:t>
      </w:r>
      <w:r w:rsidR="00A778E7">
        <w:t>.</w:t>
      </w:r>
      <w:r>
        <w:t xml:space="preserve"> Pazopanib versus Sunitinib in Metastatic Renal-Cell Carcinoma</w:t>
      </w:r>
      <w:r w:rsidR="00A778E7">
        <w:t>.</w:t>
      </w:r>
      <w:r>
        <w:t xml:space="preserve"> NEJM 2013;369</w:t>
      </w:r>
      <w:r w:rsidR="00A778E7">
        <w:t>(8)</w:t>
      </w:r>
      <w:r>
        <w:t>:722-31.</w:t>
      </w:r>
      <w:r w:rsidR="00A778E7">
        <w:t xml:space="preserve"> Available from </w:t>
      </w:r>
      <w:hyperlink r:id="rId2" w:history="1">
        <w:r w:rsidR="00A778E7" w:rsidRPr="00E95D0E">
          <w:rPr>
            <w:rStyle w:val="Hyperlink"/>
          </w:rPr>
          <w:t>&lt;the NEJM website&gt;</w:t>
        </w:r>
      </w:hyperlink>
      <w:r w:rsidR="00A778E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7AA1A" w14:textId="77777777" w:rsidR="00E5660F" w:rsidRDefault="00E56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B201" w14:textId="77777777" w:rsidR="00E5660F" w:rsidRDefault="00E56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F5A81" w14:textId="77777777" w:rsidR="00E5660F" w:rsidRDefault="00E56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1B1"/>
    <w:multiLevelType w:val="hybridMultilevel"/>
    <w:tmpl w:val="39387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3C6B72"/>
    <w:multiLevelType w:val="hybridMultilevel"/>
    <w:tmpl w:val="E4A40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2880EB7"/>
    <w:multiLevelType w:val="hybridMultilevel"/>
    <w:tmpl w:val="7D5CC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22617"/>
    <w:rsid w:val="0002461D"/>
    <w:rsid w:val="00036E18"/>
    <w:rsid w:val="000370E5"/>
    <w:rsid w:val="000371C1"/>
    <w:rsid w:val="0004493C"/>
    <w:rsid w:val="00046D7D"/>
    <w:rsid w:val="00064022"/>
    <w:rsid w:val="00076B85"/>
    <w:rsid w:val="000862A9"/>
    <w:rsid w:val="00094DCF"/>
    <w:rsid w:val="000970F1"/>
    <w:rsid w:val="000B268E"/>
    <w:rsid w:val="000B796C"/>
    <w:rsid w:val="000C6217"/>
    <w:rsid w:val="000C7D8B"/>
    <w:rsid w:val="000D06D7"/>
    <w:rsid w:val="000E485D"/>
    <w:rsid w:val="000F22BC"/>
    <w:rsid w:val="000F2F51"/>
    <w:rsid w:val="000F745B"/>
    <w:rsid w:val="000F760B"/>
    <w:rsid w:val="00102067"/>
    <w:rsid w:val="00102802"/>
    <w:rsid w:val="00102B8B"/>
    <w:rsid w:val="00103981"/>
    <w:rsid w:val="00111C47"/>
    <w:rsid w:val="00112FB2"/>
    <w:rsid w:val="00113D74"/>
    <w:rsid w:val="00117C5C"/>
    <w:rsid w:val="001200ED"/>
    <w:rsid w:val="001240C6"/>
    <w:rsid w:val="001327FB"/>
    <w:rsid w:val="001420B3"/>
    <w:rsid w:val="0014260F"/>
    <w:rsid w:val="0015691C"/>
    <w:rsid w:val="0016404A"/>
    <w:rsid w:val="001714FD"/>
    <w:rsid w:val="001734F8"/>
    <w:rsid w:val="00173840"/>
    <w:rsid w:val="00174183"/>
    <w:rsid w:val="001B50CA"/>
    <w:rsid w:val="001B5D37"/>
    <w:rsid w:val="001C15A0"/>
    <w:rsid w:val="001C4016"/>
    <w:rsid w:val="001E31A6"/>
    <w:rsid w:val="001F2F3E"/>
    <w:rsid w:val="00203FC4"/>
    <w:rsid w:val="00204681"/>
    <w:rsid w:val="00205CA8"/>
    <w:rsid w:val="00214013"/>
    <w:rsid w:val="00226902"/>
    <w:rsid w:val="002271E3"/>
    <w:rsid w:val="00230495"/>
    <w:rsid w:val="0024294B"/>
    <w:rsid w:val="002532F3"/>
    <w:rsid w:val="00265E3F"/>
    <w:rsid w:val="0028338F"/>
    <w:rsid w:val="002941C5"/>
    <w:rsid w:val="002A2B8E"/>
    <w:rsid w:val="002C177B"/>
    <w:rsid w:val="002C4942"/>
    <w:rsid w:val="002C6C09"/>
    <w:rsid w:val="002C6E0C"/>
    <w:rsid w:val="002D6D18"/>
    <w:rsid w:val="002E3337"/>
    <w:rsid w:val="002E3A92"/>
    <w:rsid w:val="002E565C"/>
    <w:rsid w:val="002F34C5"/>
    <w:rsid w:val="002F49A8"/>
    <w:rsid w:val="002F61CA"/>
    <w:rsid w:val="003025B3"/>
    <w:rsid w:val="0030726E"/>
    <w:rsid w:val="0030749C"/>
    <w:rsid w:val="00313B8D"/>
    <w:rsid w:val="0031556A"/>
    <w:rsid w:val="00321032"/>
    <w:rsid w:val="003370D0"/>
    <w:rsid w:val="00340A22"/>
    <w:rsid w:val="00340F95"/>
    <w:rsid w:val="00347CBC"/>
    <w:rsid w:val="003529E0"/>
    <w:rsid w:val="00352E14"/>
    <w:rsid w:val="003531ED"/>
    <w:rsid w:val="0035628E"/>
    <w:rsid w:val="00360D43"/>
    <w:rsid w:val="00370E6A"/>
    <w:rsid w:val="0039017F"/>
    <w:rsid w:val="003917F1"/>
    <w:rsid w:val="003B6440"/>
    <w:rsid w:val="003D6756"/>
    <w:rsid w:val="003D79F2"/>
    <w:rsid w:val="003F40CB"/>
    <w:rsid w:val="00402C55"/>
    <w:rsid w:val="004058A5"/>
    <w:rsid w:val="004260FC"/>
    <w:rsid w:val="00430343"/>
    <w:rsid w:val="00444840"/>
    <w:rsid w:val="00445A02"/>
    <w:rsid w:val="00452557"/>
    <w:rsid w:val="00462FF4"/>
    <w:rsid w:val="00474BBE"/>
    <w:rsid w:val="00481108"/>
    <w:rsid w:val="004867AA"/>
    <w:rsid w:val="0049042B"/>
    <w:rsid w:val="004A458E"/>
    <w:rsid w:val="004A4E67"/>
    <w:rsid w:val="004A7DCE"/>
    <w:rsid w:val="004B0D37"/>
    <w:rsid w:val="004B23E7"/>
    <w:rsid w:val="004B306F"/>
    <w:rsid w:val="004B33A3"/>
    <w:rsid w:val="004B78BB"/>
    <w:rsid w:val="004C3186"/>
    <w:rsid w:val="004C5042"/>
    <w:rsid w:val="004D11DF"/>
    <w:rsid w:val="004D4B13"/>
    <w:rsid w:val="004E09E8"/>
    <w:rsid w:val="004E3CC1"/>
    <w:rsid w:val="00503998"/>
    <w:rsid w:val="0050623B"/>
    <w:rsid w:val="00511523"/>
    <w:rsid w:val="00516020"/>
    <w:rsid w:val="00517BE8"/>
    <w:rsid w:val="005275BE"/>
    <w:rsid w:val="005339F6"/>
    <w:rsid w:val="005351EB"/>
    <w:rsid w:val="00547880"/>
    <w:rsid w:val="005539EB"/>
    <w:rsid w:val="00561CB4"/>
    <w:rsid w:val="00576825"/>
    <w:rsid w:val="00585DF4"/>
    <w:rsid w:val="00587254"/>
    <w:rsid w:val="00587461"/>
    <w:rsid w:val="00591512"/>
    <w:rsid w:val="005A44A1"/>
    <w:rsid w:val="005B54D6"/>
    <w:rsid w:val="005C2AE7"/>
    <w:rsid w:val="005C4023"/>
    <w:rsid w:val="005C597F"/>
    <w:rsid w:val="005C78B3"/>
    <w:rsid w:val="005E147D"/>
    <w:rsid w:val="005E22C2"/>
    <w:rsid w:val="005E5FDC"/>
    <w:rsid w:val="005E6020"/>
    <w:rsid w:val="005F5533"/>
    <w:rsid w:val="005F5F4A"/>
    <w:rsid w:val="006035DD"/>
    <w:rsid w:val="006063CD"/>
    <w:rsid w:val="00612468"/>
    <w:rsid w:val="006257F5"/>
    <w:rsid w:val="0063021F"/>
    <w:rsid w:val="0063631C"/>
    <w:rsid w:val="006537D9"/>
    <w:rsid w:val="006608B4"/>
    <w:rsid w:val="00665DEF"/>
    <w:rsid w:val="00675BB1"/>
    <w:rsid w:val="006A44F5"/>
    <w:rsid w:val="006B4537"/>
    <w:rsid w:val="006B5BC7"/>
    <w:rsid w:val="006B709B"/>
    <w:rsid w:val="006C003B"/>
    <w:rsid w:val="006C1002"/>
    <w:rsid w:val="006C1597"/>
    <w:rsid w:val="006E0181"/>
    <w:rsid w:val="006E0183"/>
    <w:rsid w:val="006E1C85"/>
    <w:rsid w:val="006E243F"/>
    <w:rsid w:val="00701258"/>
    <w:rsid w:val="007015DF"/>
    <w:rsid w:val="00705309"/>
    <w:rsid w:val="00705DAD"/>
    <w:rsid w:val="0071267E"/>
    <w:rsid w:val="0072038D"/>
    <w:rsid w:val="007247B9"/>
    <w:rsid w:val="00727D85"/>
    <w:rsid w:val="00731748"/>
    <w:rsid w:val="007346C7"/>
    <w:rsid w:val="00736041"/>
    <w:rsid w:val="007408C7"/>
    <w:rsid w:val="007411F3"/>
    <w:rsid w:val="007417FA"/>
    <w:rsid w:val="00743008"/>
    <w:rsid w:val="00743A28"/>
    <w:rsid w:val="00752C7F"/>
    <w:rsid w:val="00757145"/>
    <w:rsid w:val="00776598"/>
    <w:rsid w:val="00784C68"/>
    <w:rsid w:val="00793F0F"/>
    <w:rsid w:val="0079561B"/>
    <w:rsid w:val="00796B2F"/>
    <w:rsid w:val="00796E84"/>
    <w:rsid w:val="007A0882"/>
    <w:rsid w:val="007A6730"/>
    <w:rsid w:val="007B6A3D"/>
    <w:rsid w:val="007C01CD"/>
    <w:rsid w:val="007C5264"/>
    <w:rsid w:val="007D57F9"/>
    <w:rsid w:val="007F6418"/>
    <w:rsid w:val="00800C2D"/>
    <w:rsid w:val="00802067"/>
    <w:rsid w:val="00803FF1"/>
    <w:rsid w:val="008142B4"/>
    <w:rsid w:val="00832324"/>
    <w:rsid w:val="00836237"/>
    <w:rsid w:val="00841DEB"/>
    <w:rsid w:val="00854D4B"/>
    <w:rsid w:val="00856BB4"/>
    <w:rsid w:val="00867C14"/>
    <w:rsid w:val="0088071B"/>
    <w:rsid w:val="008844B8"/>
    <w:rsid w:val="00896025"/>
    <w:rsid w:val="00897393"/>
    <w:rsid w:val="00897A45"/>
    <w:rsid w:val="008A3200"/>
    <w:rsid w:val="008B0EED"/>
    <w:rsid w:val="008B12D0"/>
    <w:rsid w:val="008B1A9D"/>
    <w:rsid w:val="008B5F69"/>
    <w:rsid w:val="008F7BA6"/>
    <w:rsid w:val="00902FD0"/>
    <w:rsid w:val="009053D3"/>
    <w:rsid w:val="00905AB4"/>
    <w:rsid w:val="009159D4"/>
    <w:rsid w:val="00917A7C"/>
    <w:rsid w:val="00925A87"/>
    <w:rsid w:val="0093111F"/>
    <w:rsid w:val="00935689"/>
    <w:rsid w:val="00945324"/>
    <w:rsid w:val="00947EAD"/>
    <w:rsid w:val="00952E78"/>
    <w:rsid w:val="00957837"/>
    <w:rsid w:val="009663B6"/>
    <w:rsid w:val="0097215C"/>
    <w:rsid w:val="009721A8"/>
    <w:rsid w:val="009745C6"/>
    <w:rsid w:val="00980286"/>
    <w:rsid w:val="00987EDD"/>
    <w:rsid w:val="009A4CD6"/>
    <w:rsid w:val="009C0886"/>
    <w:rsid w:val="009C0A08"/>
    <w:rsid w:val="009C35F2"/>
    <w:rsid w:val="009C49A5"/>
    <w:rsid w:val="009C4AD8"/>
    <w:rsid w:val="009D055B"/>
    <w:rsid w:val="009D41C8"/>
    <w:rsid w:val="009E2173"/>
    <w:rsid w:val="009E21A7"/>
    <w:rsid w:val="009F1B68"/>
    <w:rsid w:val="009F5E96"/>
    <w:rsid w:val="00A103ED"/>
    <w:rsid w:val="00A124FE"/>
    <w:rsid w:val="00A13C60"/>
    <w:rsid w:val="00A33D09"/>
    <w:rsid w:val="00A35800"/>
    <w:rsid w:val="00A4020E"/>
    <w:rsid w:val="00A41282"/>
    <w:rsid w:val="00A61960"/>
    <w:rsid w:val="00A761D8"/>
    <w:rsid w:val="00A778E7"/>
    <w:rsid w:val="00A84CAD"/>
    <w:rsid w:val="00A8563E"/>
    <w:rsid w:val="00AA0693"/>
    <w:rsid w:val="00AB3733"/>
    <w:rsid w:val="00AC3ADD"/>
    <w:rsid w:val="00AD75B0"/>
    <w:rsid w:val="00AF6DE8"/>
    <w:rsid w:val="00B02AB9"/>
    <w:rsid w:val="00B05310"/>
    <w:rsid w:val="00B10561"/>
    <w:rsid w:val="00B12ABF"/>
    <w:rsid w:val="00B220D4"/>
    <w:rsid w:val="00B31E88"/>
    <w:rsid w:val="00B45081"/>
    <w:rsid w:val="00B6722A"/>
    <w:rsid w:val="00B9120F"/>
    <w:rsid w:val="00B924A4"/>
    <w:rsid w:val="00BA48BF"/>
    <w:rsid w:val="00BB0D1A"/>
    <w:rsid w:val="00BB1D3B"/>
    <w:rsid w:val="00BB4564"/>
    <w:rsid w:val="00BC35ED"/>
    <w:rsid w:val="00BC4547"/>
    <w:rsid w:val="00BC55C3"/>
    <w:rsid w:val="00BD437F"/>
    <w:rsid w:val="00BE6BB0"/>
    <w:rsid w:val="00BF238E"/>
    <w:rsid w:val="00C0076F"/>
    <w:rsid w:val="00C11843"/>
    <w:rsid w:val="00C24359"/>
    <w:rsid w:val="00C36DC2"/>
    <w:rsid w:val="00C41246"/>
    <w:rsid w:val="00C41312"/>
    <w:rsid w:val="00C41673"/>
    <w:rsid w:val="00C43865"/>
    <w:rsid w:val="00C45E5F"/>
    <w:rsid w:val="00C5713D"/>
    <w:rsid w:val="00C60DA4"/>
    <w:rsid w:val="00C64137"/>
    <w:rsid w:val="00C65217"/>
    <w:rsid w:val="00C675DB"/>
    <w:rsid w:val="00C714D0"/>
    <w:rsid w:val="00C74E67"/>
    <w:rsid w:val="00C75822"/>
    <w:rsid w:val="00C87938"/>
    <w:rsid w:val="00C97AFA"/>
    <w:rsid w:val="00CA0943"/>
    <w:rsid w:val="00CA22A7"/>
    <w:rsid w:val="00CB341D"/>
    <w:rsid w:val="00CB4FDE"/>
    <w:rsid w:val="00CC4CFC"/>
    <w:rsid w:val="00CD3F9C"/>
    <w:rsid w:val="00CE001C"/>
    <w:rsid w:val="00D03810"/>
    <w:rsid w:val="00D07337"/>
    <w:rsid w:val="00D07C61"/>
    <w:rsid w:val="00D134DB"/>
    <w:rsid w:val="00D13C41"/>
    <w:rsid w:val="00D151EB"/>
    <w:rsid w:val="00D2291F"/>
    <w:rsid w:val="00D56BB9"/>
    <w:rsid w:val="00D650CE"/>
    <w:rsid w:val="00D74775"/>
    <w:rsid w:val="00D8758B"/>
    <w:rsid w:val="00DA7D09"/>
    <w:rsid w:val="00DC441A"/>
    <w:rsid w:val="00DC49E9"/>
    <w:rsid w:val="00DD541A"/>
    <w:rsid w:val="00DE0B96"/>
    <w:rsid w:val="00DE1B1B"/>
    <w:rsid w:val="00DF0B13"/>
    <w:rsid w:val="00DF4A94"/>
    <w:rsid w:val="00E066C3"/>
    <w:rsid w:val="00E06753"/>
    <w:rsid w:val="00E12B3B"/>
    <w:rsid w:val="00E1353A"/>
    <w:rsid w:val="00E14D65"/>
    <w:rsid w:val="00E153FC"/>
    <w:rsid w:val="00E1564B"/>
    <w:rsid w:val="00E16F5A"/>
    <w:rsid w:val="00E1755E"/>
    <w:rsid w:val="00E208A0"/>
    <w:rsid w:val="00E220CC"/>
    <w:rsid w:val="00E31B83"/>
    <w:rsid w:val="00E41B53"/>
    <w:rsid w:val="00E5660F"/>
    <w:rsid w:val="00E628EA"/>
    <w:rsid w:val="00E677DD"/>
    <w:rsid w:val="00E71CDD"/>
    <w:rsid w:val="00E72178"/>
    <w:rsid w:val="00E74228"/>
    <w:rsid w:val="00E860FF"/>
    <w:rsid w:val="00E9120B"/>
    <w:rsid w:val="00E95D0E"/>
    <w:rsid w:val="00E960CA"/>
    <w:rsid w:val="00EA75CD"/>
    <w:rsid w:val="00EB6C07"/>
    <w:rsid w:val="00EC028D"/>
    <w:rsid w:val="00EC07AD"/>
    <w:rsid w:val="00ED577F"/>
    <w:rsid w:val="00ED633B"/>
    <w:rsid w:val="00EE478C"/>
    <w:rsid w:val="00F11CFC"/>
    <w:rsid w:val="00F11DA1"/>
    <w:rsid w:val="00F20CF3"/>
    <w:rsid w:val="00F571C6"/>
    <w:rsid w:val="00F61326"/>
    <w:rsid w:val="00F6664F"/>
    <w:rsid w:val="00F771D6"/>
    <w:rsid w:val="00F8340E"/>
    <w:rsid w:val="00FC2C7A"/>
    <w:rsid w:val="00FC4A73"/>
    <w:rsid w:val="00FE645A"/>
    <w:rsid w:val="00FF76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A"/>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3631C"/>
    <w:pPr>
      <w:keepNext/>
      <w:keepLines/>
      <w:spacing w:before="36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Normal"/>
    <w:next w:val="Normal"/>
    <w:link w:val="Heading4Char"/>
    <w:uiPriority w:val="9"/>
    <w:unhideWhenUsed/>
    <w:qFormat/>
    <w:rsid w:val="0063631C"/>
    <w:pPr>
      <w:keepNext/>
      <w:keepLines/>
      <w:spacing w:before="24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63631C"/>
    <w:rPr>
      <w:rFonts w:ascii="Lucida Bright" w:eastAsiaTheme="majorEastAsia" w:hAnsi="Lucida Bright" w:cstheme="majorBidi"/>
      <w:b/>
      <w:bCs/>
      <w:sz w:val="32"/>
      <w:szCs w:val="26"/>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63631C"/>
    <w:rPr>
      <w:rFonts w:ascii="Lucida Bright" w:eastAsiaTheme="majorEastAsia" w:hAnsi="Lucida Bright" w:cstheme="majorBidi"/>
      <w:b/>
      <w:bCs/>
      <w:i/>
      <w:iCs/>
      <w:sz w:val="24"/>
      <w:szCs w:val="24"/>
    </w:rPr>
  </w:style>
  <w:style w:type="character" w:customStyle="1" w:styleId="Heading5Char">
    <w:name w:val="Heading 5 Char"/>
    <w:basedOn w:val="DefaultParagraphFont"/>
    <w:link w:val="Heading5"/>
    <w:uiPriority w:val="9"/>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A35800"/>
    <w:pPr>
      <w:spacing w:after="20"/>
    </w:pPr>
    <w:rPr>
      <w:i w:val="0"/>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semiHidden/>
    <w:unhideWhenUsed/>
    <w:rsid w:val="008142B4"/>
    <w:rPr>
      <w:vertAlign w:val="superscript"/>
    </w:rPr>
  </w:style>
  <w:style w:type="character" w:customStyle="1" w:styleId="TabletitleChar">
    <w:name w:val="Table title Char"/>
    <w:basedOn w:val="Heading4Char"/>
    <w:link w:val="Tabletitle"/>
    <w:rsid w:val="00FE645A"/>
    <w:rPr>
      <w:rFonts w:ascii="Lucida Bright" w:eastAsiaTheme="majorEastAsia" w:hAnsi="Lucida Bright" w:cstheme="majorBidi"/>
      <w:b/>
      <w:bCs/>
      <w:i w:val="0"/>
      <w:i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ListParagraph">
    <w:name w:val="List Paragraph"/>
    <w:basedOn w:val="Normal"/>
    <w:uiPriority w:val="34"/>
    <w:qFormat/>
    <w:rsid w:val="0071267E"/>
    <w:pPr>
      <w:ind w:left="720"/>
      <w:contextualSpacing/>
    </w:pPr>
  </w:style>
  <w:style w:type="paragraph" w:customStyle="1" w:styleId="TableText">
    <w:name w:val="Table Text"/>
    <w:basedOn w:val="Normal"/>
    <w:rsid w:val="0071267E"/>
    <w:pPr>
      <w:spacing w:after="0"/>
    </w:pPr>
    <w:rPr>
      <w:rFonts w:ascii="Arial" w:eastAsia="Arial" w:hAnsi="Arial" w:cs="Arial"/>
      <w:sz w:val="20"/>
      <w:szCs w:val="20"/>
      <w:lang w:val="en-US" w:eastAsia="en-US"/>
    </w:rPr>
  </w:style>
  <w:style w:type="character" w:styleId="SubtleEmphasis">
    <w:name w:val="Subtle Emphasis"/>
    <w:basedOn w:val="DefaultParagraphFont"/>
    <w:uiPriority w:val="19"/>
    <w:qFormat/>
    <w:rsid w:val="00841DEB"/>
    <w:rPr>
      <w:rFonts w:ascii="Arial" w:hAnsi="Arial"/>
      <w:i w:val="0"/>
      <w:iCs/>
      <w:color w:val="auto"/>
      <w:spacing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A"/>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3631C"/>
    <w:pPr>
      <w:keepNext/>
      <w:keepLines/>
      <w:spacing w:before="36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Normal"/>
    <w:next w:val="Normal"/>
    <w:link w:val="Heading4Char"/>
    <w:uiPriority w:val="9"/>
    <w:unhideWhenUsed/>
    <w:qFormat/>
    <w:rsid w:val="0063631C"/>
    <w:pPr>
      <w:keepNext/>
      <w:keepLines/>
      <w:spacing w:before="24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63631C"/>
    <w:rPr>
      <w:rFonts w:ascii="Lucida Bright" w:eastAsiaTheme="majorEastAsia" w:hAnsi="Lucida Bright" w:cstheme="majorBidi"/>
      <w:b/>
      <w:bCs/>
      <w:sz w:val="32"/>
      <w:szCs w:val="26"/>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63631C"/>
    <w:rPr>
      <w:rFonts w:ascii="Lucida Bright" w:eastAsiaTheme="majorEastAsia" w:hAnsi="Lucida Bright" w:cstheme="majorBidi"/>
      <w:b/>
      <w:bCs/>
      <w:i/>
      <w:iCs/>
      <w:sz w:val="24"/>
      <w:szCs w:val="24"/>
    </w:rPr>
  </w:style>
  <w:style w:type="character" w:customStyle="1" w:styleId="Heading5Char">
    <w:name w:val="Heading 5 Char"/>
    <w:basedOn w:val="DefaultParagraphFont"/>
    <w:link w:val="Heading5"/>
    <w:uiPriority w:val="9"/>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A35800"/>
    <w:pPr>
      <w:spacing w:after="20"/>
    </w:pPr>
    <w:rPr>
      <w:i w:val="0"/>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semiHidden/>
    <w:unhideWhenUsed/>
    <w:rsid w:val="008142B4"/>
    <w:rPr>
      <w:vertAlign w:val="superscript"/>
    </w:rPr>
  </w:style>
  <w:style w:type="character" w:customStyle="1" w:styleId="TabletitleChar">
    <w:name w:val="Table title Char"/>
    <w:basedOn w:val="Heading4Char"/>
    <w:link w:val="Tabletitle"/>
    <w:rsid w:val="00FE645A"/>
    <w:rPr>
      <w:rFonts w:ascii="Lucida Bright" w:eastAsiaTheme="majorEastAsia" w:hAnsi="Lucida Bright" w:cstheme="majorBidi"/>
      <w:b/>
      <w:bCs/>
      <w:i w:val="0"/>
      <w:i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ListParagraph">
    <w:name w:val="List Paragraph"/>
    <w:basedOn w:val="Normal"/>
    <w:uiPriority w:val="34"/>
    <w:qFormat/>
    <w:rsid w:val="0071267E"/>
    <w:pPr>
      <w:ind w:left="720"/>
      <w:contextualSpacing/>
    </w:pPr>
  </w:style>
  <w:style w:type="paragraph" w:customStyle="1" w:styleId="TableText">
    <w:name w:val="Table Text"/>
    <w:basedOn w:val="Normal"/>
    <w:rsid w:val="0071267E"/>
    <w:pPr>
      <w:spacing w:after="0"/>
    </w:pPr>
    <w:rPr>
      <w:rFonts w:ascii="Arial" w:eastAsia="Arial" w:hAnsi="Arial" w:cs="Arial"/>
      <w:sz w:val="20"/>
      <w:szCs w:val="20"/>
      <w:lang w:val="en-US" w:eastAsia="en-US"/>
    </w:rPr>
  </w:style>
  <w:style w:type="character" w:styleId="SubtleEmphasis">
    <w:name w:val="Subtle Emphasis"/>
    <w:basedOn w:val="DefaultParagraphFont"/>
    <w:uiPriority w:val="19"/>
    <w:qFormat/>
    <w:rsid w:val="00841DEB"/>
    <w:rPr>
      <w:rFonts w:ascii="Arial" w:hAnsi="Arial"/>
      <w:i w:val="0"/>
      <w:iCs/>
      <w:color w:val="auto"/>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gov.au/" TargetMode="External"/><Relationship Id="rId13" Type="http://schemas.openxmlformats.org/officeDocument/2006/relationships/hyperlink" Target="http://www.health.gov.au/internet/main/publishing.nsf/Content/pbac-psd-sunitinib-malate-july08" TargetMode="External"/><Relationship Id="rId18" Type="http://schemas.openxmlformats.org/officeDocument/2006/relationships/image" Target="media/image4.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bs.gov.au/" TargetMode="External"/><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s.gov.a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hyperlink" Target="http://www.tga.gov.au/consumers/information-medicines-cmi.ht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tga.gov.au/hp/information-medicines-pi.htm" TargetMode="External"/><Relationship Id="rId14" Type="http://schemas.openxmlformats.org/officeDocument/2006/relationships/hyperlink" Target="http://www.pbs.gov.au/info/industry/listing/elements/pbac-meetings/psd/2012-03/pazopanib"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ejm.org/toc/nejm/369/8" TargetMode="External"/><Relationship Id="rId1" Type="http://schemas.openxmlformats.org/officeDocument/2006/relationships/hyperlink" Target="http://www.aihw.gov.au/acim-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2014-10-24T04:28:00Z</dcterms:created>
  <dcterms:modified xsi:type="dcterms:W3CDTF">2014-10-29T00:01:00Z</dcterms:modified>
</cp:coreProperties>
</file>