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E4" w:rsidRDefault="00D8450A" w:rsidP="00604E56">
      <w:pPr>
        <w:spacing w:after="480"/>
        <w:rPr>
          <w:noProof/>
          <w:sz w:val="28"/>
          <w:szCs w:val="28"/>
        </w:rPr>
      </w:pPr>
      <w:bookmarkStart w:id="0" w:name="imageHolder"/>
      <w:bookmarkStart w:id="1" w:name="_GoBack"/>
      <w:bookmarkEnd w:id="0"/>
      <w:bookmarkEnd w:id="1"/>
      <w:r w:rsidRPr="00D912DB">
        <w:rPr>
          <w:noProof/>
          <w:sz w:val="28"/>
          <w:szCs w:val="28"/>
        </w:rPr>
        <w:drawing>
          <wp:inline distT="0" distB="0" distL="0" distR="0" wp14:anchorId="1830D032" wp14:editId="23AFDA85">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7"/>
                    <a:stretch>
                      <a:fillRect/>
                    </a:stretch>
                  </pic:blipFill>
                  <pic:spPr>
                    <a:xfrm>
                      <a:off x="0" y="0"/>
                      <a:ext cx="1688400" cy="1119600"/>
                    </a:xfrm>
                    <a:prstGeom prst="rect">
                      <a:avLst/>
                    </a:prstGeom>
                  </pic:spPr>
                </pic:pic>
              </a:graphicData>
            </a:graphic>
          </wp:inline>
        </w:drawing>
      </w:r>
    </w:p>
    <w:p w:rsidR="00B16A2B" w:rsidRPr="00B16A2B" w:rsidRDefault="0077036B" w:rsidP="00B16A2B">
      <w:pPr>
        <w:pStyle w:val="Heading1"/>
      </w:pPr>
      <w:bookmarkStart w:id="2" w:name="Title"/>
      <w:bookmarkEnd w:id="2"/>
      <w:r w:rsidRPr="00B16A2B">
        <w:t>Information for Healthcare Professionals</w:t>
      </w:r>
      <w:r w:rsidR="00BD0B61" w:rsidRPr="00B16A2B">
        <w:t xml:space="preserve"> and Patients</w:t>
      </w:r>
      <w:r w:rsidR="00B16A2B" w:rsidRPr="00B16A2B">
        <w:t xml:space="preserve">  </w:t>
      </w:r>
    </w:p>
    <w:p w:rsidR="0077036B" w:rsidRPr="00B16A2B" w:rsidRDefault="0077036B" w:rsidP="00B16A2B">
      <w:pPr>
        <w:pStyle w:val="Heading1"/>
      </w:pPr>
      <w:r w:rsidRPr="00B16A2B">
        <w:t>Pharmaceutical Benefits Scheme</w:t>
      </w:r>
      <w:r w:rsidR="00B07414" w:rsidRPr="00B16A2B">
        <w:t xml:space="preserve"> (PBS)</w:t>
      </w:r>
      <w:r w:rsidRPr="00B16A2B">
        <w:t xml:space="preserve"> –</w:t>
      </w:r>
      <w:r w:rsidR="007A6678" w:rsidRPr="00B16A2B">
        <w:t xml:space="preserve"> </w:t>
      </w:r>
      <w:r w:rsidR="00B07414" w:rsidRPr="00B16A2B">
        <w:t xml:space="preserve">Revised PBS listings for </w:t>
      </w:r>
      <w:r w:rsidRPr="00B16A2B">
        <w:t>Pulmonary Arterial Hypertension</w:t>
      </w:r>
      <w:r w:rsidR="00B07414" w:rsidRPr="00B16A2B">
        <w:t xml:space="preserve"> Medicines</w:t>
      </w:r>
    </w:p>
    <w:p w:rsidR="00512898" w:rsidRDefault="00512898" w:rsidP="00604E56">
      <w:pPr>
        <w:rPr>
          <w:rFonts w:asciiTheme="minorHAnsi" w:hAnsiTheme="minorHAnsi" w:cstheme="minorHAnsi"/>
          <w:sz w:val="22"/>
          <w:szCs w:val="22"/>
        </w:rPr>
      </w:pPr>
    </w:p>
    <w:p w:rsidR="00FD5391" w:rsidRPr="00FD5391" w:rsidRDefault="00B663EB" w:rsidP="00604E56">
      <w:pPr>
        <w:pStyle w:val="Char2CharCharCharZchnZchnCharCharCharCharCharCharCharCharCharCharCharCharCharCharCharCharCharCharCharCharCharCharCharChar1CharCharCharCharCharCharCharCharCharCharCharChar1Char"/>
        <w:tabs>
          <w:tab w:val="left" w:pos="1590"/>
        </w:tabs>
        <w:spacing w:after="150" w:line="300" w:lineRule="atLeast"/>
        <w:ind w:left="34"/>
        <w:rPr>
          <w:rFonts w:asciiTheme="minorHAnsi" w:eastAsiaTheme="minorHAnsi" w:hAnsiTheme="minorHAnsi" w:cstheme="minorHAnsi"/>
          <w:sz w:val="24"/>
          <w:szCs w:val="24"/>
          <w:lang w:val="en-AU"/>
        </w:rPr>
      </w:pPr>
      <w:r w:rsidRPr="00FD5391">
        <w:rPr>
          <w:rFonts w:asciiTheme="minorHAnsi" w:hAnsiTheme="minorHAnsi" w:cstheme="minorHAnsi"/>
          <w:sz w:val="24"/>
          <w:szCs w:val="24"/>
        </w:rPr>
        <w:t xml:space="preserve">In November 2018, the Pharmaceutical Benefits Advisory Committee (PBAC) considered the </w:t>
      </w:r>
      <w:hyperlink r:id="rId8" w:history="1">
        <w:r w:rsidRPr="00FD5391">
          <w:rPr>
            <w:rStyle w:val="Hyperlink"/>
            <w:rFonts w:asciiTheme="minorHAnsi" w:hAnsiTheme="minorHAnsi" w:cstheme="minorHAnsi"/>
            <w:sz w:val="24"/>
            <w:szCs w:val="24"/>
          </w:rPr>
          <w:t>Post-market Review of Pulmonary Arterial Hypertension (PAH) medicines</w:t>
        </w:r>
      </w:hyperlink>
      <w:r w:rsidRPr="00FD5391">
        <w:rPr>
          <w:rFonts w:asciiTheme="minorHAnsi" w:hAnsiTheme="minorHAnsi" w:cstheme="minorHAnsi"/>
          <w:sz w:val="24"/>
          <w:szCs w:val="24"/>
        </w:rPr>
        <w:t>. Consequently, the PBAC recommended changes to individual listings of PBS</w:t>
      </w:r>
      <w:r w:rsidR="00CF36D3">
        <w:rPr>
          <w:rFonts w:asciiTheme="minorHAnsi" w:hAnsiTheme="minorHAnsi" w:cstheme="minorHAnsi"/>
          <w:sz w:val="24"/>
          <w:szCs w:val="24"/>
        </w:rPr>
        <w:noBreakHyphen/>
      </w:r>
      <w:r w:rsidRPr="00FD5391">
        <w:rPr>
          <w:rFonts w:asciiTheme="minorHAnsi" w:hAnsiTheme="minorHAnsi" w:cstheme="minorHAnsi"/>
          <w:sz w:val="24"/>
          <w:szCs w:val="24"/>
        </w:rPr>
        <w:t xml:space="preserve">subsidised PAH medicines. </w:t>
      </w:r>
      <w:r w:rsidR="00FD5391" w:rsidRPr="00FD5391">
        <w:rPr>
          <w:rFonts w:asciiTheme="minorHAnsi" w:eastAsiaTheme="minorHAnsi" w:hAnsiTheme="minorHAnsi" w:cstheme="minorHAnsi"/>
          <w:sz w:val="24"/>
          <w:szCs w:val="24"/>
          <w:lang w:val="en-AU"/>
        </w:rPr>
        <w:t xml:space="preserve">Further details are available from the PBAC outcome statements for the </w:t>
      </w:r>
      <w:hyperlink r:id="rId9" w:history="1">
        <w:r w:rsidR="00FD5391" w:rsidRPr="00FD5391">
          <w:rPr>
            <w:rStyle w:val="Hyperlink"/>
            <w:rFonts w:asciiTheme="minorHAnsi" w:eastAsiaTheme="minorHAnsi" w:hAnsiTheme="minorHAnsi" w:cstheme="minorHAnsi"/>
            <w:sz w:val="24"/>
            <w:szCs w:val="24"/>
            <w:lang w:val="en-AU"/>
          </w:rPr>
          <w:t>November 2018</w:t>
        </w:r>
      </w:hyperlink>
      <w:r w:rsidR="00FD5391" w:rsidRPr="00FD5391">
        <w:rPr>
          <w:rFonts w:asciiTheme="minorHAnsi" w:eastAsiaTheme="minorHAnsi" w:hAnsiTheme="minorHAnsi" w:cstheme="minorHAnsi"/>
          <w:sz w:val="24"/>
          <w:szCs w:val="24"/>
          <w:lang w:val="en-AU"/>
        </w:rPr>
        <w:t xml:space="preserve">, </w:t>
      </w:r>
      <w:hyperlink r:id="rId10" w:history="1">
        <w:r w:rsidR="00FD5391" w:rsidRPr="00FD5391">
          <w:rPr>
            <w:rStyle w:val="Hyperlink"/>
            <w:rFonts w:asciiTheme="minorHAnsi" w:eastAsiaTheme="minorHAnsi" w:hAnsiTheme="minorHAnsi" w:cstheme="minorHAnsi"/>
            <w:sz w:val="24"/>
            <w:szCs w:val="24"/>
            <w:lang w:val="en-AU"/>
          </w:rPr>
          <w:t>March 2019</w:t>
        </w:r>
      </w:hyperlink>
      <w:r w:rsidR="00FD5391" w:rsidRPr="00FD5391">
        <w:rPr>
          <w:rFonts w:asciiTheme="minorHAnsi" w:eastAsiaTheme="minorHAnsi" w:hAnsiTheme="minorHAnsi" w:cstheme="minorHAnsi"/>
          <w:sz w:val="24"/>
          <w:szCs w:val="24"/>
          <w:lang w:val="en-AU"/>
        </w:rPr>
        <w:t xml:space="preserve"> and </w:t>
      </w:r>
      <w:hyperlink r:id="rId11" w:history="1">
        <w:r w:rsidR="00FD5391" w:rsidRPr="00FD5391">
          <w:rPr>
            <w:rStyle w:val="Hyperlink"/>
            <w:rFonts w:asciiTheme="minorHAnsi" w:eastAsiaTheme="minorHAnsi" w:hAnsiTheme="minorHAnsi" w:cstheme="minorHAnsi"/>
            <w:sz w:val="24"/>
            <w:szCs w:val="24"/>
            <w:lang w:val="en-AU"/>
          </w:rPr>
          <w:t>November 2019</w:t>
        </w:r>
      </w:hyperlink>
      <w:r w:rsidR="00FD5391" w:rsidRPr="00FD5391">
        <w:rPr>
          <w:rFonts w:asciiTheme="minorHAnsi" w:eastAsiaTheme="minorHAnsi" w:hAnsiTheme="minorHAnsi" w:cstheme="minorHAnsi"/>
          <w:sz w:val="24"/>
          <w:szCs w:val="24"/>
          <w:lang w:val="en-AU"/>
        </w:rPr>
        <w:t xml:space="preserve"> PBAC meetings.</w:t>
      </w:r>
    </w:p>
    <w:p w:rsidR="00B663EB" w:rsidRDefault="00512898" w:rsidP="00604E56">
      <w:pPr>
        <w:rPr>
          <w:rFonts w:asciiTheme="minorHAnsi" w:hAnsiTheme="minorHAnsi" w:cstheme="minorHAnsi"/>
        </w:rPr>
      </w:pPr>
      <w:r w:rsidRPr="00512898">
        <w:rPr>
          <w:rFonts w:asciiTheme="minorHAnsi" w:hAnsiTheme="minorHAnsi" w:cstheme="minorHAnsi"/>
        </w:rPr>
        <w:t>Commencing 1 May 2020</w:t>
      </w:r>
      <w:r w:rsidR="00604E56">
        <w:rPr>
          <w:rFonts w:asciiTheme="minorHAnsi" w:hAnsiTheme="minorHAnsi" w:cstheme="minorHAnsi"/>
        </w:rPr>
        <w:t>:</w:t>
      </w:r>
    </w:p>
    <w:p w:rsidR="00B663EB" w:rsidRDefault="00B663EB" w:rsidP="00604E56">
      <w:pPr>
        <w:rPr>
          <w:rFonts w:asciiTheme="minorHAnsi" w:hAnsiTheme="minorHAnsi" w:cstheme="minorHAnsi"/>
          <w:sz w:val="22"/>
          <w:szCs w:val="22"/>
        </w:rPr>
      </w:pPr>
    </w:p>
    <w:p w:rsidR="00B663EB" w:rsidRPr="00B663EB" w:rsidRDefault="00B663EB" w:rsidP="00604E56">
      <w:pPr>
        <w:pStyle w:val="ListParagraph"/>
        <w:numPr>
          <w:ilvl w:val="0"/>
          <w:numId w:val="5"/>
        </w:numPr>
        <w:spacing w:after="150" w:line="300" w:lineRule="atLeast"/>
        <w:rPr>
          <w:rFonts w:asciiTheme="minorHAnsi" w:hAnsiTheme="minorHAnsi" w:cstheme="minorHAnsi"/>
          <w:sz w:val="22"/>
          <w:szCs w:val="22"/>
        </w:rPr>
      </w:pPr>
      <w:r w:rsidRPr="00B663EB">
        <w:rPr>
          <w:rFonts w:asciiTheme="minorHAnsi" w:hAnsiTheme="minorHAnsi" w:cstheme="minorBidi"/>
          <w:szCs w:val="22"/>
        </w:rPr>
        <w:t>PAH patients with World Health Organisation (WHO) Functional Class (FC) II symptoms will be able to access PBS</w:t>
      </w:r>
      <w:r w:rsidR="00CF36D3">
        <w:rPr>
          <w:rFonts w:asciiTheme="minorHAnsi" w:hAnsiTheme="minorHAnsi" w:cstheme="minorBidi"/>
          <w:szCs w:val="22"/>
        </w:rPr>
        <w:noBreakHyphen/>
      </w:r>
      <w:r w:rsidRPr="00B663EB">
        <w:rPr>
          <w:rFonts w:asciiTheme="minorHAnsi" w:hAnsiTheme="minorHAnsi" w:cstheme="minorBidi"/>
          <w:szCs w:val="22"/>
        </w:rPr>
        <w:t>subsidised monotherapy with</w:t>
      </w:r>
      <w:r w:rsidR="00BD0B61">
        <w:rPr>
          <w:rFonts w:asciiTheme="minorHAnsi" w:hAnsiTheme="minorHAnsi" w:cstheme="minorBidi"/>
          <w:szCs w:val="22"/>
        </w:rPr>
        <w:t xml:space="preserve"> </w:t>
      </w:r>
      <w:r w:rsidR="00BD0B61" w:rsidRPr="00B663EB">
        <w:rPr>
          <w:rFonts w:asciiTheme="minorHAnsi" w:hAnsiTheme="minorHAnsi" w:cstheme="minorBidi"/>
          <w:szCs w:val="22"/>
        </w:rPr>
        <w:t>endothelin receptor antagonist</w:t>
      </w:r>
      <w:r w:rsidR="00BD0B61">
        <w:rPr>
          <w:rFonts w:asciiTheme="minorHAnsi" w:hAnsiTheme="minorHAnsi" w:cstheme="minorBidi"/>
          <w:szCs w:val="22"/>
        </w:rPr>
        <w:t xml:space="preserve"> (</w:t>
      </w:r>
      <w:r w:rsidRPr="00B663EB">
        <w:rPr>
          <w:rFonts w:asciiTheme="minorHAnsi" w:hAnsiTheme="minorHAnsi" w:cstheme="minorBidi"/>
          <w:szCs w:val="22"/>
        </w:rPr>
        <w:t>ERA</w:t>
      </w:r>
      <w:r w:rsidR="00BD0B61">
        <w:rPr>
          <w:rFonts w:asciiTheme="minorHAnsi" w:hAnsiTheme="minorHAnsi" w:cstheme="minorBidi"/>
          <w:szCs w:val="22"/>
        </w:rPr>
        <w:t>)</w:t>
      </w:r>
      <w:r w:rsidRPr="00B663EB">
        <w:rPr>
          <w:rFonts w:asciiTheme="minorHAnsi" w:hAnsiTheme="minorHAnsi" w:cstheme="minorBidi"/>
          <w:szCs w:val="22"/>
        </w:rPr>
        <w:t xml:space="preserve"> medicines (ambrisentan, bosentan and macitentan) or</w:t>
      </w:r>
      <w:r w:rsidR="00BD0B61" w:rsidRPr="00BD0B61">
        <w:rPr>
          <w:rFonts w:asciiTheme="minorHAnsi" w:hAnsiTheme="minorHAnsi" w:cstheme="minorBidi"/>
          <w:szCs w:val="22"/>
        </w:rPr>
        <w:t xml:space="preserve"> </w:t>
      </w:r>
      <w:r w:rsidR="00BD0B61" w:rsidRPr="00B663EB">
        <w:rPr>
          <w:rFonts w:asciiTheme="minorHAnsi" w:hAnsiTheme="minorHAnsi" w:cstheme="minorBidi"/>
          <w:szCs w:val="22"/>
        </w:rPr>
        <w:t>phosphodiesterase type 5 (PDE-5) inhibitor</w:t>
      </w:r>
      <w:r w:rsidRPr="00B663EB">
        <w:rPr>
          <w:rFonts w:asciiTheme="minorHAnsi" w:hAnsiTheme="minorHAnsi" w:cstheme="minorBidi"/>
          <w:szCs w:val="22"/>
        </w:rPr>
        <w:t xml:space="preserve"> medicines (sildenafil and tadalafil)</w:t>
      </w:r>
      <w:r>
        <w:rPr>
          <w:rFonts w:asciiTheme="minorHAnsi" w:hAnsiTheme="minorHAnsi" w:cstheme="minorBidi"/>
          <w:szCs w:val="22"/>
        </w:rPr>
        <w:t>.</w:t>
      </w:r>
      <w:r w:rsidR="00BD0B61">
        <w:rPr>
          <w:rFonts w:asciiTheme="minorHAnsi" w:hAnsiTheme="minorHAnsi" w:cstheme="minorBidi"/>
          <w:szCs w:val="22"/>
        </w:rPr>
        <w:t xml:space="preserve"> All initial </w:t>
      </w:r>
      <w:r w:rsidR="00BD0B61" w:rsidRPr="00B663EB">
        <w:rPr>
          <w:rFonts w:asciiTheme="minorHAnsi" w:hAnsiTheme="minorHAnsi" w:cstheme="minorBidi"/>
          <w:szCs w:val="22"/>
        </w:rPr>
        <w:t>PBS restriction criteria</w:t>
      </w:r>
      <w:r w:rsidR="00BD0B61">
        <w:rPr>
          <w:rFonts w:asciiTheme="minorHAnsi" w:hAnsiTheme="minorHAnsi" w:cstheme="minorBidi"/>
          <w:szCs w:val="22"/>
        </w:rPr>
        <w:t xml:space="preserve"> must be met.</w:t>
      </w:r>
    </w:p>
    <w:p w:rsidR="00B663EB" w:rsidRPr="00B663EB" w:rsidRDefault="00B663EB" w:rsidP="00604E56">
      <w:pPr>
        <w:pStyle w:val="ListParagraph"/>
        <w:spacing w:after="150" w:line="300" w:lineRule="atLeast"/>
        <w:rPr>
          <w:rFonts w:asciiTheme="minorHAnsi" w:hAnsiTheme="minorHAnsi" w:cstheme="minorHAnsi"/>
          <w:sz w:val="22"/>
          <w:szCs w:val="22"/>
        </w:rPr>
      </w:pPr>
    </w:p>
    <w:p w:rsidR="00512898" w:rsidRPr="00B663EB" w:rsidRDefault="00B663EB" w:rsidP="00604E56">
      <w:pPr>
        <w:pStyle w:val="ListParagraph"/>
        <w:numPr>
          <w:ilvl w:val="0"/>
          <w:numId w:val="5"/>
        </w:numPr>
        <w:spacing w:after="150" w:line="300" w:lineRule="atLeast"/>
        <w:rPr>
          <w:rFonts w:asciiTheme="minorHAnsi" w:hAnsiTheme="minorHAnsi" w:cstheme="minorBidi"/>
          <w:szCs w:val="22"/>
        </w:rPr>
      </w:pPr>
      <w:r>
        <w:rPr>
          <w:rFonts w:asciiTheme="minorHAnsi" w:hAnsiTheme="minorHAnsi" w:cstheme="minorBidi"/>
          <w:szCs w:val="22"/>
        </w:rPr>
        <w:t xml:space="preserve">PAH patients </w:t>
      </w:r>
      <w:r w:rsidR="00512898" w:rsidRPr="00B663EB">
        <w:rPr>
          <w:rFonts w:asciiTheme="minorHAnsi" w:hAnsiTheme="minorHAnsi" w:cstheme="minorBidi"/>
          <w:szCs w:val="22"/>
        </w:rPr>
        <w:t>will no</w:t>
      </w:r>
      <w:r w:rsidR="00AA46A6">
        <w:rPr>
          <w:rFonts w:asciiTheme="minorHAnsi" w:hAnsiTheme="minorHAnsi" w:cstheme="minorBidi"/>
          <w:szCs w:val="22"/>
        </w:rPr>
        <w:t xml:space="preserve">t </w:t>
      </w:r>
      <w:r w:rsidR="00BD0B61">
        <w:rPr>
          <w:rFonts w:asciiTheme="minorHAnsi" w:hAnsiTheme="minorHAnsi" w:cstheme="minorBidi"/>
          <w:szCs w:val="22"/>
        </w:rPr>
        <w:t xml:space="preserve">be </w:t>
      </w:r>
      <w:r w:rsidR="00512898" w:rsidRPr="00B663EB">
        <w:rPr>
          <w:rFonts w:asciiTheme="minorHAnsi" w:hAnsiTheme="minorHAnsi" w:cstheme="minorBidi"/>
          <w:szCs w:val="22"/>
        </w:rPr>
        <w:t>require</w:t>
      </w:r>
      <w:r w:rsidR="00BD0B61">
        <w:rPr>
          <w:rFonts w:asciiTheme="minorHAnsi" w:hAnsiTheme="minorHAnsi" w:cstheme="minorBidi"/>
          <w:szCs w:val="22"/>
        </w:rPr>
        <w:t xml:space="preserve">d to </w:t>
      </w:r>
      <w:r w:rsidR="00512898" w:rsidRPr="00B663EB">
        <w:rPr>
          <w:rFonts w:asciiTheme="minorHAnsi" w:hAnsiTheme="minorHAnsi" w:cstheme="minorBidi"/>
          <w:szCs w:val="22"/>
        </w:rPr>
        <w:t>demonstrat</w:t>
      </w:r>
      <w:r w:rsidR="00AA46A6">
        <w:rPr>
          <w:rFonts w:asciiTheme="minorHAnsi" w:hAnsiTheme="minorHAnsi" w:cstheme="minorBidi"/>
          <w:szCs w:val="22"/>
        </w:rPr>
        <w:t xml:space="preserve">e </w:t>
      </w:r>
      <w:r w:rsidR="00512898" w:rsidRPr="00B663EB">
        <w:rPr>
          <w:rFonts w:asciiTheme="minorHAnsi" w:hAnsiTheme="minorHAnsi" w:cstheme="minorBidi"/>
          <w:szCs w:val="22"/>
        </w:rPr>
        <w:t xml:space="preserve">a response </w:t>
      </w:r>
      <w:r w:rsidR="00AA46A6">
        <w:rPr>
          <w:rFonts w:asciiTheme="minorHAnsi" w:hAnsiTheme="minorHAnsi" w:cstheme="minorBidi"/>
          <w:szCs w:val="22"/>
        </w:rPr>
        <w:t xml:space="preserve">to initial PBS-subsidised treatment </w:t>
      </w:r>
      <w:r w:rsidR="00512898" w:rsidRPr="00B663EB">
        <w:rPr>
          <w:rFonts w:asciiTheme="minorHAnsi" w:hAnsiTheme="minorHAnsi" w:cstheme="minorBidi"/>
          <w:szCs w:val="22"/>
        </w:rPr>
        <w:t>through the provision of Right Heart Catheter (RHC) composite assessment, ECHO composite assessment and 6 Minute Walk Test (6MWT) results</w:t>
      </w:r>
      <w:r w:rsidR="00AA46A6">
        <w:rPr>
          <w:rFonts w:asciiTheme="minorHAnsi" w:hAnsiTheme="minorHAnsi" w:cstheme="minorBidi"/>
          <w:szCs w:val="22"/>
        </w:rPr>
        <w:t xml:space="preserve"> to access continued monotherapy</w:t>
      </w:r>
      <w:r w:rsidR="00512898" w:rsidRPr="00B663EB">
        <w:rPr>
          <w:rFonts w:asciiTheme="minorHAnsi" w:hAnsiTheme="minorHAnsi" w:cstheme="minorBidi"/>
          <w:szCs w:val="22"/>
        </w:rPr>
        <w:t xml:space="preserve">. </w:t>
      </w:r>
    </w:p>
    <w:p w:rsidR="00512898" w:rsidRDefault="00512898" w:rsidP="00604E56">
      <w:pPr>
        <w:ind w:left="720"/>
        <w:rPr>
          <w:rFonts w:asciiTheme="minorHAnsi" w:hAnsiTheme="minorHAnsi" w:cstheme="minorBidi"/>
          <w:szCs w:val="22"/>
        </w:rPr>
      </w:pPr>
      <w:r>
        <w:rPr>
          <w:rFonts w:asciiTheme="minorHAnsi" w:hAnsiTheme="minorHAnsi" w:cstheme="minorBidi"/>
          <w:szCs w:val="22"/>
        </w:rPr>
        <w:t>The written Authority ‘First Continuing’ and telephone Authority ‘Subsequent Continuing’ restrictions have been replaced by on</w:t>
      </w:r>
      <w:r w:rsidR="005A1D85">
        <w:rPr>
          <w:rFonts w:asciiTheme="minorHAnsi" w:hAnsiTheme="minorHAnsi" w:cstheme="minorBidi"/>
          <w:szCs w:val="22"/>
        </w:rPr>
        <w:t>e Authority Required (Telephone</w:t>
      </w:r>
      <w:r>
        <w:rPr>
          <w:rFonts w:asciiTheme="minorHAnsi" w:hAnsiTheme="minorHAnsi" w:cstheme="minorBidi"/>
          <w:szCs w:val="22"/>
        </w:rPr>
        <w:t>) ‘Continuing’ PBS restriction.</w:t>
      </w:r>
    </w:p>
    <w:p w:rsidR="00B663EB" w:rsidRDefault="00B663EB" w:rsidP="00604E56">
      <w:pPr>
        <w:rPr>
          <w:rFonts w:asciiTheme="minorHAnsi" w:hAnsiTheme="minorHAnsi" w:cstheme="minorBidi"/>
          <w:szCs w:val="22"/>
        </w:rPr>
      </w:pPr>
    </w:p>
    <w:p w:rsidR="00012161" w:rsidRDefault="007F016B" w:rsidP="00604E56">
      <w:pPr>
        <w:rPr>
          <w:rFonts w:asciiTheme="minorHAnsi" w:hAnsiTheme="minorHAnsi" w:cstheme="minorBidi"/>
        </w:rPr>
      </w:pPr>
      <w:r>
        <w:rPr>
          <w:rFonts w:asciiTheme="minorHAnsi" w:hAnsiTheme="minorHAnsi" w:cstheme="minorBidi"/>
        </w:rPr>
        <w:t>The</w:t>
      </w:r>
      <w:r w:rsidR="00C66279">
        <w:rPr>
          <w:rFonts w:asciiTheme="minorHAnsi" w:hAnsiTheme="minorHAnsi" w:cstheme="minorBidi"/>
        </w:rPr>
        <w:t xml:space="preserve"> </w:t>
      </w:r>
      <w:r w:rsidR="00012161" w:rsidRPr="00AA46A6">
        <w:rPr>
          <w:rFonts w:asciiTheme="minorHAnsi" w:hAnsiTheme="minorHAnsi" w:cstheme="minorBidi"/>
        </w:rPr>
        <w:t>PBS restrictions for all PAH medicines</w:t>
      </w:r>
      <w:r w:rsidR="00AA46A6" w:rsidRPr="00AA46A6">
        <w:rPr>
          <w:rFonts w:asciiTheme="minorHAnsi" w:hAnsiTheme="minorHAnsi" w:cstheme="minorBidi"/>
        </w:rPr>
        <w:t xml:space="preserve"> include</w:t>
      </w:r>
      <w:r>
        <w:rPr>
          <w:rFonts w:asciiTheme="minorHAnsi" w:hAnsiTheme="minorHAnsi" w:cstheme="minorBidi"/>
        </w:rPr>
        <w:t xml:space="preserve"> the following additional changes</w:t>
      </w:r>
      <w:r w:rsidR="00012161" w:rsidRPr="00AA46A6">
        <w:rPr>
          <w:rFonts w:asciiTheme="minorHAnsi" w:hAnsiTheme="minorHAnsi" w:cstheme="minorBidi"/>
        </w:rPr>
        <w:t>:</w:t>
      </w:r>
    </w:p>
    <w:p w:rsidR="00C66279" w:rsidRPr="00AA46A6" w:rsidRDefault="00C66279" w:rsidP="00604E56">
      <w:pPr>
        <w:rPr>
          <w:rFonts w:asciiTheme="minorHAnsi" w:hAnsiTheme="minorHAnsi" w:cstheme="minorBidi"/>
        </w:rPr>
      </w:pPr>
    </w:p>
    <w:p w:rsidR="007F016B" w:rsidRPr="00AA46A6" w:rsidRDefault="007F016B" w:rsidP="00604E56">
      <w:pPr>
        <w:pStyle w:val="Default"/>
        <w:numPr>
          <w:ilvl w:val="0"/>
          <w:numId w:val="7"/>
        </w:numPr>
        <w:rPr>
          <w:rFonts w:asciiTheme="minorHAnsi" w:hAnsiTheme="minorHAnsi" w:cstheme="minorHAnsi"/>
          <w:color w:val="auto"/>
        </w:rPr>
      </w:pPr>
      <w:r>
        <w:rPr>
          <w:rFonts w:asciiTheme="minorHAnsi" w:hAnsiTheme="minorHAnsi" w:cstheme="minorHAnsi"/>
          <w:color w:val="auto"/>
        </w:rPr>
        <w:t>An updated</w:t>
      </w:r>
      <w:r w:rsidRPr="00AA46A6">
        <w:rPr>
          <w:rFonts w:asciiTheme="minorHAnsi" w:hAnsiTheme="minorHAnsi" w:cstheme="minorHAnsi"/>
          <w:color w:val="auto"/>
        </w:rPr>
        <w:t xml:space="preserve"> definition of PAH </w:t>
      </w:r>
    </w:p>
    <w:p w:rsidR="00512898" w:rsidRPr="00AA46A6" w:rsidRDefault="00512898" w:rsidP="00604E56">
      <w:pPr>
        <w:pStyle w:val="ListParagraph"/>
        <w:numPr>
          <w:ilvl w:val="0"/>
          <w:numId w:val="7"/>
        </w:numPr>
      </w:pPr>
      <w:r w:rsidRPr="00AA46A6">
        <w:rPr>
          <w:rFonts w:asciiTheme="minorHAnsi" w:hAnsiTheme="minorHAnsi" w:cstheme="minorHAnsi"/>
        </w:rPr>
        <w:t>All WHO Group 1 PAH patient subtypes can access PBS</w:t>
      </w:r>
      <w:r w:rsidR="00CF36D3">
        <w:rPr>
          <w:rFonts w:asciiTheme="minorHAnsi" w:hAnsiTheme="minorHAnsi" w:cstheme="minorHAnsi"/>
        </w:rPr>
        <w:noBreakHyphen/>
      </w:r>
      <w:r w:rsidRPr="00AA46A6">
        <w:rPr>
          <w:rFonts w:asciiTheme="minorHAnsi" w:hAnsiTheme="minorHAnsi" w:cstheme="minorHAnsi"/>
        </w:rPr>
        <w:t>subsidised PAH medicines</w:t>
      </w:r>
    </w:p>
    <w:p w:rsidR="00512898" w:rsidRPr="00AA46A6" w:rsidRDefault="00512898" w:rsidP="00604E56">
      <w:pPr>
        <w:pStyle w:val="ListParagraph"/>
        <w:numPr>
          <w:ilvl w:val="0"/>
          <w:numId w:val="2"/>
        </w:numPr>
        <w:rPr>
          <w:rFonts w:asciiTheme="minorHAnsi" w:hAnsiTheme="minorHAnsi" w:cstheme="minorHAnsi"/>
        </w:rPr>
      </w:pPr>
      <w:r w:rsidRPr="00AA46A6">
        <w:rPr>
          <w:rFonts w:asciiTheme="minorHAnsi" w:hAnsiTheme="minorHAnsi" w:cstheme="minorHAnsi"/>
        </w:rPr>
        <w:t>Patients must be assessed by a physician with expertise in the management of PAH</w:t>
      </w:r>
    </w:p>
    <w:p w:rsidR="00AD5B02" w:rsidRPr="00AA46A6" w:rsidRDefault="00512898" w:rsidP="00604E56">
      <w:pPr>
        <w:pStyle w:val="Default"/>
        <w:numPr>
          <w:ilvl w:val="0"/>
          <w:numId w:val="2"/>
        </w:numPr>
        <w:rPr>
          <w:rFonts w:asciiTheme="minorHAnsi" w:hAnsiTheme="minorHAnsi" w:cstheme="minorHAnsi"/>
          <w:color w:val="auto"/>
        </w:rPr>
      </w:pPr>
      <w:r w:rsidRPr="00AA46A6">
        <w:rPr>
          <w:rFonts w:asciiTheme="minorHAnsi" w:hAnsiTheme="minorHAnsi" w:cstheme="minorHAnsi"/>
          <w:color w:val="auto"/>
        </w:rPr>
        <w:t>Applications for e</w:t>
      </w:r>
      <w:r w:rsidR="00AD5B02" w:rsidRPr="00AA46A6">
        <w:rPr>
          <w:rFonts w:asciiTheme="minorHAnsi" w:hAnsiTheme="minorHAnsi" w:cstheme="minorHAnsi"/>
          <w:color w:val="auto"/>
        </w:rPr>
        <w:t>xemption</w:t>
      </w:r>
      <w:r w:rsidR="00C66279">
        <w:rPr>
          <w:rFonts w:asciiTheme="minorHAnsi" w:hAnsiTheme="minorHAnsi" w:cstheme="minorHAnsi"/>
          <w:color w:val="auto"/>
        </w:rPr>
        <w:t>s</w:t>
      </w:r>
      <w:r w:rsidR="00AD5B02" w:rsidRPr="00AA46A6">
        <w:rPr>
          <w:rFonts w:asciiTheme="minorHAnsi" w:hAnsiTheme="minorHAnsi" w:cstheme="minorHAnsi"/>
          <w:color w:val="auto"/>
        </w:rPr>
        <w:t xml:space="preserve"> from right heart catheterisation for diagnosis</w:t>
      </w:r>
      <w:r w:rsidRPr="00AA46A6">
        <w:rPr>
          <w:rFonts w:asciiTheme="minorHAnsi" w:hAnsiTheme="minorHAnsi" w:cstheme="minorHAnsi"/>
          <w:color w:val="auto"/>
        </w:rPr>
        <w:t xml:space="preserve"> and access to initial PBS subsidised </w:t>
      </w:r>
      <w:r w:rsidR="00AD5B02" w:rsidRPr="00AA46A6">
        <w:rPr>
          <w:rFonts w:asciiTheme="minorHAnsi" w:hAnsiTheme="minorHAnsi" w:cstheme="minorHAnsi"/>
          <w:color w:val="auto"/>
        </w:rPr>
        <w:t xml:space="preserve">therapy require </w:t>
      </w:r>
      <w:r w:rsidR="00C66279">
        <w:rPr>
          <w:rFonts w:asciiTheme="minorHAnsi" w:hAnsiTheme="minorHAnsi" w:cstheme="minorHAnsi"/>
          <w:color w:val="auto"/>
        </w:rPr>
        <w:t>re</w:t>
      </w:r>
      <w:r w:rsidR="00AD5B02" w:rsidRPr="00AA46A6">
        <w:rPr>
          <w:rFonts w:asciiTheme="minorHAnsi" w:hAnsiTheme="minorHAnsi" w:cstheme="minorHAnsi"/>
          <w:color w:val="auto"/>
        </w:rPr>
        <w:t>confirmation from a second expert cardiologist or PAH physician</w:t>
      </w:r>
    </w:p>
    <w:p w:rsidR="008C2295" w:rsidRPr="00AA46A6" w:rsidRDefault="00ED745C" w:rsidP="00604E56">
      <w:pPr>
        <w:pStyle w:val="Default"/>
        <w:numPr>
          <w:ilvl w:val="0"/>
          <w:numId w:val="2"/>
        </w:numPr>
        <w:rPr>
          <w:rFonts w:asciiTheme="minorHAnsi" w:hAnsiTheme="minorHAnsi" w:cstheme="minorHAnsi"/>
          <w:color w:val="auto"/>
        </w:rPr>
      </w:pPr>
      <w:r>
        <w:rPr>
          <w:rFonts w:asciiTheme="minorHAnsi" w:hAnsiTheme="minorHAnsi" w:cstheme="minorHAnsi"/>
          <w:color w:val="auto"/>
        </w:rPr>
        <w:t>T</w:t>
      </w:r>
      <w:r w:rsidRPr="00AA46A6">
        <w:rPr>
          <w:rFonts w:asciiTheme="minorHAnsi" w:hAnsiTheme="minorHAnsi" w:cstheme="minorHAnsi"/>
          <w:color w:val="auto"/>
        </w:rPr>
        <w:t xml:space="preserve">he </w:t>
      </w:r>
      <w:r w:rsidR="008C2295" w:rsidRPr="00AA46A6">
        <w:rPr>
          <w:rFonts w:asciiTheme="minorHAnsi" w:hAnsiTheme="minorHAnsi" w:cstheme="minorHAnsi"/>
          <w:color w:val="auto"/>
        </w:rPr>
        <w:t>trial of vasodilator treatment</w:t>
      </w:r>
      <w:r w:rsidR="00322CF2" w:rsidRPr="00AA46A6">
        <w:rPr>
          <w:rFonts w:asciiTheme="minorHAnsi" w:hAnsiTheme="minorHAnsi" w:cstheme="minorHAnsi"/>
          <w:color w:val="auto"/>
        </w:rPr>
        <w:t xml:space="preserve"> has been removed </w:t>
      </w:r>
      <w:r w:rsidR="008C2295" w:rsidRPr="00AA46A6">
        <w:rPr>
          <w:rFonts w:asciiTheme="minorHAnsi" w:hAnsiTheme="minorHAnsi" w:cstheme="minorHAnsi"/>
          <w:color w:val="auto"/>
        </w:rPr>
        <w:t>from</w:t>
      </w:r>
      <w:r w:rsidR="00322CF2" w:rsidRPr="00AA46A6">
        <w:rPr>
          <w:rFonts w:asciiTheme="minorHAnsi" w:hAnsiTheme="minorHAnsi" w:cstheme="minorHAnsi"/>
          <w:color w:val="auto"/>
        </w:rPr>
        <w:t xml:space="preserve"> the </w:t>
      </w:r>
      <w:r w:rsidR="008C2295" w:rsidRPr="00AA46A6">
        <w:rPr>
          <w:rFonts w:asciiTheme="minorHAnsi" w:hAnsiTheme="minorHAnsi" w:cstheme="minorHAnsi"/>
          <w:color w:val="auto"/>
        </w:rPr>
        <w:t>initial</w:t>
      </w:r>
      <w:r w:rsidR="00322CF2" w:rsidRPr="00AA46A6">
        <w:rPr>
          <w:rFonts w:asciiTheme="minorHAnsi" w:hAnsiTheme="minorHAnsi" w:cstheme="minorHAnsi"/>
          <w:color w:val="auto"/>
        </w:rPr>
        <w:t xml:space="preserve"> restrictions </w:t>
      </w:r>
    </w:p>
    <w:p w:rsidR="00AD5B02" w:rsidRPr="00B16A2B" w:rsidRDefault="00C66279" w:rsidP="00B16A2B">
      <w:pPr>
        <w:spacing w:before="480" w:after="720"/>
        <w:rPr>
          <w:rFonts w:asciiTheme="minorHAnsi" w:hAnsiTheme="minorHAnsi" w:cstheme="minorBidi"/>
          <w:szCs w:val="22"/>
        </w:rPr>
      </w:pPr>
      <w:r w:rsidRPr="00C66279">
        <w:rPr>
          <w:rFonts w:asciiTheme="minorHAnsi" w:hAnsiTheme="minorHAnsi" w:cstheme="minorBidi"/>
          <w:szCs w:val="22"/>
        </w:rPr>
        <w:t xml:space="preserve">Refer to the Schedule of Pharmaceutical Benefits, available </w:t>
      </w:r>
      <w:hyperlink r:id="rId12" w:anchor="c02kx" w:history="1">
        <w:r w:rsidRPr="007B69E7">
          <w:rPr>
            <w:rStyle w:val="Hyperlink"/>
            <w:rFonts w:asciiTheme="minorHAnsi" w:hAnsiTheme="minorHAnsi" w:cstheme="minorBidi"/>
            <w:szCs w:val="22"/>
          </w:rPr>
          <w:t>online</w:t>
        </w:r>
      </w:hyperlink>
      <w:r>
        <w:rPr>
          <w:rFonts w:asciiTheme="minorHAnsi" w:hAnsiTheme="minorHAnsi" w:cstheme="minorBidi"/>
          <w:szCs w:val="22"/>
        </w:rPr>
        <w:t xml:space="preserve">, </w:t>
      </w:r>
      <w:hyperlink r:id="rId13" w:history="1">
        <w:r w:rsidRPr="00B156BA">
          <w:rPr>
            <w:rStyle w:val="Hyperlink"/>
            <w:rFonts w:asciiTheme="minorHAnsi" w:hAnsiTheme="minorHAnsi" w:cstheme="minorBidi"/>
            <w:szCs w:val="22"/>
          </w:rPr>
          <w:t>in PDF</w:t>
        </w:r>
      </w:hyperlink>
      <w:r>
        <w:rPr>
          <w:rFonts w:asciiTheme="minorHAnsi" w:hAnsiTheme="minorHAnsi" w:cstheme="minorBidi"/>
          <w:szCs w:val="22"/>
        </w:rPr>
        <w:t xml:space="preserve"> and in prescribing </w:t>
      </w:r>
      <w:r w:rsidRPr="00C66279">
        <w:rPr>
          <w:rFonts w:asciiTheme="minorHAnsi" w:hAnsiTheme="minorHAnsi" w:cstheme="minorBidi"/>
          <w:szCs w:val="22"/>
        </w:rPr>
        <w:t>software, for detailed information on the PBS prescribing restrictions.</w:t>
      </w:r>
    </w:p>
    <w:p w:rsidR="00FD5391" w:rsidRPr="00543018" w:rsidRDefault="00FD5391" w:rsidP="00B16A2B">
      <w:pPr>
        <w:pStyle w:val="Heading2"/>
      </w:pPr>
      <w:r>
        <w:lastRenderedPageBreak/>
        <w:t>What does this change mean f</w:t>
      </w:r>
      <w:r w:rsidRPr="00543018">
        <w:t xml:space="preserve">or </w:t>
      </w:r>
      <w:r w:rsidR="00ED745C">
        <w:t>p</w:t>
      </w:r>
      <w:r w:rsidR="00ED745C" w:rsidRPr="00543018">
        <w:t>rescribers</w:t>
      </w:r>
      <w:r>
        <w:t>?</w:t>
      </w:r>
    </w:p>
    <w:p w:rsidR="00FD5391" w:rsidRDefault="00191CE4" w:rsidP="00604E56">
      <w:pPr>
        <w:spacing w:before="40" w:after="120"/>
        <w:rPr>
          <w:rFonts w:asciiTheme="minorHAnsi" w:hAnsiTheme="minorHAnsi" w:cstheme="minorBidi"/>
          <w:szCs w:val="22"/>
        </w:rPr>
      </w:pPr>
      <w:r>
        <w:rPr>
          <w:rFonts w:asciiTheme="minorHAnsi" w:hAnsiTheme="minorHAnsi" w:cstheme="minorBidi"/>
          <w:szCs w:val="22"/>
        </w:rPr>
        <w:t xml:space="preserve">Effective 1 May 2020, a </w:t>
      </w:r>
      <w:r w:rsidR="00FD5391">
        <w:rPr>
          <w:rFonts w:asciiTheme="minorHAnsi" w:hAnsiTheme="minorHAnsi" w:cstheme="minorBidi"/>
          <w:szCs w:val="22"/>
        </w:rPr>
        <w:t xml:space="preserve">summary of </w:t>
      </w:r>
      <w:r>
        <w:rPr>
          <w:rFonts w:asciiTheme="minorHAnsi" w:hAnsiTheme="minorHAnsi" w:cstheme="minorBidi"/>
          <w:szCs w:val="22"/>
        </w:rPr>
        <w:t xml:space="preserve">patient </w:t>
      </w:r>
      <w:r w:rsidR="00FD5391">
        <w:rPr>
          <w:rFonts w:asciiTheme="minorHAnsi" w:hAnsiTheme="minorHAnsi" w:cstheme="minorBidi"/>
          <w:szCs w:val="22"/>
        </w:rPr>
        <w:t>access to PBS</w:t>
      </w:r>
      <w:r w:rsidR="00CF36D3">
        <w:rPr>
          <w:rFonts w:asciiTheme="minorHAnsi" w:hAnsiTheme="minorHAnsi" w:cstheme="minorBidi"/>
          <w:szCs w:val="22"/>
        </w:rPr>
        <w:noBreakHyphen/>
      </w:r>
      <w:r w:rsidR="00FD5391">
        <w:rPr>
          <w:rFonts w:asciiTheme="minorHAnsi" w:hAnsiTheme="minorHAnsi" w:cstheme="minorBidi"/>
          <w:szCs w:val="22"/>
        </w:rPr>
        <w:t xml:space="preserve">subsidised </w:t>
      </w:r>
      <w:r w:rsidR="00FD5391" w:rsidRPr="00930F9C">
        <w:rPr>
          <w:rFonts w:asciiTheme="minorHAnsi" w:hAnsiTheme="minorHAnsi" w:cstheme="minorBidi"/>
          <w:szCs w:val="22"/>
        </w:rPr>
        <w:t>PAH medicine</w:t>
      </w:r>
      <w:r>
        <w:rPr>
          <w:rFonts w:asciiTheme="minorHAnsi" w:hAnsiTheme="minorHAnsi" w:cstheme="minorBidi"/>
          <w:szCs w:val="22"/>
        </w:rPr>
        <w:t xml:space="preserve"> monotherapy </w:t>
      </w:r>
      <w:r w:rsidR="00FD5391">
        <w:rPr>
          <w:rFonts w:asciiTheme="minorHAnsi" w:hAnsiTheme="minorHAnsi" w:cstheme="minorBidi"/>
          <w:szCs w:val="22"/>
        </w:rPr>
        <w:t>by</w:t>
      </w:r>
      <w:r w:rsidR="00FD5391" w:rsidRPr="00930F9C">
        <w:rPr>
          <w:rFonts w:asciiTheme="minorHAnsi" w:hAnsiTheme="minorHAnsi" w:cstheme="minorBidi"/>
          <w:szCs w:val="22"/>
        </w:rPr>
        <w:t xml:space="preserve"> WHO FC</w:t>
      </w:r>
      <w:r w:rsidR="00FD5391">
        <w:rPr>
          <w:rFonts w:asciiTheme="minorHAnsi" w:hAnsiTheme="minorHAnsi" w:cstheme="minorBidi"/>
          <w:szCs w:val="22"/>
        </w:rPr>
        <w:t xml:space="preserve"> is shown in the table below.</w:t>
      </w:r>
    </w:p>
    <w:p w:rsidR="00FD5391" w:rsidRPr="00A70C01" w:rsidRDefault="00FD5391" w:rsidP="00604E56">
      <w:pPr>
        <w:spacing w:before="40" w:after="120"/>
        <w:rPr>
          <w:rFonts w:asciiTheme="minorHAnsi" w:hAnsiTheme="minorHAnsi" w:cstheme="minorBidi"/>
          <w:szCs w:val="22"/>
        </w:rPr>
      </w:pPr>
      <w:r>
        <w:rPr>
          <w:rFonts w:asciiTheme="minorHAnsi" w:hAnsiTheme="minorHAnsi" w:cstheme="minorBidi"/>
          <w:b/>
          <w:szCs w:val="22"/>
        </w:rPr>
        <w:t xml:space="preserve">PBS listed PAH medicines by </w:t>
      </w:r>
      <w:r w:rsidRPr="00987D1E">
        <w:rPr>
          <w:rFonts w:asciiTheme="minorHAnsi" w:hAnsiTheme="minorHAnsi" w:cstheme="minorBidi"/>
          <w:b/>
          <w:szCs w:val="22"/>
        </w:rPr>
        <w:t>WHO Functional Class</w:t>
      </w:r>
    </w:p>
    <w:tbl>
      <w:tblPr>
        <w:tblStyle w:val="TableGrid"/>
        <w:tblW w:w="0" w:type="auto"/>
        <w:tblLook w:val="04A0" w:firstRow="1" w:lastRow="0" w:firstColumn="1" w:lastColumn="0" w:noHBand="0" w:noVBand="1"/>
        <w:tblCaption w:val="PBS listed PAH medicines by WHO Functional Class"/>
        <w:tblDescription w:val="PBS listed PAH medicines by WHO Functional Class"/>
      </w:tblPr>
      <w:tblGrid>
        <w:gridCol w:w="1980"/>
        <w:gridCol w:w="1276"/>
        <w:gridCol w:w="1327"/>
        <w:gridCol w:w="2977"/>
        <w:gridCol w:w="1418"/>
      </w:tblGrid>
      <w:tr w:rsidR="00B6304B" w:rsidRPr="0063360E" w:rsidTr="00B6304B">
        <w:trPr>
          <w:tblHeader/>
        </w:trPr>
        <w:tc>
          <w:tcPr>
            <w:tcW w:w="1980" w:type="dxa"/>
            <w:tcBorders>
              <w:top w:val="single" w:sz="4" w:space="0" w:color="auto"/>
              <w:left w:val="single" w:sz="4" w:space="0" w:color="auto"/>
              <w:bottom w:val="nil"/>
              <w:right w:val="single" w:sz="4" w:space="0" w:color="auto"/>
            </w:tcBorders>
            <w:shd w:val="clear" w:color="auto" w:fill="auto"/>
          </w:tcPr>
          <w:p w:rsidR="00B6304B" w:rsidRPr="0063360E" w:rsidRDefault="00B6304B" w:rsidP="00604E56">
            <w:pPr>
              <w:spacing w:before="40" w:after="40"/>
              <w:jc w:val="center"/>
              <w:rPr>
                <w:rFonts w:asciiTheme="minorHAnsi" w:hAnsiTheme="minorHAnsi" w:cstheme="minorHAnsi"/>
                <w:b/>
              </w:rPr>
            </w:pPr>
            <w:r w:rsidRPr="0063360E">
              <w:rPr>
                <w:rFonts w:asciiTheme="minorHAnsi" w:hAnsiTheme="minorHAnsi" w:cstheme="minorHAnsi"/>
                <w:b/>
              </w:rPr>
              <w:t>PAH medicines</w:t>
            </w:r>
            <w:r>
              <w:rPr>
                <w:rFonts w:asciiTheme="minorHAnsi" w:hAnsiTheme="minorHAnsi" w:cstheme="minorHAnsi"/>
                <w:b/>
              </w:rPr>
              <w:t xml:space="preserve"> </w:t>
            </w:r>
            <w:r w:rsidRPr="00B6304B">
              <w:rPr>
                <w:rFonts w:asciiTheme="minorHAnsi" w:hAnsiTheme="minorHAnsi" w:cstheme="minorHAnsi"/>
                <w:b/>
                <w:sz w:val="20"/>
                <w:szCs w:val="20"/>
              </w:rPr>
              <w:t>(all forms, strengths, listed brands)</w:t>
            </w:r>
          </w:p>
        </w:tc>
        <w:tc>
          <w:tcPr>
            <w:tcW w:w="1276" w:type="dxa"/>
            <w:tcBorders>
              <w:top w:val="single" w:sz="4" w:space="0" w:color="auto"/>
              <w:left w:val="single" w:sz="4" w:space="0" w:color="auto"/>
              <w:bottom w:val="nil"/>
              <w:right w:val="single" w:sz="4" w:space="0" w:color="auto"/>
            </w:tcBorders>
            <w:shd w:val="clear" w:color="auto" w:fill="auto"/>
          </w:tcPr>
          <w:p w:rsidR="00B6304B" w:rsidRPr="00543018" w:rsidRDefault="00B6304B" w:rsidP="00604E56">
            <w:pPr>
              <w:spacing w:before="40" w:after="40"/>
              <w:jc w:val="center"/>
              <w:rPr>
                <w:rFonts w:asciiTheme="minorHAnsi" w:hAnsiTheme="minorHAnsi" w:cstheme="minorHAnsi"/>
                <w:b/>
              </w:rPr>
            </w:pPr>
            <w:r w:rsidRPr="00543018">
              <w:rPr>
                <w:rFonts w:asciiTheme="minorHAnsi" w:hAnsiTheme="minorHAnsi" w:cstheme="minorHAnsi"/>
                <w:b/>
              </w:rPr>
              <w:t>Medicine Class</w:t>
            </w:r>
          </w:p>
        </w:tc>
        <w:tc>
          <w:tcPr>
            <w:tcW w:w="1327" w:type="dxa"/>
            <w:tcBorders>
              <w:top w:val="single" w:sz="4" w:space="0" w:color="auto"/>
              <w:left w:val="single" w:sz="4" w:space="0" w:color="auto"/>
              <w:bottom w:val="single" w:sz="4" w:space="0" w:color="auto"/>
              <w:right w:val="nil"/>
            </w:tcBorders>
            <w:shd w:val="clear" w:color="auto" w:fill="auto"/>
          </w:tcPr>
          <w:p w:rsidR="00B6304B" w:rsidRPr="0063360E" w:rsidRDefault="00B6304B" w:rsidP="00604E56">
            <w:pPr>
              <w:spacing w:before="40" w:after="40"/>
              <w:jc w:val="center"/>
              <w:rPr>
                <w:rFonts w:asciiTheme="minorHAnsi" w:hAnsiTheme="minorHAnsi" w:cstheme="minorHAnsi"/>
                <w:b/>
              </w:rPr>
            </w:pPr>
          </w:p>
        </w:tc>
        <w:tc>
          <w:tcPr>
            <w:tcW w:w="2977" w:type="dxa"/>
            <w:tcBorders>
              <w:top w:val="single" w:sz="4" w:space="0" w:color="auto"/>
              <w:left w:val="nil"/>
              <w:bottom w:val="single" w:sz="4" w:space="0" w:color="auto"/>
              <w:right w:val="nil"/>
            </w:tcBorders>
            <w:shd w:val="clear" w:color="auto" w:fill="auto"/>
          </w:tcPr>
          <w:p w:rsidR="00B6304B" w:rsidRPr="0063360E" w:rsidRDefault="00B6304B" w:rsidP="00604E56">
            <w:pPr>
              <w:spacing w:before="40" w:after="40"/>
              <w:jc w:val="center"/>
              <w:rPr>
                <w:rFonts w:asciiTheme="minorHAnsi" w:hAnsiTheme="minorHAnsi" w:cstheme="minorHAnsi"/>
                <w:b/>
              </w:rPr>
            </w:pPr>
            <w:r>
              <w:rPr>
                <w:rFonts w:asciiTheme="minorHAnsi" w:hAnsiTheme="minorHAnsi" w:cstheme="minorHAnsi"/>
                <w:b/>
              </w:rPr>
              <w:t>PAH Symptoms</w:t>
            </w:r>
          </w:p>
        </w:tc>
        <w:tc>
          <w:tcPr>
            <w:tcW w:w="1418" w:type="dxa"/>
            <w:tcBorders>
              <w:top w:val="single" w:sz="4" w:space="0" w:color="auto"/>
              <w:left w:val="nil"/>
              <w:bottom w:val="single" w:sz="4" w:space="0" w:color="auto"/>
              <w:right w:val="single" w:sz="4" w:space="0" w:color="auto"/>
            </w:tcBorders>
            <w:shd w:val="clear" w:color="auto" w:fill="auto"/>
          </w:tcPr>
          <w:p w:rsidR="00B6304B" w:rsidRPr="0063360E" w:rsidRDefault="00B6304B" w:rsidP="00604E56">
            <w:pPr>
              <w:spacing w:before="40" w:after="40"/>
              <w:jc w:val="center"/>
              <w:rPr>
                <w:rFonts w:asciiTheme="minorHAnsi" w:hAnsiTheme="minorHAnsi" w:cstheme="minorHAnsi"/>
                <w:b/>
              </w:rPr>
            </w:pPr>
          </w:p>
        </w:tc>
      </w:tr>
      <w:tr w:rsidR="00FD5391" w:rsidRPr="0063360E" w:rsidTr="00891849">
        <w:tc>
          <w:tcPr>
            <w:tcW w:w="1980" w:type="dxa"/>
            <w:tcBorders>
              <w:top w:val="nil"/>
              <w:left w:val="single" w:sz="4" w:space="0" w:color="auto"/>
              <w:bottom w:val="single" w:sz="4" w:space="0" w:color="auto"/>
              <w:right w:val="single" w:sz="4" w:space="0" w:color="auto"/>
            </w:tcBorders>
            <w:shd w:val="clear" w:color="auto" w:fill="auto"/>
          </w:tcPr>
          <w:p w:rsidR="00FD5391" w:rsidRPr="0063360E" w:rsidRDefault="00FD5391" w:rsidP="00604E56">
            <w:pPr>
              <w:spacing w:before="40" w:after="40"/>
              <w:jc w:val="center"/>
              <w:rPr>
                <w:rFonts w:asciiTheme="minorHAnsi" w:hAnsiTheme="minorHAnsi" w:cstheme="minorHAnsi"/>
                <w:b/>
              </w:rPr>
            </w:pPr>
          </w:p>
        </w:tc>
        <w:tc>
          <w:tcPr>
            <w:tcW w:w="1276" w:type="dxa"/>
            <w:tcBorders>
              <w:top w:val="nil"/>
              <w:left w:val="single" w:sz="4" w:space="0" w:color="auto"/>
              <w:bottom w:val="single" w:sz="4" w:space="0" w:color="auto"/>
              <w:right w:val="single" w:sz="4" w:space="0" w:color="auto"/>
            </w:tcBorders>
            <w:shd w:val="clear" w:color="auto" w:fill="auto"/>
          </w:tcPr>
          <w:p w:rsidR="00FD5391" w:rsidRPr="00543018" w:rsidRDefault="00FD5391" w:rsidP="00604E56">
            <w:pPr>
              <w:spacing w:before="40" w:after="40"/>
              <w:jc w:val="center"/>
              <w:rPr>
                <w:rFonts w:asciiTheme="minorHAnsi" w:hAnsiTheme="minorHAnsi" w:cstheme="minorHAnsi"/>
                <w:b/>
              </w:rPr>
            </w:pPr>
          </w:p>
        </w:tc>
        <w:tc>
          <w:tcPr>
            <w:tcW w:w="1327" w:type="dxa"/>
            <w:tcBorders>
              <w:top w:val="single" w:sz="4" w:space="0" w:color="auto"/>
              <w:left w:val="single" w:sz="4" w:space="0" w:color="auto"/>
            </w:tcBorders>
            <w:shd w:val="clear" w:color="auto" w:fill="auto"/>
          </w:tcPr>
          <w:p w:rsidR="00FD5391" w:rsidRPr="0063360E" w:rsidRDefault="00FD5391" w:rsidP="00604E56">
            <w:pPr>
              <w:spacing w:before="40" w:after="40"/>
              <w:jc w:val="center"/>
              <w:rPr>
                <w:rFonts w:asciiTheme="minorHAnsi" w:hAnsiTheme="minorHAnsi" w:cstheme="minorHAnsi"/>
                <w:b/>
              </w:rPr>
            </w:pPr>
            <w:r w:rsidRPr="0063360E">
              <w:rPr>
                <w:rFonts w:asciiTheme="minorHAnsi" w:hAnsiTheme="minorHAnsi" w:cstheme="minorHAnsi"/>
                <w:b/>
              </w:rPr>
              <w:t>WHO FC II</w:t>
            </w:r>
          </w:p>
        </w:tc>
        <w:tc>
          <w:tcPr>
            <w:tcW w:w="2977" w:type="dxa"/>
            <w:tcBorders>
              <w:top w:val="single" w:sz="4" w:space="0" w:color="auto"/>
            </w:tcBorders>
            <w:shd w:val="clear" w:color="auto" w:fill="auto"/>
          </w:tcPr>
          <w:p w:rsidR="00FD5391" w:rsidRPr="0063360E" w:rsidRDefault="00FD5391" w:rsidP="00604E56">
            <w:pPr>
              <w:spacing w:before="40" w:after="40"/>
              <w:jc w:val="center"/>
              <w:rPr>
                <w:rFonts w:asciiTheme="minorHAnsi" w:hAnsiTheme="minorHAnsi" w:cstheme="minorHAnsi"/>
                <w:b/>
              </w:rPr>
            </w:pPr>
            <w:r w:rsidRPr="0063360E">
              <w:rPr>
                <w:rFonts w:asciiTheme="minorHAnsi" w:hAnsiTheme="minorHAnsi" w:cstheme="minorHAnsi"/>
                <w:b/>
              </w:rPr>
              <w:t>WHO FC III</w:t>
            </w:r>
          </w:p>
        </w:tc>
        <w:tc>
          <w:tcPr>
            <w:tcW w:w="1418" w:type="dxa"/>
            <w:tcBorders>
              <w:top w:val="single" w:sz="4" w:space="0" w:color="auto"/>
            </w:tcBorders>
            <w:shd w:val="clear" w:color="auto" w:fill="auto"/>
          </w:tcPr>
          <w:p w:rsidR="00FD5391" w:rsidRPr="0063360E" w:rsidRDefault="00FD5391" w:rsidP="00604E56">
            <w:pPr>
              <w:spacing w:before="40" w:after="40"/>
              <w:jc w:val="center"/>
              <w:rPr>
                <w:rFonts w:asciiTheme="minorHAnsi" w:hAnsiTheme="minorHAnsi" w:cstheme="minorHAnsi"/>
                <w:b/>
              </w:rPr>
            </w:pPr>
            <w:r w:rsidRPr="0063360E">
              <w:rPr>
                <w:rFonts w:asciiTheme="minorHAnsi" w:hAnsiTheme="minorHAnsi" w:cstheme="minorHAnsi"/>
                <w:b/>
              </w:rPr>
              <w:t>WHO FC IV</w:t>
            </w:r>
          </w:p>
        </w:tc>
      </w:tr>
      <w:tr w:rsidR="00FD5391" w:rsidRPr="0063360E" w:rsidTr="00891849">
        <w:tc>
          <w:tcPr>
            <w:tcW w:w="1980" w:type="dxa"/>
            <w:tcBorders>
              <w:top w:val="single" w:sz="4" w:space="0" w:color="auto"/>
              <w:right w:val="single" w:sz="4" w:space="0" w:color="auto"/>
            </w:tcBorders>
          </w:tcPr>
          <w:p w:rsidR="00FD5391" w:rsidRPr="0063360E" w:rsidRDefault="00FD5391" w:rsidP="00604E56">
            <w:pPr>
              <w:spacing w:before="40" w:after="40"/>
              <w:rPr>
                <w:rFonts w:asciiTheme="minorHAnsi" w:hAnsiTheme="minorHAnsi" w:cstheme="minorHAnsi"/>
                <w:sz w:val="22"/>
                <w:szCs w:val="22"/>
              </w:rPr>
            </w:pPr>
            <w:r w:rsidRPr="0063360E">
              <w:rPr>
                <w:rFonts w:asciiTheme="minorHAnsi" w:hAnsiTheme="minorHAnsi" w:cstheme="minorHAnsi"/>
                <w:sz w:val="22"/>
                <w:szCs w:val="22"/>
              </w:rPr>
              <w:t>Bosentan</w:t>
            </w:r>
          </w:p>
        </w:tc>
        <w:tc>
          <w:tcPr>
            <w:tcW w:w="1276" w:type="dxa"/>
            <w:tcBorders>
              <w:top w:val="single" w:sz="4" w:space="0" w:color="auto"/>
              <w:left w:val="single" w:sz="4" w:space="0" w:color="auto"/>
              <w:bottom w:val="nil"/>
              <w:right w:val="single" w:sz="4" w:space="0" w:color="auto"/>
            </w:tcBorders>
          </w:tcPr>
          <w:p w:rsidR="00FD5391" w:rsidRPr="00543018" w:rsidRDefault="00FD5391" w:rsidP="00604E56">
            <w:pPr>
              <w:spacing w:before="40" w:after="40"/>
              <w:rPr>
                <w:rFonts w:asciiTheme="minorHAnsi" w:hAnsiTheme="minorHAnsi" w:cstheme="minorHAnsi"/>
                <w:sz w:val="22"/>
                <w:szCs w:val="22"/>
              </w:rPr>
            </w:pPr>
            <w:r w:rsidRPr="00543018">
              <w:rPr>
                <w:rFonts w:asciiTheme="minorHAnsi" w:hAnsiTheme="minorHAnsi" w:cstheme="minorHAnsi"/>
                <w:sz w:val="22"/>
                <w:szCs w:val="22"/>
              </w:rPr>
              <w:t>ERA</w:t>
            </w:r>
          </w:p>
        </w:tc>
        <w:tc>
          <w:tcPr>
            <w:tcW w:w="1327" w:type="dxa"/>
            <w:tcBorders>
              <w:left w:val="single" w:sz="4" w:space="0" w:color="auto"/>
            </w:tcBorders>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c>
          <w:tcPr>
            <w:tcW w:w="2977" w:type="dxa"/>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c>
          <w:tcPr>
            <w:tcW w:w="1418" w:type="dxa"/>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r>
      <w:tr w:rsidR="00FD5391" w:rsidRPr="0063360E" w:rsidTr="00891849">
        <w:tc>
          <w:tcPr>
            <w:tcW w:w="1980" w:type="dxa"/>
            <w:tcBorders>
              <w:right w:val="single" w:sz="4" w:space="0" w:color="auto"/>
            </w:tcBorders>
          </w:tcPr>
          <w:p w:rsidR="00FD5391" w:rsidRPr="0063360E" w:rsidRDefault="00FD5391" w:rsidP="00604E56">
            <w:pPr>
              <w:spacing w:before="40" w:after="40"/>
              <w:rPr>
                <w:rFonts w:asciiTheme="minorHAnsi" w:hAnsiTheme="minorHAnsi" w:cstheme="minorHAnsi"/>
                <w:sz w:val="22"/>
                <w:szCs w:val="22"/>
              </w:rPr>
            </w:pPr>
            <w:r w:rsidRPr="0063360E">
              <w:rPr>
                <w:rFonts w:asciiTheme="minorHAnsi" w:hAnsiTheme="minorHAnsi" w:cstheme="minorHAnsi"/>
                <w:sz w:val="22"/>
                <w:szCs w:val="22"/>
              </w:rPr>
              <w:t>Ambrisentan</w:t>
            </w:r>
          </w:p>
        </w:tc>
        <w:tc>
          <w:tcPr>
            <w:tcW w:w="1276" w:type="dxa"/>
            <w:tcBorders>
              <w:top w:val="nil"/>
              <w:left w:val="single" w:sz="4" w:space="0" w:color="auto"/>
              <w:bottom w:val="nil"/>
              <w:right w:val="single" w:sz="4" w:space="0" w:color="auto"/>
            </w:tcBorders>
          </w:tcPr>
          <w:p w:rsidR="00FD5391" w:rsidRPr="00543018" w:rsidRDefault="00FD5391" w:rsidP="00604E56">
            <w:pPr>
              <w:spacing w:before="40" w:after="40"/>
              <w:rPr>
                <w:rFonts w:asciiTheme="minorHAnsi" w:hAnsiTheme="minorHAnsi" w:cstheme="minorHAnsi"/>
                <w:sz w:val="22"/>
                <w:szCs w:val="22"/>
              </w:rPr>
            </w:pPr>
          </w:p>
        </w:tc>
        <w:tc>
          <w:tcPr>
            <w:tcW w:w="1327" w:type="dxa"/>
            <w:tcBorders>
              <w:left w:val="single" w:sz="4" w:space="0" w:color="auto"/>
            </w:tcBorders>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c>
          <w:tcPr>
            <w:tcW w:w="2977" w:type="dxa"/>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c>
          <w:tcPr>
            <w:tcW w:w="1418" w:type="dxa"/>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r>
      <w:tr w:rsidR="00FD5391" w:rsidRPr="0063360E" w:rsidTr="00891849">
        <w:tc>
          <w:tcPr>
            <w:tcW w:w="1980" w:type="dxa"/>
            <w:tcBorders>
              <w:right w:val="single" w:sz="4" w:space="0" w:color="auto"/>
            </w:tcBorders>
          </w:tcPr>
          <w:p w:rsidR="00FD5391" w:rsidRPr="0063360E" w:rsidRDefault="00FD5391" w:rsidP="00604E56">
            <w:pPr>
              <w:spacing w:before="40" w:after="40"/>
              <w:rPr>
                <w:rFonts w:asciiTheme="minorHAnsi" w:hAnsiTheme="minorHAnsi" w:cstheme="minorHAnsi"/>
                <w:sz w:val="22"/>
                <w:szCs w:val="22"/>
              </w:rPr>
            </w:pPr>
            <w:r w:rsidRPr="0063360E">
              <w:rPr>
                <w:rFonts w:asciiTheme="minorHAnsi" w:hAnsiTheme="minorHAnsi" w:cstheme="minorHAnsi"/>
                <w:sz w:val="22"/>
                <w:szCs w:val="22"/>
              </w:rPr>
              <w:t>Macitentan</w:t>
            </w:r>
          </w:p>
        </w:tc>
        <w:tc>
          <w:tcPr>
            <w:tcW w:w="1276" w:type="dxa"/>
            <w:tcBorders>
              <w:top w:val="nil"/>
              <w:left w:val="single" w:sz="4" w:space="0" w:color="auto"/>
              <w:bottom w:val="single" w:sz="4" w:space="0" w:color="auto"/>
              <w:right w:val="single" w:sz="4" w:space="0" w:color="auto"/>
            </w:tcBorders>
          </w:tcPr>
          <w:p w:rsidR="00FD5391" w:rsidRPr="00543018" w:rsidRDefault="00FD5391" w:rsidP="00604E56">
            <w:pPr>
              <w:spacing w:before="40" w:after="40"/>
              <w:rPr>
                <w:rFonts w:asciiTheme="minorHAnsi" w:hAnsiTheme="minorHAnsi" w:cstheme="minorHAnsi"/>
                <w:sz w:val="22"/>
                <w:szCs w:val="22"/>
              </w:rPr>
            </w:pPr>
          </w:p>
        </w:tc>
        <w:tc>
          <w:tcPr>
            <w:tcW w:w="1327" w:type="dxa"/>
            <w:tcBorders>
              <w:left w:val="single" w:sz="4" w:space="0" w:color="auto"/>
            </w:tcBorders>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c>
          <w:tcPr>
            <w:tcW w:w="2977" w:type="dxa"/>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c>
          <w:tcPr>
            <w:tcW w:w="1418" w:type="dxa"/>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r>
      <w:tr w:rsidR="00FD5391" w:rsidRPr="0063360E" w:rsidTr="00891849">
        <w:tc>
          <w:tcPr>
            <w:tcW w:w="1980" w:type="dxa"/>
            <w:tcBorders>
              <w:right w:val="single" w:sz="4" w:space="0" w:color="auto"/>
            </w:tcBorders>
          </w:tcPr>
          <w:p w:rsidR="00FD5391" w:rsidRPr="0063360E" w:rsidRDefault="00FD5391" w:rsidP="00604E56">
            <w:pPr>
              <w:spacing w:before="40" w:after="40"/>
              <w:rPr>
                <w:rFonts w:asciiTheme="minorHAnsi" w:hAnsiTheme="minorHAnsi" w:cstheme="minorHAnsi"/>
                <w:sz w:val="22"/>
                <w:szCs w:val="22"/>
              </w:rPr>
            </w:pPr>
            <w:r w:rsidRPr="0063360E">
              <w:rPr>
                <w:rFonts w:asciiTheme="minorHAnsi" w:hAnsiTheme="minorHAnsi" w:cstheme="minorHAnsi"/>
                <w:sz w:val="22"/>
                <w:szCs w:val="22"/>
              </w:rPr>
              <w:t>Sildenafil</w:t>
            </w:r>
          </w:p>
        </w:tc>
        <w:tc>
          <w:tcPr>
            <w:tcW w:w="1276" w:type="dxa"/>
            <w:tcBorders>
              <w:top w:val="single" w:sz="4" w:space="0" w:color="auto"/>
              <w:left w:val="single" w:sz="4" w:space="0" w:color="auto"/>
              <w:bottom w:val="nil"/>
              <w:right w:val="single" w:sz="4" w:space="0" w:color="auto"/>
            </w:tcBorders>
          </w:tcPr>
          <w:p w:rsidR="00FD5391" w:rsidRPr="00543018" w:rsidRDefault="00FD5391" w:rsidP="00604E56">
            <w:pPr>
              <w:spacing w:before="40" w:after="40"/>
              <w:rPr>
                <w:rFonts w:asciiTheme="minorHAnsi" w:hAnsiTheme="minorHAnsi" w:cstheme="minorHAnsi"/>
                <w:sz w:val="22"/>
                <w:szCs w:val="22"/>
              </w:rPr>
            </w:pPr>
            <w:r w:rsidRPr="00543018">
              <w:rPr>
                <w:rFonts w:asciiTheme="minorHAnsi" w:hAnsiTheme="minorHAnsi" w:cstheme="minorHAnsi"/>
                <w:sz w:val="22"/>
                <w:szCs w:val="22"/>
              </w:rPr>
              <w:t>PDE-5i</w:t>
            </w:r>
          </w:p>
        </w:tc>
        <w:tc>
          <w:tcPr>
            <w:tcW w:w="1327" w:type="dxa"/>
            <w:tcBorders>
              <w:left w:val="single" w:sz="4" w:space="0" w:color="auto"/>
            </w:tcBorders>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c>
          <w:tcPr>
            <w:tcW w:w="2977" w:type="dxa"/>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c>
          <w:tcPr>
            <w:tcW w:w="1418" w:type="dxa"/>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t>×</w:t>
            </w:r>
          </w:p>
        </w:tc>
      </w:tr>
      <w:tr w:rsidR="00FD5391" w:rsidRPr="0063360E" w:rsidTr="00891849">
        <w:tc>
          <w:tcPr>
            <w:tcW w:w="1980" w:type="dxa"/>
            <w:tcBorders>
              <w:right w:val="single" w:sz="4" w:space="0" w:color="auto"/>
            </w:tcBorders>
          </w:tcPr>
          <w:p w:rsidR="00FD5391" w:rsidRPr="0063360E" w:rsidRDefault="00FD5391" w:rsidP="00604E56">
            <w:pPr>
              <w:spacing w:before="40" w:after="40"/>
              <w:rPr>
                <w:rFonts w:asciiTheme="minorHAnsi" w:hAnsiTheme="minorHAnsi" w:cstheme="minorHAnsi"/>
                <w:sz w:val="22"/>
                <w:szCs w:val="22"/>
              </w:rPr>
            </w:pPr>
            <w:r w:rsidRPr="0063360E">
              <w:rPr>
                <w:rFonts w:asciiTheme="minorHAnsi" w:hAnsiTheme="minorHAnsi" w:cstheme="minorHAnsi"/>
                <w:sz w:val="22"/>
                <w:szCs w:val="22"/>
              </w:rPr>
              <w:t>Tadalafil</w:t>
            </w:r>
          </w:p>
        </w:tc>
        <w:tc>
          <w:tcPr>
            <w:tcW w:w="1276" w:type="dxa"/>
            <w:tcBorders>
              <w:top w:val="nil"/>
              <w:left w:val="single" w:sz="4" w:space="0" w:color="auto"/>
              <w:bottom w:val="single" w:sz="4" w:space="0" w:color="auto"/>
              <w:right w:val="single" w:sz="4" w:space="0" w:color="auto"/>
            </w:tcBorders>
          </w:tcPr>
          <w:p w:rsidR="00FD5391" w:rsidRPr="00543018" w:rsidRDefault="00FD5391" w:rsidP="00604E56">
            <w:pPr>
              <w:spacing w:before="40" w:after="40"/>
              <w:rPr>
                <w:rFonts w:asciiTheme="minorHAnsi" w:hAnsiTheme="minorHAnsi" w:cstheme="minorHAnsi"/>
                <w:sz w:val="22"/>
                <w:szCs w:val="22"/>
              </w:rPr>
            </w:pPr>
          </w:p>
        </w:tc>
        <w:tc>
          <w:tcPr>
            <w:tcW w:w="1327" w:type="dxa"/>
            <w:tcBorders>
              <w:left w:val="single" w:sz="4" w:space="0" w:color="auto"/>
            </w:tcBorders>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c>
          <w:tcPr>
            <w:tcW w:w="2977" w:type="dxa"/>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c>
          <w:tcPr>
            <w:tcW w:w="1418" w:type="dxa"/>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t>×</w:t>
            </w:r>
          </w:p>
        </w:tc>
      </w:tr>
      <w:tr w:rsidR="00FD5391" w:rsidRPr="0063360E" w:rsidTr="00891849">
        <w:tc>
          <w:tcPr>
            <w:tcW w:w="1980" w:type="dxa"/>
            <w:tcBorders>
              <w:right w:val="single" w:sz="4" w:space="0" w:color="auto"/>
            </w:tcBorders>
          </w:tcPr>
          <w:p w:rsidR="00FD5391" w:rsidRPr="0063360E" w:rsidRDefault="00FD5391" w:rsidP="00604E56">
            <w:pPr>
              <w:spacing w:before="40" w:after="40"/>
              <w:rPr>
                <w:rFonts w:asciiTheme="minorHAnsi" w:hAnsiTheme="minorHAnsi" w:cstheme="minorHAnsi"/>
                <w:sz w:val="22"/>
                <w:szCs w:val="22"/>
              </w:rPr>
            </w:pPr>
            <w:r w:rsidRPr="0063360E">
              <w:rPr>
                <w:rFonts w:asciiTheme="minorHAnsi" w:hAnsiTheme="minorHAnsi" w:cstheme="minorHAnsi"/>
                <w:sz w:val="22"/>
                <w:szCs w:val="22"/>
              </w:rPr>
              <w:t>Iloprost</w:t>
            </w:r>
          </w:p>
        </w:tc>
        <w:tc>
          <w:tcPr>
            <w:tcW w:w="1276" w:type="dxa"/>
            <w:tcBorders>
              <w:top w:val="single" w:sz="4" w:space="0" w:color="auto"/>
              <w:left w:val="single" w:sz="4" w:space="0" w:color="auto"/>
              <w:bottom w:val="nil"/>
              <w:right w:val="single" w:sz="4" w:space="0" w:color="auto"/>
            </w:tcBorders>
          </w:tcPr>
          <w:p w:rsidR="00FD5391" w:rsidRPr="00543018" w:rsidRDefault="00FD5391" w:rsidP="00604E56">
            <w:pPr>
              <w:spacing w:before="40" w:after="40"/>
              <w:rPr>
                <w:rFonts w:asciiTheme="minorHAnsi" w:hAnsiTheme="minorHAnsi" w:cstheme="minorHAnsi"/>
                <w:sz w:val="22"/>
                <w:szCs w:val="22"/>
              </w:rPr>
            </w:pPr>
            <w:r w:rsidRPr="00543018">
              <w:rPr>
                <w:rFonts w:asciiTheme="minorHAnsi" w:hAnsiTheme="minorHAnsi" w:cstheme="minorHAnsi"/>
                <w:sz w:val="22"/>
                <w:szCs w:val="22"/>
              </w:rPr>
              <w:t>Prostanoid</w:t>
            </w:r>
          </w:p>
        </w:tc>
        <w:tc>
          <w:tcPr>
            <w:tcW w:w="1327" w:type="dxa"/>
            <w:tcBorders>
              <w:left w:val="single" w:sz="4" w:space="0" w:color="auto"/>
            </w:tcBorders>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t>×</w:t>
            </w:r>
          </w:p>
        </w:tc>
        <w:tc>
          <w:tcPr>
            <w:tcW w:w="2977" w:type="dxa"/>
          </w:tcPr>
          <w:p w:rsidR="00FD5391" w:rsidRPr="0063360E" w:rsidRDefault="00FD5391"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t>Second line treatment, except for first line treatment for drug and toxin induced PAH</w:t>
            </w:r>
          </w:p>
        </w:tc>
        <w:tc>
          <w:tcPr>
            <w:tcW w:w="1418" w:type="dxa"/>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r>
      <w:tr w:rsidR="00FD5391" w:rsidRPr="0063360E" w:rsidTr="00891849">
        <w:trPr>
          <w:trHeight w:val="70"/>
        </w:trPr>
        <w:tc>
          <w:tcPr>
            <w:tcW w:w="1980" w:type="dxa"/>
            <w:tcBorders>
              <w:right w:val="single" w:sz="4" w:space="0" w:color="auto"/>
            </w:tcBorders>
          </w:tcPr>
          <w:p w:rsidR="00FD5391" w:rsidRPr="0063360E" w:rsidRDefault="00FD5391" w:rsidP="00604E56">
            <w:pPr>
              <w:spacing w:before="40" w:after="40"/>
              <w:rPr>
                <w:rFonts w:asciiTheme="minorHAnsi" w:hAnsiTheme="minorHAnsi" w:cstheme="minorHAnsi"/>
                <w:sz w:val="22"/>
                <w:szCs w:val="22"/>
              </w:rPr>
            </w:pPr>
            <w:r w:rsidRPr="0063360E">
              <w:rPr>
                <w:rFonts w:asciiTheme="minorHAnsi" w:hAnsiTheme="minorHAnsi" w:cstheme="minorHAnsi"/>
                <w:sz w:val="22"/>
                <w:szCs w:val="22"/>
              </w:rPr>
              <w:t>Epoprostenol</w:t>
            </w:r>
          </w:p>
        </w:tc>
        <w:tc>
          <w:tcPr>
            <w:tcW w:w="1276" w:type="dxa"/>
            <w:tcBorders>
              <w:top w:val="nil"/>
              <w:left w:val="single" w:sz="4" w:space="0" w:color="auto"/>
              <w:bottom w:val="single" w:sz="4" w:space="0" w:color="auto"/>
              <w:right w:val="single" w:sz="4" w:space="0" w:color="auto"/>
            </w:tcBorders>
          </w:tcPr>
          <w:p w:rsidR="00FD5391" w:rsidRPr="00543018" w:rsidRDefault="00FD5391" w:rsidP="00604E56">
            <w:pPr>
              <w:spacing w:before="40" w:after="40"/>
              <w:rPr>
                <w:rFonts w:asciiTheme="minorHAnsi" w:hAnsiTheme="minorHAnsi" w:cstheme="minorHAnsi"/>
                <w:sz w:val="22"/>
                <w:szCs w:val="22"/>
              </w:rPr>
            </w:pPr>
          </w:p>
        </w:tc>
        <w:tc>
          <w:tcPr>
            <w:tcW w:w="1327" w:type="dxa"/>
            <w:tcBorders>
              <w:left w:val="single" w:sz="4" w:space="0" w:color="auto"/>
            </w:tcBorders>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t>x</w:t>
            </w:r>
          </w:p>
        </w:tc>
        <w:tc>
          <w:tcPr>
            <w:tcW w:w="2977" w:type="dxa"/>
          </w:tcPr>
          <w:p w:rsidR="00FD5391" w:rsidRPr="0063360E" w:rsidRDefault="00FD5391"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t>Second line treatment only</w:t>
            </w:r>
          </w:p>
        </w:tc>
        <w:tc>
          <w:tcPr>
            <w:tcW w:w="1418" w:type="dxa"/>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r>
      <w:tr w:rsidR="00FD5391" w:rsidRPr="0063360E" w:rsidTr="00891849">
        <w:tc>
          <w:tcPr>
            <w:tcW w:w="1980" w:type="dxa"/>
          </w:tcPr>
          <w:p w:rsidR="00FD5391" w:rsidRPr="0063360E" w:rsidRDefault="00FD5391" w:rsidP="00604E56">
            <w:pPr>
              <w:spacing w:before="40" w:after="40"/>
              <w:rPr>
                <w:rFonts w:asciiTheme="minorHAnsi" w:hAnsiTheme="minorHAnsi" w:cstheme="minorHAnsi"/>
                <w:sz w:val="22"/>
                <w:szCs w:val="22"/>
              </w:rPr>
            </w:pPr>
            <w:r w:rsidRPr="0063360E">
              <w:rPr>
                <w:rFonts w:asciiTheme="minorHAnsi" w:hAnsiTheme="minorHAnsi" w:cstheme="minorHAnsi"/>
                <w:sz w:val="22"/>
                <w:szCs w:val="22"/>
              </w:rPr>
              <w:t>Riociguat</w:t>
            </w:r>
          </w:p>
        </w:tc>
        <w:tc>
          <w:tcPr>
            <w:tcW w:w="1276" w:type="dxa"/>
            <w:tcBorders>
              <w:top w:val="single" w:sz="4" w:space="0" w:color="auto"/>
            </w:tcBorders>
          </w:tcPr>
          <w:p w:rsidR="00FD5391" w:rsidRPr="00543018" w:rsidRDefault="00FD5391" w:rsidP="00604E56">
            <w:pPr>
              <w:spacing w:before="40" w:after="40"/>
              <w:rPr>
                <w:rFonts w:asciiTheme="minorHAnsi" w:hAnsiTheme="minorHAnsi" w:cstheme="minorHAnsi"/>
                <w:sz w:val="22"/>
                <w:szCs w:val="22"/>
              </w:rPr>
            </w:pPr>
            <w:r w:rsidRPr="00543018">
              <w:rPr>
                <w:rFonts w:asciiTheme="minorHAnsi" w:hAnsiTheme="minorHAnsi" w:cstheme="minorHAnsi"/>
                <w:sz w:val="22"/>
                <w:szCs w:val="22"/>
              </w:rPr>
              <w:t>sGC stimulator</w:t>
            </w:r>
          </w:p>
        </w:tc>
        <w:tc>
          <w:tcPr>
            <w:tcW w:w="1327" w:type="dxa"/>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t>×</w:t>
            </w:r>
          </w:p>
        </w:tc>
        <w:tc>
          <w:tcPr>
            <w:tcW w:w="2977" w:type="dxa"/>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c>
          <w:tcPr>
            <w:tcW w:w="1418" w:type="dxa"/>
          </w:tcPr>
          <w:p w:rsidR="00FD5391" w:rsidRPr="0063360E" w:rsidRDefault="00B9596B" w:rsidP="008A6B1F">
            <w:pPr>
              <w:spacing w:before="40" w:after="40"/>
              <w:jc w:val="center"/>
              <w:rPr>
                <w:rFonts w:asciiTheme="minorHAnsi" w:hAnsiTheme="minorHAnsi" w:cstheme="minorHAnsi"/>
                <w:sz w:val="22"/>
                <w:szCs w:val="22"/>
              </w:rPr>
            </w:pPr>
            <w:r>
              <w:rPr>
                <w:rFonts w:asciiTheme="minorHAnsi" w:hAnsiTheme="minorHAnsi" w:cstheme="minorHAnsi"/>
                <w:sz w:val="22"/>
                <w:szCs w:val="22"/>
              </w:rPr>
              <w:sym w:font="Wingdings" w:char="F0FC"/>
            </w:r>
          </w:p>
        </w:tc>
      </w:tr>
    </w:tbl>
    <w:p w:rsidR="00FD5391" w:rsidRDefault="00FD5391" w:rsidP="00604E56">
      <w:pPr>
        <w:rPr>
          <w:rFonts w:asciiTheme="minorHAnsi" w:hAnsiTheme="minorHAnsi" w:cstheme="minorHAnsi"/>
          <w:sz w:val="20"/>
        </w:rPr>
      </w:pPr>
      <w:r w:rsidRPr="00B954F1">
        <w:rPr>
          <w:rFonts w:asciiTheme="minorHAnsi" w:hAnsiTheme="minorHAnsi" w:cstheme="minorHAnsi"/>
          <w:sz w:val="20"/>
        </w:rPr>
        <w:t>ERA: endothelin receptor antagonist, PDE-5i: phosphodiesterase 5 inhibitor, sGC stimulator: soluble guanylate cyclase stimulator, WHO FC: World Health Organization Functional Class</w:t>
      </w:r>
    </w:p>
    <w:p w:rsidR="00FD5391" w:rsidRPr="00543018" w:rsidRDefault="00FD5391" w:rsidP="00604E56">
      <w:pPr>
        <w:rPr>
          <w:rFonts w:asciiTheme="minorHAnsi" w:hAnsiTheme="minorHAnsi" w:cstheme="minorHAnsi"/>
          <w:sz w:val="20"/>
        </w:rPr>
      </w:pPr>
    </w:p>
    <w:p w:rsidR="0077036B" w:rsidRPr="00191CE4" w:rsidRDefault="00191CE4" w:rsidP="00604E56">
      <w:pPr>
        <w:rPr>
          <w:rFonts w:asciiTheme="minorHAnsi" w:hAnsiTheme="minorHAnsi" w:cstheme="minorBidi"/>
          <w:szCs w:val="22"/>
        </w:rPr>
      </w:pPr>
      <w:r w:rsidRPr="00191CE4">
        <w:rPr>
          <w:rFonts w:asciiTheme="minorHAnsi" w:hAnsiTheme="minorHAnsi" w:cstheme="minorBidi"/>
          <w:szCs w:val="22"/>
        </w:rPr>
        <w:t>Effective 1 May 2020, a summary of restriction phases for all PBS subsidised PAH medicines</w:t>
      </w:r>
      <w:r w:rsidR="00B9596B">
        <w:rPr>
          <w:rFonts w:asciiTheme="minorHAnsi" w:hAnsiTheme="minorHAnsi" w:cstheme="minorBidi"/>
          <w:szCs w:val="22"/>
        </w:rPr>
        <w:t xml:space="preserve"> (MONOTHERAPY)</w:t>
      </w:r>
      <w:r w:rsidRPr="00191CE4">
        <w:rPr>
          <w:rFonts w:asciiTheme="minorHAnsi" w:hAnsiTheme="minorHAnsi" w:cstheme="minorBidi"/>
          <w:szCs w:val="22"/>
        </w:rPr>
        <w:t xml:space="preserve"> is shown in the table below.</w:t>
      </w:r>
    </w:p>
    <w:p w:rsidR="00C164E9" w:rsidRDefault="00C164E9" w:rsidP="00604E56">
      <w:pPr>
        <w:pStyle w:val="Default"/>
        <w:rPr>
          <w:rFonts w:asciiTheme="minorHAnsi" w:hAnsiTheme="minorHAnsi" w:cstheme="minorBidi"/>
          <w:color w:val="auto"/>
          <w:szCs w:val="22"/>
        </w:rPr>
      </w:pPr>
    </w:p>
    <w:tbl>
      <w:tblPr>
        <w:tblStyle w:val="TableGrid"/>
        <w:tblW w:w="0" w:type="auto"/>
        <w:tblLook w:val="04A0" w:firstRow="1" w:lastRow="0" w:firstColumn="1" w:lastColumn="0" w:noHBand="0" w:noVBand="1"/>
        <w:tblCaption w:val="Summary of Restriction Phases"/>
        <w:tblDescription w:val="Summary of Restriction Phases"/>
      </w:tblPr>
      <w:tblGrid>
        <w:gridCol w:w="1638"/>
        <w:gridCol w:w="1173"/>
        <w:gridCol w:w="3851"/>
        <w:gridCol w:w="2398"/>
      </w:tblGrid>
      <w:tr w:rsidR="00115522" w:rsidRPr="008F3F49" w:rsidTr="00115522">
        <w:trPr>
          <w:tblHeader/>
        </w:trPr>
        <w:tc>
          <w:tcPr>
            <w:tcW w:w="1638" w:type="dxa"/>
          </w:tcPr>
          <w:p w:rsidR="00115522" w:rsidRPr="00B9596B" w:rsidRDefault="00604E56" w:rsidP="00604E56">
            <w:pPr>
              <w:spacing w:before="40" w:after="40"/>
              <w:jc w:val="center"/>
              <w:rPr>
                <w:rFonts w:asciiTheme="minorHAnsi" w:hAnsiTheme="minorHAnsi" w:cstheme="minorHAnsi"/>
                <w:b/>
              </w:rPr>
            </w:pPr>
            <w:r>
              <w:rPr>
                <w:rFonts w:asciiTheme="minorHAnsi" w:hAnsiTheme="minorHAnsi" w:cstheme="minorHAnsi"/>
                <w:b/>
              </w:rPr>
              <w:t>Treatment P</w:t>
            </w:r>
            <w:r w:rsidR="00115522" w:rsidRPr="00B9596B">
              <w:rPr>
                <w:rFonts w:asciiTheme="minorHAnsi" w:hAnsiTheme="minorHAnsi" w:cstheme="minorHAnsi"/>
                <w:b/>
              </w:rPr>
              <w:t>hase/</w:t>
            </w:r>
          </w:p>
          <w:p w:rsidR="00115522" w:rsidRPr="00B9596B" w:rsidRDefault="00604E56" w:rsidP="00604E56">
            <w:pPr>
              <w:spacing w:before="40" w:after="40"/>
              <w:jc w:val="center"/>
              <w:rPr>
                <w:rFonts w:asciiTheme="minorHAnsi" w:hAnsiTheme="minorHAnsi" w:cstheme="minorHAnsi"/>
                <w:b/>
              </w:rPr>
            </w:pPr>
            <w:r>
              <w:rPr>
                <w:rFonts w:asciiTheme="minorHAnsi" w:hAnsiTheme="minorHAnsi" w:cstheme="minorHAnsi"/>
                <w:b/>
              </w:rPr>
              <w:t>R</w:t>
            </w:r>
            <w:r w:rsidR="00115522" w:rsidRPr="00B9596B">
              <w:rPr>
                <w:rFonts w:asciiTheme="minorHAnsi" w:hAnsiTheme="minorHAnsi" w:cstheme="minorHAnsi"/>
                <w:b/>
              </w:rPr>
              <w:t>estriction</w:t>
            </w:r>
          </w:p>
        </w:tc>
        <w:tc>
          <w:tcPr>
            <w:tcW w:w="1173" w:type="dxa"/>
          </w:tcPr>
          <w:p w:rsidR="00115522" w:rsidRPr="00B9596B" w:rsidRDefault="00115522" w:rsidP="00604E56">
            <w:pPr>
              <w:spacing w:before="40" w:after="40"/>
              <w:jc w:val="center"/>
              <w:rPr>
                <w:rFonts w:asciiTheme="minorHAnsi" w:hAnsiTheme="minorHAnsi" w:cstheme="minorHAnsi"/>
                <w:b/>
              </w:rPr>
            </w:pPr>
            <w:r w:rsidRPr="00B9596B">
              <w:rPr>
                <w:rFonts w:asciiTheme="minorHAnsi" w:hAnsiTheme="minorHAnsi" w:cstheme="minorHAnsi"/>
                <w:b/>
              </w:rPr>
              <w:t>Level of Authority</w:t>
            </w:r>
          </w:p>
        </w:tc>
        <w:tc>
          <w:tcPr>
            <w:tcW w:w="3851" w:type="dxa"/>
          </w:tcPr>
          <w:p w:rsidR="00115522" w:rsidRPr="00B9596B" w:rsidRDefault="00115522" w:rsidP="00604E56">
            <w:pPr>
              <w:spacing w:before="40" w:after="40"/>
              <w:jc w:val="center"/>
              <w:rPr>
                <w:rFonts w:asciiTheme="minorHAnsi" w:hAnsiTheme="minorHAnsi" w:cstheme="minorHAnsi"/>
                <w:b/>
              </w:rPr>
            </w:pPr>
            <w:r w:rsidRPr="00B9596B">
              <w:rPr>
                <w:rFonts w:asciiTheme="minorHAnsi" w:hAnsiTheme="minorHAnsi" w:cstheme="minorHAnsi"/>
                <w:b/>
              </w:rPr>
              <w:t>Test Requirements</w:t>
            </w:r>
          </w:p>
        </w:tc>
        <w:tc>
          <w:tcPr>
            <w:tcW w:w="2398" w:type="dxa"/>
          </w:tcPr>
          <w:p w:rsidR="00115522" w:rsidRPr="00B9596B" w:rsidRDefault="00115522" w:rsidP="00604E56">
            <w:pPr>
              <w:spacing w:before="40" w:after="40"/>
              <w:jc w:val="center"/>
              <w:rPr>
                <w:rFonts w:asciiTheme="minorHAnsi" w:hAnsiTheme="minorHAnsi" w:cstheme="minorHAnsi"/>
                <w:b/>
              </w:rPr>
            </w:pPr>
            <w:r>
              <w:rPr>
                <w:rFonts w:asciiTheme="minorHAnsi" w:hAnsiTheme="minorHAnsi" w:cstheme="minorHAnsi"/>
                <w:b/>
              </w:rPr>
              <w:t>Supporting Documentation</w:t>
            </w:r>
          </w:p>
        </w:tc>
      </w:tr>
      <w:tr w:rsidR="00115522" w:rsidRPr="008F3F49" w:rsidTr="00115522">
        <w:tc>
          <w:tcPr>
            <w:tcW w:w="1638" w:type="dxa"/>
          </w:tcPr>
          <w:p w:rsidR="00115522" w:rsidRPr="00087110" w:rsidRDefault="00115522" w:rsidP="00604E56">
            <w:pPr>
              <w:rPr>
                <w:rFonts w:asciiTheme="minorHAnsi" w:hAnsiTheme="minorHAnsi" w:cstheme="minorHAnsi"/>
                <w:sz w:val="22"/>
                <w:szCs w:val="22"/>
              </w:rPr>
            </w:pPr>
            <w:r w:rsidRPr="00087110">
              <w:rPr>
                <w:rFonts w:asciiTheme="minorHAnsi" w:hAnsiTheme="minorHAnsi" w:cstheme="minorHAnsi"/>
                <w:sz w:val="22"/>
                <w:szCs w:val="22"/>
              </w:rPr>
              <w:t xml:space="preserve">Initial 1 </w:t>
            </w:r>
          </w:p>
          <w:p w:rsidR="00115522" w:rsidRPr="00087110" w:rsidRDefault="00115522" w:rsidP="00604E56">
            <w:pPr>
              <w:rPr>
                <w:rFonts w:asciiTheme="minorHAnsi" w:hAnsiTheme="minorHAnsi" w:cstheme="minorHAnsi"/>
                <w:sz w:val="22"/>
                <w:szCs w:val="22"/>
              </w:rPr>
            </w:pPr>
            <w:r w:rsidRPr="00087110">
              <w:rPr>
                <w:rFonts w:asciiTheme="minorHAnsi" w:hAnsiTheme="minorHAnsi" w:cstheme="minorHAnsi"/>
                <w:sz w:val="22"/>
                <w:szCs w:val="22"/>
              </w:rPr>
              <w:t xml:space="preserve">(new patients) </w:t>
            </w:r>
          </w:p>
        </w:tc>
        <w:tc>
          <w:tcPr>
            <w:tcW w:w="1173" w:type="dxa"/>
          </w:tcPr>
          <w:p w:rsidR="00115522" w:rsidRPr="00087110" w:rsidRDefault="00115522" w:rsidP="00604E56">
            <w:pPr>
              <w:rPr>
                <w:rFonts w:asciiTheme="minorHAnsi" w:hAnsiTheme="minorHAnsi" w:cstheme="minorHAnsi"/>
                <w:sz w:val="22"/>
                <w:szCs w:val="22"/>
              </w:rPr>
            </w:pPr>
            <w:r w:rsidRPr="00087110">
              <w:rPr>
                <w:rFonts w:asciiTheme="minorHAnsi" w:hAnsiTheme="minorHAnsi" w:cstheme="minorHAnsi"/>
                <w:sz w:val="22"/>
                <w:szCs w:val="22"/>
              </w:rPr>
              <w:t>Written</w:t>
            </w:r>
          </w:p>
        </w:tc>
        <w:tc>
          <w:tcPr>
            <w:tcW w:w="3851" w:type="dxa"/>
          </w:tcPr>
          <w:p w:rsidR="00115522" w:rsidRPr="00044B89" w:rsidRDefault="00115522" w:rsidP="00604E56">
            <w:pPr>
              <w:pStyle w:val="ListParagraph"/>
              <w:widowControl w:val="0"/>
              <w:numPr>
                <w:ilvl w:val="0"/>
                <w:numId w:val="8"/>
              </w:numPr>
              <w:spacing w:before="40" w:afterLines="40" w:after="96"/>
              <w:ind w:left="461" w:right="375" w:hanging="283"/>
              <w:rPr>
                <w:rFonts w:asciiTheme="minorHAnsi" w:hAnsiTheme="minorHAnsi" w:cstheme="minorHAnsi"/>
                <w:sz w:val="22"/>
                <w:szCs w:val="22"/>
              </w:rPr>
            </w:pPr>
            <w:r w:rsidRPr="00044B89">
              <w:rPr>
                <w:rFonts w:asciiTheme="minorHAnsi" w:hAnsiTheme="minorHAnsi" w:cstheme="minorHAnsi"/>
                <w:sz w:val="22"/>
                <w:szCs w:val="22"/>
              </w:rPr>
              <w:t>Right Heart Catheterisation (RHC)</w:t>
            </w:r>
          </w:p>
          <w:p w:rsidR="00115522" w:rsidRPr="00044B89" w:rsidRDefault="00115522" w:rsidP="00604E56">
            <w:pPr>
              <w:pStyle w:val="ListParagraph"/>
              <w:widowControl w:val="0"/>
              <w:numPr>
                <w:ilvl w:val="0"/>
                <w:numId w:val="8"/>
              </w:numPr>
              <w:spacing w:before="40" w:afterLines="40" w:after="96"/>
              <w:ind w:left="461" w:right="375" w:hanging="283"/>
              <w:rPr>
                <w:rFonts w:asciiTheme="minorHAnsi" w:hAnsiTheme="minorHAnsi" w:cstheme="minorHAnsi"/>
                <w:sz w:val="22"/>
                <w:szCs w:val="22"/>
              </w:rPr>
            </w:pPr>
            <w:r w:rsidRPr="00044B89">
              <w:rPr>
                <w:rFonts w:asciiTheme="minorHAnsi" w:hAnsiTheme="minorHAnsi" w:cstheme="minorHAnsi"/>
                <w:sz w:val="22"/>
                <w:szCs w:val="22"/>
              </w:rPr>
              <w:t>Echocardiogram</w:t>
            </w:r>
          </w:p>
          <w:p w:rsidR="00115522" w:rsidRPr="00044B89" w:rsidRDefault="00115522" w:rsidP="00604E56">
            <w:pPr>
              <w:pStyle w:val="ListParagraph"/>
              <w:widowControl w:val="0"/>
              <w:numPr>
                <w:ilvl w:val="0"/>
                <w:numId w:val="8"/>
              </w:numPr>
              <w:spacing w:before="40" w:afterLines="40" w:after="96"/>
              <w:ind w:left="461" w:right="375" w:hanging="283"/>
              <w:rPr>
                <w:rFonts w:asciiTheme="minorHAnsi" w:hAnsiTheme="minorHAnsi" w:cstheme="minorHAnsi"/>
                <w:sz w:val="22"/>
                <w:szCs w:val="22"/>
              </w:rPr>
            </w:pPr>
            <w:r w:rsidRPr="00044B89">
              <w:rPr>
                <w:rFonts w:asciiTheme="minorHAnsi" w:hAnsiTheme="minorHAnsi" w:cstheme="minorHAnsi"/>
                <w:sz w:val="22"/>
                <w:szCs w:val="22"/>
              </w:rPr>
              <w:t>Six Minute Walk Test</w:t>
            </w:r>
          </w:p>
          <w:p w:rsidR="00115522" w:rsidRPr="00044B89" w:rsidRDefault="00115522" w:rsidP="00604E56">
            <w:pPr>
              <w:pStyle w:val="ListParagraph"/>
              <w:widowControl w:val="0"/>
              <w:spacing w:before="40" w:afterLines="40" w:after="96"/>
              <w:ind w:left="461" w:right="375"/>
              <w:rPr>
                <w:rFonts w:asciiTheme="minorHAnsi" w:hAnsiTheme="minorHAnsi" w:cstheme="minorHAnsi"/>
                <w:sz w:val="22"/>
                <w:szCs w:val="22"/>
              </w:rPr>
            </w:pPr>
            <w:r w:rsidRPr="00044B89">
              <w:rPr>
                <w:rFonts w:asciiTheme="minorHAnsi" w:hAnsiTheme="minorHAnsi" w:cstheme="minorHAnsi"/>
                <w:sz w:val="22"/>
                <w:szCs w:val="22"/>
              </w:rPr>
              <w:t>OR</w:t>
            </w:r>
          </w:p>
          <w:p w:rsidR="00115522" w:rsidRPr="00044B89" w:rsidRDefault="00115522" w:rsidP="00604E56">
            <w:pPr>
              <w:pStyle w:val="ListParagraph"/>
              <w:widowControl w:val="0"/>
              <w:numPr>
                <w:ilvl w:val="0"/>
                <w:numId w:val="8"/>
              </w:numPr>
              <w:spacing w:before="40" w:afterLines="40" w:after="96"/>
              <w:ind w:left="461" w:right="375" w:hanging="283"/>
              <w:rPr>
                <w:rFonts w:asciiTheme="minorHAnsi" w:hAnsiTheme="minorHAnsi" w:cstheme="minorHAnsi"/>
                <w:sz w:val="22"/>
                <w:szCs w:val="22"/>
              </w:rPr>
            </w:pPr>
            <w:r w:rsidRPr="00044B89">
              <w:rPr>
                <w:rFonts w:asciiTheme="minorHAnsi" w:hAnsiTheme="minorHAnsi" w:cstheme="minorHAnsi"/>
                <w:sz w:val="22"/>
                <w:szCs w:val="22"/>
              </w:rPr>
              <w:t>preferred combination</w:t>
            </w:r>
          </w:p>
          <w:p w:rsidR="00115522" w:rsidRPr="00044B89" w:rsidRDefault="00115522" w:rsidP="00604E56">
            <w:pPr>
              <w:spacing w:before="40" w:afterLines="40" w:after="96"/>
              <w:ind w:right="375"/>
              <w:rPr>
                <w:rFonts w:asciiTheme="minorHAnsi" w:hAnsiTheme="minorHAnsi" w:cstheme="minorHAnsi"/>
                <w:sz w:val="22"/>
                <w:szCs w:val="22"/>
              </w:rPr>
            </w:pPr>
            <w:r w:rsidRPr="00044B89">
              <w:rPr>
                <w:rFonts w:asciiTheme="minorHAnsi" w:hAnsiTheme="minorHAnsi" w:cstheme="minorHAnsi"/>
                <w:sz w:val="22"/>
                <w:szCs w:val="22"/>
              </w:rPr>
              <w:t>Exemptions from the RHC require reconfirmation from a second expert cardiologist or PAH physician</w:t>
            </w:r>
          </w:p>
        </w:tc>
        <w:tc>
          <w:tcPr>
            <w:tcW w:w="2398" w:type="dxa"/>
          </w:tcPr>
          <w:p w:rsidR="00115522" w:rsidRPr="00044B89" w:rsidRDefault="00115522" w:rsidP="00604E56">
            <w:pPr>
              <w:pStyle w:val="ListParagraph"/>
              <w:numPr>
                <w:ilvl w:val="0"/>
                <w:numId w:val="8"/>
              </w:numPr>
              <w:spacing w:before="100" w:beforeAutospacing="1" w:after="100" w:afterAutospacing="1"/>
              <w:ind w:left="309"/>
              <w:rPr>
                <w:rFonts w:asciiTheme="minorHAnsi" w:hAnsiTheme="minorHAnsi" w:cstheme="minorHAnsi"/>
                <w:sz w:val="22"/>
                <w:szCs w:val="22"/>
              </w:rPr>
            </w:pPr>
            <w:r w:rsidRPr="00044B89">
              <w:rPr>
                <w:rFonts w:asciiTheme="minorHAnsi" w:hAnsiTheme="minorHAnsi" w:cstheme="minorHAnsi"/>
                <w:sz w:val="22"/>
                <w:szCs w:val="22"/>
              </w:rPr>
              <w:t>completed authority prescription form; and</w:t>
            </w:r>
          </w:p>
          <w:p w:rsidR="00115522" w:rsidRPr="00044B89" w:rsidRDefault="00115522" w:rsidP="00604E56">
            <w:pPr>
              <w:pStyle w:val="ListParagraph"/>
              <w:numPr>
                <w:ilvl w:val="0"/>
                <w:numId w:val="8"/>
              </w:numPr>
              <w:spacing w:before="100" w:beforeAutospacing="1" w:after="100" w:afterAutospacing="1"/>
              <w:ind w:left="309"/>
              <w:rPr>
                <w:rFonts w:asciiTheme="minorHAnsi" w:hAnsiTheme="minorHAnsi" w:cstheme="minorHAnsi"/>
                <w:sz w:val="22"/>
                <w:szCs w:val="22"/>
              </w:rPr>
            </w:pPr>
            <w:r w:rsidRPr="00044B89">
              <w:rPr>
                <w:rFonts w:asciiTheme="minorHAnsi" w:hAnsiTheme="minorHAnsi" w:cstheme="minorHAnsi"/>
                <w:sz w:val="22"/>
                <w:szCs w:val="22"/>
              </w:rPr>
              <w:t>a completed PAH PBS Authority Application - Supporting Information form</w:t>
            </w:r>
            <w:r w:rsidRPr="00044B89">
              <w:rPr>
                <w:rFonts w:ascii="Open Sans" w:hAnsi="Open Sans"/>
                <w:color w:val="333333"/>
                <w:sz w:val="22"/>
                <w:szCs w:val="22"/>
              </w:rPr>
              <w:t xml:space="preserve"> </w:t>
            </w:r>
          </w:p>
        </w:tc>
      </w:tr>
      <w:tr w:rsidR="00115522" w:rsidRPr="008F3F49" w:rsidTr="00115522">
        <w:tc>
          <w:tcPr>
            <w:tcW w:w="1638" w:type="dxa"/>
          </w:tcPr>
          <w:p w:rsidR="00115522" w:rsidRPr="00087110" w:rsidRDefault="00115522" w:rsidP="00604E56">
            <w:pPr>
              <w:rPr>
                <w:rFonts w:asciiTheme="minorHAnsi" w:hAnsiTheme="minorHAnsi" w:cstheme="minorHAnsi"/>
                <w:sz w:val="22"/>
                <w:szCs w:val="22"/>
              </w:rPr>
            </w:pPr>
            <w:r w:rsidRPr="00087110">
              <w:rPr>
                <w:rFonts w:asciiTheme="minorHAnsi" w:hAnsiTheme="minorHAnsi" w:cstheme="minorHAnsi"/>
                <w:sz w:val="22"/>
                <w:szCs w:val="22"/>
              </w:rPr>
              <w:t>Initial 2</w:t>
            </w:r>
          </w:p>
          <w:p w:rsidR="00115522" w:rsidRPr="00087110" w:rsidRDefault="00115522" w:rsidP="00604E56">
            <w:pPr>
              <w:rPr>
                <w:rFonts w:asciiTheme="minorHAnsi" w:hAnsiTheme="minorHAnsi" w:cstheme="minorHAnsi"/>
                <w:sz w:val="22"/>
                <w:szCs w:val="22"/>
              </w:rPr>
            </w:pPr>
            <w:r w:rsidRPr="00087110">
              <w:rPr>
                <w:rFonts w:asciiTheme="minorHAnsi" w:hAnsiTheme="minorHAnsi" w:cstheme="minorHAnsi"/>
                <w:sz w:val="22"/>
                <w:szCs w:val="22"/>
              </w:rPr>
              <w:t>(change)</w:t>
            </w:r>
          </w:p>
          <w:p w:rsidR="00115522" w:rsidRPr="00087110" w:rsidRDefault="00115522" w:rsidP="00604E56">
            <w:pPr>
              <w:rPr>
                <w:rFonts w:asciiTheme="minorHAnsi" w:hAnsiTheme="minorHAnsi" w:cstheme="minorHAnsi"/>
                <w:sz w:val="22"/>
                <w:szCs w:val="22"/>
              </w:rPr>
            </w:pPr>
          </w:p>
        </w:tc>
        <w:tc>
          <w:tcPr>
            <w:tcW w:w="1173" w:type="dxa"/>
          </w:tcPr>
          <w:p w:rsidR="00D26F0E" w:rsidRPr="00087110" w:rsidRDefault="00115522" w:rsidP="00604E56">
            <w:pPr>
              <w:rPr>
                <w:rFonts w:asciiTheme="minorHAnsi" w:hAnsiTheme="minorHAnsi" w:cstheme="minorHAnsi"/>
                <w:sz w:val="22"/>
                <w:szCs w:val="22"/>
              </w:rPr>
            </w:pPr>
            <w:r w:rsidRPr="00087110">
              <w:rPr>
                <w:rFonts w:asciiTheme="minorHAnsi" w:hAnsiTheme="minorHAnsi" w:cstheme="minorHAnsi"/>
                <w:sz w:val="22"/>
                <w:szCs w:val="22"/>
              </w:rPr>
              <w:t>Telephone</w:t>
            </w:r>
          </w:p>
          <w:p w:rsidR="00115522" w:rsidRPr="00087110" w:rsidRDefault="00D26F0E" w:rsidP="00604E56">
            <w:pPr>
              <w:rPr>
                <w:rFonts w:asciiTheme="minorHAnsi" w:hAnsiTheme="minorHAnsi" w:cstheme="minorHAnsi"/>
                <w:sz w:val="22"/>
                <w:szCs w:val="22"/>
              </w:rPr>
            </w:pPr>
            <w:r w:rsidRPr="00087110">
              <w:rPr>
                <w:rFonts w:asciiTheme="minorHAnsi" w:hAnsiTheme="minorHAnsi" w:cstheme="minorHAnsi"/>
                <w:sz w:val="22"/>
                <w:szCs w:val="22"/>
              </w:rPr>
              <w:t>/Written</w:t>
            </w:r>
            <w:r w:rsidR="00115522" w:rsidRPr="00087110">
              <w:rPr>
                <w:rFonts w:asciiTheme="minorHAnsi" w:hAnsiTheme="minorHAnsi" w:cstheme="minorHAnsi"/>
                <w:sz w:val="22"/>
                <w:szCs w:val="22"/>
              </w:rPr>
              <w:t xml:space="preserve"> </w:t>
            </w:r>
          </w:p>
        </w:tc>
        <w:tc>
          <w:tcPr>
            <w:tcW w:w="3851" w:type="dxa"/>
          </w:tcPr>
          <w:p w:rsidR="00115522" w:rsidRPr="00087110" w:rsidRDefault="00115522" w:rsidP="00604E56">
            <w:pPr>
              <w:spacing w:before="40" w:afterLines="40" w:after="96"/>
              <w:ind w:right="375"/>
              <w:rPr>
                <w:rFonts w:asciiTheme="minorHAnsi" w:hAnsiTheme="minorHAnsi" w:cstheme="minorHAnsi"/>
                <w:sz w:val="22"/>
                <w:szCs w:val="22"/>
              </w:rPr>
            </w:pPr>
            <w:r w:rsidRPr="00087110">
              <w:rPr>
                <w:rFonts w:asciiTheme="minorHAnsi" w:hAnsiTheme="minorHAnsi" w:cstheme="minorHAnsi"/>
                <w:sz w:val="22"/>
                <w:szCs w:val="22"/>
              </w:rPr>
              <w:t>Nil</w:t>
            </w:r>
          </w:p>
        </w:tc>
        <w:tc>
          <w:tcPr>
            <w:tcW w:w="2398" w:type="dxa"/>
          </w:tcPr>
          <w:p w:rsidR="00115522" w:rsidRPr="00087110" w:rsidRDefault="00D26F0E" w:rsidP="00604E56">
            <w:pPr>
              <w:pStyle w:val="ListParagraph"/>
              <w:numPr>
                <w:ilvl w:val="0"/>
                <w:numId w:val="8"/>
              </w:numPr>
              <w:spacing w:before="100" w:beforeAutospacing="1" w:after="100" w:afterAutospacing="1"/>
              <w:ind w:left="309"/>
              <w:rPr>
                <w:rFonts w:asciiTheme="minorHAnsi" w:hAnsiTheme="minorHAnsi" w:cstheme="minorHAnsi"/>
                <w:sz w:val="22"/>
                <w:szCs w:val="22"/>
              </w:rPr>
            </w:pPr>
            <w:r w:rsidRPr="00044B89">
              <w:rPr>
                <w:rFonts w:asciiTheme="minorHAnsi" w:hAnsiTheme="minorHAnsi" w:cstheme="minorHAnsi"/>
                <w:sz w:val="22"/>
                <w:szCs w:val="22"/>
              </w:rPr>
              <w:t>completed authority prescription form</w:t>
            </w:r>
          </w:p>
        </w:tc>
      </w:tr>
      <w:tr w:rsidR="00115522" w:rsidRPr="008F3F49" w:rsidTr="00115522">
        <w:tc>
          <w:tcPr>
            <w:tcW w:w="1638" w:type="dxa"/>
          </w:tcPr>
          <w:p w:rsidR="00115522" w:rsidRPr="00087110" w:rsidRDefault="00115522" w:rsidP="00604E56">
            <w:pPr>
              <w:rPr>
                <w:rFonts w:asciiTheme="minorHAnsi" w:hAnsiTheme="minorHAnsi" w:cstheme="minorHAnsi"/>
                <w:sz w:val="22"/>
                <w:szCs w:val="22"/>
              </w:rPr>
            </w:pPr>
            <w:r w:rsidRPr="00087110">
              <w:rPr>
                <w:rFonts w:asciiTheme="minorHAnsi" w:hAnsiTheme="minorHAnsi" w:cstheme="minorHAnsi"/>
                <w:sz w:val="22"/>
                <w:szCs w:val="22"/>
              </w:rPr>
              <w:t xml:space="preserve">Continuing treatment </w:t>
            </w:r>
          </w:p>
        </w:tc>
        <w:tc>
          <w:tcPr>
            <w:tcW w:w="1173" w:type="dxa"/>
          </w:tcPr>
          <w:p w:rsidR="00115522" w:rsidRPr="00044B89" w:rsidRDefault="00115522" w:rsidP="00604E56">
            <w:pPr>
              <w:rPr>
                <w:sz w:val="22"/>
                <w:szCs w:val="22"/>
              </w:rPr>
            </w:pPr>
            <w:r w:rsidRPr="00087110">
              <w:rPr>
                <w:rFonts w:asciiTheme="minorHAnsi" w:hAnsiTheme="minorHAnsi" w:cstheme="minorHAnsi"/>
                <w:sz w:val="22"/>
                <w:szCs w:val="22"/>
              </w:rPr>
              <w:t xml:space="preserve">Telephone </w:t>
            </w:r>
            <w:r w:rsidR="00D26F0E" w:rsidRPr="00087110">
              <w:rPr>
                <w:rFonts w:asciiTheme="minorHAnsi" w:hAnsiTheme="minorHAnsi" w:cstheme="minorHAnsi"/>
                <w:sz w:val="22"/>
                <w:szCs w:val="22"/>
              </w:rPr>
              <w:t>/Written</w:t>
            </w:r>
          </w:p>
        </w:tc>
        <w:tc>
          <w:tcPr>
            <w:tcW w:w="3851" w:type="dxa"/>
          </w:tcPr>
          <w:p w:rsidR="00115522" w:rsidRPr="00087110" w:rsidRDefault="00115522" w:rsidP="00604E56">
            <w:pPr>
              <w:spacing w:before="40" w:afterLines="40" w:after="96"/>
              <w:ind w:right="375"/>
              <w:rPr>
                <w:rFonts w:asciiTheme="minorHAnsi" w:hAnsiTheme="minorHAnsi" w:cstheme="minorHAnsi"/>
                <w:sz w:val="22"/>
                <w:szCs w:val="22"/>
              </w:rPr>
            </w:pPr>
            <w:r w:rsidRPr="00087110">
              <w:rPr>
                <w:rFonts w:asciiTheme="minorHAnsi" w:hAnsiTheme="minorHAnsi" w:cstheme="minorHAnsi"/>
                <w:sz w:val="22"/>
                <w:szCs w:val="22"/>
              </w:rPr>
              <w:t xml:space="preserve">Nil </w:t>
            </w:r>
          </w:p>
        </w:tc>
        <w:tc>
          <w:tcPr>
            <w:tcW w:w="2398" w:type="dxa"/>
          </w:tcPr>
          <w:p w:rsidR="00115522" w:rsidRPr="00087110" w:rsidRDefault="00D26F0E" w:rsidP="00604E56">
            <w:pPr>
              <w:pStyle w:val="ListParagraph"/>
              <w:numPr>
                <w:ilvl w:val="0"/>
                <w:numId w:val="8"/>
              </w:numPr>
              <w:spacing w:before="100" w:beforeAutospacing="1" w:after="100" w:afterAutospacing="1"/>
              <w:ind w:left="309"/>
              <w:rPr>
                <w:rFonts w:asciiTheme="minorHAnsi" w:hAnsiTheme="minorHAnsi" w:cstheme="minorHAnsi"/>
                <w:sz w:val="22"/>
                <w:szCs w:val="22"/>
              </w:rPr>
            </w:pPr>
            <w:r w:rsidRPr="00044B89">
              <w:rPr>
                <w:rFonts w:asciiTheme="minorHAnsi" w:hAnsiTheme="minorHAnsi" w:cstheme="minorHAnsi"/>
                <w:sz w:val="22"/>
                <w:szCs w:val="22"/>
              </w:rPr>
              <w:t>completed authority prescription form</w:t>
            </w:r>
          </w:p>
        </w:tc>
      </w:tr>
      <w:tr w:rsidR="00115522" w:rsidRPr="008F3F49" w:rsidTr="00115522">
        <w:tc>
          <w:tcPr>
            <w:tcW w:w="1638" w:type="dxa"/>
          </w:tcPr>
          <w:p w:rsidR="00115522" w:rsidRPr="00087110" w:rsidRDefault="00115522" w:rsidP="00604E56">
            <w:pPr>
              <w:rPr>
                <w:rFonts w:asciiTheme="minorHAnsi" w:hAnsiTheme="minorHAnsi" w:cstheme="minorHAnsi"/>
                <w:color w:val="222222"/>
                <w:sz w:val="22"/>
                <w:szCs w:val="22"/>
              </w:rPr>
            </w:pPr>
            <w:r w:rsidRPr="00087110">
              <w:rPr>
                <w:rFonts w:asciiTheme="minorHAnsi" w:hAnsiTheme="minorHAnsi" w:cstheme="minorHAnsi"/>
                <w:sz w:val="22"/>
                <w:szCs w:val="22"/>
              </w:rPr>
              <w:t xml:space="preserve">Bosentan </w:t>
            </w:r>
            <w:r w:rsidR="00B626D6" w:rsidRPr="00087110">
              <w:rPr>
                <w:rFonts w:asciiTheme="minorHAnsi" w:hAnsiTheme="minorHAnsi" w:cstheme="minorHAnsi"/>
                <w:sz w:val="22"/>
                <w:szCs w:val="22"/>
              </w:rPr>
              <w:t xml:space="preserve">62.5mg </w:t>
            </w:r>
            <w:r w:rsidRPr="00087110">
              <w:rPr>
                <w:rFonts w:asciiTheme="minorHAnsi" w:hAnsiTheme="minorHAnsi" w:cstheme="minorHAnsi"/>
                <w:sz w:val="22"/>
                <w:szCs w:val="22"/>
              </w:rPr>
              <w:t>only:</w:t>
            </w:r>
          </w:p>
          <w:p w:rsidR="00115522" w:rsidRPr="00087110" w:rsidRDefault="00115522" w:rsidP="00604E56">
            <w:pPr>
              <w:rPr>
                <w:rFonts w:asciiTheme="minorHAnsi" w:hAnsiTheme="minorHAnsi" w:cstheme="minorHAnsi"/>
                <w:color w:val="222222"/>
                <w:sz w:val="22"/>
                <w:szCs w:val="22"/>
              </w:rPr>
            </w:pPr>
            <w:r w:rsidRPr="00087110">
              <w:rPr>
                <w:rFonts w:asciiTheme="minorHAnsi" w:hAnsiTheme="minorHAnsi" w:cstheme="minorHAnsi"/>
                <w:color w:val="222222"/>
                <w:sz w:val="22"/>
                <w:szCs w:val="22"/>
              </w:rPr>
              <w:t xml:space="preserve">Cessation of treatment </w:t>
            </w:r>
          </w:p>
          <w:p w:rsidR="00115522" w:rsidRPr="00087110" w:rsidRDefault="00115522" w:rsidP="00604E56">
            <w:pPr>
              <w:rPr>
                <w:rFonts w:asciiTheme="minorHAnsi" w:hAnsiTheme="minorHAnsi" w:cstheme="minorHAnsi"/>
                <w:sz w:val="22"/>
                <w:szCs w:val="22"/>
              </w:rPr>
            </w:pPr>
            <w:r w:rsidRPr="00087110">
              <w:rPr>
                <w:rFonts w:asciiTheme="minorHAnsi" w:hAnsiTheme="minorHAnsi" w:cstheme="minorHAnsi"/>
                <w:sz w:val="22"/>
                <w:szCs w:val="22"/>
              </w:rPr>
              <w:t>(all patients)</w:t>
            </w:r>
          </w:p>
        </w:tc>
        <w:tc>
          <w:tcPr>
            <w:tcW w:w="1173" w:type="dxa"/>
          </w:tcPr>
          <w:p w:rsidR="00115522" w:rsidRPr="00044B89" w:rsidRDefault="00115522" w:rsidP="00604E56">
            <w:pPr>
              <w:rPr>
                <w:sz w:val="22"/>
                <w:szCs w:val="22"/>
              </w:rPr>
            </w:pPr>
            <w:r w:rsidRPr="00087110">
              <w:rPr>
                <w:rFonts w:asciiTheme="minorHAnsi" w:hAnsiTheme="minorHAnsi" w:cstheme="minorHAnsi"/>
                <w:sz w:val="22"/>
                <w:szCs w:val="22"/>
              </w:rPr>
              <w:t xml:space="preserve">Telephone </w:t>
            </w:r>
            <w:r w:rsidR="00D26F0E" w:rsidRPr="00087110">
              <w:rPr>
                <w:rFonts w:asciiTheme="minorHAnsi" w:hAnsiTheme="minorHAnsi" w:cstheme="minorHAnsi"/>
                <w:sz w:val="22"/>
                <w:szCs w:val="22"/>
              </w:rPr>
              <w:t>/Written</w:t>
            </w:r>
          </w:p>
        </w:tc>
        <w:tc>
          <w:tcPr>
            <w:tcW w:w="3851" w:type="dxa"/>
          </w:tcPr>
          <w:p w:rsidR="00115522" w:rsidRPr="00087110" w:rsidRDefault="00115522" w:rsidP="00604E56">
            <w:pPr>
              <w:spacing w:before="40" w:afterLines="40" w:after="96"/>
              <w:ind w:right="375"/>
              <w:rPr>
                <w:rFonts w:asciiTheme="minorHAnsi" w:hAnsiTheme="minorHAnsi" w:cstheme="minorHAnsi"/>
                <w:sz w:val="22"/>
                <w:szCs w:val="22"/>
              </w:rPr>
            </w:pPr>
            <w:r w:rsidRPr="00087110">
              <w:rPr>
                <w:rFonts w:asciiTheme="minorHAnsi" w:hAnsiTheme="minorHAnsi" w:cstheme="minorHAnsi"/>
                <w:sz w:val="22"/>
                <w:szCs w:val="22"/>
              </w:rPr>
              <w:t>Nil</w:t>
            </w:r>
          </w:p>
        </w:tc>
        <w:tc>
          <w:tcPr>
            <w:tcW w:w="2398" w:type="dxa"/>
          </w:tcPr>
          <w:p w:rsidR="00115522" w:rsidRPr="00087110" w:rsidRDefault="00D26F0E" w:rsidP="00604E56">
            <w:pPr>
              <w:pStyle w:val="ListParagraph"/>
              <w:numPr>
                <w:ilvl w:val="0"/>
                <w:numId w:val="8"/>
              </w:numPr>
              <w:spacing w:before="100" w:beforeAutospacing="1" w:after="100" w:afterAutospacing="1"/>
              <w:ind w:left="309"/>
              <w:rPr>
                <w:rFonts w:asciiTheme="minorHAnsi" w:hAnsiTheme="minorHAnsi" w:cstheme="minorHAnsi"/>
                <w:sz w:val="22"/>
                <w:szCs w:val="22"/>
              </w:rPr>
            </w:pPr>
            <w:r w:rsidRPr="00044B89">
              <w:rPr>
                <w:rFonts w:asciiTheme="minorHAnsi" w:hAnsiTheme="minorHAnsi" w:cstheme="minorHAnsi"/>
                <w:sz w:val="22"/>
                <w:szCs w:val="22"/>
              </w:rPr>
              <w:t>completed authority prescription form</w:t>
            </w:r>
          </w:p>
        </w:tc>
      </w:tr>
    </w:tbl>
    <w:p w:rsidR="00D26F0E" w:rsidRDefault="00D26F0E" w:rsidP="00604E56">
      <w:pPr>
        <w:rPr>
          <w:rFonts w:asciiTheme="minorHAnsi" w:hAnsiTheme="minorHAnsi" w:cstheme="minorHAnsi"/>
        </w:rPr>
      </w:pPr>
    </w:p>
    <w:p w:rsidR="00044B89" w:rsidRDefault="00805735" w:rsidP="00604E56">
      <w:pPr>
        <w:spacing w:after="240"/>
        <w:rPr>
          <w:rFonts w:asciiTheme="minorHAnsi" w:hAnsiTheme="minorHAnsi" w:cstheme="minorBidi"/>
          <w:szCs w:val="22"/>
        </w:rPr>
      </w:pPr>
      <w:r>
        <w:rPr>
          <w:rFonts w:asciiTheme="minorHAnsi" w:hAnsiTheme="minorHAnsi" w:cstheme="minorHAnsi"/>
        </w:rPr>
        <w:t xml:space="preserve">Prescribing information (including Authority Application forms and other relevant documentation as applicable) is available on the </w:t>
      </w:r>
      <w:hyperlink r:id="rId14" w:history="1">
        <w:r w:rsidRPr="00805735">
          <w:rPr>
            <w:rStyle w:val="Hyperlink"/>
            <w:rFonts w:asciiTheme="minorHAnsi" w:hAnsiTheme="minorHAnsi" w:cstheme="minorHAnsi"/>
          </w:rPr>
          <w:t>Services Australia website</w:t>
        </w:r>
      </w:hyperlink>
      <w:r w:rsidR="00044B89">
        <w:rPr>
          <w:rFonts w:asciiTheme="minorHAnsi" w:hAnsiTheme="minorHAnsi" w:cstheme="minorBidi"/>
          <w:szCs w:val="22"/>
        </w:rPr>
        <w:t>.</w:t>
      </w:r>
    </w:p>
    <w:p w:rsidR="00D26F0E" w:rsidRPr="00044B89" w:rsidRDefault="00D26F0E" w:rsidP="00604E56">
      <w:pPr>
        <w:rPr>
          <w:rFonts w:asciiTheme="minorHAnsi" w:hAnsiTheme="minorHAnsi" w:cstheme="minorHAnsi"/>
        </w:rPr>
      </w:pPr>
      <w:r w:rsidRPr="000D4B84">
        <w:rPr>
          <w:rFonts w:asciiTheme="minorHAnsi" w:hAnsiTheme="minorHAnsi" w:cstheme="minorBidi"/>
          <w:szCs w:val="22"/>
        </w:rPr>
        <w:t xml:space="preserve">For </w:t>
      </w:r>
      <w:r w:rsidR="000D4B84">
        <w:rPr>
          <w:rFonts w:asciiTheme="minorHAnsi" w:hAnsiTheme="minorHAnsi" w:cstheme="minorBidi"/>
          <w:szCs w:val="22"/>
        </w:rPr>
        <w:t>written Authority a</w:t>
      </w:r>
      <w:r w:rsidRPr="000D4B84">
        <w:rPr>
          <w:rFonts w:asciiTheme="minorHAnsi" w:hAnsiTheme="minorHAnsi" w:cstheme="minorBidi"/>
          <w:szCs w:val="22"/>
        </w:rPr>
        <w:t>pplication</w:t>
      </w:r>
      <w:r w:rsidR="00751569" w:rsidRPr="000D4B84">
        <w:rPr>
          <w:rFonts w:asciiTheme="minorHAnsi" w:hAnsiTheme="minorHAnsi" w:cstheme="minorBidi"/>
          <w:szCs w:val="22"/>
        </w:rPr>
        <w:t>s</w:t>
      </w:r>
      <w:r w:rsidR="00751569" w:rsidRPr="000D4B84">
        <w:rPr>
          <w:rFonts w:asciiTheme="minorHAnsi" w:hAnsiTheme="minorHAnsi" w:cs="Segoe UI"/>
        </w:rPr>
        <w:t xml:space="preserve">, </w:t>
      </w:r>
    </w:p>
    <w:p w:rsidR="00D26F0E" w:rsidRPr="00044B89" w:rsidRDefault="00D26F0E" w:rsidP="00604E56">
      <w:pPr>
        <w:pStyle w:val="ListParagraph"/>
        <w:numPr>
          <w:ilvl w:val="0"/>
          <w:numId w:val="8"/>
        </w:numPr>
        <w:rPr>
          <w:rFonts w:asciiTheme="minorHAnsi" w:hAnsiTheme="minorHAnsi" w:cstheme="minorHAnsi"/>
        </w:rPr>
      </w:pPr>
      <w:r w:rsidRPr="00044B89">
        <w:rPr>
          <w:rFonts w:asciiTheme="minorHAnsi" w:hAnsiTheme="minorHAnsi" w:cstheme="minorHAnsi"/>
        </w:rPr>
        <w:t xml:space="preserve">upload through </w:t>
      </w:r>
      <w:hyperlink r:id="rId15" w:history="1">
        <w:r w:rsidRPr="00044B89">
          <w:rPr>
            <w:rFonts w:asciiTheme="minorHAnsi" w:hAnsiTheme="minorHAnsi" w:cstheme="minorHAnsi"/>
          </w:rPr>
          <w:t>HPOS</w:t>
        </w:r>
      </w:hyperlink>
    </w:p>
    <w:p w:rsidR="000D4B84" w:rsidRPr="000D4B84" w:rsidRDefault="00044B89" w:rsidP="00604E56">
      <w:pPr>
        <w:pStyle w:val="ListParagraph"/>
        <w:numPr>
          <w:ilvl w:val="0"/>
          <w:numId w:val="8"/>
        </w:numPr>
        <w:spacing w:before="100" w:beforeAutospacing="1" w:after="100" w:afterAutospacing="1"/>
        <w:rPr>
          <w:rFonts w:asciiTheme="minorHAnsi" w:hAnsiTheme="minorHAnsi" w:cstheme="minorHAnsi"/>
        </w:rPr>
      </w:pPr>
      <w:r>
        <w:rPr>
          <w:rFonts w:asciiTheme="minorHAnsi" w:hAnsiTheme="minorHAnsi" w:cs="Segoe UI"/>
        </w:rPr>
        <w:t>p</w:t>
      </w:r>
      <w:r w:rsidR="00D26F0E" w:rsidRPr="000D4B84">
        <w:rPr>
          <w:rFonts w:asciiTheme="minorHAnsi" w:hAnsiTheme="minorHAnsi" w:cs="Segoe UI"/>
        </w:rPr>
        <w:t xml:space="preserve">ost to: </w:t>
      </w:r>
    </w:p>
    <w:p w:rsidR="000D4B84" w:rsidRDefault="00D26F0E" w:rsidP="00604E56">
      <w:pPr>
        <w:pStyle w:val="ListParagraph"/>
        <w:spacing w:before="100" w:beforeAutospacing="1" w:after="100" w:afterAutospacing="1"/>
        <w:rPr>
          <w:rFonts w:asciiTheme="minorHAnsi" w:hAnsiTheme="minorHAnsi" w:cs="Segoe UI"/>
        </w:rPr>
      </w:pPr>
      <w:r w:rsidRPr="000D4B84">
        <w:rPr>
          <w:rFonts w:asciiTheme="minorHAnsi" w:hAnsiTheme="minorHAnsi" w:cs="Segoe UI"/>
        </w:rPr>
        <w:t>Services Australia</w:t>
      </w:r>
    </w:p>
    <w:p w:rsidR="000D4B84" w:rsidRDefault="00D26F0E" w:rsidP="00604E56">
      <w:pPr>
        <w:pStyle w:val="ListParagraph"/>
        <w:spacing w:before="100" w:beforeAutospacing="1" w:after="100" w:afterAutospacing="1"/>
        <w:rPr>
          <w:rFonts w:asciiTheme="minorHAnsi" w:hAnsiTheme="minorHAnsi" w:cs="Segoe UI"/>
        </w:rPr>
      </w:pPr>
      <w:r w:rsidRPr="000D4B84">
        <w:rPr>
          <w:rFonts w:asciiTheme="minorHAnsi" w:hAnsiTheme="minorHAnsi" w:cs="Segoe UI"/>
        </w:rPr>
        <w:t>Complex Drugs Programs</w:t>
      </w:r>
      <w:r w:rsidRPr="000D4B84">
        <w:rPr>
          <w:rFonts w:asciiTheme="minorHAnsi" w:hAnsiTheme="minorHAnsi" w:cs="Segoe UI"/>
        </w:rPr>
        <w:br/>
        <w:t>Reply Paid 9826</w:t>
      </w:r>
      <w:r w:rsidRPr="000D4B84">
        <w:rPr>
          <w:rFonts w:asciiTheme="minorHAnsi" w:hAnsiTheme="minorHAnsi" w:cs="Segoe UI"/>
        </w:rPr>
        <w:br/>
        <w:t>HOBART TAS 7001</w:t>
      </w:r>
    </w:p>
    <w:p w:rsidR="00751569" w:rsidRPr="00044B89" w:rsidRDefault="00751569" w:rsidP="00604E56">
      <w:pPr>
        <w:pStyle w:val="ListParagraph"/>
        <w:numPr>
          <w:ilvl w:val="0"/>
          <w:numId w:val="8"/>
        </w:numPr>
        <w:spacing w:after="240"/>
        <w:ind w:left="714" w:hanging="357"/>
        <w:rPr>
          <w:rFonts w:asciiTheme="minorHAnsi" w:hAnsiTheme="minorHAnsi"/>
        </w:rPr>
      </w:pPr>
      <w:r w:rsidRPr="00044B89">
        <w:rPr>
          <w:rFonts w:asciiTheme="minorHAnsi" w:hAnsiTheme="minorHAnsi" w:cstheme="minorHAnsi"/>
        </w:rPr>
        <w:t xml:space="preserve">contact Services Australia on </w:t>
      </w:r>
      <w:r w:rsidRPr="00044B89">
        <w:rPr>
          <w:rFonts w:asciiTheme="minorHAnsi" w:hAnsiTheme="minorHAnsi"/>
        </w:rPr>
        <w:t xml:space="preserve">1800 700 270 Monday to Friday, 8 am to 5 pm AEST </w:t>
      </w:r>
    </w:p>
    <w:p w:rsidR="003E5859" w:rsidRDefault="003E5859" w:rsidP="00604E56">
      <w:pPr>
        <w:spacing w:after="240"/>
        <w:contextualSpacing/>
        <w:rPr>
          <w:rFonts w:asciiTheme="minorHAnsi" w:hAnsiTheme="minorHAnsi" w:cstheme="minorHAnsi"/>
        </w:rPr>
      </w:pPr>
      <w:r w:rsidRPr="00B372DC">
        <w:rPr>
          <w:rFonts w:asciiTheme="minorHAnsi" w:hAnsiTheme="minorHAnsi" w:cstheme="minorHAnsi"/>
        </w:rPr>
        <w:t xml:space="preserve">For more information about the prescribing, dispensing or claiming of PBS drugs, please call Services Australia on 132290 or visit the </w:t>
      </w:r>
      <w:hyperlink r:id="rId16" w:history="1">
        <w:r w:rsidRPr="00B372DC">
          <w:rPr>
            <w:rStyle w:val="Hyperlink"/>
            <w:rFonts w:asciiTheme="minorHAnsi" w:hAnsiTheme="minorHAnsi" w:cstheme="minorHAnsi"/>
          </w:rPr>
          <w:t>Services Australia website</w:t>
        </w:r>
      </w:hyperlink>
      <w:r w:rsidRPr="00B372DC">
        <w:rPr>
          <w:rFonts w:asciiTheme="minorHAnsi" w:hAnsiTheme="minorHAnsi" w:cstheme="minorHAnsi"/>
        </w:rPr>
        <w:t xml:space="preserve"> or the </w:t>
      </w:r>
      <w:hyperlink r:id="rId17" w:history="1">
        <w:r w:rsidRPr="00B372DC">
          <w:rPr>
            <w:rStyle w:val="Hyperlink"/>
            <w:rFonts w:asciiTheme="minorHAnsi" w:hAnsiTheme="minorHAnsi" w:cstheme="minorHAnsi"/>
          </w:rPr>
          <w:t>PBS website</w:t>
        </w:r>
      </w:hyperlink>
      <w:r w:rsidRPr="00B372DC">
        <w:rPr>
          <w:rFonts w:asciiTheme="minorHAnsi" w:hAnsiTheme="minorHAnsi" w:cstheme="minorHAnsi"/>
        </w:rPr>
        <w:t xml:space="preserve">. </w:t>
      </w:r>
    </w:p>
    <w:p w:rsidR="000D4B84" w:rsidRDefault="000D4B84" w:rsidP="00604E56">
      <w:pPr>
        <w:rPr>
          <w:rFonts w:asciiTheme="minorHAnsi" w:hAnsiTheme="minorHAnsi" w:cstheme="minorHAnsi"/>
        </w:rPr>
      </w:pPr>
    </w:p>
    <w:p w:rsidR="003E5859" w:rsidRDefault="003E5859" w:rsidP="00604E56">
      <w:pPr>
        <w:rPr>
          <w:rFonts w:asciiTheme="minorHAnsi" w:hAnsiTheme="minorHAnsi" w:cstheme="minorHAnsi"/>
        </w:rPr>
      </w:pPr>
      <w:r>
        <w:rPr>
          <w:rFonts w:asciiTheme="minorHAnsi" w:hAnsiTheme="minorHAnsi" w:cstheme="minorHAnsi"/>
        </w:rPr>
        <w:t xml:space="preserve">General questions about the PBS should be directed to the PBS general enquiry line on 1800 020 613 or email to </w:t>
      </w:r>
      <w:hyperlink r:id="rId18" w:history="1">
        <w:r w:rsidRPr="00822369">
          <w:rPr>
            <w:rStyle w:val="Hyperlink"/>
            <w:rFonts w:asciiTheme="minorHAnsi" w:hAnsiTheme="minorHAnsi" w:cstheme="minorHAnsi"/>
          </w:rPr>
          <w:t>pbs@health.gov.au</w:t>
        </w:r>
      </w:hyperlink>
      <w:r>
        <w:rPr>
          <w:rFonts w:asciiTheme="minorHAnsi" w:hAnsiTheme="minorHAnsi" w:cstheme="minorHAnsi"/>
        </w:rPr>
        <w:t>.</w:t>
      </w:r>
    </w:p>
    <w:p w:rsidR="000D4B84" w:rsidRDefault="000D4B84" w:rsidP="00604E56">
      <w:pPr>
        <w:rPr>
          <w:rFonts w:asciiTheme="minorHAnsi" w:hAnsiTheme="minorHAnsi" w:cstheme="minorHAnsi"/>
          <w:color w:val="333333"/>
          <w:lang w:val="en-GB"/>
        </w:rPr>
      </w:pPr>
    </w:p>
    <w:p w:rsidR="000D4B84" w:rsidRDefault="000D4B84" w:rsidP="00B16A2B">
      <w:pPr>
        <w:pStyle w:val="Heading2"/>
      </w:pPr>
      <w:r>
        <w:t>What does this change mean f</w:t>
      </w:r>
      <w:r w:rsidRPr="00543018">
        <w:t xml:space="preserve">or </w:t>
      </w:r>
      <w:r w:rsidR="00B626D6">
        <w:t>pharmacists</w:t>
      </w:r>
      <w:r>
        <w:t>?</w:t>
      </w:r>
    </w:p>
    <w:p w:rsidR="005A1D85" w:rsidRDefault="005A1D85" w:rsidP="00604E56">
      <w:pPr>
        <w:rPr>
          <w:rFonts w:asciiTheme="minorHAnsi" w:hAnsiTheme="minorHAnsi" w:cstheme="minorHAnsi"/>
        </w:rPr>
      </w:pPr>
      <w:r>
        <w:rPr>
          <w:rFonts w:asciiTheme="minorHAnsi" w:hAnsiTheme="minorHAnsi" w:cstheme="minorHAnsi"/>
        </w:rPr>
        <w:t>There are no changes to the PBS item codes for these medicines.</w:t>
      </w:r>
    </w:p>
    <w:p w:rsidR="007F2076" w:rsidRDefault="007F2076" w:rsidP="00604E56">
      <w:pPr>
        <w:rPr>
          <w:rFonts w:asciiTheme="minorHAnsi" w:hAnsiTheme="minorHAnsi" w:cstheme="minorHAnsi"/>
        </w:rPr>
      </w:pPr>
    </w:p>
    <w:p w:rsidR="00805735" w:rsidRDefault="00805735" w:rsidP="00604E56">
      <w:pPr>
        <w:rPr>
          <w:rFonts w:asciiTheme="minorHAnsi" w:hAnsiTheme="minorHAnsi" w:cstheme="minorHAnsi"/>
        </w:rPr>
      </w:pPr>
      <w:r>
        <w:rPr>
          <w:rFonts w:asciiTheme="minorHAnsi" w:hAnsiTheme="minorHAnsi" w:cstheme="minorHAnsi"/>
        </w:rPr>
        <w:t xml:space="preserve">Prescriptions written prior to 1 May 2020 will be valid for the lifetime of the prescription. </w:t>
      </w:r>
    </w:p>
    <w:p w:rsidR="007F2076" w:rsidRDefault="007F2076" w:rsidP="00604E56">
      <w:pPr>
        <w:rPr>
          <w:rFonts w:asciiTheme="minorHAnsi" w:hAnsiTheme="minorHAnsi" w:cstheme="minorBidi"/>
          <w:szCs w:val="22"/>
        </w:rPr>
      </w:pPr>
    </w:p>
    <w:p w:rsidR="005A1D85" w:rsidRPr="00604E56" w:rsidRDefault="005A1D85" w:rsidP="00604E56">
      <w:pPr>
        <w:rPr>
          <w:rFonts w:asciiTheme="minorHAnsi" w:hAnsiTheme="minorHAnsi" w:cstheme="minorHAnsi"/>
        </w:rPr>
      </w:pPr>
      <w:r>
        <w:rPr>
          <w:rFonts w:asciiTheme="minorHAnsi" w:hAnsiTheme="minorHAnsi" w:cstheme="minorBidi"/>
          <w:szCs w:val="22"/>
        </w:rPr>
        <w:t xml:space="preserve">From 1 May 2020, the initial Authority application for these medicines remains a written Authority. The written Authority ‘First Continuing’ and telephone Authority ‘Subsequent Continuing’ restrictions have been replaced by one Authority Required (Telephone) </w:t>
      </w:r>
      <w:r w:rsidRPr="00604E56">
        <w:rPr>
          <w:rFonts w:asciiTheme="minorHAnsi" w:hAnsiTheme="minorHAnsi" w:cstheme="minorHAnsi"/>
        </w:rPr>
        <w:t>‘Continuing’ PBS restriction.</w:t>
      </w:r>
    </w:p>
    <w:p w:rsidR="005A1D85" w:rsidRDefault="005A1D85" w:rsidP="00604E56">
      <w:pPr>
        <w:rPr>
          <w:rFonts w:asciiTheme="minorHAnsi" w:hAnsiTheme="minorHAnsi" w:cstheme="minorHAnsi"/>
        </w:rPr>
      </w:pPr>
    </w:p>
    <w:p w:rsidR="00FD5391" w:rsidRPr="00807C14" w:rsidRDefault="007F2076" w:rsidP="00604E56">
      <w:pPr>
        <w:rPr>
          <w:rFonts w:asciiTheme="minorHAnsi" w:hAnsiTheme="minorHAnsi" w:cstheme="minorBidi"/>
          <w:szCs w:val="22"/>
        </w:rPr>
      </w:pPr>
      <w:r w:rsidRPr="007F2076">
        <w:rPr>
          <w:rFonts w:asciiTheme="minorHAnsi" w:hAnsiTheme="minorHAnsi" w:cstheme="minorBidi"/>
          <w:szCs w:val="22"/>
        </w:rPr>
        <w:t xml:space="preserve">Pharmacists are required to ensure that </w:t>
      </w:r>
      <w:r>
        <w:rPr>
          <w:rFonts w:asciiTheme="minorHAnsi" w:hAnsiTheme="minorHAnsi" w:cstheme="minorBidi"/>
          <w:szCs w:val="22"/>
        </w:rPr>
        <w:t xml:space="preserve">prescriptions </w:t>
      </w:r>
      <w:r w:rsidRPr="007F2076">
        <w:rPr>
          <w:rFonts w:asciiTheme="minorHAnsi" w:hAnsiTheme="minorHAnsi" w:cstheme="minorBidi"/>
          <w:szCs w:val="22"/>
        </w:rPr>
        <w:t xml:space="preserve">have a valid Authority approval </w:t>
      </w:r>
      <w:r>
        <w:rPr>
          <w:rFonts w:asciiTheme="minorHAnsi" w:hAnsiTheme="minorHAnsi" w:cstheme="minorBidi"/>
          <w:szCs w:val="22"/>
        </w:rPr>
        <w:t>prior to dispensing.</w:t>
      </w:r>
      <w:r w:rsidR="00B07414">
        <w:rPr>
          <w:rFonts w:asciiTheme="minorHAnsi" w:hAnsiTheme="minorHAnsi" w:cstheme="minorBidi"/>
          <w:szCs w:val="22"/>
        </w:rPr>
        <w:t xml:space="preserve"> </w:t>
      </w:r>
      <w:r w:rsidRPr="00B07414">
        <w:rPr>
          <w:rFonts w:asciiTheme="minorHAnsi" w:hAnsiTheme="minorHAnsi" w:cstheme="minorBidi"/>
          <w:szCs w:val="22"/>
        </w:rPr>
        <w:t>If a pharmacist is presented with an authority PBS prescription and is not sure if it has been approved, he or she should contact Services Australia. Please note that Services Australia will not provide clinical information.</w:t>
      </w:r>
    </w:p>
    <w:sectPr w:rsidR="00FD5391" w:rsidRPr="00807C14" w:rsidSect="007F2076">
      <w:headerReference w:type="even" r:id="rId19"/>
      <w:headerReference w:type="default" r:id="rId20"/>
      <w:footerReference w:type="even" r:id="rId21"/>
      <w:footerReference w:type="default" r:id="rId22"/>
      <w:headerReference w:type="first" r:id="rId23"/>
      <w:footerReference w:type="first" r:id="rId24"/>
      <w:pgSz w:w="11906" w:h="16838" w:code="9"/>
      <w:pgMar w:top="567" w:right="1418" w:bottom="993"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36B" w:rsidRDefault="0077036B">
      <w:r>
        <w:separator/>
      </w:r>
    </w:p>
  </w:endnote>
  <w:endnote w:type="continuationSeparator" w:id="0">
    <w:p w:rsidR="0077036B" w:rsidRDefault="0077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B17" w:rsidRDefault="00ED2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B17" w:rsidRDefault="00ED2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B17" w:rsidRDefault="00ED2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36B" w:rsidRDefault="0077036B">
      <w:r>
        <w:separator/>
      </w:r>
    </w:p>
  </w:footnote>
  <w:footnote w:type="continuationSeparator" w:id="0">
    <w:p w:rsidR="0077036B" w:rsidRDefault="00770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B17" w:rsidRDefault="00ED2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B17" w:rsidRDefault="00ED2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B17" w:rsidRDefault="00ED2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230B"/>
    <w:multiLevelType w:val="multilevel"/>
    <w:tmpl w:val="B76E8B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4D3090"/>
    <w:multiLevelType w:val="hybridMultilevel"/>
    <w:tmpl w:val="89760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6645DE"/>
    <w:multiLevelType w:val="multilevel"/>
    <w:tmpl w:val="194E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01A74"/>
    <w:multiLevelType w:val="multilevel"/>
    <w:tmpl w:val="FE6C3C7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sz w:val="24"/>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6843F0"/>
    <w:multiLevelType w:val="hybridMultilevel"/>
    <w:tmpl w:val="42AE8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902A68"/>
    <w:multiLevelType w:val="hybridMultilevel"/>
    <w:tmpl w:val="8F68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261143"/>
    <w:multiLevelType w:val="hybridMultilevel"/>
    <w:tmpl w:val="E086F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B43B1D"/>
    <w:multiLevelType w:val="hybridMultilevel"/>
    <w:tmpl w:val="13F06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A830C7"/>
    <w:multiLevelType w:val="hybridMultilevel"/>
    <w:tmpl w:val="F3D84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8D6B6E"/>
    <w:multiLevelType w:val="hybridMultilevel"/>
    <w:tmpl w:val="7310B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3574BB"/>
    <w:multiLevelType w:val="hybridMultilevel"/>
    <w:tmpl w:val="B1BAB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984394"/>
    <w:multiLevelType w:val="multilevel"/>
    <w:tmpl w:val="9740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0"/>
  </w:num>
  <w:num w:numId="4">
    <w:abstractNumId w:val="3"/>
  </w:num>
  <w:num w:numId="5">
    <w:abstractNumId w:val="1"/>
  </w:num>
  <w:num w:numId="6">
    <w:abstractNumId w:val="9"/>
  </w:num>
  <w:num w:numId="7">
    <w:abstractNumId w:val="7"/>
  </w:num>
  <w:num w:numId="8">
    <w:abstractNumId w:val="5"/>
  </w:num>
  <w:num w:numId="9">
    <w:abstractNumId w:val="6"/>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B"/>
    <w:rsid w:val="0000021D"/>
    <w:rsid w:val="00012161"/>
    <w:rsid w:val="00041E2E"/>
    <w:rsid w:val="00044B89"/>
    <w:rsid w:val="000460C4"/>
    <w:rsid w:val="00047105"/>
    <w:rsid w:val="00063FB6"/>
    <w:rsid w:val="00064818"/>
    <w:rsid w:val="00072F0C"/>
    <w:rsid w:val="00087110"/>
    <w:rsid w:val="000906BD"/>
    <w:rsid w:val="000B478D"/>
    <w:rsid w:val="000D4B84"/>
    <w:rsid w:val="000E4D22"/>
    <w:rsid w:val="000F2591"/>
    <w:rsid w:val="001014B8"/>
    <w:rsid w:val="00112C73"/>
    <w:rsid w:val="00115522"/>
    <w:rsid w:val="001162DE"/>
    <w:rsid w:val="001305E2"/>
    <w:rsid w:val="001572D2"/>
    <w:rsid w:val="00160564"/>
    <w:rsid w:val="0017608F"/>
    <w:rsid w:val="00190EE6"/>
    <w:rsid w:val="0019136C"/>
    <w:rsid w:val="00191CE4"/>
    <w:rsid w:val="001D75A2"/>
    <w:rsid w:val="001E4026"/>
    <w:rsid w:val="001F0D48"/>
    <w:rsid w:val="00235958"/>
    <w:rsid w:val="002426B3"/>
    <w:rsid w:val="0024276B"/>
    <w:rsid w:val="00250594"/>
    <w:rsid w:val="00251E49"/>
    <w:rsid w:val="0026397D"/>
    <w:rsid w:val="00273053"/>
    <w:rsid w:val="002D1A4C"/>
    <w:rsid w:val="002E45FF"/>
    <w:rsid w:val="002F3611"/>
    <w:rsid w:val="00300F73"/>
    <w:rsid w:val="003060D2"/>
    <w:rsid w:val="0030702A"/>
    <w:rsid w:val="00310CDA"/>
    <w:rsid w:val="00322CF2"/>
    <w:rsid w:val="00363CF2"/>
    <w:rsid w:val="00372506"/>
    <w:rsid w:val="003C1944"/>
    <w:rsid w:val="003C464D"/>
    <w:rsid w:val="003E5859"/>
    <w:rsid w:val="00407F8F"/>
    <w:rsid w:val="004124E0"/>
    <w:rsid w:val="00413130"/>
    <w:rsid w:val="00420B2C"/>
    <w:rsid w:val="004227ED"/>
    <w:rsid w:val="004352FF"/>
    <w:rsid w:val="0044416F"/>
    <w:rsid w:val="0044779A"/>
    <w:rsid w:val="004557B9"/>
    <w:rsid w:val="00461016"/>
    <w:rsid w:val="00465451"/>
    <w:rsid w:val="004701C4"/>
    <w:rsid w:val="004735A2"/>
    <w:rsid w:val="004776E8"/>
    <w:rsid w:val="0048137D"/>
    <w:rsid w:val="004864D9"/>
    <w:rsid w:val="004972B9"/>
    <w:rsid w:val="004C0B1F"/>
    <w:rsid w:val="004C7B6B"/>
    <w:rsid w:val="004F3200"/>
    <w:rsid w:val="005025B0"/>
    <w:rsid w:val="005041DA"/>
    <w:rsid w:val="00512898"/>
    <w:rsid w:val="00516621"/>
    <w:rsid w:val="00531B2D"/>
    <w:rsid w:val="00536627"/>
    <w:rsid w:val="0054002A"/>
    <w:rsid w:val="005527BE"/>
    <w:rsid w:val="00552FCD"/>
    <w:rsid w:val="00556242"/>
    <w:rsid w:val="00562816"/>
    <w:rsid w:val="0057330E"/>
    <w:rsid w:val="005A1D85"/>
    <w:rsid w:val="005D2DB1"/>
    <w:rsid w:val="005E3018"/>
    <w:rsid w:val="005E57FD"/>
    <w:rsid w:val="005F028C"/>
    <w:rsid w:val="00604E56"/>
    <w:rsid w:val="00631ADC"/>
    <w:rsid w:val="006344A2"/>
    <w:rsid w:val="0063526B"/>
    <w:rsid w:val="006353C6"/>
    <w:rsid w:val="00635412"/>
    <w:rsid w:val="00641F00"/>
    <w:rsid w:val="00650E1D"/>
    <w:rsid w:val="00654CE5"/>
    <w:rsid w:val="00676983"/>
    <w:rsid w:val="00691B7D"/>
    <w:rsid w:val="006A3B8F"/>
    <w:rsid w:val="006B4D31"/>
    <w:rsid w:val="006E7D7A"/>
    <w:rsid w:val="006F025E"/>
    <w:rsid w:val="007004A3"/>
    <w:rsid w:val="00706A24"/>
    <w:rsid w:val="007211BC"/>
    <w:rsid w:val="0072412C"/>
    <w:rsid w:val="0072510E"/>
    <w:rsid w:val="00730354"/>
    <w:rsid w:val="00731FCD"/>
    <w:rsid w:val="0075043F"/>
    <w:rsid w:val="00751569"/>
    <w:rsid w:val="0077036B"/>
    <w:rsid w:val="007744F2"/>
    <w:rsid w:val="00775FE4"/>
    <w:rsid w:val="00782FCB"/>
    <w:rsid w:val="007A3D38"/>
    <w:rsid w:val="007A6678"/>
    <w:rsid w:val="007A6745"/>
    <w:rsid w:val="007B097B"/>
    <w:rsid w:val="007B69E7"/>
    <w:rsid w:val="007C7AFD"/>
    <w:rsid w:val="007F016B"/>
    <w:rsid w:val="007F2076"/>
    <w:rsid w:val="007F3885"/>
    <w:rsid w:val="00805735"/>
    <w:rsid w:val="00807C14"/>
    <w:rsid w:val="00822C1A"/>
    <w:rsid w:val="00855778"/>
    <w:rsid w:val="008621C3"/>
    <w:rsid w:val="00891849"/>
    <w:rsid w:val="0089317D"/>
    <w:rsid w:val="00893978"/>
    <w:rsid w:val="0089439E"/>
    <w:rsid w:val="00894F47"/>
    <w:rsid w:val="008A4ACD"/>
    <w:rsid w:val="008A6B1F"/>
    <w:rsid w:val="008A79A4"/>
    <w:rsid w:val="008B0D7D"/>
    <w:rsid w:val="008C2295"/>
    <w:rsid w:val="00910FFC"/>
    <w:rsid w:val="00911F6E"/>
    <w:rsid w:val="00912F75"/>
    <w:rsid w:val="00915116"/>
    <w:rsid w:val="0093202A"/>
    <w:rsid w:val="0093466D"/>
    <w:rsid w:val="00935E4C"/>
    <w:rsid w:val="00937489"/>
    <w:rsid w:val="009539F4"/>
    <w:rsid w:val="00960916"/>
    <w:rsid w:val="0096146C"/>
    <w:rsid w:val="0096629A"/>
    <w:rsid w:val="00973568"/>
    <w:rsid w:val="009800E4"/>
    <w:rsid w:val="009A2CD9"/>
    <w:rsid w:val="009A7761"/>
    <w:rsid w:val="009C3F3F"/>
    <w:rsid w:val="009E3D9F"/>
    <w:rsid w:val="009F2C8F"/>
    <w:rsid w:val="009F4DAC"/>
    <w:rsid w:val="009F5453"/>
    <w:rsid w:val="00A07D4C"/>
    <w:rsid w:val="00A114A1"/>
    <w:rsid w:val="00A20BC6"/>
    <w:rsid w:val="00A235B4"/>
    <w:rsid w:val="00A241EB"/>
    <w:rsid w:val="00A309A6"/>
    <w:rsid w:val="00A53488"/>
    <w:rsid w:val="00A832DF"/>
    <w:rsid w:val="00A84ACC"/>
    <w:rsid w:val="00A932D3"/>
    <w:rsid w:val="00AA46A6"/>
    <w:rsid w:val="00AB2279"/>
    <w:rsid w:val="00AC7598"/>
    <w:rsid w:val="00AC79FA"/>
    <w:rsid w:val="00AD398E"/>
    <w:rsid w:val="00AD5262"/>
    <w:rsid w:val="00AD5B02"/>
    <w:rsid w:val="00AD718D"/>
    <w:rsid w:val="00AE2684"/>
    <w:rsid w:val="00AF08B4"/>
    <w:rsid w:val="00B047E4"/>
    <w:rsid w:val="00B07414"/>
    <w:rsid w:val="00B14849"/>
    <w:rsid w:val="00B156BA"/>
    <w:rsid w:val="00B16A2B"/>
    <w:rsid w:val="00B20688"/>
    <w:rsid w:val="00B21ED6"/>
    <w:rsid w:val="00B33270"/>
    <w:rsid w:val="00B372F0"/>
    <w:rsid w:val="00B53800"/>
    <w:rsid w:val="00B60BFA"/>
    <w:rsid w:val="00B61C58"/>
    <w:rsid w:val="00B626D6"/>
    <w:rsid w:val="00B6304B"/>
    <w:rsid w:val="00B663EB"/>
    <w:rsid w:val="00B7391A"/>
    <w:rsid w:val="00B8737D"/>
    <w:rsid w:val="00B9596B"/>
    <w:rsid w:val="00BD0B61"/>
    <w:rsid w:val="00BE388C"/>
    <w:rsid w:val="00BF7CB2"/>
    <w:rsid w:val="00C12EEB"/>
    <w:rsid w:val="00C164E9"/>
    <w:rsid w:val="00C21FDA"/>
    <w:rsid w:val="00C23A31"/>
    <w:rsid w:val="00C66279"/>
    <w:rsid w:val="00C67E28"/>
    <w:rsid w:val="00C8019D"/>
    <w:rsid w:val="00C817F4"/>
    <w:rsid w:val="00C853DD"/>
    <w:rsid w:val="00C91ACF"/>
    <w:rsid w:val="00CA627A"/>
    <w:rsid w:val="00CB6189"/>
    <w:rsid w:val="00CC0246"/>
    <w:rsid w:val="00CD5206"/>
    <w:rsid w:val="00CE4691"/>
    <w:rsid w:val="00CE4823"/>
    <w:rsid w:val="00CF3477"/>
    <w:rsid w:val="00CF36D3"/>
    <w:rsid w:val="00D23FF4"/>
    <w:rsid w:val="00D26F0E"/>
    <w:rsid w:val="00D451B8"/>
    <w:rsid w:val="00D5477E"/>
    <w:rsid w:val="00D67CDE"/>
    <w:rsid w:val="00D73387"/>
    <w:rsid w:val="00D8450A"/>
    <w:rsid w:val="00D912DB"/>
    <w:rsid w:val="00D91587"/>
    <w:rsid w:val="00DA0569"/>
    <w:rsid w:val="00DB0AD2"/>
    <w:rsid w:val="00DD5414"/>
    <w:rsid w:val="00DF116F"/>
    <w:rsid w:val="00E25AED"/>
    <w:rsid w:val="00E50657"/>
    <w:rsid w:val="00E5582E"/>
    <w:rsid w:val="00E579D8"/>
    <w:rsid w:val="00E645C6"/>
    <w:rsid w:val="00E6675A"/>
    <w:rsid w:val="00E873F1"/>
    <w:rsid w:val="00EB0ED3"/>
    <w:rsid w:val="00EC415E"/>
    <w:rsid w:val="00EC4A7B"/>
    <w:rsid w:val="00ED2B17"/>
    <w:rsid w:val="00ED745C"/>
    <w:rsid w:val="00ED7514"/>
    <w:rsid w:val="00EF105B"/>
    <w:rsid w:val="00EF14F5"/>
    <w:rsid w:val="00F00237"/>
    <w:rsid w:val="00F016A4"/>
    <w:rsid w:val="00F054E3"/>
    <w:rsid w:val="00F141C6"/>
    <w:rsid w:val="00F21E8A"/>
    <w:rsid w:val="00F35708"/>
    <w:rsid w:val="00F41061"/>
    <w:rsid w:val="00F54B4A"/>
    <w:rsid w:val="00F66CFF"/>
    <w:rsid w:val="00F72B1B"/>
    <w:rsid w:val="00FC3B9C"/>
    <w:rsid w:val="00FC639D"/>
    <w:rsid w:val="00FD5391"/>
    <w:rsid w:val="00FE41DE"/>
    <w:rsid w:val="00FF4C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6B"/>
    <w:rPr>
      <w:rFonts w:ascii="Book Antiqua" w:hAnsi="Book Antiqua"/>
      <w:sz w:val="24"/>
      <w:szCs w:val="24"/>
    </w:rPr>
  </w:style>
  <w:style w:type="paragraph" w:styleId="Heading1">
    <w:name w:val="heading 1"/>
    <w:basedOn w:val="Normal"/>
    <w:next w:val="Normal"/>
    <w:link w:val="Heading1Char"/>
    <w:uiPriority w:val="9"/>
    <w:qFormat/>
    <w:rsid w:val="00B16A2B"/>
    <w:pPr>
      <w:keepNext/>
      <w:keepLines/>
      <w:spacing w:before="240" w:after="240"/>
      <w:jc w:val="center"/>
      <w:outlineLvl w:val="0"/>
    </w:pPr>
    <w:rPr>
      <w:rFonts w:asciiTheme="minorHAnsi" w:eastAsiaTheme="majorEastAsia" w:hAnsiTheme="minorHAnsi" w:cstheme="majorBidi"/>
      <w:b/>
      <w:bCs/>
      <w:sz w:val="28"/>
      <w:szCs w:val="28"/>
    </w:rPr>
  </w:style>
  <w:style w:type="paragraph" w:styleId="Heading2">
    <w:name w:val="heading 2"/>
    <w:basedOn w:val="Normal"/>
    <w:next w:val="Normal"/>
    <w:link w:val="Heading2Char"/>
    <w:uiPriority w:val="9"/>
    <w:qFormat/>
    <w:rsid w:val="00B16A2B"/>
    <w:pPr>
      <w:keepNext/>
      <w:keepLines/>
      <w:spacing w:before="200" w:after="240"/>
      <w:outlineLvl w:val="1"/>
    </w:pPr>
    <w:rPr>
      <w:rFonts w:asciiTheme="minorHAnsi" w:eastAsiaTheme="majorEastAsia" w:hAnsiTheme="min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B16A2B"/>
    <w:rPr>
      <w:rFonts w:asciiTheme="minorHAnsi" w:eastAsiaTheme="majorEastAsia" w:hAnsiTheme="minorHAnsi" w:cstheme="majorBidi"/>
      <w:b/>
      <w:bCs/>
      <w:sz w:val="28"/>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B16A2B"/>
    <w:rPr>
      <w:rFonts w:asciiTheme="minorHAnsi" w:eastAsiaTheme="majorEastAsia" w:hAnsiTheme="minorHAnsi" w:cstheme="majorBidi"/>
      <w:b/>
      <w:bCs/>
      <w:sz w:val="24"/>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customStyle="1" w:styleId="Default">
    <w:name w:val="Default"/>
    <w:rsid w:val="0077036B"/>
    <w:pPr>
      <w:autoSpaceDE w:val="0"/>
      <w:autoSpaceDN w:val="0"/>
      <w:adjustRightInd w:val="0"/>
    </w:pPr>
    <w:rPr>
      <w:rFonts w:ascii="Arial" w:hAnsi="Arial" w:cs="Arial"/>
      <w:color w:val="000000"/>
      <w:sz w:val="24"/>
      <w:szCs w:val="24"/>
    </w:rPr>
  </w:style>
  <w:style w:type="paragraph" w:styleId="ListParagraph">
    <w:name w:val="List Paragraph"/>
    <w:aliases w:val="BulletPoints,Footnote,List Paragraph1,Recommendation"/>
    <w:basedOn w:val="Normal"/>
    <w:link w:val="ListParagraphChar"/>
    <w:uiPriority w:val="34"/>
    <w:qFormat/>
    <w:rsid w:val="008C2295"/>
    <w:pPr>
      <w:ind w:left="720"/>
      <w:contextualSpacing/>
    </w:pPr>
  </w:style>
  <w:style w:type="character" w:customStyle="1" w:styleId="ListParagraphChar">
    <w:name w:val="List Paragraph Char"/>
    <w:aliases w:val="BulletPoints Char,Footnote Char,List Paragraph1 Char,Recommendation Char"/>
    <w:basedOn w:val="DefaultParagraphFont"/>
    <w:link w:val="ListParagraph"/>
    <w:uiPriority w:val="34"/>
    <w:rsid w:val="00512898"/>
    <w:rPr>
      <w:rFonts w:ascii="Book Antiqua" w:hAnsi="Book Antiqua"/>
      <w:sz w:val="24"/>
      <w:szCs w:val="24"/>
    </w:rPr>
  </w:style>
  <w:style w:type="paragraph" w:customStyle="1" w:styleId="PBACheading1">
    <w:name w:val="PBAC heading 1"/>
    <w:qFormat/>
    <w:rsid w:val="00512898"/>
    <w:pPr>
      <w:ind w:left="720" w:hanging="720"/>
      <w:outlineLvl w:val="0"/>
    </w:pPr>
    <w:rPr>
      <w:rFonts w:ascii="Arial" w:hAnsi="Arial" w:cs="Arial"/>
      <w:b/>
      <w:snapToGrid w:val="0"/>
      <w:sz w:val="22"/>
      <w:szCs w:val="22"/>
      <w:lang w:eastAsia="en-US"/>
    </w:rPr>
  </w:style>
  <w:style w:type="table" w:styleId="TableGrid">
    <w:name w:val="Table Grid"/>
    <w:basedOn w:val="TableNormal"/>
    <w:rsid w:val="0001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9E7"/>
    <w:rPr>
      <w:color w:val="0000FF" w:themeColor="hyperlink"/>
      <w:u w:val="single"/>
    </w:rPr>
  </w:style>
  <w:style w:type="character" w:styleId="FollowedHyperlink">
    <w:name w:val="FollowedHyperlink"/>
    <w:basedOn w:val="DefaultParagraphFont"/>
    <w:uiPriority w:val="99"/>
    <w:semiHidden/>
    <w:unhideWhenUsed/>
    <w:rsid w:val="007B69E7"/>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D5391"/>
    <w:pPr>
      <w:spacing w:after="160" w:line="240" w:lineRule="exact"/>
    </w:pPr>
    <w:rPr>
      <w:rFonts w:ascii="Verdana" w:eastAsia="MS Mincho" w:hAnsi="Verdana" w:cs="Verdana"/>
      <w:sz w:val="20"/>
      <w:szCs w:val="20"/>
      <w:lang w:val="en-US" w:eastAsia="en-US"/>
    </w:rPr>
  </w:style>
  <w:style w:type="paragraph" w:styleId="NormalWeb">
    <w:name w:val="Normal (Web)"/>
    <w:basedOn w:val="Normal"/>
    <w:uiPriority w:val="99"/>
    <w:semiHidden/>
    <w:unhideWhenUsed/>
    <w:rsid w:val="0011552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407F8F"/>
    <w:rPr>
      <w:sz w:val="16"/>
      <w:szCs w:val="16"/>
    </w:rPr>
  </w:style>
  <w:style w:type="paragraph" w:styleId="CommentText">
    <w:name w:val="annotation text"/>
    <w:basedOn w:val="Normal"/>
    <w:link w:val="CommentTextChar"/>
    <w:uiPriority w:val="99"/>
    <w:semiHidden/>
    <w:unhideWhenUsed/>
    <w:rsid w:val="00407F8F"/>
    <w:rPr>
      <w:sz w:val="20"/>
      <w:szCs w:val="20"/>
    </w:rPr>
  </w:style>
  <w:style w:type="character" w:customStyle="1" w:styleId="CommentTextChar">
    <w:name w:val="Comment Text Char"/>
    <w:basedOn w:val="DefaultParagraphFont"/>
    <w:link w:val="CommentText"/>
    <w:uiPriority w:val="99"/>
    <w:semiHidden/>
    <w:rsid w:val="00407F8F"/>
    <w:rPr>
      <w:rFonts w:ascii="Book Antiqua" w:hAnsi="Book Antiqua"/>
    </w:rPr>
  </w:style>
  <w:style w:type="paragraph" w:styleId="CommentSubject">
    <w:name w:val="annotation subject"/>
    <w:basedOn w:val="CommentText"/>
    <w:next w:val="CommentText"/>
    <w:link w:val="CommentSubjectChar"/>
    <w:uiPriority w:val="99"/>
    <w:semiHidden/>
    <w:unhideWhenUsed/>
    <w:rsid w:val="00407F8F"/>
    <w:rPr>
      <w:b/>
      <w:bCs/>
    </w:rPr>
  </w:style>
  <w:style w:type="character" w:customStyle="1" w:styleId="CommentSubjectChar">
    <w:name w:val="Comment Subject Char"/>
    <w:basedOn w:val="CommentTextChar"/>
    <w:link w:val="CommentSubject"/>
    <w:uiPriority w:val="99"/>
    <w:semiHidden/>
    <w:rsid w:val="00407F8F"/>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reviews/post-market-review-pah" TargetMode="External"/><Relationship Id="rId13" Type="http://schemas.openxmlformats.org/officeDocument/2006/relationships/hyperlink" Target="https://www.pbs.gov.au/browse/publications" TargetMode="External"/><Relationship Id="rId18" Type="http://schemas.openxmlformats.org/officeDocument/2006/relationships/hyperlink" Target="mailto:pbs@health.gov.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pbs.gov.au/browse/body-system?depth=4&amp;codes=c02kx" TargetMode="External"/><Relationship Id="rId17" Type="http://schemas.openxmlformats.org/officeDocument/2006/relationships/hyperlink" Target="http://www.pbs.gov.au/pbs/hom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ervicesaustralia.gov.a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bs.gov.au/industry/listing/elements/pbac-meetings/pbac-outcomes/2019-11/other-matters-11-2019.docx.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ervicesaustralia.gov.au/organisations/health-professionals/services/medicare/hpos" TargetMode="External"/><Relationship Id="rId23" Type="http://schemas.openxmlformats.org/officeDocument/2006/relationships/header" Target="header3.xml"/><Relationship Id="rId10" Type="http://schemas.openxmlformats.org/officeDocument/2006/relationships/hyperlink" Target="http://www.pbs.gov.au/industry/listing/elements/pbac-meetings/pbac-outcomes/2019-03/other-matters-03-2019.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bs.gov.au/industry/listing/elements/pbac-meetings/pbac-outcomes/2018-11/other-matters-11-2018.pdf" TargetMode="External"/><Relationship Id="rId14" Type="http://schemas.openxmlformats.org/officeDocument/2006/relationships/hyperlink" Target="https://www.servicesaustralia.gov.au/organisations/health-professionals/services/medicare/written-authority-required-drugs/drug-program-or-condition/pulmonary-hypertension-arteria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5611</Characters>
  <Application>Microsoft Office Word</Application>
  <DocSecurity>0</DocSecurity>
  <Lines>46</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2020-04-15T03:28:00Z</dcterms:created>
  <dcterms:modified xsi:type="dcterms:W3CDTF">2020-04-15T03:28:00Z</dcterms:modified>
</cp:coreProperties>
</file>