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theme/themeOverride1.xml" ContentType="application/vnd.openxmlformats-officedocument.themeOverride+xml"/>
  <Override PartName="/word/charts/chart10.xml" ContentType="application/vnd.openxmlformats-officedocument.drawingml.chart+xml"/>
  <Override PartName="/word/theme/themeOverride2.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E9B526" w14:textId="77777777" w:rsidR="00D114B8" w:rsidRPr="0035011F" w:rsidRDefault="00D114B8" w:rsidP="00D114B8">
      <w:pPr>
        <w:spacing w:after="240"/>
        <w:contextualSpacing/>
        <w:rPr>
          <w:rFonts w:ascii="Calibri" w:eastAsia="MS Gothic" w:hAnsi="Calibri" w:cs="Times New Roman"/>
          <w:b/>
          <w:spacing w:val="5"/>
          <w:kern w:val="28"/>
          <w:sz w:val="52"/>
          <w:szCs w:val="52"/>
        </w:rPr>
      </w:pPr>
      <w:bookmarkStart w:id="0" w:name="_GoBack"/>
      <w:r>
        <w:rPr>
          <w:rFonts w:ascii="Calibri" w:eastAsia="MS Gothic" w:hAnsi="Calibri" w:cs="Times New Roman"/>
          <w:b/>
          <w:spacing w:val="5"/>
          <w:kern w:val="28"/>
          <w:sz w:val="52"/>
          <w:szCs w:val="52"/>
        </w:rPr>
        <w:t xml:space="preserve">Pulmonary Arterial Hypertension (PAH) medicines </w:t>
      </w:r>
      <w:r w:rsidRPr="0035011F">
        <w:rPr>
          <w:rFonts w:ascii="Calibri" w:eastAsia="MS Gothic" w:hAnsi="Calibri" w:cs="Times New Roman"/>
          <w:b/>
          <w:spacing w:val="5"/>
          <w:kern w:val="28"/>
          <w:sz w:val="52"/>
          <w:szCs w:val="52"/>
        </w:rPr>
        <w:t>utilisation</w:t>
      </w:r>
      <w:r>
        <w:rPr>
          <w:rFonts w:ascii="Calibri" w:eastAsia="MS Gothic" w:hAnsi="Calibri" w:cs="Times New Roman"/>
          <w:b/>
          <w:spacing w:val="5"/>
          <w:kern w:val="28"/>
          <w:sz w:val="52"/>
          <w:szCs w:val="52"/>
        </w:rPr>
        <w:t xml:space="preserve"> analysis</w:t>
      </w:r>
    </w:p>
    <w:p w14:paraId="48D74813" w14:textId="77777777" w:rsidR="00D114B8" w:rsidRPr="0035011F" w:rsidRDefault="00D114B8" w:rsidP="00D114B8">
      <w:pPr>
        <w:keepNext/>
        <w:keepLines/>
        <w:spacing w:before="480" w:after="240"/>
        <w:outlineLvl w:val="0"/>
        <w:rPr>
          <w:rFonts w:ascii="Calibri" w:eastAsia="MS Gothic" w:hAnsi="Calibri" w:cs="Times New Roman"/>
          <w:b/>
          <w:bCs/>
          <w:sz w:val="40"/>
          <w:szCs w:val="28"/>
        </w:rPr>
      </w:pPr>
      <w:r w:rsidRPr="0035011F">
        <w:rPr>
          <w:rFonts w:ascii="Calibri" w:eastAsia="MS Gothic" w:hAnsi="Calibri" w:cs="Times New Roman"/>
          <w:b/>
          <w:bCs/>
          <w:sz w:val="40"/>
          <w:szCs w:val="28"/>
        </w:rPr>
        <w:t>Drug utilisation sub-committee (DUSC)</w:t>
      </w:r>
    </w:p>
    <w:p w14:paraId="05F4E682" w14:textId="77777777" w:rsidR="00D114B8" w:rsidRDefault="00D114B8" w:rsidP="00D114B8">
      <w:pPr>
        <w:keepNext/>
        <w:keepLines/>
        <w:spacing w:before="240"/>
        <w:outlineLvl w:val="3"/>
        <w:rPr>
          <w:rFonts w:ascii="Calibri" w:eastAsia="MS Gothic" w:hAnsi="Calibri" w:cs="Times New Roman"/>
          <w:b/>
          <w:bCs/>
          <w:i/>
          <w:iCs/>
        </w:rPr>
      </w:pPr>
      <w:r>
        <w:rPr>
          <w:rFonts w:ascii="Calibri" w:eastAsia="MS Gothic" w:hAnsi="Calibri" w:cs="Times New Roman"/>
          <w:b/>
          <w:bCs/>
          <w:i/>
          <w:iCs/>
        </w:rPr>
        <w:t xml:space="preserve">February </w:t>
      </w:r>
      <w:r w:rsidRPr="0035011F">
        <w:rPr>
          <w:rFonts w:ascii="Calibri" w:eastAsia="MS Gothic" w:hAnsi="Calibri" w:cs="Times New Roman"/>
          <w:b/>
          <w:bCs/>
          <w:i/>
          <w:iCs/>
        </w:rPr>
        <w:t>201</w:t>
      </w:r>
      <w:r>
        <w:rPr>
          <w:rFonts w:ascii="Calibri" w:eastAsia="MS Gothic" w:hAnsi="Calibri" w:cs="Times New Roman"/>
          <w:b/>
          <w:bCs/>
          <w:i/>
          <w:iCs/>
        </w:rPr>
        <w:t>5</w:t>
      </w:r>
    </w:p>
    <w:p w14:paraId="7EFD635C" w14:textId="77777777" w:rsidR="000F760B" w:rsidRPr="001D390D" w:rsidRDefault="000F760B" w:rsidP="001D390D">
      <w:pPr>
        <w:pStyle w:val="Heading3"/>
      </w:pPr>
      <w:r w:rsidRPr="001D390D">
        <w:t>Abstract</w:t>
      </w:r>
    </w:p>
    <w:p w14:paraId="59D9C006" w14:textId="77777777" w:rsidR="000F760B" w:rsidRDefault="000F760B" w:rsidP="00A55579">
      <w:pPr>
        <w:pStyle w:val="Heading4"/>
      </w:pPr>
      <w:r>
        <w:t>Purpose</w:t>
      </w:r>
    </w:p>
    <w:p w14:paraId="0C5ACE24" w14:textId="1EF05A0E" w:rsidR="00D114B8" w:rsidRDefault="00D114B8" w:rsidP="00D114B8">
      <w:pPr>
        <w:pStyle w:val="NoSpacing"/>
        <w:rPr>
          <w:bCs/>
        </w:rPr>
      </w:pPr>
      <w:r w:rsidRPr="00D114B8">
        <w:rPr>
          <w:bCs/>
        </w:rPr>
        <w:t>To assess the utilisation of medicines listed on the Pharmaceutical Benefits Scheme (PBS) for the treatment of pulmonary arterial hypertension</w:t>
      </w:r>
      <w:r w:rsidR="00511C3F">
        <w:rPr>
          <w:bCs/>
        </w:rPr>
        <w:t xml:space="preserve"> (PAH)</w:t>
      </w:r>
      <w:r w:rsidRPr="00D114B8">
        <w:rPr>
          <w:bCs/>
        </w:rPr>
        <w:t xml:space="preserve">. </w:t>
      </w:r>
    </w:p>
    <w:p w14:paraId="32651ED5" w14:textId="77777777" w:rsidR="00B878FC" w:rsidRDefault="00B878FC" w:rsidP="00D114B8">
      <w:pPr>
        <w:pStyle w:val="NoSpacing"/>
        <w:rPr>
          <w:bCs/>
        </w:rPr>
      </w:pPr>
    </w:p>
    <w:p w14:paraId="6C5CAE4A" w14:textId="434F3CA1" w:rsidR="00B878FC" w:rsidRPr="00D114B8" w:rsidRDefault="00B878FC" w:rsidP="00D114B8">
      <w:pPr>
        <w:pStyle w:val="NoSpacing"/>
        <w:rPr>
          <w:bCs/>
        </w:rPr>
      </w:pPr>
      <w:r w:rsidRPr="00B878FC">
        <w:rPr>
          <w:bCs/>
        </w:rPr>
        <w:t xml:space="preserve">Following the listing of sitaxentan in April 2008, </w:t>
      </w:r>
      <w:r w:rsidR="00C77F7D">
        <w:rPr>
          <w:bCs/>
        </w:rPr>
        <w:t xml:space="preserve">the </w:t>
      </w:r>
      <w:r w:rsidRPr="00B878FC">
        <w:rPr>
          <w:bCs/>
        </w:rPr>
        <w:t>DUSC requested that the Secretariat maintain a watching brief on the utilisation of the group of medicines used in the treatment of PAH. Consequently an analysis of PAH medicines was presented to DUSC at its June 2010 meeting. The current report updates and enhances this report.</w:t>
      </w:r>
    </w:p>
    <w:p w14:paraId="2E529FF2" w14:textId="77777777" w:rsidR="000A6FE1" w:rsidRDefault="000A6FE1" w:rsidP="00A55579">
      <w:pPr>
        <w:pStyle w:val="Heading4"/>
      </w:pPr>
      <w:r w:rsidRPr="000A6FE1">
        <w:t>Date of listing on PBS</w:t>
      </w:r>
    </w:p>
    <w:p w14:paraId="42B3F870" w14:textId="77A1D0FF" w:rsidR="00A83611" w:rsidRDefault="00884126" w:rsidP="00AE4861">
      <w:pPr>
        <w:pStyle w:val="ListParagraph"/>
        <w:numPr>
          <w:ilvl w:val="0"/>
          <w:numId w:val="44"/>
        </w:numPr>
        <w:spacing w:after="0"/>
        <w:ind w:left="360"/>
      </w:pPr>
      <w:r>
        <w:t>bosentan:</w:t>
      </w:r>
      <w:r>
        <w:tab/>
      </w:r>
      <w:r>
        <w:tab/>
      </w:r>
      <w:r w:rsidR="00B07AD6">
        <w:t>1 March 2004</w:t>
      </w:r>
    </w:p>
    <w:p w14:paraId="0D4EB86F" w14:textId="28BEB66E" w:rsidR="00A83611" w:rsidRDefault="00884126" w:rsidP="00CE1227">
      <w:pPr>
        <w:pStyle w:val="ListParagraph"/>
        <w:numPr>
          <w:ilvl w:val="0"/>
          <w:numId w:val="44"/>
        </w:numPr>
        <w:spacing w:after="0"/>
        <w:ind w:left="360"/>
      </w:pPr>
      <w:r>
        <w:t>iloprost:</w:t>
      </w:r>
      <w:r>
        <w:tab/>
      </w:r>
      <w:r>
        <w:tab/>
      </w:r>
      <w:r w:rsidR="00B07AD6">
        <w:t>1 April 2005</w:t>
      </w:r>
    </w:p>
    <w:p w14:paraId="20062257" w14:textId="605ED5BE" w:rsidR="00A83611" w:rsidRDefault="00884126" w:rsidP="00CE1227">
      <w:pPr>
        <w:pStyle w:val="ListParagraph"/>
        <w:numPr>
          <w:ilvl w:val="0"/>
          <w:numId w:val="44"/>
        </w:numPr>
        <w:spacing w:after="0"/>
        <w:ind w:left="360"/>
      </w:pPr>
      <w:r>
        <w:t>epoprostenol:</w:t>
      </w:r>
      <w:r>
        <w:tab/>
        <w:t xml:space="preserve">1 </w:t>
      </w:r>
      <w:r w:rsidR="00B07AD6">
        <w:t>August 2006</w:t>
      </w:r>
    </w:p>
    <w:p w14:paraId="266016EF" w14:textId="364EFD39" w:rsidR="00A83611" w:rsidRDefault="00884126" w:rsidP="00CE1227">
      <w:pPr>
        <w:pStyle w:val="ListParagraph"/>
        <w:numPr>
          <w:ilvl w:val="0"/>
          <w:numId w:val="44"/>
        </w:numPr>
        <w:spacing w:after="0"/>
        <w:ind w:left="360"/>
      </w:pPr>
      <w:r>
        <w:t>sildenafil:</w:t>
      </w:r>
      <w:r>
        <w:tab/>
      </w:r>
      <w:r>
        <w:tab/>
        <w:t xml:space="preserve">1 </w:t>
      </w:r>
      <w:r w:rsidR="00B07AD6">
        <w:t>March 2007</w:t>
      </w:r>
    </w:p>
    <w:p w14:paraId="4F5C928F" w14:textId="4571CD09" w:rsidR="00A83611" w:rsidRDefault="00884126" w:rsidP="00CE1227">
      <w:pPr>
        <w:pStyle w:val="ListParagraph"/>
        <w:numPr>
          <w:ilvl w:val="0"/>
          <w:numId w:val="44"/>
        </w:numPr>
        <w:spacing w:after="0"/>
        <w:ind w:left="360"/>
      </w:pPr>
      <w:r>
        <w:t>sitaxentan:</w:t>
      </w:r>
      <w:r>
        <w:tab/>
      </w:r>
      <w:r w:rsidR="009A641D">
        <w:tab/>
      </w:r>
      <w:r>
        <w:t xml:space="preserve">1 </w:t>
      </w:r>
      <w:r w:rsidR="00B07AD6">
        <w:t>April 2008, delisted 31 March 2011</w:t>
      </w:r>
    </w:p>
    <w:p w14:paraId="2D6F5995" w14:textId="0A0B2E00" w:rsidR="00A83611" w:rsidRDefault="00884126" w:rsidP="00CE1227">
      <w:pPr>
        <w:pStyle w:val="ListParagraph"/>
        <w:numPr>
          <w:ilvl w:val="0"/>
          <w:numId w:val="44"/>
        </w:numPr>
        <w:spacing w:after="0"/>
        <w:ind w:left="360"/>
      </w:pPr>
      <w:r>
        <w:t>ambrisentan:</w:t>
      </w:r>
      <w:r>
        <w:tab/>
      </w:r>
      <w:r w:rsidR="00B07AD6">
        <w:t>1 December 2009</w:t>
      </w:r>
    </w:p>
    <w:p w14:paraId="23CC769B" w14:textId="742E8BCF" w:rsidR="00A83611" w:rsidRDefault="00884126" w:rsidP="00CE1227">
      <w:pPr>
        <w:pStyle w:val="ListParagraph"/>
        <w:numPr>
          <w:ilvl w:val="0"/>
          <w:numId w:val="44"/>
        </w:numPr>
        <w:spacing w:after="0"/>
        <w:ind w:left="360"/>
      </w:pPr>
      <w:r>
        <w:t>tadalafil:</w:t>
      </w:r>
      <w:r>
        <w:tab/>
      </w:r>
      <w:r>
        <w:tab/>
        <w:t xml:space="preserve">1 </w:t>
      </w:r>
      <w:r w:rsidR="00B07AD6">
        <w:t>April 2012</w:t>
      </w:r>
    </w:p>
    <w:p w14:paraId="016AEE05" w14:textId="38B66F33" w:rsidR="00D66F8F" w:rsidRPr="00D66F8F" w:rsidRDefault="00884126" w:rsidP="00AE4861">
      <w:pPr>
        <w:pStyle w:val="ListParagraph"/>
        <w:numPr>
          <w:ilvl w:val="0"/>
          <w:numId w:val="44"/>
        </w:numPr>
        <w:spacing w:after="0"/>
        <w:ind w:left="360"/>
      </w:pPr>
      <w:r>
        <w:t>macitentan:</w:t>
      </w:r>
      <w:r>
        <w:tab/>
        <w:t xml:space="preserve">1 </w:t>
      </w:r>
      <w:r w:rsidR="00B07AD6">
        <w:t>September 2014</w:t>
      </w:r>
    </w:p>
    <w:p w14:paraId="0A327B3F" w14:textId="32CEE207" w:rsidR="000F760B" w:rsidRDefault="000F760B" w:rsidP="00A55579">
      <w:pPr>
        <w:pStyle w:val="Heading4"/>
      </w:pPr>
      <w:r>
        <w:t>Data Source / methodology</w:t>
      </w:r>
    </w:p>
    <w:p w14:paraId="0FCA6E15" w14:textId="6F38791D" w:rsidR="00754142" w:rsidRPr="00754142" w:rsidRDefault="00754142" w:rsidP="00754142">
      <w:pPr>
        <w:pStyle w:val="NoSpacing"/>
        <w:numPr>
          <w:ilvl w:val="0"/>
          <w:numId w:val="2"/>
        </w:numPr>
      </w:pPr>
      <w:r w:rsidRPr="00754142">
        <w:t>PBS pharmacy claims data from the DUSC database and the Depart</w:t>
      </w:r>
      <w:r w:rsidR="00CE1227">
        <w:t xml:space="preserve">ment of Human Services (DHS) </w:t>
      </w:r>
      <w:r w:rsidR="003F70D3">
        <w:t>prescription</w:t>
      </w:r>
      <w:r w:rsidRPr="00754142">
        <w:t xml:space="preserve"> databases. </w:t>
      </w:r>
    </w:p>
    <w:p w14:paraId="63EDD852" w14:textId="77777777" w:rsidR="00754142" w:rsidRPr="00754142" w:rsidRDefault="00754142" w:rsidP="00754142">
      <w:pPr>
        <w:pStyle w:val="NoSpacing"/>
        <w:numPr>
          <w:ilvl w:val="0"/>
          <w:numId w:val="2"/>
        </w:numPr>
      </w:pPr>
      <w:r w:rsidRPr="00754142">
        <w:t>Authority Approval data from the DHS Authority Approval database</w:t>
      </w:r>
    </w:p>
    <w:p w14:paraId="49E08693" w14:textId="77777777" w:rsidR="000F760B" w:rsidRDefault="000F760B" w:rsidP="00A55579">
      <w:pPr>
        <w:pStyle w:val="Heading4"/>
      </w:pPr>
      <w:r>
        <w:t>Key Findings</w:t>
      </w:r>
    </w:p>
    <w:p w14:paraId="32198260" w14:textId="77777777" w:rsidR="00754142" w:rsidRDefault="00754142" w:rsidP="00754142">
      <w:pPr>
        <w:pStyle w:val="NoSpacing"/>
        <w:numPr>
          <w:ilvl w:val="0"/>
          <w:numId w:val="1"/>
        </w:numPr>
      </w:pPr>
      <w:r>
        <w:t xml:space="preserve">The number of patients starting on a PAH medicine for the first time is steady at approximately 420 patients each year. Until mid-2014, bosentan was the most </w:t>
      </w:r>
      <w:r>
        <w:lastRenderedPageBreak/>
        <w:t>frequently prescribed first PAH medicine. Macitentan has become the most common medicine for new patients since it was listed on 1 September 2014.</w:t>
      </w:r>
    </w:p>
    <w:p w14:paraId="17AB5F0A" w14:textId="42017186" w:rsidR="00754142" w:rsidRDefault="00754142" w:rsidP="00754142">
      <w:pPr>
        <w:pStyle w:val="NoSpacing"/>
        <w:numPr>
          <w:ilvl w:val="0"/>
          <w:numId w:val="1"/>
        </w:numPr>
      </w:pPr>
      <w:r>
        <w:t>The number of prevalent patients continues to increase over time, presumably due to improved survival.</w:t>
      </w:r>
      <w:r w:rsidR="00DD4B8D">
        <w:t xml:space="preserve">  There were 2026 prevalent patients in 2013.</w:t>
      </w:r>
    </w:p>
    <w:p w14:paraId="2469C505" w14:textId="77777777" w:rsidR="00754142" w:rsidRDefault="00754142" w:rsidP="00754142">
      <w:pPr>
        <w:pStyle w:val="NoSpacing"/>
        <w:numPr>
          <w:ilvl w:val="0"/>
          <w:numId w:val="1"/>
        </w:numPr>
      </w:pPr>
      <w:r>
        <w:t xml:space="preserve">The age of patients initiating treatment has increased over the last decade. The mean age of new patients was 53.2 years in 2003/04 and 64.1 years in 2013/14.  This compares with a mean age of 48.8 years in patients in the bosentan arms of the key clinical trials. </w:t>
      </w:r>
    </w:p>
    <w:p w14:paraId="7DEF7F09" w14:textId="3A580EF6" w:rsidR="00BC569D" w:rsidRDefault="00BC569D" w:rsidP="00754142">
      <w:pPr>
        <w:pStyle w:val="NoSpacing"/>
        <w:numPr>
          <w:ilvl w:val="0"/>
          <w:numId w:val="1"/>
        </w:numPr>
      </w:pPr>
      <w:r>
        <w:t xml:space="preserve">The </w:t>
      </w:r>
      <w:r w:rsidR="0086644B">
        <w:t>mean</w:t>
      </w:r>
      <w:r>
        <w:t xml:space="preserve"> time on treatment was 4.63 years (</w:t>
      </w:r>
      <w:r w:rsidR="0086644B">
        <w:t xml:space="preserve">all </w:t>
      </w:r>
      <w:r>
        <w:t>excluding breaks) and 4.72 years (</w:t>
      </w:r>
      <w:r w:rsidR="0086644B">
        <w:t xml:space="preserve">all </w:t>
      </w:r>
      <w:r>
        <w:t>including breaks).</w:t>
      </w:r>
    </w:p>
    <w:p w14:paraId="08B8281D" w14:textId="77777777" w:rsidR="00754142" w:rsidRDefault="00754142" w:rsidP="00754142">
      <w:pPr>
        <w:pStyle w:val="NoSpacing"/>
        <w:numPr>
          <w:ilvl w:val="0"/>
          <w:numId w:val="1"/>
        </w:numPr>
      </w:pPr>
      <w:r>
        <w:t>The average prescribed dose of epoprostenol is higher than expected. This may reflect treatment of a more severe population as epoprostenol is restricted to class IV patients. However the cost-effectiveness of higher doses is not known.</w:t>
      </w:r>
    </w:p>
    <w:bookmarkEnd w:id="0"/>
    <w:p w14:paraId="38B57ECC" w14:textId="77777777" w:rsidR="00BB0D1A" w:rsidRDefault="00BB0D1A" w:rsidP="004E1C05">
      <w:pPr>
        <w:spacing w:after="240" w:line="276" w:lineRule="auto"/>
        <w:rPr>
          <w:rFonts w:eastAsiaTheme="majorEastAsia" w:cstheme="majorBidi"/>
          <w:b/>
          <w:bCs/>
          <w:sz w:val="32"/>
          <w:szCs w:val="26"/>
        </w:rPr>
      </w:pPr>
      <w:r>
        <w:br w:type="page"/>
      </w:r>
    </w:p>
    <w:p w14:paraId="5B262047" w14:textId="525241DC" w:rsidR="00E677DD" w:rsidRPr="005E22C2" w:rsidRDefault="00E677DD" w:rsidP="001D390D">
      <w:pPr>
        <w:pStyle w:val="Heading3"/>
      </w:pPr>
      <w:r w:rsidRPr="005E22C2">
        <w:lastRenderedPageBreak/>
        <w:t xml:space="preserve">Purpose of </w:t>
      </w:r>
      <w:r w:rsidR="00D151EB">
        <w:t>analysis</w:t>
      </w:r>
    </w:p>
    <w:p w14:paraId="12880614" w14:textId="17B36CFF" w:rsidR="007247B9" w:rsidRDefault="00D5506A" w:rsidP="00A35800">
      <w:pPr>
        <w:rPr>
          <w:bCs/>
        </w:rPr>
      </w:pPr>
      <w:r w:rsidRPr="00D114B8">
        <w:rPr>
          <w:bCs/>
        </w:rPr>
        <w:t>To assess the utilisation of medicines listed on the Pharmaceutical Benefits Scheme (PBS) for the treatment of pulmonary arterial hypertension.</w:t>
      </w:r>
    </w:p>
    <w:p w14:paraId="7DB778ED" w14:textId="77777777" w:rsidR="003404A4" w:rsidRPr="00D114B8" w:rsidRDefault="003404A4" w:rsidP="003404A4">
      <w:pPr>
        <w:pStyle w:val="NoSpacing"/>
        <w:rPr>
          <w:bCs/>
        </w:rPr>
      </w:pPr>
      <w:r w:rsidRPr="00B878FC">
        <w:rPr>
          <w:bCs/>
        </w:rPr>
        <w:t xml:space="preserve">Following the listing of sitaxentan in April 2008, </w:t>
      </w:r>
      <w:r>
        <w:rPr>
          <w:bCs/>
        </w:rPr>
        <w:t xml:space="preserve">the </w:t>
      </w:r>
      <w:r w:rsidRPr="00B878FC">
        <w:rPr>
          <w:bCs/>
        </w:rPr>
        <w:t>DUSC requested that the Secretariat maintain a watching brief on the utilisation of the group of medicines used in the treatment of PAH. Consequently an analysis of PAH medicines was presented to DUSC at its June 2010 meeting. The current report updates and enhances this report.</w:t>
      </w:r>
    </w:p>
    <w:p w14:paraId="0A7F0B57" w14:textId="034D22D5" w:rsidR="006537D9" w:rsidRPr="005E22C2" w:rsidRDefault="00736041" w:rsidP="001D390D">
      <w:pPr>
        <w:pStyle w:val="Heading3"/>
      </w:pPr>
      <w:r w:rsidRPr="005E22C2">
        <w:t>Background</w:t>
      </w:r>
    </w:p>
    <w:p w14:paraId="0183A567" w14:textId="413DF87B" w:rsidR="007247B9" w:rsidRPr="00E376AA" w:rsidRDefault="007247B9" w:rsidP="00E376AA">
      <w:pPr>
        <w:pStyle w:val="Heading4"/>
      </w:pPr>
      <w:r w:rsidRPr="00E376AA">
        <w:t>Pharmacology</w:t>
      </w:r>
    </w:p>
    <w:p w14:paraId="5F36E47B" w14:textId="77777777" w:rsidR="00D5506A" w:rsidRDefault="00D5506A" w:rsidP="00D5506A">
      <w:r>
        <w:t>The PBS listed medicines for PAH fall into three classes:</w:t>
      </w:r>
    </w:p>
    <w:tbl>
      <w:tblPr>
        <w:tblStyle w:val="TableGrid"/>
        <w:tblW w:w="0" w:type="auto"/>
        <w:tblInd w:w="108" w:type="dxa"/>
        <w:tblLook w:val="04A0" w:firstRow="1" w:lastRow="0" w:firstColumn="1" w:lastColumn="0" w:noHBand="0" w:noVBand="1"/>
        <w:tblCaption w:val="The PBS listed medicines for PAH fall into three classes"/>
      </w:tblPr>
      <w:tblGrid>
        <w:gridCol w:w="4678"/>
        <w:gridCol w:w="4387"/>
      </w:tblGrid>
      <w:tr w:rsidR="003461A0" w:rsidRPr="005A7163" w14:paraId="1963A3ED" w14:textId="77777777" w:rsidTr="006337C9">
        <w:trPr>
          <w:tblHeader/>
        </w:trPr>
        <w:tc>
          <w:tcPr>
            <w:tcW w:w="4678" w:type="dxa"/>
          </w:tcPr>
          <w:p w14:paraId="0A7C06F5" w14:textId="09870CF8" w:rsidR="003461A0" w:rsidRPr="005A7163" w:rsidRDefault="003461A0" w:rsidP="003461A0">
            <w:pPr>
              <w:rPr>
                <w:sz w:val="20"/>
              </w:rPr>
            </w:pPr>
            <w:r w:rsidRPr="005A7163">
              <w:rPr>
                <w:sz w:val="20"/>
              </w:rPr>
              <w:t>Endothelin receptor antagonists</w:t>
            </w:r>
          </w:p>
        </w:tc>
        <w:tc>
          <w:tcPr>
            <w:tcW w:w="4387" w:type="dxa"/>
          </w:tcPr>
          <w:p w14:paraId="5323A451" w14:textId="4A24132B" w:rsidR="003461A0" w:rsidRPr="005A7163" w:rsidRDefault="003461A0" w:rsidP="00D5506A">
            <w:pPr>
              <w:rPr>
                <w:sz w:val="20"/>
              </w:rPr>
            </w:pPr>
            <w:r w:rsidRPr="005A7163">
              <w:rPr>
                <w:sz w:val="20"/>
              </w:rPr>
              <w:t>bosentan, sitaxentan, ambrisentan, macitentan</w:t>
            </w:r>
          </w:p>
        </w:tc>
      </w:tr>
      <w:tr w:rsidR="003461A0" w:rsidRPr="005A7163" w14:paraId="3EE2346B" w14:textId="77777777" w:rsidTr="006337C9">
        <w:tc>
          <w:tcPr>
            <w:tcW w:w="4678" w:type="dxa"/>
          </w:tcPr>
          <w:p w14:paraId="1E946F2D" w14:textId="27086E95" w:rsidR="003461A0" w:rsidRPr="005A7163" w:rsidRDefault="003461A0" w:rsidP="00D5506A">
            <w:pPr>
              <w:rPr>
                <w:sz w:val="20"/>
              </w:rPr>
            </w:pPr>
            <w:r w:rsidRPr="005A7163">
              <w:rPr>
                <w:sz w:val="20"/>
              </w:rPr>
              <w:t>Synthetic prostacyclin /prostacyclin analogues</w:t>
            </w:r>
          </w:p>
        </w:tc>
        <w:tc>
          <w:tcPr>
            <w:tcW w:w="4387" w:type="dxa"/>
          </w:tcPr>
          <w:p w14:paraId="3F79CE0A" w14:textId="6ACE8131" w:rsidR="003461A0" w:rsidRPr="005A7163" w:rsidRDefault="003461A0" w:rsidP="00D5506A">
            <w:pPr>
              <w:rPr>
                <w:sz w:val="20"/>
              </w:rPr>
            </w:pPr>
            <w:r w:rsidRPr="005A7163">
              <w:rPr>
                <w:sz w:val="20"/>
              </w:rPr>
              <w:t>epoprostenol, iloprost</w:t>
            </w:r>
          </w:p>
        </w:tc>
      </w:tr>
      <w:tr w:rsidR="003461A0" w:rsidRPr="005A7163" w14:paraId="6C165E58" w14:textId="77777777" w:rsidTr="006337C9">
        <w:tc>
          <w:tcPr>
            <w:tcW w:w="4678" w:type="dxa"/>
          </w:tcPr>
          <w:p w14:paraId="0701BE19" w14:textId="3155C1FA" w:rsidR="005A7163" w:rsidRPr="005A7163" w:rsidRDefault="003461A0" w:rsidP="00D5506A">
            <w:pPr>
              <w:rPr>
                <w:sz w:val="20"/>
              </w:rPr>
            </w:pPr>
            <w:r w:rsidRPr="005A7163">
              <w:rPr>
                <w:sz w:val="20"/>
              </w:rPr>
              <w:t>Phosphodiesterase type-5 (PDE5) inhibitors</w:t>
            </w:r>
          </w:p>
        </w:tc>
        <w:tc>
          <w:tcPr>
            <w:tcW w:w="4387" w:type="dxa"/>
          </w:tcPr>
          <w:p w14:paraId="68E674A9" w14:textId="4F87EED1" w:rsidR="003461A0" w:rsidRPr="005A7163" w:rsidRDefault="003461A0" w:rsidP="00D5506A">
            <w:pPr>
              <w:rPr>
                <w:sz w:val="20"/>
              </w:rPr>
            </w:pPr>
            <w:r w:rsidRPr="005A7163">
              <w:rPr>
                <w:sz w:val="20"/>
              </w:rPr>
              <w:t>sildenafil, tadalafil</w:t>
            </w:r>
          </w:p>
        </w:tc>
      </w:tr>
    </w:tbl>
    <w:p w14:paraId="5C065169" w14:textId="77777777" w:rsidR="005A7163" w:rsidRDefault="005A7163" w:rsidP="00D5506A"/>
    <w:p w14:paraId="40ACF72C" w14:textId="1F10504C" w:rsidR="007247B9" w:rsidRPr="007247B9" w:rsidRDefault="00D5506A" w:rsidP="00D5506A">
      <w:r w:rsidRPr="00264B84">
        <w:t xml:space="preserve">Further information on the </w:t>
      </w:r>
      <w:r w:rsidRPr="00A64481">
        <w:t>pharmacological</w:t>
      </w:r>
      <w:r w:rsidR="00322076">
        <w:t xml:space="preserve"> action </w:t>
      </w:r>
      <w:r w:rsidR="00E6661D">
        <w:t xml:space="preserve">can be obtained </w:t>
      </w:r>
      <w:r w:rsidRPr="00264B84">
        <w:t>from the Product Information</w:t>
      </w:r>
      <w:r w:rsidR="000871EA">
        <w:t xml:space="preserve"> which is available from </w:t>
      </w:r>
      <w:r w:rsidR="000871EA" w:rsidRPr="000871EA">
        <w:t xml:space="preserve">the </w:t>
      </w:r>
      <w:hyperlink r:id="rId9" w:history="1">
        <w:r w:rsidR="000871EA" w:rsidRPr="000871EA">
          <w:rPr>
            <w:rStyle w:val="Hyperlink"/>
          </w:rPr>
          <w:t>TGA (Product Information)</w:t>
        </w:r>
      </w:hyperlink>
      <w:r w:rsidRPr="00683A1F">
        <w:t>.</w:t>
      </w:r>
    </w:p>
    <w:p w14:paraId="6AC18C88" w14:textId="6AD7C66A" w:rsidR="001420B3" w:rsidRPr="00DE260E" w:rsidRDefault="001420B3" w:rsidP="00DD70ED">
      <w:pPr>
        <w:pStyle w:val="Heading4"/>
      </w:pPr>
      <w:r w:rsidRPr="00DE260E">
        <w:t>T</w:t>
      </w:r>
      <w:r w:rsidR="000F22BC" w:rsidRPr="00DE260E">
        <w:t xml:space="preserve">herapeutic </w:t>
      </w:r>
      <w:r w:rsidRPr="00DE260E">
        <w:t>G</w:t>
      </w:r>
      <w:r w:rsidR="000F22BC" w:rsidRPr="00DE260E">
        <w:t xml:space="preserve">oods </w:t>
      </w:r>
      <w:r w:rsidRPr="00DE260E">
        <w:t>A</w:t>
      </w:r>
      <w:r w:rsidR="000F22BC" w:rsidRPr="00DE260E">
        <w:t>dministration (TGA)</w:t>
      </w:r>
      <w:r w:rsidRPr="00DE260E">
        <w:t xml:space="preserve"> approved indications</w:t>
      </w:r>
    </w:p>
    <w:p w14:paraId="44DB5DAF" w14:textId="27ADF1A7" w:rsidR="00D5506A" w:rsidRDefault="00DE45EE" w:rsidP="00D5506A">
      <w:r>
        <w:t xml:space="preserve">The </w:t>
      </w:r>
      <w:r w:rsidR="00D5506A">
        <w:t xml:space="preserve">functional classes </w:t>
      </w:r>
      <w:r>
        <w:t>for which each agent is TGA approved are noted below</w:t>
      </w:r>
      <w:r w:rsidR="00D5506A">
        <w:t>:</w:t>
      </w:r>
    </w:p>
    <w:p w14:paraId="2EA5E003" w14:textId="77777777" w:rsidR="00D5506A" w:rsidRDefault="00D5506A" w:rsidP="00D5506A">
      <w:pPr>
        <w:pStyle w:val="ListParagraph"/>
        <w:numPr>
          <w:ilvl w:val="0"/>
          <w:numId w:val="3"/>
        </w:numPr>
      </w:pPr>
      <w:r>
        <w:t>sildenafil and tadalafil are indicated for class II and III symptoms only</w:t>
      </w:r>
    </w:p>
    <w:p w14:paraId="2C8F99F9" w14:textId="77777777" w:rsidR="00D5506A" w:rsidRDefault="00D5506A" w:rsidP="00D5506A">
      <w:pPr>
        <w:pStyle w:val="ListParagraph"/>
        <w:numPr>
          <w:ilvl w:val="0"/>
          <w:numId w:val="3"/>
        </w:numPr>
      </w:pPr>
      <w:r>
        <w:t>bosentan, ambrisentan and macitentan are indicated for class II, III and IV</w:t>
      </w:r>
    </w:p>
    <w:p w14:paraId="1C12B8DB" w14:textId="77777777" w:rsidR="00D5506A" w:rsidRDefault="00D5506A" w:rsidP="00D5506A">
      <w:pPr>
        <w:pStyle w:val="ListParagraph"/>
        <w:numPr>
          <w:ilvl w:val="0"/>
          <w:numId w:val="3"/>
        </w:numPr>
      </w:pPr>
      <w:r>
        <w:t>epoprostenol is indicated for class III and IV only</w:t>
      </w:r>
    </w:p>
    <w:p w14:paraId="154A6368" w14:textId="77777777" w:rsidR="00D5506A" w:rsidRDefault="00D5506A" w:rsidP="00D5506A">
      <w:pPr>
        <w:pStyle w:val="ListParagraph"/>
        <w:numPr>
          <w:ilvl w:val="0"/>
          <w:numId w:val="3"/>
        </w:numPr>
      </w:pPr>
      <w:r>
        <w:t>iloprost is indicated  for moderate to severe disease.</w:t>
      </w:r>
    </w:p>
    <w:p w14:paraId="3AA058F7" w14:textId="77777777" w:rsidR="006B4ECA" w:rsidRDefault="006B4ECA" w:rsidP="006B4ECA">
      <w:r>
        <w:t xml:space="preserve">The TGA approved indications are summarised in Appendix A. </w:t>
      </w:r>
    </w:p>
    <w:p w14:paraId="15E919C1" w14:textId="571C5647" w:rsidR="006B709B" w:rsidRDefault="006B709B" w:rsidP="00DD70ED">
      <w:pPr>
        <w:pStyle w:val="Heading4"/>
        <w:rPr>
          <w:vertAlign w:val="superscript"/>
        </w:rPr>
      </w:pPr>
      <w:r w:rsidRPr="00DE260E">
        <w:t>Dosage and administration</w:t>
      </w:r>
    </w:p>
    <w:p w14:paraId="30745733" w14:textId="1F49A573" w:rsidR="00BF2297" w:rsidRDefault="00BF2297" w:rsidP="0098002C">
      <w:r>
        <w:t xml:space="preserve">The dosing and administration information in Table 1 is sourced from the Product Information, which is available from the </w:t>
      </w:r>
      <w:hyperlink r:id="rId10" w:history="1">
        <w:r w:rsidRPr="00BF2297">
          <w:rPr>
            <w:rStyle w:val="Hyperlink"/>
          </w:rPr>
          <w:t>TGA website (Product Information)</w:t>
        </w:r>
      </w:hyperlink>
      <w:r>
        <w:t>.</w:t>
      </w:r>
    </w:p>
    <w:p w14:paraId="58F4C8F3" w14:textId="6DFB1E45" w:rsidR="00162327" w:rsidRPr="00BF2297" w:rsidRDefault="00162327" w:rsidP="0098002C">
      <w:r>
        <w:t>Table 1:  recommended dosage of PAH drugs</w:t>
      </w:r>
    </w:p>
    <w:tbl>
      <w:tblPr>
        <w:tblStyle w:val="TableGrid"/>
        <w:tblW w:w="0" w:type="auto"/>
        <w:tblInd w:w="108" w:type="dxa"/>
        <w:tblLook w:val="04A0" w:firstRow="1" w:lastRow="0" w:firstColumn="1" w:lastColumn="0" w:noHBand="0" w:noVBand="1"/>
        <w:tblCaption w:val="Dosage and administration"/>
      </w:tblPr>
      <w:tblGrid>
        <w:gridCol w:w="1414"/>
        <w:gridCol w:w="1346"/>
        <w:gridCol w:w="6305"/>
      </w:tblGrid>
      <w:tr w:rsidR="00D5506A" w:rsidRPr="00994071" w14:paraId="6AB10FA2" w14:textId="77777777" w:rsidTr="006E44CF">
        <w:trPr>
          <w:tblHeader/>
        </w:trPr>
        <w:tc>
          <w:tcPr>
            <w:tcW w:w="1414" w:type="dxa"/>
            <w:shd w:val="clear" w:color="auto" w:fill="BFBFBF" w:themeFill="background1" w:themeFillShade="BF"/>
          </w:tcPr>
          <w:p w14:paraId="7E3C5494" w14:textId="77777777" w:rsidR="00D5506A" w:rsidRPr="00AF1F69" w:rsidRDefault="00D5506A" w:rsidP="0099524E">
            <w:pPr>
              <w:keepLines/>
              <w:outlineLvl w:val="1"/>
              <w:rPr>
                <w:rFonts w:eastAsiaTheme="majorEastAsia" w:cstheme="majorBidi"/>
                <w:b/>
                <w:bCs/>
                <w:sz w:val="20"/>
                <w:szCs w:val="20"/>
              </w:rPr>
            </w:pPr>
            <w:r w:rsidRPr="00AF1F69">
              <w:rPr>
                <w:rFonts w:eastAsiaTheme="majorEastAsia" w:cstheme="majorBidi"/>
                <w:b/>
                <w:bCs/>
                <w:sz w:val="20"/>
                <w:szCs w:val="20"/>
              </w:rPr>
              <w:t>PAH drug</w:t>
            </w:r>
          </w:p>
        </w:tc>
        <w:tc>
          <w:tcPr>
            <w:tcW w:w="1346" w:type="dxa"/>
            <w:shd w:val="clear" w:color="auto" w:fill="BFBFBF" w:themeFill="background1" w:themeFillShade="BF"/>
          </w:tcPr>
          <w:p w14:paraId="6B85BACF" w14:textId="77777777" w:rsidR="00D5506A" w:rsidRPr="00AF1F69" w:rsidRDefault="00D5506A" w:rsidP="0099524E">
            <w:pPr>
              <w:keepLines/>
              <w:rPr>
                <w:b/>
                <w:sz w:val="20"/>
                <w:szCs w:val="20"/>
              </w:rPr>
            </w:pPr>
            <w:r w:rsidRPr="00AF1F69">
              <w:rPr>
                <w:b/>
                <w:sz w:val="20"/>
                <w:szCs w:val="20"/>
              </w:rPr>
              <w:t>Route</w:t>
            </w:r>
          </w:p>
        </w:tc>
        <w:tc>
          <w:tcPr>
            <w:tcW w:w="6305" w:type="dxa"/>
            <w:shd w:val="clear" w:color="auto" w:fill="BFBFBF" w:themeFill="background1" w:themeFillShade="BF"/>
          </w:tcPr>
          <w:p w14:paraId="045C7996" w14:textId="77777777" w:rsidR="00D5506A" w:rsidRPr="00AF1F69" w:rsidRDefault="00D5506A" w:rsidP="0099524E">
            <w:pPr>
              <w:keepLines/>
              <w:rPr>
                <w:b/>
                <w:sz w:val="20"/>
                <w:szCs w:val="20"/>
              </w:rPr>
            </w:pPr>
            <w:r w:rsidRPr="00AF1F69">
              <w:rPr>
                <w:b/>
                <w:sz w:val="20"/>
                <w:szCs w:val="20"/>
              </w:rPr>
              <w:t>Recommended dosage for adults</w:t>
            </w:r>
          </w:p>
        </w:tc>
      </w:tr>
      <w:tr w:rsidR="00D5506A" w:rsidRPr="00994071" w14:paraId="7E8806CF" w14:textId="77777777" w:rsidTr="006E44CF">
        <w:tc>
          <w:tcPr>
            <w:tcW w:w="1414" w:type="dxa"/>
          </w:tcPr>
          <w:p w14:paraId="25B1B722"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Bosentan </w:t>
            </w:r>
          </w:p>
        </w:tc>
        <w:tc>
          <w:tcPr>
            <w:tcW w:w="1346" w:type="dxa"/>
          </w:tcPr>
          <w:p w14:paraId="2DCB61CE" w14:textId="77777777" w:rsidR="00D5506A" w:rsidRPr="00AF1F69" w:rsidDel="00C702DB" w:rsidRDefault="00D5506A" w:rsidP="0099524E">
            <w:pPr>
              <w:keepLines/>
              <w:rPr>
                <w:sz w:val="20"/>
                <w:szCs w:val="20"/>
              </w:rPr>
            </w:pPr>
            <w:r w:rsidRPr="00AF1F69">
              <w:rPr>
                <w:sz w:val="20"/>
                <w:szCs w:val="20"/>
              </w:rPr>
              <w:t>oral</w:t>
            </w:r>
          </w:p>
        </w:tc>
        <w:tc>
          <w:tcPr>
            <w:tcW w:w="6305" w:type="dxa"/>
          </w:tcPr>
          <w:p w14:paraId="6E73D621" w14:textId="77777777" w:rsidR="00D5506A" w:rsidRPr="00AF1F69" w:rsidRDefault="00D5506A" w:rsidP="0099524E">
            <w:pPr>
              <w:keepLines/>
              <w:rPr>
                <w:sz w:val="20"/>
                <w:szCs w:val="20"/>
              </w:rPr>
            </w:pPr>
            <w:r w:rsidRPr="00AF1F69">
              <w:rPr>
                <w:sz w:val="20"/>
                <w:szCs w:val="20"/>
              </w:rPr>
              <w:t xml:space="preserve">Initially 62.5 mg twice daily for 4 weeks. Increase to a maintenance dose of 125 mg twice daily. </w:t>
            </w:r>
          </w:p>
          <w:p w14:paraId="6CEA95F7" w14:textId="77777777" w:rsidR="00D5506A" w:rsidRPr="00AF1F69" w:rsidRDefault="00D5506A" w:rsidP="0099524E">
            <w:pPr>
              <w:keepLines/>
              <w:rPr>
                <w:sz w:val="20"/>
                <w:szCs w:val="20"/>
              </w:rPr>
            </w:pPr>
            <w:r w:rsidRPr="00AF1F69">
              <w:rPr>
                <w:sz w:val="20"/>
                <w:szCs w:val="20"/>
              </w:rPr>
              <w:t xml:space="preserve">Doses above 125 mg twice daily did not appear to confer additional benefit sufficient to offset the increased risk of liver injury. </w:t>
            </w:r>
          </w:p>
        </w:tc>
      </w:tr>
      <w:tr w:rsidR="00D5506A" w:rsidRPr="00994071" w14:paraId="3AB72694" w14:textId="77777777" w:rsidTr="006E44CF">
        <w:tc>
          <w:tcPr>
            <w:tcW w:w="1414" w:type="dxa"/>
          </w:tcPr>
          <w:p w14:paraId="437A2A8F"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Sitaxentan </w:t>
            </w:r>
          </w:p>
        </w:tc>
        <w:tc>
          <w:tcPr>
            <w:tcW w:w="1346" w:type="dxa"/>
          </w:tcPr>
          <w:p w14:paraId="40BF976D" w14:textId="77777777" w:rsidR="00D5506A" w:rsidRPr="00AF1F69" w:rsidRDefault="00D5506A" w:rsidP="0099524E">
            <w:pPr>
              <w:keepLines/>
              <w:rPr>
                <w:sz w:val="20"/>
                <w:szCs w:val="20"/>
              </w:rPr>
            </w:pPr>
            <w:r w:rsidRPr="00AF1F69">
              <w:rPr>
                <w:sz w:val="20"/>
                <w:szCs w:val="20"/>
              </w:rPr>
              <w:t>oral</w:t>
            </w:r>
          </w:p>
        </w:tc>
        <w:tc>
          <w:tcPr>
            <w:tcW w:w="6305" w:type="dxa"/>
          </w:tcPr>
          <w:p w14:paraId="11210485" w14:textId="77777777" w:rsidR="00D5506A" w:rsidRPr="00AF1F69" w:rsidRDefault="00D5506A" w:rsidP="0099524E">
            <w:pPr>
              <w:keepLines/>
              <w:rPr>
                <w:sz w:val="20"/>
                <w:szCs w:val="20"/>
              </w:rPr>
            </w:pPr>
            <w:r w:rsidRPr="00AF1F69">
              <w:rPr>
                <w:sz w:val="20"/>
                <w:szCs w:val="20"/>
              </w:rPr>
              <w:t>100 mg daily</w:t>
            </w:r>
          </w:p>
        </w:tc>
      </w:tr>
      <w:tr w:rsidR="00D5506A" w:rsidRPr="00994071" w14:paraId="2D2E3916" w14:textId="77777777" w:rsidTr="006E44CF">
        <w:tc>
          <w:tcPr>
            <w:tcW w:w="1414" w:type="dxa"/>
          </w:tcPr>
          <w:p w14:paraId="1F4FC174"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lastRenderedPageBreak/>
              <w:t xml:space="preserve">Ambrisentan </w:t>
            </w:r>
          </w:p>
        </w:tc>
        <w:tc>
          <w:tcPr>
            <w:tcW w:w="1346" w:type="dxa"/>
          </w:tcPr>
          <w:p w14:paraId="51BD2FC5" w14:textId="77777777" w:rsidR="00D5506A" w:rsidRPr="00AF1F69" w:rsidRDefault="00D5506A" w:rsidP="0099524E">
            <w:pPr>
              <w:keepLines/>
              <w:rPr>
                <w:sz w:val="20"/>
                <w:szCs w:val="20"/>
              </w:rPr>
            </w:pPr>
            <w:r w:rsidRPr="00AF1F69">
              <w:rPr>
                <w:sz w:val="20"/>
                <w:szCs w:val="20"/>
              </w:rPr>
              <w:t>oral</w:t>
            </w:r>
          </w:p>
        </w:tc>
        <w:tc>
          <w:tcPr>
            <w:tcW w:w="6305" w:type="dxa"/>
          </w:tcPr>
          <w:p w14:paraId="61DE6DFC" w14:textId="77777777" w:rsidR="00D5506A" w:rsidRPr="00AF1F69" w:rsidRDefault="00D5506A" w:rsidP="0099524E">
            <w:pPr>
              <w:keepLines/>
              <w:rPr>
                <w:sz w:val="20"/>
                <w:szCs w:val="20"/>
              </w:rPr>
            </w:pPr>
            <w:r w:rsidRPr="00AF1F69">
              <w:rPr>
                <w:sz w:val="20"/>
                <w:szCs w:val="20"/>
              </w:rPr>
              <w:t xml:space="preserve">5 mg once daily. Additional benefit may be obtained by increasing the dose to 10 mg. </w:t>
            </w:r>
          </w:p>
        </w:tc>
      </w:tr>
      <w:tr w:rsidR="00D5506A" w:rsidRPr="00994071" w14:paraId="4F6ED3CE" w14:textId="77777777" w:rsidTr="006E44CF">
        <w:tc>
          <w:tcPr>
            <w:tcW w:w="1414" w:type="dxa"/>
          </w:tcPr>
          <w:p w14:paraId="6150C0FB"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Macitentan </w:t>
            </w:r>
          </w:p>
        </w:tc>
        <w:tc>
          <w:tcPr>
            <w:tcW w:w="1346" w:type="dxa"/>
          </w:tcPr>
          <w:p w14:paraId="72083BAA" w14:textId="77777777" w:rsidR="00D5506A" w:rsidRPr="00AF1F69" w:rsidRDefault="00D5506A" w:rsidP="0099524E">
            <w:pPr>
              <w:keepLines/>
              <w:rPr>
                <w:sz w:val="20"/>
                <w:szCs w:val="20"/>
              </w:rPr>
            </w:pPr>
            <w:r w:rsidRPr="00AF1F69">
              <w:rPr>
                <w:sz w:val="20"/>
                <w:szCs w:val="20"/>
              </w:rPr>
              <w:t>oral</w:t>
            </w:r>
          </w:p>
        </w:tc>
        <w:tc>
          <w:tcPr>
            <w:tcW w:w="6305" w:type="dxa"/>
          </w:tcPr>
          <w:p w14:paraId="40E5EAD5" w14:textId="77777777" w:rsidR="00D5506A" w:rsidRPr="00AF1F69" w:rsidRDefault="00D5506A" w:rsidP="0099524E">
            <w:pPr>
              <w:keepLines/>
              <w:rPr>
                <w:sz w:val="20"/>
                <w:szCs w:val="20"/>
              </w:rPr>
            </w:pPr>
            <w:r w:rsidRPr="00AF1F69">
              <w:rPr>
                <w:sz w:val="20"/>
                <w:szCs w:val="20"/>
              </w:rPr>
              <w:t xml:space="preserve">10 mg once daily. Doses higher than 10 mg daily have not been studied and are not recommended. </w:t>
            </w:r>
          </w:p>
        </w:tc>
      </w:tr>
      <w:tr w:rsidR="00D5506A" w:rsidRPr="00994071" w14:paraId="64636C34" w14:textId="77777777" w:rsidTr="006E44CF">
        <w:tc>
          <w:tcPr>
            <w:tcW w:w="1414" w:type="dxa"/>
          </w:tcPr>
          <w:p w14:paraId="69C06B49"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Sildenafil </w:t>
            </w:r>
          </w:p>
        </w:tc>
        <w:tc>
          <w:tcPr>
            <w:tcW w:w="1346" w:type="dxa"/>
          </w:tcPr>
          <w:p w14:paraId="15E0CD7A" w14:textId="77777777" w:rsidR="00D5506A" w:rsidRPr="00AF1F69" w:rsidRDefault="00D5506A" w:rsidP="0099524E">
            <w:pPr>
              <w:keepLines/>
              <w:rPr>
                <w:sz w:val="20"/>
                <w:szCs w:val="20"/>
              </w:rPr>
            </w:pPr>
            <w:r w:rsidRPr="00AF1F69">
              <w:rPr>
                <w:sz w:val="20"/>
                <w:szCs w:val="20"/>
              </w:rPr>
              <w:t>oral</w:t>
            </w:r>
          </w:p>
        </w:tc>
        <w:tc>
          <w:tcPr>
            <w:tcW w:w="6305" w:type="dxa"/>
          </w:tcPr>
          <w:p w14:paraId="6C3781C2" w14:textId="77777777" w:rsidR="00D5506A" w:rsidRPr="00AF1F69" w:rsidRDefault="00D5506A" w:rsidP="0099524E">
            <w:pPr>
              <w:keepLines/>
              <w:rPr>
                <w:sz w:val="20"/>
                <w:szCs w:val="20"/>
              </w:rPr>
            </w:pPr>
            <w:r w:rsidRPr="00AF1F69">
              <w:rPr>
                <w:sz w:val="20"/>
                <w:szCs w:val="20"/>
              </w:rPr>
              <w:t xml:space="preserve">20 mg three times a day (TID) </w:t>
            </w:r>
          </w:p>
          <w:p w14:paraId="2879D169" w14:textId="77777777" w:rsidR="00D5506A" w:rsidRPr="00AF1F69" w:rsidRDefault="00D5506A" w:rsidP="0099524E">
            <w:pPr>
              <w:keepLines/>
              <w:rPr>
                <w:sz w:val="20"/>
                <w:szCs w:val="20"/>
              </w:rPr>
            </w:pPr>
            <w:r w:rsidRPr="00AF1F69">
              <w:rPr>
                <w:sz w:val="20"/>
                <w:szCs w:val="20"/>
              </w:rPr>
              <w:t xml:space="preserve">No greater efficacy was achieved with doses higher than 20 mg TID, and therefore are not recommended. Dosages lower than 20 mg TID have not been examined and the efficacy is not known. </w:t>
            </w:r>
          </w:p>
        </w:tc>
      </w:tr>
      <w:tr w:rsidR="00D5506A" w:rsidRPr="00994071" w14:paraId="3DC5E242" w14:textId="77777777" w:rsidTr="006E44CF">
        <w:tc>
          <w:tcPr>
            <w:tcW w:w="1414" w:type="dxa"/>
          </w:tcPr>
          <w:p w14:paraId="553AF688"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Tadalafil </w:t>
            </w:r>
          </w:p>
        </w:tc>
        <w:tc>
          <w:tcPr>
            <w:tcW w:w="1346" w:type="dxa"/>
          </w:tcPr>
          <w:p w14:paraId="5210B1F9" w14:textId="77777777" w:rsidR="00D5506A" w:rsidRPr="00AF1F69" w:rsidRDefault="00D5506A" w:rsidP="0099524E">
            <w:pPr>
              <w:keepLines/>
              <w:rPr>
                <w:sz w:val="20"/>
                <w:szCs w:val="20"/>
              </w:rPr>
            </w:pPr>
            <w:r w:rsidRPr="00AF1F69">
              <w:rPr>
                <w:sz w:val="20"/>
                <w:szCs w:val="20"/>
              </w:rPr>
              <w:t>oral</w:t>
            </w:r>
          </w:p>
        </w:tc>
        <w:tc>
          <w:tcPr>
            <w:tcW w:w="6305" w:type="dxa"/>
          </w:tcPr>
          <w:p w14:paraId="65886CE1" w14:textId="77777777" w:rsidR="00D5506A" w:rsidRPr="00AF1F69" w:rsidRDefault="00D5506A" w:rsidP="0099524E">
            <w:pPr>
              <w:keepLines/>
              <w:rPr>
                <w:sz w:val="20"/>
                <w:szCs w:val="20"/>
              </w:rPr>
            </w:pPr>
            <w:r w:rsidRPr="00AF1F69">
              <w:rPr>
                <w:sz w:val="20"/>
                <w:szCs w:val="20"/>
              </w:rPr>
              <w:t xml:space="preserve">40 mg (2 x 20 mg) taken once daily </w:t>
            </w:r>
          </w:p>
        </w:tc>
      </w:tr>
      <w:tr w:rsidR="00D5506A" w:rsidRPr="00994071" w14:paraId="5EBBED88" w14:textId="77777777" w:rsidTr="006E44CF">
        <w:tc>
          <w:tcPr>
            <w:tcW w:w="1414" w:type="dxa"/>
          </w:tcPr>
          <w:p w14:paraId="6B85D4BE"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Iloprost </w:t>
            </w:r>
          </w:p>
        </w:tc>
        <w:tc>
          <w:tcPr>
            <w:tcW w:w="1346" w:type="dxa"/>
          </w:tcPr>
          <w:p w14:paraId="083F63E7" w14:textId="77777777" w:rsidR="00D5506A" w:rsidRPr="00AF1F69" w:rsidRDefault="00D5506A" w:rsidP="0099524E">
            <w:pPr>
              <w:keepLines/>
              <w:rPr>
                <w:sz w:val="20"/>
                <w:szCs w:val="20"/>
              </w:rPr>
            </w:pPr>
            <w:r w:rsidRPr="00AF1F69">
              <w:rPr>
                <w:sz w:val="20"/>
                <w:szCs w:val="20"/>
              </w:rPr>
              <w:t>inhaled (nebulised)</w:t>
            </w:r>
          </w:p>
        </w:tc>
        <w:tc>
          <w:tcPr>
            <w:tcW w:w="6305" w:type="dxa"/>
          </w:tcPr>
          <w:p w14:paraId="02E85789" w14:textId="77777777" w:rsidR="00D5506A" w:rsidRPr="00AF1F69" w:rsidRDefault="00D5506A" w:rsidP="0099524E">
            <w:pPr>
              <w:keepLines/>
              <w:rPr>
                <w:sz w:val="20"/>
                <w:szCs w:val="20"/>
              </w:rPr>
            </w:pPr>
            <w:r w:rsidRPr="00AF1F69">
              <w:rPr>
                <w:sz w:val="20"/>
                <w:szCs w:val="20"/>
              </w:rPr>
              <w:t xml:space="preserve">At initiation the first inhaled dose should be 2.5 microgram (mcg) iloprost. If this dose is well tolerated, dosing should be increased to 5.0 mcg and maintained at that dose. In case of poor tolerability of the 5.0 mcg dose, the dose should be reduced to 2.5 mcg. </w:t>
            </w:r>
          </w:p>
          <w:p w14:paraId="2672C23E" w14:textId="77777777" w:rsidR="00D5506A" w:rsidRPr="00AF1F69" w:rsidRDefault="00D5506A" w:rsidP="0099524E">
            <w:pPr>
              <w:keepLines/>
              <w:rPr>
                <w:sz w:val="20"/>
                <w:szCs w:val="20"/>
              </w:rPr>
            </w:pPr>
            <w:r w:rsidRPr="00AF1F69">
              <w:rPr>
                <w:sz w:val="20"/>
                <w:szCs w:val="20"/>
              </w:rPr>
              <w:t xml:space="preserve">Inhalations are administered 6 to 9 times per day during waking hours according to the individual need and tolerability. </w:t>
            </w:r>
          </w:p>
          <w:p w14:paraId="1B928318" w14:textId="77777777" w:rsidR="00D5506A" w:rsidRPr="00AF1F69" w:rsidRDefault="00D5506A" w:rsidP="0099524E">
            <w:pPr>
              <w:keepLines/>
              <w:rPr>
                <w:sz w:val="20"/>
                <w:szCs w:val="20"/>
              </w:rPr>
            </w:pPr>
            <w:r w:rsidRPr="00AF1F69">
              <w:rPr>
                <w:sz w:val="20"/>
                <w:szCs w:val="20"/>
              </w:rPr>
              <w:t xml:space="preserve">The duration of an inhalation session is approximately 4 to 10 minutes. </w:t>
            </w:r>
          </w:p>
        </w:tc>
      </w:tr>
      <w:tr w:rsidR="00D5506A" w:rsidRPr="00994071" w14:paraId="4EEE6D71" w14:textId="77777777" w:rsidTr="006E44CF">
        <w:tc>
          <w:tcPr>
            <w:tcW w:w="1414" w:type="dxa"/>
          </w:tcPr>
          <w:p w14:paraId="6A9474FD" w14:textId="77777777" w:rsidR="00D5506A" w:rsidRPr="00AF1F69" w:rsidRDefault="00D5506A" w:rsidP="0099524E">
            <w:pPr>
              <w:keepLines/>
              <w:outlineLvl w:val="1"/>
              <w:rPr>
                <w:rFonts w:eastAsiaTheme="majorEastAsia" w:cstheme="majorBidi"/>
                <w:bCs/>
                <w:sz w:val="20"/>
                <w:szCs w:val="20"/>
              </w:rPr>
            </w:pPr>
            <w:r w:rsidRPr="00AF1F69">
              <w:rPr>
                <w:rFonts w:eastAsiaTheme="majorEastAsia" w:cstheme="majorBidi"/>
                <w:bCs/>
                <w:sz w:val="20"/>
                <w:szCs w:val="20"/>
              </w:rPr>
              <w:t xml:space="preserve">Epoprostenol </w:t>
            </w:r>
          </w:p>
        </w:tc>
        <w:tc>
          <w:tcPr>
            <w:tcW w:w="1346" w:type="dxa"/>
          </w:tcPr>
          <w:p w14:paraId="5C58EE0B" w14:textId="77777777" w:rsidR="00D5506A" w:rsidRPr="00AF1F69" w:rsidDel="00B101D0" w:rsidRDefault="00D5506A" w:rsidP="0099524E">
            <w:pPr>
              <w:keepLines/>
              <w:rPr>
                <w:sz w:val="20"/>
                <w:szCs w:val="20"/>
              </w:rPr>
            </w:pPr>
            <w:r w:rsidRPr="00AF1F69">
              <w:rPr>
                <w:sz w:val="20"/>
                <w:szCs w:val="20"/>
              </w:rPr>
              <w:t>continuous intravenous infusion</w:t>
            </w:r>
          </w:p>
        </w:tc>
        <w:tc>
          <w:tcPr>
            <w:tcW w:w="6305" w:type="dxa"/>
          </w:tcPr>
          <w:p w14:paraId="5AB0F78F" w14:textId="77777777" w:rsidR="00D5506A" w:rsidRPr="00AF1F69" w:rsidRDefault="00D5506A" w:rsidP="0099524E">
            <w:pPr>
              <w:keepLines/>
              <w:rPr>
                <w:sz w:val="20"/>
                <w:szCs w:val="20"/>
              </w:rPr>
            </w:pPr>
            <w:r w:rsidRPr="00AF1F69">
              <w:rPr>
                <w:sz w:val="20"/>
                <w:szCs w:val="20"/>
              </w:rPr>
              <w:t xml:space="preserve">The following schedules have been found effective: </w:t>
            </w:r>
          </w:p>
          <w:p w14:paraId="52160170" w14:textId="77777777" w:rsidR="00D5506A" w:rsidRPr="00AF1F69" w:rsidRDefault="00D5506A" w:rsidP="0099524E">
            <w:pPr>
              <w:keepLines/>
              <w:rPr>
                <w:sz w:val="20"/>
                <w:szCs w:val="20"/>
              </w:rPr>
            </w:pPr>
            <w:r w:rsidRPr="00AF1F69">
              <w:rPr>
                <w:i/>
                <w:sz w:val="20"/>
                <w:szCs w:val="20"/>
              </w:rPr>
              <w:t xml:space="preserve">Short-term (acute) dose-ranging: </w:t>
            </w:r>
            <w:r w:rsidRPr="00AF1F69">
              <w:rPr>
                <w:sz w:val="20"/>
                <w:szCs w:val="20"/>
              </w:rPr>
              <w:t xml:space="preserve">A short-term dose-ranging procedure administered via either a peripheral or central venous line is required to determine the long-term infusion rate. The infusion rate is initiated at 2ng/kg/min and increased by increments of 2 ng/kg/min every 15 minutes or longer until maximum haemodynamic benefit or dose-limiting pharmacological effects are elicited. </w:t>
            </w:r>
          </w:p>
          <w:p w14:paraId="31421362" w14:textId="77777777" w:rsidR="00D5506A" w:rsidRPr="00AF1F69" w:rsidRDefault="00D5506A" w:rsidP="0099524E">
            <w:pPr>
              <w:keepLines/>
              <w:rPr>
                <w:sz w:val="20"/>
                <w:szCs w:val="20"/>
              </w:rPr>
            </w:pPr>
            <w:r w:rsidRPr="00AF1F69">
              <w:rPr>
                <w:i/>
                <w:sz w:val="20"/>
                <w:szCs w:val="20"/>
              </w:rPr>
              <w:t xml:space="preserve">Long-term continuous infusion </w:t>
            </w:r>
            <w:r w:rsidRPr="00AF1F69">
              <w:rPr>
                <w:sz w:val="20"/>
                <w:szCs w:val="20"/>
              </w:rPr>
              <w:t xml:space="preserve">is administered through a central venous catheter. Long-term infusions should be initiated at 4 ng/kg/min less than the maximum tolerated infusion rate determined during short-term dose-ranging. If the maximum tolerated infusion rate is 5 ng/kg/min or less, then the long-term infusion should be started at 1 ng/kg/min. </w:t>
            </w:r>
          </w:p>
        </w:tc>
      </w:tr>
    </w:tbl>
    <w:p w14:paraId="2BE975E6" w14:textId="77777777" w:rsidR="00D5506A" w:rsidRDefault="00D5506A" w:rsidP="00D5506A"/>
    <w:p w14:paraId="365CB6F9" w14:textId="77777777" w:rsidR="00D5506A" w:rsidRDefault="00D5506A" w:rsidP="00D5506A">
      <w:r>
        <w:t>For all of these medicines treatment should only be initiated and monitored by a physician experienced in the treatment of pulmonary arterial hypertension.</w:t>
      </w:r>
    </w:p>
    <w:p w14:paraId="1DE42DB3" w14:textId="77777777" w:rsidR="00D5506A" w:rsidRDefault="00D5506A" w:rsidP="00D5506A">
      <w:r w:rsidRPr="00AA4154">
        <w:t xml:space="preserve">Serum liver aminotransferase (AST &amp; ALT) levels must be measured prior to initiation of treatment with </w:t>
      </w:r>
      <w:r>
        <w:t>bosentan, a</w:t>
      </w:r>
      <w:r w:rsidRPr="004F311A">
        <w:rPr>
          <w:rFonts w:eastAsiaTheme="majorEastAsia" w:cstheme="majorBidi"/>
          <w:bCs/>
        </w:rPr>
        <w:t>mbrisentan</w:t>
      </w:r>
      <w:r>
        <w:rPr>
          <w:rFonts w:eastAsiaTheme="majorEastAsia" w:cstheme="majorBidi"/>
          <w:bCs/>
        </w:rPr>
        <w:t xml:space="preserve"> and m</w:t>
      </w:r>
      <w:r w:rsidRPr="004F311A">
        <w:rPr>
          <w:rFonts w:eastAsiaTheme="majorEastAsia" w:cstheme="majorBidi"/>
          <w:bCs/>
        </w:rPr>
        <w:t>acitentan</w:t>
      </w:r>
      <w:r>
        <w:rPr>
          <w:rFonts w:eastAsiaTheme="majorEastAsia" w:cstheme="majorBidi"/>
          <w:bCs/>
        </w:rPr>
        <w:t xml:space="preserve">. Monthly monitoring during treatment is recommended. </w:t>
      </w:r>
    </w:p>
    <w:p w14:paraId="55B9EB31" w14:textId="7F3F40BF" w:rsidR="00D5506A" w:rsidRPr="007C11FD" w:rsidRDefault="00D5506A" w:rsidP="00D5506A">
      <w:r w:rsidRPr="007C11FD">
        <w:t xml:space="preserve">Full </w:t>
      </w:r>
      <w:r>
        <w:t xml:space="preserve">information on </w:t>
      </w:r>
      <w:r w:rsidRPr="007C11FD">
        <w:t>dosage and administration</w:t>
      </w:r>
      <w:r>
        <w:t>, monitoring requirements and drug interactions</w:t>
      </w:r>
      <w:r w:rsidRPr="007C11FD">
        <w:t xml:space="preserve"> </w:t>
      </w:r>
      <w:r>
        <w:t xml:space="preserve">are </w:t>
      </w:r>
      <w:r w:rsidRPr="007C11FD">
        <w:t>available from the Product Information</w:t>
      </w:r>
      <w:r>
        <w:t>.</w:t>
      </w:r>
    </w:p>
    <w:p w14:paraId="337D0FBB" w14:textId="7FC8A6FC" w:rsidR="006B709B" w:rsidRPr="002F61CA" w:rsidRDefault="006B709B" w:rsidP="00A35800">
      <w:r w:rsidRPr="002F61CA">
        <w:t xml:space="preserve">The current Product Information (PI) and Consumer Medicine Information (CMI) are available from </w:t>
      </w:r>
      <w:hyperlink r:id="rId11" w:history="1">
        <w:r w:rsidR="004B552B">
          <w:rPr>
            <w:rStyle w:val="Hyperlink"/>
          </w:rPr>
          <w:t>the TGA (Product Information)</w:t>
        </w:r>
      </w:hyperlink>
      <w:r w:rsidR="00561CB4">
        <w:t xml:space="preserve"> and </w:t>
      </w:r>
      <w:hyperlink r:id="rId12" w:history="1">
        <w:r w:rsidR="004B552B">
          <w:rPr>
            <w:rStyle w:val="Hyperlink"/>
          </w:rPr>
          <w:t>the TGA (Consumer Medicines Information)</w:t>
        </w:r>
      </w:hyperlink>
      <w:r w:rsidR="0024294B">
        <w:t>.</w:t>
      </w:r>
    </w:p>
    <w:p w14:paraId="143CC403" w14:textId="5A441729" w:rsidR="001420B3" w:rsidRPr="005C55C6" w:rsidRDefault="001420B3" w:rsidP="002F63ED">
      <w:pPr>
        <w:pStyle w:val="Heading4"/>
      </w:pPr>
      <w:r w:rsidRPr="005C55C6">
        <w:lastRenderedPageBreak/>
        <w:t>Clinical situation</w:t>
      </w:r>
    </w:p>
    <w:p w14:paraId="6E92E5D9" w14:textId="77777777" w:rsidR="002818E6" w:rsidRDefault="002818E6" w:rsidP="002818E6">
      <w:r>
        <w:t>PAH is one of five clinical classifications of pulmonary hypertension (PH)</w:t>
      </w:r>
      <w:r>
        <w:rPr>
          <w:rStyle w:val="FootnoteReference"/>
        </w:rPr>
        <w:footnoteReference w:id="1"/>
      </w:r>
      <w:r>
        <w:t>.</w:t>
      </w:r>
      <w:bookmarkStart w:id="1" w:name="_Ref405707143"/>
      <w:r>
        <w:t xml:space="preserve"> </w:t>
      </w:r>
      <w:bookmarkEnd w:id="1"/>
      <w:r w:rsidRPr="00FD6803">
        <w:t>The clinical classifications have evolved over time as the understanding of PH has progressed.</w:t>
      </w:r>
    </w:p>
    <w:p w14:paraId="1488B00B" w14:textId="77777777" w:rsidR="002818E6" w:rsidRDefault="002818E6" w:rsidP="002818E6">
      <w:r>
        <w:t>Group 1: Pulmonary Arterial Hypertension</w:t>
      </w:r>
      <w:r w:rsidRPr="0082373F">
        <w:t xml:space="preserve"> </w:t>
      </w:r>
      <w:r>
        <w:t>(previously called primary pulmonary hypertension)</w:t>
      </w:r>
    </w:p>
    <w:p w14:paraId="5AD6535C" w14:textId="77777777" w:rsidR="002818E6" w:rsidRDefault="002818E6" w:rsidP="002818E6">
      <w:r>
        <w:t>Group 2: PH due to left heart disease</w:t>
      </w:r>
    </w:p>
    <w:p w14:paraId="6B48E78E" w14:textId="77777777" w:rsidR="002818E6" w:rsidRDefault="002818E6" w:rsidP="002818E6">
      <w:r>
        <w:t>Group 3: PH due to chronic lung diseases and/or hypoxia</w:t>
      </w:r>
    </w:p>
    <w:p w14:paraId="66E82B71" w14:textId="77777777" w:rsidR="002818E6" w:rsidRDefault="002818E6" w:rsidP="002818E6">
      <w:r>
        <w:t>Group 4: Chronic thromboembolic pulmonary hypertension (CTEPH)</w:t>
      </w:r>
    </w:p>
    <w:p w14:paraId="73D78DCD" w14:textId="77777777" w:rsidR="002818E6" w:rsidRDefault="002818E6" w:rsidP="002818E6">
      <w:r>
        <w:t>Group 5: PH with unclear multifactorial mechanisms</w:t>
      </w:r>
    </w:p>
    <w:p w14:paraId="2F67E610" w14:textId="24D9B52F" w:rsidR="002818E6" w:rsidRDefault="002818E6" w:rsidP="002818E6">
      <w:r>
        <w:t>Within PAH there are further subcategories including idiopathic, hereditable, drug and toxin induced, and PAH associated with connective tissue disease, HIV infection, portal hypertension, congenital heart disease or schistosomiasis</w:t>
      </w:r>
      <w:r w:rsidR="00351B73">
        <w:rPr>
          <w:vertAlign w:val="superscript"/>
        </w:rPr>
        <w:t>1</w:t>
      </w:r>
      <w:r>
        <w:t>.</w:t>
      </w:r>
    </w:p>
    <w:p w14:paraId="3FF1BF91" w14:textId="77777777" w:rsidR="002818E6" w:rsidRDefault="002818E6" w:rsidP="002818E6">
      <w:r>
        <w:t>The World Health Organization (WHO) defines four functional classifications of PAH depending on symptom severity:</w:t>
      </w:r>
    </w:p>
    <w:p w14:paraId="384EE9A7" w14:textId="77777777" w:rsidR="002818E6" w:rsidRDefault="002818E6" w:rsidP="002818E6">
      <w:pPr>
        <w:tabs>
          <w:tab w:val="left" w:pos="993"/>
        </w:tabs>
        <w:ind w:left="993" w:hanging="993"/>
      </w:pPr>
      <w:r>
        <w:t xml:space="preserve">Class I: </w:t>
      </w:r>
      <w:r>
        <w:tab/>
        <w:t>N</w:t>
      </w:r>
      <w:r w:rsidRPr="005616F1">
        <w:t>o limitation of usual physical activity</w:t>
      </w:r>
      <w:r>
        <w:t>. O</w:t>
      </w:r>
      <w:r w:rsidRPr="005616F1">
        <w:t xml:space="preserve">rdinary physical activity does not cause increased dyspnoea, fatigue, chest pain, or presyncope.  </w:t>
      </w:r>
    </w:p>
    <w:p w14:paraId="46668C8D" w14:textId="77777777" w:rsidR="002818E6" w:rsidRDefault="002818E6" w:rsidP="002818E6">
      <w:pPr>
        <w:tabs>
          <w:tab w:val="left" w:pos="993"/>
        </w:tabs>
        <w:ind w:left="993" w:hanging="993"/>
      </w:pPr>
      <w:r>
        <w:t xml:space="preserve">Class II: </w:t>
      </w:r>
      <w:r>
        <w:tab/>
        <w:t xml:space="preserve">Mild limitation of physical activity. There is no discomfort at rest, but normal physical activity causes increased dyspnoea, fatigue, chest pain, or presyncope.  </w:t>
      </w:r>
    </w:p>
    <w:p w14:paraId="672AD1BD" w14:textId="77777777" w:rsidR="002818E6" w:rsidRDefault="002818E6" w:rsidP="002818E6">
      <w:pPr>
        <w:tabs>
          <w:tab w:val="left" w:pos="993"/>
        </w:tabs>
        <w:ind w:left="993" w:hanging="993"/>
      </w:pPr>
      <w:r>
        <w:t xml:space="preserve">Class III: </w:t>
      </w:r>
      <w:r>
        <w:tab/>
        <w:t xml:space="preserve">Marked limitation of physical activity. There is no discomfort at rest, but less than ordinary activity causes increased dyspnoea, fatigue, chest pain, or presyncope.  </w:t>
      </w:r>
    </w:p>
    <w:p w14:paraId="70BD3BAA" w14:textId="77777777" w:rsidR="002818E6" w:rsidRDefault="002818E6" w:rsidP="002818E6">
      <w:pPr>
        <w:tabs>
          <w:tab w:val="left" w:pos="993"/>
        </w:tabs>
        <w:ind w:left="993" w:hanging="993"/>
      </w:pPr>
      <w:r>
        <w:t xml:space="preserve">Class IV: </w:t>
      </w:r>
      <w:r>
        <w:tab/>
        <w:t xml:space="preserve">Unable to perform any physical activity without symptoms and may have signs of right ventricular heart failure. Dyspnoea and/or fatigue may be present at rest. </w:t>
      </w:r>
    </w:p>
    <w:p w14:paraId="26A6DA33" w14:textId="77777777" w:rsidR="002818E6" w:rsidRDefault="002818E6" w:rsidP="002818E6">
      <w:r>
        <w:t>Physical activity</w:t>
      </w:r>
      <w:r w:rsidRPr="00BB2C7B">
        <w:t xml:space="preserve"> tolerance in PAH is </w:t>
      </w:r>
      <w:r>
        <w:t>often</w:t>
      </w:r>
      <w:r w:rsidRPr="00BB2C7B">
        <w:t xml:space="preserve"> assessed by the 6-minute-walk distance </w:t>
      </w:r>
      <w:r>
        <w:t xml:space="preserve">test. This test has been the basis for inclusion criteria and </w:t>
      </w:r>
      <w:r w:rsidRPr="00BB2C7B">
        <w:t>primary end point</w:t>
      </w:r>
      <w:r>
        <w:t>s</w:t>
      </w:r>
      <w:r w:rsidRPr="00BB2C7B">
        <w:t xml:space="preserve"> of many clinical trials of PAH</w:t>
      </w:r>
      <w:r>
        <w:t xml:space="preserve"> medicines</w:t>
      </w:r>
      <w:r w:rsidRPr="00BB2C7B">
        <w:t>.</w:t>
      </w:r>
      <w:r>
        <w:t xml:space="preserve"> Together with right heart catheter and echocardiograph composite assessments</w:t>
      </w:r>
      <w:r w:rsidRPr="00603F2F">
        <w:t xml:space="preserve">, </w:t>
      </w:r>
      <w:r>
        <w:t xml:space="preserve">the </w:t>
      </w:r>
      <w:r w:rsidRPr="00603F2F">
        <w:t>PBS restriction</w:t>
      </w:r>
      <w:r>
        <w:t>s</w:t>
      </w:r>
      <w:r w:rsidRPr="00603F2F">
        <w:t xml:space="preserve"> </w:t>
      </w:r>
      <w:r w:rsidRPr="00396F10">
        <w:t>use the 6-minute walk test to establish a patient’</w:t>
      </w:r>
      <w:r>
        <w:t xml:space="preserve">s </w:t>
      </w:r>
      <w:r w:rsidRPr="00396F10">
        <w:t>baseline measurements</w:t>
      </w:r>
      <w:r>
        <w:t xml:space="preserve"> and response to treatment</w:t>
      </w:r>
      <w:r w:rsidRPr="00396F10">
        <w:t xml:space="preserve">. </w:t>
      </w:r>
    </w:p>
    <w:p w14:paraId="2A399790" w14:textId="77777777" w:rsidR="002818E6" w:rsidRDefault="002818E6" w:rsidP="002818E6">
      <w:r w:rsidRPr="00850A21">
        <w:rPr>
          <w:b/>
          <w:i/>
        </w:rPr>
        <w:t>D</w:t>
      </w:r>
      <w:r>
        <w:rPr>
          <w:b/>
          <w:i/>
        </w:rPr>
        <w:t>efinition</w:t>
      </w:r>
    </w:p>
    <w:p w14:paraId="7E784075" w14:textId="6D738FB2" w:rsidR="002818E6" w:rsidRPr="00F479FB" w:rsidRDefault="002818E6" w:rsidP="002818E6">
      <w:r w:rsidRPr="00F479FB">
        <w:t xml:space="preserve">PH </w:t>
      </w:r>
      <w:r>
        <w:t>ha</w:t>
      </w:r>
      <w:r w:rsidRPr="00F479FB">
        <w:t>s</w:t>
      </w:r>
      <w:r>
        <w:t xml:space="preserve"> been </w:t>
      </w:r>
      <w:r w:rsidRPr="00F479FB">
        <w:t xml:space="preserve">defined as an increase in mean pulmonary arterial pressure (PAP) </w:t>
      </w:r>
      <w:r>
        <w:t>to ≥</w:t>
      </w:r>
      <w:r w:rsidRPr="00F479FB">
        <w:t>25 mmHg at rest as assessed by right heart catheteri</w:t>
      </w:r>
      <w:r>
        <w:t>s</w:t>
      </w:r>
      <w:r w:rsidRPr="00F479FB">
        <w:t>ation (RHC).</w:t>
      </w:r>
      <w:r w:rsidRPr="007625D7">
        <w:rPr>
          <w:rStyle w:val="FootnoteReference"/>
        </w:rPr>
        <w:footnoteReference w:id="2"/>
      </w:r>
    </w:p>
    <w:p w14:paraId="12E08D68" w14:textId="77777777" w:rsidR="002818E6" w:rsidRDefault="002818E6" w:rsidP="002818E6">
      <w:r>
        <w:lastRenderedPageBreak/>
        <w:t>E</w:t>
      </w:r>
      <w:r w:rsidRPr="007625D7">
        <w:t xml:space="preserve">ligibility for </w:t>
      </w:r>
      <w:r w:rsidRPr="00F479FB">
        <w:t xml:space="preserve">PBS </w:t>
      </w:r>
      <w:r>
        <w:t xml:space="preserve">medicine </w:t>
      </w:r>
      <w:r w:rsidRPr="00F479FB">
        <w:t>subsidy</w:t>
      </w:r>
      <w:r w:rsidRPr="007625D7">
        <w:t xml:space="preserve"> </w:t>
      </w:r>
      <w:r>
        <w:t xml:space="preserve">requires </w:t>
      </w:r>
      <w:r w:rsidRPr="007625D7">
        <w:t xml:space="preserve">evidence of </w:t>
      </w:r>
      <w:r w:rsidRPr="00F479FB">
        <w:t xml:space="preserve"> </w:t>
      </w:r>
      <w:r w:rsidRPr="007625D7">
        <w:t xml:space="preserve">PAH defined as </w:t>
      </w:r>
      <w:r w:rsidRPr="00F479FB">
        <w:t xml:space="preserve">a mean </w:t>
      </w:r>
      <w:r w:rsidRPr="007625D7">
        <w:t>pulmonary artery</w:t>
      </w:r>
      <w:r w:rsidRPr="00F479FB">
        <w:t xml:space="preserve"> pressure</w:t>
      </w:r>
      <w:r w:rsidRPr="007625D7">
        <w:t xml:space="preserve"> (mPAP)</w:t>
      </w:r>
      <w:r w:rsidRPr="00F479FB">
        <w:t xml:space="preserve"> </w:t>
      </w:r>
      <w:r w:rsidRPr="007625D7">
        <w:t>greater than 25 mmHg at rest and pulmonary artery wedge pressure (PAWP) less than 15 mmHg. Where a right heart catheter (RHC) cannot be performed on clinical grounds, PAH is defined as right ventricular systolic pressure (RVSP), assessed by echocardiography (ECHO), greater than 40 mmHg, with normal left ventricular function.</w:t>
      </w:r>
    </w:p>
    <w:p w14:paraId="4F78CC2D" w14:textId="4B9D8D92" w:rsidR="002818E6" w:rsidRPr="002B4586" w:rsidRDefault="002818E6" w:rsidP="002818E6">
      <w:r>
        <w:t>A previous definition of PH on exercise as a mean PAP &gt;30mmHg as assessed by RHC has been found to not be supported by published data and has been removed from current accepted definitions</w:t>
      </w:r>
      <w:r>
        <w:rPr>
          <w:rStyle w:val="FootnoteReference"/>
        </w:rPr>
        <w:footnoteReference w:id="3"/>
      </w:r>
      <w:r>
        <w:t xml:space="preserve"> and from the PBS restrictions. </w:t>
      </w:r>
    </w:p>
    <w:p w14:paraId="46E2BB42" w14:textId="57798ACD" w:rsidR="00DF0B13" w:rsidRPr="002801FD" w:rsidRDefault="00DF0B13" w:rsidP="00A36FA8">
      <w:pPr>
        <w:pStyle w:val="Heading4"/>
      </w:pPr>
      <w:r w:rsidRPr="002801FD">
        <w:t xml:space="preserve">PBS listing </w:t>
      </w:r>
      <w:r w:rsidR="00262CEB">
        <w:t xml:space="preserve">and restriction </w:t>
      </w:r>
      <w:r w:rsidRPr="002801FD">
        <w:t>details</w:t>
      </w:r>
      <w:r w:rsidR="00D151EB" w:rsidRPr="002801FD">
        <w:t xml:space="preserve"> (as at </w:t>
      </w:r>
      <w:r w:rsidR="002818E6">
        <w:t>December 2014</w:t>
      </w:r>
      <w:r w:rsidR="00D151EB" w:rsidRPr="002801FD">
        <w:t>)</w:t>
      </w:r>
    </w:p>
    <w:p w14:paraId="78A98125" w14:textId="77777777" w:rsidR="002818E6" w:rsidRDefault="002818E6" w:rsidP="002818E6">
      <w:r>
        <w:t>Prescribing of PBS subsidised PAH medicines requires prior written Authority approval from the Department of Human Services.</w:t>
      </w:r>
    </w:p>
    <w:p w14:paraId="19CC6008" w14:textId="77777777" w:rsidR="002818E6" w:rsidRDefault="002818E6" w:rsidP="002818E6">
      <w:r>
        <w:t xml:space="preserve">The restrictions are complex. Not all medicines are available for both class III and class IV PAH, and definitions and terminology have been updated over time. </w:t>
      </w:r>
    </w:p>
    <w:p w14:paraId="508CC27C" w14:textId="77777777" w:rsidR="002818E6" w:rsidRDefault="002818E6" w:rsidP="002818E6">
      <w:r>
        <w:t>The full PBS restrictions current at the time of this report (December 2014) and versions of restrictions from previous schedules are available at pbs.gov.au.</w:t>
      </w:r>
    </w:p>
    <w:p w14:paraId="430DF600" w14:textId="77777777" w:rsidR="002818E6" w:rsidRDefault="002818E6" w:rsidP="002818E6">
      <w:r>
        <w:t>Common elements of the current restrictions for the 7 listed PAH agents  (bosentan, ambrisentan, macitentan, iloprost, epoprostenol, sildenafil, tadalafil) are as follows:</w:t>
      </w:r>
    </w:p>
    <w:p w14:paraId="09A32782" w14:textId="77777777" w:rsidR="002818E6" w:rsidRDefault="002818E6" w:rsidP="002818E6">
      <w:pPr>
        <w:pStyle w:val="ListParagraph"/>
        <w:numPr>
          <w:ilvl w:val="0"/>
          <w:numId w:val="5"/>
        </w:numPr>
        <w:ind w:left="567" w:hanging="425"/>
      </w:pPr>
      <w:r>
        <w:t>Patients are eligible for PBS subsidised treatment with 1 PAH agent at any time.</w:t>
      </w:r>
    </w:p>
    <w:p w14:paraId="532F60F8" w14:textId="77777777" w:rsidR="002818E6" w:rsidRDefault="002818E6" w:rsidP="002818E6">
      <w:pPr>
        <w:pStyle w:val="ListParagraph"/>
        <w:numPr>
          <w:ilvl w:val="0"/>
          <w:numId w:val="5"/>
        </w:numPr>
        <w:ind w:left="567" w:hanging="425"/>
      </w:pPr>
      <w:r>
        <w:t xml:space="preserve">Patients must have been assessed by a physician from a designated hospital </w:t>
      </w:r>
    </w:p>
    <w:p w14:paraId="5BA7F384" w14:textId="77777777" w:rsidR="002818E6" w:rsidRDefault="002818E6" w:rsidP="002818E6">
      <w:pPr>
        <w:pStyle w:val="ListParagraph"/>
        <w:numPr>
          <w:ilvl w:val="0"/>
          <w:numId w:val="5"/>
        </w:numPr>
        <w:ind w:left="567" w:hanging="425"/>
      </w:pPr>
      <w:r>
        <w:t>Patients with WHO functional Class III with mean right arterial pressure (mRAP) ≤ 8 mm Hg must have failed to respond to 6 or more weeks of appropriate vasodilator treatment unless contraindicated or intolerant</w:t>
      </w:r>
    </w:p>
    <w:p w14:paraId="5535FE98" w14:textId="77777777" w:rsidR="002818E6" w:rsidRDefault="002818E6" w:rsidP="002818E6">
      <w:pPr>
        <w:pStyle w:val="ListParagraph"/>
        <w:numPr>
          <w:ilvl w:val="0"/>
          <w:numId w:val="5"/>
        </w:numPr>
        <w:ind w:left="567" w:hanging="425"/>
      </w:pPr>
      <w:r>
        <w:t>PAH is defined as</w:t>
      </w:r>
      <w:r w:rsidRPr="004B51FE">
        <w:t xml:space="preserve"> a mean pulmonary artery pressure (mPAP) greater than 25 mmHg at rest and pulmonary artery wedge pressure (PAWP) less than 15 mmHg. Where a right heart catheter (RHC) cannot be performed on clinical grounds, PAH is defined as right ventricular systolic pressure (RVSP), assessed by echocardiography (ECHO), greater than 40 mmHg, with normal left ventricular function.</w:t>
      </w:r>
    </w:p>
    <w:p w14:paraId="1374FFCA" w14:textId="77777777" w:rsidR="002818E6" w:rsidRDefault="002818E6" w:rsidP="002818E6">
      <w:pPr>
        <w:pStyle w:val="ListParagraph"/>
        <w:numPr>
          <w:ilvl w:val="0"/>
          <w:numId w:val="5"/>
        </w:numPr>
        <w:ind w:left="567" w:hanging="425"/>
      </w:pPr>
      <w:r w:rsidRPr="00310F53">
        <w:t>Results of a RHC composite assessment, plus an ECHO composite assessment, plus a 6 minute walk test (6MWT) must be provided unless contraindicated on medical grounds. See full restriction for details.</w:t>
      </w:r>
    </w:p>
    <w:p w14:paraId="0A859172" w14:textId="77777777" w:rsidR="002818E6" w:rsidRPr="00310F53" w:rsidRDefault="002818E6" w:rsidP="002818E6">
      <w:pPr>
        <w:pStyle w:val="ListParagraph"/>
        <w:numPr>
          <w:ilvl w:val="0"/>
          <w:numId w:val="5"/>
        </w:numPr>
        <w:ind w:left="567" w:hanging="425"/>
      </w:pPr>
      <w:r>
        <w:lastRenderedPageBreak/>
        <w:t xml:space="preserve">A </w:t>
      </w:r>
      <w:r w:rsidRPr="00310F53">
        <w:t>minimum of 2 test results must qualify for each continuation or change application where the patient has demonstrated stability or improvement relative to baseline</w:t>
      </w:r>
      <w:r>
        <w:t>.</w:t>
      </w:r>
      <w:r w:rsidRPr="00310F53">
        <w:t xml:space="preserve"> </w:t>
      </w:r>
    </w:p>
    <w:p w14:paraId="41298A92" w14:textId="77777777" w:rsidR="002818E6" w:rsidRDefault="002818E6" w:rsidP="002818E6">
      <w:pPr>
        <w:pStyle w:val="ListParagraph"/>
        <w:numPr>
          <w:ilvl w:val="0"/>
          <w:numId w:val="5"/>
        </w:numPr>
        <w:ind w:left="567" w:hanging="425"/>
      </w:pPr>
      <w:r w:rsidRPr="005A14A2">
        <w:t>Patients are eligible to change or re-commence after a break in therapy but are not eligible to receive further PBS subsidised treatment with an agent to which they have previously failed to demonstrate stability or improvement.</w:t>
      </w:r>
    </w:p>
    <w:p w14:paraId="71B5D9CE" w14:textId="77777777" w:rsidR="002818E6" w:rsidRPr="005A14A2" w:rsidRDefault="002818E6" w:rsidP="002818E6">
      <w:pPr>
        <w:pStyle w:val="ListParagraph"/>
        <w:numPr>
          <w:ilvl w:val="0"/>
          <w:numId w:val="5"/>
        </w:numPr>
        <w:ind w:left="567" w:hanging="425"/>
      </w:pPr>
      <w:r>
        <w:t xml:space="preserve">Patients </w:t>
      </w:r>
      <w:r w:rsidRPr="005A14A2">
        <w:t>with PAH secondary to interstitial lung disease associated with connective tissue disease, where the total lung capacity is less than 70 per cent of that predicted, are not eligible for PBS subsidised treatment</w:t>
      </w:r>
      <w:r>
        <w:t>.</w:t>
      </w:r>
    </w:p>
    <w:p w14:paraId="397035E0" w14:textId="77777777" w:rsidR="00CE5EB7" w:rsidRPr="006874C4" w:rsidRDefault="00CE5EB7" w:rsidP="00CE5EB7">
      <w:r w:rsidRPr="006874C4">
        <w:t>The clinical and functional classifications of PAH that are currently PBS subsidised for patients initiating PAH therapy are summarised in Table 1. In summary:</w:t>
      </w:r>
    </w:p>
    <w:p w14:paraId="20CF9A3C" w14:textId="77777777" w:rsidR="00CE5EB7" w:rsidRPr="006874C4" w:rsidRDefault="00CE5EB7" w:rsidP="00CE5EB7">
      <w:pPr>
        <w:pStyle w:val="ListParagraph"/>
        <w:numPr>
          <w:ilvl w:val="0"/>
          <w:numId w:val="6"/>
        </w:numPr>
        <w:spacing w:line="276" w:lineRule="auto"/>
        <w:ind w:left="567" w:hanging="425"/>
      </w:pPr>
      <w:r w:rsidRPr="006874C4">
        <w:t>sildenafil and tadalafil are restricted to the treatment of WHO functional class III patients.</w:t>
      </w:r>
    </w:p>
    <w:p w14:paraId="575CAAB0" w14:textId="26906003" w:rsidR="00CE5EB7" w:rsidRPr="006874C4" w:rsidRDefault="00CE5EB7" w:rsidP="00CE5EB7">
      <w:pPr>
        <w:pStyle w:val="ListParagraph"/>
        <w:numPr>
          <w:ilvl w:val="0"/>
          <w:numId w:val="6"/>
        </w:numPr>
        <w:ind w:left="567" w:hanging="425"/>
      </w:pPr>
      <w:r w:rsidRPr="006874C4">
        <w:t>epoprostenol is restricted to the treatment of WHO functional class IV patients (Note: epoprostenol is also subsidised for WHO FC III patients as a 2nd line option in patients who have failed to respond to a prior PBS subsidised agent, but not as a 1</w:t>
      </w:r>
      <w:r w:rsidRPr="006874C4">
        <w:rPr>
          <w:vertAlign w:val="superscript"/>
        </w:rPr>
        <w:t>st</w:t>
      </w:r>
      <w:r w:rsidRPr="006874C4">
        <w:t xml:space="preserve"> lin</w:t>
      </w:r>
      <w:r>
        <w:t>e option</w:t>
      </w:r>
      <w:r w:rsidRPr="006874C4">
        <w:t>).</w:t>
      </w:r>
    </w:p>
    <w:p w14:paraId="24D01527" w14:textId="77777777" w:rsidR="002818E6" w:rsidRDefault="002818E6" w:rsidP="002818E6">
      <w:pPr>
        <w:pStyle w:val="ListParagraph"/>
        <w:numPr>
          <w:ilvl w:val="0"/>
          <w:numId w:val="6"/>
        </w:numPr>
        <w:ind w:left="567" w:hanging="425"/>
      </w:pPr>
      <w:r>
        <w:t>b</w:t>
      </w:r>
      <w:r w:rsidRPr="006E55C9">
        <w:t>osentan and macitentan are the only PBS listed medicines for PAH associated with a congenital systemic-to-pulmonary shunt (including Eisenmenger’s physiology).</w:t>
      </w:r>
    </w:p>
    <w:p w14:paraId="5DC84658" w14:textId="69E55474" w:rsidR="002818E6" w:rsidRDefault="002818E6" w:rsidP="002818E6">
      <w:pPr>
        <w:pStyle w:val="ListParagraph"/>
        <w:numPr>
          <w:ilvl w:val="0"/>
          <w:numId w:val="6"/>
        </w:numPr>
        <w:ind w:left="567" w:hanging="425"/>
      </w:pPr>
      <w:r w:rsidRPr="00FD7994">
        <w:t xml:space="preserve">iloprost is the only drug </w:t>
      </w:r>
      <w:r>
        <w:t xml:space="preserve">with the broader </w:t>
      </w:r>
      <w:r w:rsidRPr="00FD7994">
        <w:t>drug-induced PAH</w:t>
      </w:r>
      <w:r>
        <w:t xml:space="preserve"> listing i.e. not just ano</w:t>
      </w:r>
      <w:r w:rsidR="00687EBC">
        <w:t>r</w:t>
      </w:r>
      <w:r>
        <w:t>e</w:t>
      </w:r>
      <w:r w:rsidR="00687EBC">
        <w:t>x</w:t>
      </w:r>
      <w:r>
        <w:t>igen induced.</w:t>
      </w:r>
    </w:p>
    <w:p w14:paraId="673F7B41" w14:textId="77777777" w:rsidR="002818E6" w:rsidRPr="00594679" w:rsidRDefault="002818E6" w:rsidP="002818E6">
      <w:pPr>
        <w:rPr>
          <w:b/>
        </w:rPr>
      </w:pPr>
      <w:r w:rsidRPr="00594679">
        <w:rPr>
          <w:b/>
        </w:rPr>
        <w:t>Table 1: Summary of PBS restriction by drug</w:t>
      </w:r>
    </w:p>
    <w:tbl>
      <w:tblPr>
        <w:tblW w:w="93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921"/>
        <w:gridCol w:w="1184"/>
        <w:gridCol w:w="1080"/>
        <w:gridCol w:w="965"/>
        <w:gridCol w:w="858"/>
        <w:gridCol w:w="797"/>
        <w:gridCol w:w="1217"/>
      </w:tblGrid>
      <w:tr w:rsidR="002818E6" w:rsidRPr="007357D3" w14:paraId="4A4F8247" w14:textId="77777777" w:rsidTr="0099524E">
        <w:trPr>
          <w:trHeight w:val="315"/>
        </w:trPr>
        <w:tc>
          <w:tcPr>
            <w:tcW w:w="2381" w:type="dxa"/>
            <w:shd w:val="clear" w:color="auto" w:fill="BFBFBF" w:themeFill="background1" w:themeFillShade="BF"/>
            <w:vAlign w:val="center"/>
            <w:hideMark/>
          </w:tcPr>
          <w:p w14:paraId="09684BED" w14:textId="77777777" w:rsidR="002818E6" w:rsidRPr="007357D3" w:rsidRDefault="002818E6" w:rsidP="0099524E">
            <w:pPr>
              <w:spacing w:after="0"/>
              <w:rPr>
                <w:rFonts w:eastAsia="Times New Roman" w:cs="Times New Roman"/>
                <w:b/>
                <w:color w:val="000000"/>
                <w:sz w:val="18"/>
                <w:szCs w:val="18"/>
              </w:rPr>
            </w:pPr>
          </w:p>
        </w:tc>
        <w:tc>
          <w:tcPr>
            <w:tcW w:w="905" w:type="dxa"/>
            <w:shd w:val="clear" w:color="auto" w:fill="BFBFBF" w:themeFill="background1" w:themeFillShade="BF"/>
            <w:vAlign w:val="center"/>
            <w:hideMark/>
          </w:tcPr>
          <w:p w14:paraId="01357860"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Bosentan</w:t>
            </w:r>
          </w:p>
        </w:tc>
        <w:tc>
          <w:tcPr>
            <w:tcW w:w="1159" w:type="dxa"/>
            <w:shd w:val="clear" w:color="auto" w:fill="BFBFBF" w:themeFill="background1" w:themeFillShade="BF"/>
            <w:vAlign w:val="center"/>
            <w:hideMark/>
          </w:tcPr>
          <w:p w14:paraId="7B57B3F8"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Ambrisentan</w:t>
            </w:r>
          </w:p>
        </w:tc>
        <w:tc>
          <w:tcPr>
            <w:tcW w:w="1060" w:type="dxa"/>
            <w:shd w:val="clear" w:color="auto" w:fill="BFBFBF" w:themeFill="background1" w:themeFillShade="BF"/>
            <w:vAlign w:val="center"/>
            <w:hideMark/>
          </w:tcPr>
          <w:p w14:paraId="6EA01AAB"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Macitentan</w:t>
            </w:r>
          </w:p>
        </w:tc>
        <w:tc>
          <w:tcPr>
            <w:tcW w:w="939" w:type="dxa"/>
            <w:shd w:val="clear" w:color="auto" w:fill="BFBFBF" w:themeFill="background1" w:themeFillShade="BF"/>
            <w:vAlign w:val="center"/>
            <w:hideMark/>
          </w:tcPr>
          <w:p w14:paraId="0F2BF4CE"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Sildfenafil</w:t>
            </w:r>
          </w:p>
        </w:tc>
        <w:tc>
          <w:tcPr>
            <w:tcW w:w="836" w:type="dxa"/>
            <w:shd w:val="clear" w:color="auto" w:fill="BFBFBF" w:themeFill="background1" w:themeFillShade="BF"/>
            <w:vAlign w:val="center"/>
            <w:hideMark/>
          </w:tcPr>
          <w:p w14:paraId="245B3EDB"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Tadalafil</w:t>
            </w:r>
          </w:p>
        </w:tc>
        <w:tc>
          <w:tcPr>
            <w:tcW w:w="781" w:type="dxa"/>
            <w:shd w:val="clear" w:color="auto" w:fill="BFBFBF" w:themeFill="background1" w:themeFillShade="BF"/>
            <w:vAlign w:val="center"/>
            <w:hideMark/>
          </w:tcPr>
          <w:p w14:paraId="5B871DFD"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Iloprost</w:t>
            </w:r>
          </w:p>
        </w:tc>
        <w:tc>
          <w:tcPr>
            <w:tcW w:w="1287" w:type="dxa"/>
            <w:shd w:val="clear" w:color="auto" w:fill="BFBFBF" w:themeFill="background1" w:themeFillShade="BF"/>
            <w:vAlign w:val="center"/>
            <w:hideMark/>
          </w:tcPr>
          <w:p w14:paraId="69966938" w14:textId="77777777" w:rsidR="002818E6" w:rsidRPr="007357D3" w:rsidRDefault="002818E6" w:rsidP="0099524E">
            <w:pPr>
              <w:spacing w:after="0"/>
              <w:rPr>
                <w:rFonts w:eastAsia="Times New Roman" w:cs="Times New Roman"/>
                <w:b/>
                <w:color w:val="000000"/>
                <w:sz w:val="18"/>
                <w:szCs w:val="18"/>
              </w:rPr>
            </w:pPr>
            <w:r w:rsidRPr="007357D3">
              <w:rPr>
                <w:rFonts w:eastAsia="Times New Roman" w:cs="Times New Roman"/>
                <w:b/>
                <w:color w:val="000000"/>
                <w:sz w:val="18"/>
                <w:szCs w:val="18"/>
              </w:rPr>
              <w:t>Epoprostenol</w:t>
            </w:r>
          </w:p>
        </w:tc>
      </w:tr>
      <w:tr w:rsidR="002818E6" w:rsidRPr="00DC36AE" w14:paraId="20C166D4" w14:textId="77777777" w:rsidTr="0099524E">
        <w:trPr>
          <w:trHeight w:val="315"/>
        </w:trPr>
        <w:tc>
          <w:tcPr>
            <w:tcW w:w="2381" w:type="dxa"/>
            <w:shd w:val="clear" w:color="auto" w:fill="auto"/>
            <w:vAlign w:val="center"/>
            <w:hideMark/>
          </w:tcPr>
          <w:p w14:paraId="6745BE13"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iPAH</w:t>
            </w:r>
          </w:p>
        </w:tc>
        <w:tc>
          <w:tcPr>
            <w:tcW w:w="905" w:type="dxa"/>
            <w:shd w:val="clear" w:color="auto" w:fill="auto"/>
            <w:vAlign w:val="center"/>
            <w:hideMark/>
          </w:tcPr>
          <w:p w14:paraId="7999C866"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1BA9E7AB"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60295347"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2C6CA190"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836" w:type="dxa"/>
            <w:shd w:val="clear" w:color="auto" w:fill="auto"/>
            <w:vAlign w:val="center"/>
            <w:hideMark/>
          </w:tcPr>
          <w:p w14:paraId="5E7ED1D3"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781" w:type="dxa"/>
            <w:shd w:val="clear" w:color="auto" w:fill="auto"/>
            <w:vAlign w:val="center"/>
            <w:hideMark/>
          </w:tcPr>
          <w:p w14:paraId="4244748D"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hideMark/>
          </w:tcPr>
          <w:p w14:paraId="57382A73"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136D618A" w14:textId="77777777" w:rsidTr="0099524E">
        <w:trPr>
          <w:trHeight w:val="315"/>
        </w:trPr>
        <w:tc>
          <w:tcPr>
            <w:tcW w:w="2381" w:type="dxa"/>
            <w:shd w:val="clear" w:color="auto" w:fill="auto"/>
            <w:vAlign w:val="center"/>
            <w:hideMark/>
          </w:tcPr>
          <w:p w14:paraId="36929FD1"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anorexigen-induced</w:t>
            </w:r>
          </w:p>
        </w:tc>
        <w:tc>
          <w:tcPr>
            <w:tcW w:w="905" w:type="dxa"/>
            <w:shd w:val="clear" w:color="auto" w:fill="auto"/>
            <w:vAlign w:val="center"/>
            <w:hideMark/>
          </w:tcPr>
          <w:p w14:paraId="3209F5BC"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4324FAD9"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7CB83098"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412D2849"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836" w:type="dxa"/>
            <w:shd w:val="clear" w:color="auto" w:fill="auto"/>
            <w:vAlign w:val="center"/>
            <w:hideMark/>
          </w:tcPr>
          <w:p w14:paraId="7C6F561A"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781" w:type="dxa"/>
            <w:shd w:val="clear" w:color="auto" w:fill="auto"/>
            <w:vAlign w:val="center"/>
            <w:hideMark/>
          </w:tcPr>
          <w:p w14:paraId="56471EA0"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hideMark/>
          </w:tcPr>
          <w:p w14:paraId="016ED1A5"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6C0D73DB" w14:textId="77777777" w:rsidTr="0099524E">
        <w:trPr>
          <w:trHeight w:val="315"/>
        </w:trPr>
        <w:tc>
          <w:tcPr>
            <w:tcW w:w="2381" w:type="dxa"/>
            <w:shd w:val="clear" w:color="auto" w:fill="auto"/>
            <w:vAlign w:val="center"/>
            <w:hideMark/>
          </w:tcPr>
          <w:p w14:paraId="6643A042"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drug-induced</w:t>
            </w:r>
          </w:p>
        </w:tc>
        <w:tc>
          <w:tcPr>
            <w:tcW w:w="905" w:type="dxa"/>
            <w:shd w:val="clear" w:color="auto" w:fill="auto"/>
            <w:vAlign w:val="center"/>
            <w:hideMark/>
          </w:tcPr>
          <w:p w14:paraId="4B67E100" w14:textId="77777777" w:rsidR="002818E6" w:rsidRPr="00DC36AE" w:rsidRDefault="002818E6" w:rsidP="0099524E">
            <w:pPr>
              <w:spacing w:after="0"/>
              <w:jc w:val="center"/>
              <w:rPr>
                <w:rFonts w:eastAsia="Times New Roman" w:cs="Times New Roman"/>
                <w:color w:val="000000"/>
                <w:sz w:val="18"/>
                <w:szCs w:val="18"/>
              </w:rPr>
            </w:pPr>
          </w:p>
        </w:tc>
        <w:tc>
          <w:tcPr>
            <w:tcW w:w="1159" w:type="dxa"/>
            <w:shd w:val="clear" w:color="auto" w:fill="auto"/>
            <w:vAlign w:val="center"/>
            <w:hideMark/>
          </w:tcPr>
          <w:p w14:paraId="6B2F9723" w14:textId="77777777" w:rsidR="002818E6" w:rsidRPr="00DC36AE" w:rsidRDefault="002818E6" w:rsidP="0099524E">
            <w:pPr>
              <w:spacing w:after="0"/>
              <w:jc w:val="center"/>
              <w:rPr>
                <w:rFonts w:eastAsia="Times New Roman" w:cs="Times New Roman"/>
                <w:color w:val="000000"/>
                <w:sz w:val="18"/>
                <w:szCs w:val="18"/>
              </w:rPr>
            </w:pPr>
          </w:p>
        </w:tc>
        <w:tc>
          <w:tcPr>
            <w:tcW w:w="1060" w:type="dxa"/>
            <w:shd w:val="clear" w:color="auto" w:fill="auto"/>
            <w:vAlign w:val="center"/>
            <w:hideMark/>
          </w:tcPr>
          <w:p w14:paraId="1BC60743" w14:textId="77777777" w:rsidR="002818E6" w:rsidRPr="00DC36AE" w:rsidRDefault="002818E6" w:rsidP="0099524E">
            <w:pPr>
              <w:spacing w:after="0"/>
              <w:jc w:val="center"/>
              <w:rPr>
                <w:rFonts w:eastAsia="Times New Roman" w:cs="Times New Roman"/>
                <w:color w:val="000000"/>
                <w:sz w:val="18"/>
                <w:szCs w:val="18"/>
              </w:rPr>
            </w:pPr>
          </w:p>
        </w:tc>
        <w:tc>
          <w:tcPr>
            <w:tcW w:w="939" w:type="dxa"/>
            <w:shd w:val="clear" w:color="auto" w:fill="auto"/>
            <w:vAlign w:val="center"/>
            <w:hideMark/>
          </w:tcPr>
          <w:p w14:paraId="17115E3F"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1059669D"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50C252B3"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287" w:type="dxa"/>
            <w:shd w:val="clear" w:color="auto" w:fill="auto"/>
            <w:vAlign w:val="center"/>
            <w:hideMark/>
          </w:tcPr>
          <w:p w14:paraId="49EB89AC"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65340A6E" w14:textId="77777777" w:rsidTr="0099524E">
        <w:trPr>
          <w:trHeight w:val="315"/>
        </w:trPr>
        <w:tc>
          <w:tcPr>
            <w:tcW w:w="2381" w:type="dxa"/>
            <w:shd w:val="clear" w:color="auto" w:fill="auto"/>
            <w:vAlign w:val="center"/>
            <w:hideMark/>
          </w:tcPr>
          <w:p w14:paraId="5B2299BC"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hereditable</w:t>
            </w:r>
          </w:p>
        </w:tc>
        <w:tc>
          <w:tcPr>
            <w:tcW w:w="905" w:type="dxa"/>
            <w:shd w:val="clear" w:color="auto" w:fill="auto"/>
            <w:vAlign w:val="center"/>
            <w:hideMark/>
          </w:tcPr>
          <w:p w14:paraId="5970A0D4"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50D6D58F"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5CCBA20B"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0B146AB3"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836" w:type="dxa"/>
            <w:shd w:val="clear" w:color="auto" w:fill="auto"/>
            <w:vAlign w:val="center"/>
            <w:hideMark/>
          </w:tcPr>
          <w:p w14:paraId="294DFB51"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781" w:type="dxa"/>
            <w:shd w:val="clear" w:color="auto" w:fill="auto"/>
            <w:vAlign w:val="center"/>
            <w:hideMark/>
          </w:tcPr>
          <w:p w14:paraId="2FAF254C"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hideMark/>
          </w:tcPr>
          <w:p w14:paraId="6D36AA66"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141E1A8C" w14:textId="77777777" w:rsidTr="0099524E">
        <w:trPr>
          <w:trHeight w:val="315"/>
        </w:trPr>
        <w:tc>
          <w:tcPr>
            <w:tcW w:w="2381" w:type="dxa"/>
            <w:shd w:val="clear" w:color="auto" w:fill="auto"/>
            <w:vAlign w:val="center"/>
            <w:hideMark/>
          </w:tcPr>
          <w:p w14:paraId="18811613"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secondary to connective tissue disease</w:t>
            </w:r>
          </w:p>
        </w:tc>
        <w:tc>
          <w:tcPr>
            <w:tcW w:w="905" w:type="dxa"/>
            <w:shd w:val="clear" w:color="auto" w:fill="auto"/>
            <w:vAlign w:val="center"/>
            <w:hideMark/>
          </w:tcPr>
          <w:p w14:paraId="2B3890E6"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341B91A9"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20AFCC86"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1345F923"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836" w:type="dxa"/>
            <w:shd w:val="clear" w:color="auto" w:fill="auto"/>
            <w:vAlign w:val="center"/>
            <w:hideMark/>
          </w:tcPr>
          <w:p w14:paraId="7E737FFD"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781" w:type="dxa"/>
            <w:shd w:val="clear" w:color="auto" w:fill="auto"/>
            <w:vAlign w:val="center"/>
            <w:hideMark/>
          </w:tcPr>
          <w:p w14:paraId="300209AB"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hideMark/>
          </w:tcPr>
          <w:p w14:paraId="5939A93B"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197B4BF5" w14:textId="77777777" w:rsidTr="0099524E">
        <w:trPr>
          <w:trHeight w:val="315"/>
        </w:trPr>
        <w:tc>
          <w:tcPr>
            <w:tcW w:w="2381" w:type="dxa"/>
            <w:shd w:val="clear" w:color="auto" w:fill="auto"/>
            <w:vAlign w:val="center"/>
          </w:tcPr>
          <w:p w14:paraId="61ED25BA" w14:textId="77777777" w:rsidR="002818E6" w:rsidRPr="00DC36AE" w:rsidRDefault="002818E6" w:rsidP="0099524E">
            <w:pPr>
              <w:spacing w:after="0"/>
              <w:rPr>
                <w:rFonts w:eastAsia="Times New Roman" w:cs="Times New Roman"/>
                <w:color w:val="000000"/>
                <w:sz w:val="18"/>
                <w:szCs w:val="18"/>
              </w:rPr>
            </w:pPr>
          </w:p>
        </w:tc>
        <w:tc>
          <w:tcPr>
            <w:tcW w:w="905" w:type="dxa"/>
            <w:shd w:val="clear" w:color="auto" w:fill="auto"/>
            <w:vAlign w:val="center"/>
          </w:tcPr>
          <w:p w14:paraId="61CD4B9A" w14:textId="77777777" w:rsidR="002818E6" w:rsidRPr="00DC36AE" w:rsidRDefault="002818E6" w:rsidP="0099524E">
            <w:pPr>
              <w:spacing w:after="0"/>
              <w:jc w:val="center"/>
              <w:rPr>
                <w:rFonts w:eastAsia="Times New Roman" w:cs="Times New Roman"/>
                <w:color w:val="000000"/>
                <w:sz w:val="18"/>
                <w:szCs w:val="18"/>
              </w:rPr>
            </w:pPr>
          </w:p>
        </w:tc>
        <w:tc>
          <w:tcPr>
            <w:tcW w:w="1159" w:type="dxa"/>
            <w:shd w:val="clear" w:color="auto" w:fill="auto"/>
            <w:vAlign w:val="center"/>
          </w:tcPr>
          <w:p w14:paraId="1BDA3687" w14:textId="77777777" w:rsidR="002818E6" w:rsidRPr="00DC36AE" w:rsidRDefault="002818E6" w:rsidP="0099524E">
            <w:pPr>
              <w:spacing w:after="0"/>
              <w:jc w:val="center"/>
              <w:rPr>
                <w:rFonts w:eastAsia="Times New Roman" w:cs="Times New Roman"/>
                <w:color w:val="000000"/>
                <w:sz w:val="18"/>
                <w:szCs w:val="18"/>
              </w:rPr>
            </w:pPr>
          </w:p>
        </w:tc>
        <w:tc>
          <w:tcPr>
            <w:tcW w:w="1060" w:type="dxa"/>
            <w:shd w:val="clear" w:color="auto" w:fill="auto"/>
            <w:vAlign w:val="center"/>
          </w:tcPr>
          <w:p w14:paraId="1D6A9BE2" w14:textId="77777777" w:rsidR="002818E6" w:rsidRPr="00DC36AE" w:rsidRDefault="002818E6" w:rsidP="0099524E">
            <w:pPr>
              <w:spacing w:after="0"/>
              <w:jc w:val="center"/>
              <w:rPr>
                <w:rFonts w:eastAsia="Times New Roman" w:cs="Times New Roman"/>
                <w:color w:val="000000"/>
                <w:sz w:val="18"/>
                <w:szCs w:val="18"/>
              </w:rPr>
            </w:pPr>
          </w:p>
        </w:tc>
        <w:tc>
          <w:tcPr>
            <w:tcW w:w="939" w:type="dxa"/>
            <w:shd w:val="clear" w:color="auto" w:fill="auto"/>
            <w:vAlign w:val="center"/>
          </w:tcPr>
          <w:p w14:paraId="1DEAE17B"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tcPr>
          <w:p w14:paraId="56D8DDE2"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tcPr>
          <w:p w14:paraId="58C51BC4"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tcPr>
          <w:p w14:paraId="1CC700ED"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1CA86AA8" w14:textId="77777777" w:rsidTr="0099524E">
        <w:trPr>
          <w:trHeight w:val="315"/>
        </w:trPr>
        <w:tc>
          <w:tcPr>
            <w:tcW w:w="2381" w:type="dxa"/>
            <w:shd w:val="clear" w:color="auto" w:fill="auto"/>
            <w:vAlign w:val="center"/>
            <w:hideMark/>
          </w:tcPr>
          <w:p w14:paraId="2A1DB0E6"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IV anorexigen-induced</w:t>
            </w:r>
          </w:p>
        </w:tc>
        <w:tc>
          <w:tcPr>
            <w:tcW w:w="905" w:type="dxa"/>
            <w:shd w:val="clear" w:color="auto" w:fill="auto"/>
            <w:vAlign w:val="center"/>
            <w:hideMark/>
          </w:tcPr>
          <w:p w14:paraId="5018388D"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4C3E60A0"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100DA714"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76CF72A5"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0F6E0F9E"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0C59D4A0"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287" w:type="dxa"/>
            <w:shd w:val="clear" w:color="auto" w:fill="auto"/>
            <w:vAlign w:val="center"/>
            <w:hideMark/>
          </w:tcPr>
          <w:p w14:paraId="6D3EC8C0"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r>
      <w:tr w:rsidR="002818E6" w:rsidRPr="00DC36AE" w14:paraId="20B6BCB4" w14:textId="77777777" w:rsidTr="0099524E">
        <w:trPr>
          <w:trHeight w:val="315"/>
        </w:trPr>
        <w:tc>
          <w:tcPr>
            <w:tcW w:w="2381" w:type="dxa"/>
            <w:shd w:val="clear" w:color="auto" w:fill="auto"/>
            <w:vAlign w:val="center"/>
            <w:hideMark/>
          </w:tcPr>
          <w:p w14:paraId="04108115"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IV drug-induced</w:t>
            </w:r>
          </w:p>
        </w:tc>
        <w:tc>
          <w:tcPr>
            <w:tcW w:w="905" w:type="dxa"/>
            <w:shd w:val="clear" w:color="auto" w:fill="auto"/>
            <w:vAlign w:val="center"/>
            <w:hideMark/>
          </w:tcPr>
          <w:p w14:paraId="0834B223" w14:textId="77777777" w:rsidR="002818E6" w:rsidRPr="00DC36AE" w:rsidRDefault="002818E6" w:rsidP="0099524E">
            <w:pPr>
              <w:spacing w:after="0"/>
              <w:jc w:val="center"/>
              <w:rPr>
                <w:rFonts w:eastAsia="Times New Roman" w:cs="Times New Roman"/>
                <w:color w:val="000000"/>
                <w:sz w:val="18"/>
                <w:szCs w:val="18"/>
              </w:rPr>
            </w:pPr>
          </w:p>
        </w:tc>
        <w:tc>
          <w:tcPr>
            <w:tcW w:w="1159" w:type="dxa"/>
            <w:shd w:val="clear" w:color="auto" w:fill="auto"/>
            <w:vAlign w:val="center"/>
            <w:hideMark/>
          </w:tcPr>
          <w:p w14:paraId="68A2A255" w14:textId="77777777" w:rsidR="002818E6" w:rsidRPr="00DC36AE" w:rsidRDefault="002818E6" w:rsidP="0099524E">
            <w:pPr>
              <w:spacing w:after="0"/>
              <w:jc w:val="center"/>
              <w:rPr>
                <w:rFonts w:eastAsia="Times New Roman" w:cs="Times New Roman"/>
                <w:color w:val="000000"/>
                <w:sz w:val="18"/>
                <w:szCs w:val="18"/>
              </w:rPr>
            </w:pPr>
          </w:p>
        </w:tc>
        <w:tc>
          <w:tcPr>
            <w:tcW w:w="1060" w:type="dxa"/>
            <w:shd w:val="clear" w:color="auto" w:fill="auto"/>
            <w:vAlign w:val="center"/>
            <w:hideMark/>
          </w:tcPr>
          <w:p w14:paraId="423A8ADE" w14:textId="77777777" w:rsidR="002818E6" w:rsidRPr="00DC36AE" w:rsidRDefault="002818E6" w:rsidP="0099524E">
            <w:pPr>
              <w:spacing w:after="0"/>
              <w:jc w:val="center"/>
              <w:rPr>
                <w:rFonts w:eastAsia="Times New Roman" w:cs="Times New Roman"/>
                <w:color w:val="000000"/>
                <w:sz w:val="18"/>
                <w:szCs w:val="18"/>
              </w:rPr>
            </w:pPr>
          </w:p>
        </w:tc>
        <w:tc>
          <w:tcPr>
            <w:tcW w:w="939" w:type="dxa"/>
            <w:shd w:val="clear" w:color="auto" w:fill="auto"/>
            <w:vAlign w:val="center"/>
            <w:hideMark/>
          </w:tcPr>
          <w:p w14:paraId="5AEE4761"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02354130"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501285F5"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287" w:type="dxa"/>
            <w:shd w:val="clear" w:color="auto" w:fill="auto"/>
            <w:vAlign w:val="center"/>
            <w:hideMark/>
          </w:tcPr>
          <w:p w14:paraId="71A9F8B2" w14:textId="77777777" w:rsidR="002818E6" w:rsidRPr="00DC36AE" w:rsidRDefault="002818E6" w:rsidP="0099524E">
            <w:pPr>
              <w:spacing w:after="0"/>
              <w:jc w:val="center"/>
              <w:rPr>
                <w:rFonts w:eastAsia="Times New Roman" w:cs="Times New Roman"/>
                <w:color w:val="000000"/>
                <w:sz w:val="18"/>
                <w:szCs w:val="18"/>
              </w:rPr>
            </w:pPr>
          </w:p>
        </w:tc>
      </w:tr>
      <w:tr w:rsidR="002818E6" w:rsidRPr="00DC36AE" w14:paraId="71B43540" w14:textId="77777777" w:rsidTr="0099524E">
        <w:trPr>
          <w:trHeight w:val="315"/>
        </w:trPr>
        <w:tc>
          <w:tcPr>
            <w:tcW w:w="2381" w:type="dxa"/>
            <w:shd w:val="clear" w:color="auto" w:fill="auto"/>
            <w:vAlign w:val="center"/>
            <w:hideMark/>
          </w:tcPr>
          <w:p w14:paraId="1D71F86B"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IV hereditable</w:t>
            </w:r>
          </w:p>
        </w:tc>
        <w:tc>
          <w:tcPr>
            <w:tcW w:w="905" w:type="dxa"/>
            <w:shd w:val="clear" w:color="auto" w:fill="auto"/>
            <w:vAlign w:val="center"/>
            <w:hideMark/>
          </w:tcPr>
          <w:p w14:paraId="3853EF19"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07085DD7"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6704A6B8"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387CC1BA"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2520D117"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770234FF"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287" w:type="dxa"/>
            <w:shd w:val="clear" w:color="auto" w:fill="auto"/>
            <w:vAlign w:val="center"/>
            <w:hideMark/>
          </w:tcPr>
          <w:p w14:paraId="2AB80C14"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r>
      <w:tr w:rsidR="002818E6" w:rsidRPr="00DC36AE" w14:paraId="080B4DB4" w14:textId="77777777" w:rsidTr="0099524E">
        <w:trPr>
          <w:trHeight w:val="315"/>
        </w:trPr>
        <w:tc>
          <w:tcPr>
            <w:tcW w:w="2381" w:type="dxa"/>
            <w:shd w:val="clear" w:color="auto" w:fill="auto"/>
            <w:vAlign w:val="center"/>
            <w:hideMark/>
          </w:tcPr>
          <w:p w14:paraId="296BDE39"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IV secondary to connective tissue disease</w:t>
            </w:r>
          </w:p>
        </w:tc>
        <w:tc>
          <w:tcPr>
            <w:tcW w:w="905" w:type="dxa"/>
            <w:shd w:val="clear" w:color="auto" w:fill="auto"/>
            <w:vAlign w:val="center"/>
            <w:hideMark/>
          </w:tcPr>
          <w:p w14:paraId="2A3901DB"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6808FD88"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060" w:type="dxa"/>
            <w:shd w:val="clear" w:color="auto" w:fill="auto"/>
            <w:vAlign w:val="center"/>
            <w:hideMark/>
          </w:tcPr>
          <w:p w14:paraId="3BF3357B"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7C5778CF"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42C2A831"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40BB378B"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287" w:type="dxa"/>
            <w:shd w:val="clear" w:color="auto" w:fill="auto"/>
            <w:vAlign w:val="center"/>
            <w:hideMark/>
          </w:tcPr>
          <w:p w14:paraId="694E9DDE"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r>
      <w:tr w:rsidR="002818E6" w:rsidRPr="00DC36AE" w14:paraId="50032F2B" w14:textId="77777777" w:rsidTr="0099524E">
        <w:trPr>
          <w:trHeight w:val="315"/>
        </w:trPr>
        <w:tc>
          <w:tcPr>
            <w:tcW w:w="2381" w:type="dxa"/>
            <w:shd w:val="clear" w:color="auto" w:fill="auto"/>
            <w:noWrap/>
            <w:vAlign w:val="center"/>
            <w:hideMark/>
          </w:tcPr>
          <w:p w14:paraId="34B0B620" w14:textId="77777777" w:rsidR="002818E6" w:rsidRPr="00DC36AE" w:rsidRDefault="002818E6" w:rsidP="0099524E">
            <w:pPr>
              <w:spacing w:after="0"/>
              <w:rPr>
                <w:rFonts w:eastAsia="Times New Roman" w:cs="Times New Roman"/>
                <w:color w:val="000000"/>
                <w:sz w:val="18"/>
                <w:szCs w:val="18"/>
              </w:rPr>
            </w:pPr>
            <w:r w:rsidRPr="00DC36AE">
              <w:rPr>
                <w:rFonts w:eastAsia="Times New Roman" w:cs="Times New Roman"/>
                <w:color w:val="000000"/>
                <w:sz w:val="18"/>
                <w:szCs w:val="18"/>
              </w:rPr>
              <w:t>Class III or IV congenital systemic-to-pulmonary shunt</w:t>
            </w:r>
          </w:p>
        </w:tc>
        <w:tc>
          <w:tcPr>
            <w:tcW w:w="905" w:type="dxa"/>
            <w:shd w:val="clear" w:color="auto" w:fill="auto"/>
            <w:vAlign w:val="center"/>
            <w:hideMark/>
          </w:tcPr>
          <w:p w14:paraId="7A47CB41"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1159" w:type="dxa"/>
            <w:shd w:val="clear" w:color="auto" w:fill="auto"/>
            <w:vAlign w:val="center"/>
            <w:hideMark/>
          </w:tcPr>
          <w:p w14:paraId="2F4D7074" w14:textId="77777777" w:rsidR="002818E6" w:rsidRPr="00DC36AE" w:rsidRDefault="002818E6" w:rsidP="0099524E">
            <w:pPr>
              <w:spacing w:after="0"/>
              <w:jc w:val="center"/>
              <w:rPr>
                <w:rFonts w:eastAsia="Times New Roman" w:cs="Times New Roman"/>
                <w:color w:val="000000"/>
                <w:sz w:val="18"/>
                <w:szCs w:val="18"/>
              </w:rPr>
            </w:pPr>
          </w:p>
        </w:tc>
        <w:tc>
          <w:tcPr>
            <w:tcW w:w="1060" w:type="dxa"/>
            <w:shd w:val="clear" w:color="auto" w:fill="auto"/>
            <w:vAlign w:val="center"/>
            <w:hideMark/>
          </w:tcPr>
          <w:p w14:paraId="48DFE4F0" w14:textId="77777777" w:rsidR="002818E6" w:rsidRPr="00DC36AE" w:rsidRDefault="002818E6" w:rsidP="0099524E">
            <w:pPr>
              <w:spacing w:after="0"/>
              <w:jc w:val="center"/>
              <w:rPr>
                <w:rFonts w:eastAsia="Times New Roman" w:cs="Times New Roman"/>
                <w:color w:val="000000"/>
                <w:sz w:val="18"/>
                <w:szCs w:val="18"/>
              </w:rPr>
            </w:pPr>
            <w:r w:rsidRPr="00DC36AE">
              <w:rPr>
                <w:rFonts w:eastAsia="Times New Roman" w:cs="Times New Roman"/>
                <w:color w:val="000000"/>
                <w:sz w:val="18"/>
                <w:szCs w:val="18"/>
              </w:rPr>
              <w:sym w:font="Wingdings 2" w:char="F050"/>
            </w:r>
          </w:p>
        </w:tc>
        <w:tc>
          <w:tcPr>
            <w:tcW w:w="939" w:type="dxa"/>
            <w:shd w:val="clear" w:color="auto" w:fill="auto"/>
            <w:vAlign w:val="center"/>
            <w:hideMark/>
          </w:tcPr>
          <w:p w14:paraId="505E9A03" w14:textId="77777777" w:rsidR="002818E6" w:rsidRPr="00DC36AE" w:rsidRDefault="002818E6" w:rsidP="0099524E">
            <w:pPr>
              <w:spacing w:after="0"/>
              <w:jc w:val="center"/>
              <w:rPr>
                <w:rFonts w:eastAsia="Times New Roman" w:cs="Times New Roman"/>
                <w:color w:val="000000"/>
                <w:sz w:val="18"/>
                <w:szCs w:val="18"/>
              </w:rPr>
            </w:pPr>
          </w:p>
        </w:tc>
        <w:tc>
          <w:tcPr>
            <w:tcW w:w="836" w:type="dxa"/>
            <w:shd w:val="clear" w:color="auto" w:fill="auto"/>
            <w:vAlign w:val="center"/>
            <w:hideMark/>
          </w:tcPr>
          <w:p w14:paraId="58474239" w14:textId="77777777" w:rsidR="002818E6" w:rsidRPr="00DC36AE" w:rsidRDefault="002818E6" w:rsidP="0099524E">
            <w:pPr>
              <w:spacing w:after="0"/>
              <w:jc w:val="center"/>
              <w:rPr>
                <w:rFonts w:eastAsia="Times New Roman" w:cs="Times New Roman"/>
                <w:color w:val="000000"/>
                <w:sz w:val="18"/>
                <w:szCs w:val="18"/>
              </w:rPr>
            </w:pPr>
          </w:p>
        </w:tc>
        <w:tc>
          <w:tcPr>
            <w:tcW w:w="781" w:type="dxa"/>
            <w:shd w:val="clear" w:color="auto" w:fill="auto"/>
            <w:vAlign w:val="center"/>
            <w:hideMark/>
          </w:tcPr>
          <w:p w14:paraId="40C47C71" w14:textId="77777777" w:rsidR="002818E6" w:rsidRPr="00DC36AE" w:rsidRDefault="002818E6" w:rsidP="0099524E">
            <w:pPr>
              <w:spacing w:after="0"/>
              <w:jc w:val="center"/>
              <w:rPr>
                <w:rFonts w:eastAsia="Times New Roman" w:cs="Times New Roman"/>
                <w:color w:val="000000"/>
                <w:sz w:val="18"/>
                <w:szCs w:val="18"/>
              </w:rPr>
            </w:pPr>
          </w:p>
        </w:tc>
        <w:tc>
          <w:tcPr>
            <w:tcW w:w="1287" w:type="dxa"/>
            <w:shd w:val="clear" w:color="auto" w:fill="auto"/>
            <w:vAlign w:val="center"/>
            <w:hideMark/>
          </w:tcPr>
          <w:p w14:paraId="4CE6DEEE" w14:textId="77777777" w:rsidR="002818E6" w:rsidRPr="00DC36AE" w:rsidRDefault="002818E6" w:rsidP="0099524E">
            <w:pPr>
              <w:spacing w:after="0"/>
              <w:jc w:val="center"/>
              <w:rPr>
                <w:rFonts w:eastAsia="Times New Roman" w:cs="Times New Roman"/>
                <w:color w:val="000000"/>
                <w:sz w:val="18"/>
                <w:szCs w:val="18"/>
              </w:rPr>
            </w:pPr>
          </w:p>
        </w:tc>
      </w:tr>
    </w:tbl>
    <w:p w14:paraId="2535753E" w14:textId="77777777" w:rsidR="002818E6" w:rsidRDefault="002818E6" w:rsidP="002818E6"/>
    <w:p w14:paraId="0EDF7F3A" w14:textId="77777777" w:rsidR="002818E6" w:rsidRDefault="002818E6" w:rsidP="002818E6">
      <w:r w:rsidRPr="00262CEB">
        <w:t>Figure 1 shows a schematic summary of the PBS restriction for patients initiating PAH therapy.</w:t>
      </w:r>
      <w:r w:rsidRPr="00AF1E66">
        <w:t xml:space="preserve"> </w:t>
      </w:r>
    </w:p>
    <w:p w14:paraId="2F209449" w14:textId="52C24317" w:rsidR="002818E6" w:rsidRDefault="002818E6" w:rsidP="002818E6">
      <w:r>
        <w:t>The original restrictions of the above drugs (excluding macitentan) referred to “primary pulmonary hypertension”, “p</w:t>
      </w:r>
      <w:r w:rsidRPr="00AF3D16">
        <w:t>ulmonary arterial hypertension secondary to connective tissue disease</w:t>
      </w:r>
      <w:r>
        <w:t>” and “pulmonary arterial hypertension associated with a congenital systemic-to-</w:t>
      </w:r>
      <w:r>
        <w:lastRenderedPageBreak/>
        <w:t>pulmonary shunt (including Eisenmenger's physiology)”. The terminology and restrictions were updated from 1 August 2014 following a request from the Pulmonary Hypertension Society of Australia and New Zealand (PHSANZ</w:t>
      </w:r>
      <w:r w:rsidR="00A52D4B">
        <w:t>)</w:t>
      </w:r>
      <w:r>
        <w:t>:</w:t>
      </w:r>
    </w:p>
    <w:p w14:paraId="0FE5818D" w14:textId="77777777" w:rsidR="002818E6" w:rsidRPr="00CA054F" w:rsidRDefault="002818E6" w:rsidP="002818E6">
      <w:pPr>
        <w:pStyle w:val="ListParagraph"/>
        <w:numPr>
          <w:ilvl w:val="0"/>
          <w:numId w:val="4"/>
        </w:numPr>
        <w:spacing w:after="0"/>
      </w:pPr>
      <w:r>
        <w:t>T</w:t>
      </w:r>
      <w:r w:rsidRPr="00CA054F">
        <w:t>he existing single term "Primary Pulmonary Hypertension" was replaced by the terms "Idiopathic Pulmonary Arterial Hypertension (iPAH), anorexigen- induced PAH and hereditable PAH".</w:t>
      </w:r>
    </w:p>
    <w:p w14:paraId="72A7A735" w14:textId="77777777" w:rsidR="002818E6" w:rsidRPr="00CA054F" w:rsidRDefault="002818E6" w:rsidP="002818E6">
      <w:pPr>
        <w:pStyle w:val="ListParagraph"/>
        <w:numPr>
          <w:ilvl w:val="0"/>
          <w:numId w:val="4"/>
        </w:numPr>
        <w:spacing w:after="0"/>
      </w:pPr>
      <w:r>
        <w:t>The term "</w:t>
      </w:r>
      <w:r w:rsidRPr="00CA054F">
        <w:t>pulmonary capillary wedge pressure (PCWP)" was</w:t>
      </w:r>
      <w:r>
        <w:t xml:space="preserve"> replaced by "</w:t>
      </w:r>
      <w:r w:rsidRPr="00CA054F">
        <w:t>Pulmonary Artery Wedge Pressure" and the cut-point for this parameter was lowered from &lt;18mmHg to &lt;15mmHg to comply with International Guidelines.</w:t>
      </w:r>
    </w:p>
    <w:p w14:paraId="24C683CF" w14:textId="77777777" w:rsidR="002818E6" w:rsidRPr="00CA054F" w:rsidRDefault="002818E6" w:rsidP="002818E6">
      <w:pPr>
        <w:pStyle w:val="ListParagraph"/>
        <w:numPr>
          <w:ilvl w:val="0"/>
          <w:numId w:val="4"/>
        </w:numPr>
      </w:pPr>
      <w:r>
        <w:t>T</w:t>
      </w:r>
      <w:r w:rsidRPr="00CA054F">
        <w:t>he reference to a mPAP &gt;30mmHg on exercise was removed as part of the definition of Pulmonary Hypertension</w:t>
      </w:r>
    </w:p>
    <w:p w14:paraId="6EBB50B9" w14:textId="77777777" w:rsidR="002818E6" w:rsidRDefault="002818E6" w:rsidP="002818E6">
      <w:r>
        <w:t>In line with the current restriction, this report does not use the term “primary pulmonary h</w:t>
      </w:r>
      <w:r w:rsidRPr="00CA054F">
        <w:t>ypertension</w:t>
      </w:r>
      <w:r>
        <w:t xml:space="preserve">”, except in the “Relevant aspects of PBAC considerations” section which refers to the PBAC recommendations using the terminology current at the time and in the TGA approved indication section in cases where this terminology remains in the Product Information. </w:t>
      </w:r>
    </w:p>
    <w:p w14:paraId="22709C10" w14:textId="63D6598D" w:rsidR="0016481A" w:rsidRDefault="0016481A" w:rsidP="002818E6">
      <w:r>
        <w:t xml:space="preserve">The </w:t>
      </w:r>
      <w:r w:rsidR="00BF3805">
        <w:t xml:space="preserve">DHS </w:t>
      </w:r>
      <w:r>
        <w:t xml:space="preserve">initial and continuing written </w:t>
      </w:r>
      <w:r w:rsidR="00BF3805">
        <w:t>authority application supporting information</w:t>
      </w:r>
      <w:r w:rsidR="00BF3805" w:rsidRPr="00BF3805">
        <w:t xml:space="preserve"> </w:t>
      </w:r>
      <w:r w:rsidR="00BF3805">
        <w:t xml:space="preserve">forms, which are based on the PBS restriction, </w:t>
      </w:r>
      <w:r>
        <w:t>are useful for understanding the PBS restriction. These can be downloaded from the DHS website (</w:t>
      </w:r>
      <w:hyperlink r:id="rId13" w:history="1">
        <w:r w:rsidRPr="0016481A">
          <w:rPr>
            <w:rStyle w:val="Hyperlink"/>
          </w:rPr>
          <w:t>Initial authority</w:t>
        </w:r>
      </w:hyperlink>
      <w:r>
        <w:t xml:space="preserve">, </w:t>
      </w:r>
      <w:hyperlink r:id="rId14" w:history="1">
        <w:r w:rsidRPr="0016481A">
          <w:rPr>
            <w:rStyle w:val="Hyperlink"/>
          </w:rPr>
          <w:t>Continuing authority</w:t>
        </w:r>
      </w:hyperlink>
      <w:r>
        <w:t>).</w:t>
      </w:r>
    </w:p>
    <w:p w14:paraId="4BD854D1" w14:textId="758F4FF3" w:rsidR="002818E6" w:rsidRDefault="002818E6" w:rsidP="002818E6">
      <w:r w:rsidRPr="00F336D1">
        <w:t>The complete PBS listings (restrictions and item codes</w:t>
      </w:r>
      <w:r w:rsidR="00E3006F">
        <w:t>)</w:t>
      </w:r>
      <w:r w:rsidRPr="00F336D1">
        <w:t xml:space="preserve"> for </w:t>
      </w:r>
      <w:r>
        <w:t>the medicines used to the treat PAH</w:t>
      </w:r>
      <w:r w:rsidRPr="00F336D1">
        <w:t xml:space="preserve"> </w:t>
      </w:r>
      <w:r>
        <w:t xml:space="preserve">can be accessed </w:t>
      </w:r>
      <w:r w:rsidR="004A1830">
        <w:t xml:space="preserve">from </w:t>
      </w:r>
      <w:hyperlink r:id="rId15" w:history="1">
        <w:r w:rsidR="00AD229D" w:rsidRPr="00AD229D">
          <w:rPr>
            <w:rStyle w:val="Hyperlink"/>
          </w:rPr>
          <w:t>the PBS website</w:t>
        </w:r>
      </w:hyperlink>
      <w:r w:rsidR="00E70F7B">
        <w:t>.</w:t>
      </w:r>
      <w:r w:rsidR="00557F90" w:rsidDel="00557F90">
        <w:t xml:space="preserve"> </w:t>
      </w:r>
      <w:r>
        <w:br/>
      </w:r>
    </w:p>
    <w:p w14:paraId="4AB80A65" w14:textId="19780B2A" w:rsidR="00600A37" w:rsidRDefault="00600A37" w:rsidP="00600A37">
      <w:r w:rsidRPr="00600A37">
        <w:t>Figure 1</w:t>
      </w:r>
      <w:r>
        <w:t xml:space="preserve"> provides a summary of the </w:t>
      </w:r>
      <w:r w:rsidRPr="00600A37">
        <w:t>PBS restriction for patients initiating PAH therapy</w:t>
      </w:r>
      <w:r>
        <w:t>.</w:t>
      </w:r>
    </w:p>
    <w:p w14:paraId="6129974F" w14:textId="77777777" w:rsidR="00262CEB" w:rsidRPr="00675BB1" w:rsidRDefault="00262CEB" w:rsidP="00262CEB">
      <w:pPr>
        <w:pStyle w:val="Heading5"/>
      </w:pPr>
      <w:r w:rsidRPr="00675BB1">
        <w:t>Date of listing on PBS</w:t>
      </w:r>
    </w:p>
    <w:p w14:paraId="453ABD1A" w14:textId="02D0F391" w:rsidR="002818E6" w:rsidRDefault="004402EE" w:rsidP="00262CEB">
      <w:pPr>
        <w:shd w:val="clear" w:color="auto" w:fill="FFFFFF" w:themeFill="background1"/>
      </w:pPr>
      <w:r>
        <w:t>Appendix C</w:t>
      </w:r>
      <w:r w:rsidR="002818E6" w:rsidRPr="00262CEB">
        <w:t xml:space="preserve"> summarises the listing history for the PAH PBS items.</w:t>
      </w:r>
    </w:p>
    <w:p w14:paraId="18C22A1B" w14:textId="77777777" w:rsidR="00262CEB" w:rsidRDefault="00262CEB">
      <w:pPr>
        <w:spacing w:line="276" w:lineRule="auto"/>
        <w:sectPr w:rsidR="00262CEB" w:rsidSect="004E1C05">
          <w:headerReference w:type="even" r:id="rId16"/>
          <w:headerReference w:type="default" r:id="rId17"/>
          <w:footerReference w:type="even" r:id="rId18"/>
          <w:footerReference w:type="default" r:id="rId19"/>
          <w:headerReference w:type="first" r:id="rId20"/>
          <w:footerReference w:type="first" r:id="rId21"/>
          <w:pgSz w:w="11906" w:h="16838" w:code="9"/>
          <w:pgMar w:top="1644" w:right="1361" w:bottom="1644" w:left="1588" w:header="709" w:footer="709" w:gutter="0"/>
          <w:cols w:space="708"/>
          <w:docGrid w:linePitch="360"/>
        </w:sectPr>
      </w:pPr>
    </w:p>
    <w:p w14:paraId="6BD610CB" w14:textId="77777777" w:rsidR="00262CEB" w:rsidRDefault="00262CEB" w:rsidP="00262CEB">
      <w:pPr>
        <w:rPr>
          <w:b/>
        </w:rPr>
      </w:pPr>
      <w:r w:rsidRPr="00F313AA">
        <w:rPr>
          <w:noProof/>
        </w:rPr>
        <w:lastRenderedPageBreak/>
        <w:drawing>
          <wp:inline distT="0" distB="0" distL="0" distR="0" wp14:anchorId="495CC1DB" wp14:editId="5DA1C9FE">
            <wp:extent cx="9450070" cy="5002560"/>
            <wp:effectExtent l="0" t="0" r="0" b="7620"/>
            <wp:docPr id="13" name="Picture 13" title="Figure 1: PBS restriction summary for patients initiating PAH thera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450070" cy="5002560"/>
                    </a:xfrm>
                    <a:prstGeom prst="rect">
                      <a:avLst/>
                    </a:prstGeom>
                    <a:noFill/>
                    <a:ln>
                      <a:noFill/>
                    </a:ln>
                  </pic:spPr>
                </pic:pic>
              </a:graphicData>
            </a:graphic>
          </wp:inline>
        </w:drawing>
      </w:r>
    </w:p>
    <w:p w14:paraId="0E4F2FED" w14:textId="77777777" w:rsidR="00262CEB" w:rsidRDefault="00262CEB" w:rsidP="00262CEB">
      <w:pPr>
        <w:spacing w:line="276" w:lineRule="auto"/>
        <w:rPr>
          <w:rFonts w:cs="Arial"/>
          <w:b/>
          <w:bCs/>
        </w:rPr>
      </w:pPr>
      <w:r w:rsidRPr="004A11F0">
        <w:rPr>
          <w:rFonts w:cs="Arial"/>
          <w:b/>
        </w:rPr>
        <w:t xml:space="preserve">Figure </w:t>
      </w:r>
      <w:r>
        <w:rPr>
          <w:rFonts w:cs="Arial"/>
          <w:b/>
        </w:rPr>
        <w:t>1: PBS restriction summary for p</w:t>
      </w:r>
      <w:r w:rsidRPr="00683F1D">
        <w:rPr>
          <w:rFonts w:cs="Arial"/>
          <w:b/>
          <w:bCs/>
        </w:rPr>
        <w:t>atients</w:t>
      </w:r>
      <w:r>
        <w:rPr>
          <w:rFonts w:cs="Arial"/>
          <w:b/>
          <w:bCs/>
        </w:rPr>
        <w:t xml:space="preserve"> </w:t>
      </w:r>
      <w:r w:rsidRPr="00683F1D">
        <w:rPr>
          <w:rFonts w:cs="Arial"/>
          <w:b/>
          <w:bCs/>
        </w:rPr>
        <w:t xml:space="preserve">initiating </w:t>
      </w:r>
      <w:r>
        <w:rPr>
          <w:rFonts w:cs="Arial"/>
          <w:b/>
          <w:bCs/>
        </w:rPr>
        <w:t>PAH therapy</w:t>
      </w:r>
    </w:p>
    <w:p w14:paraId="0EEE4FAC" w14:textId="77777777" w:rsidR="00262CEB" w:rsidRDefault="00262CEB" w:rsidP="00262CEB">
      <w:pPr>
        <w:spacing w:line="276" w:lineRule="auto"/>
        <w:rPr>
          <w:rFonts w:ascii="Calibri" w:eastAsia="MS Gothic" w:hAnsi="Calibri" w:cs="Times New Roman"/>
          <w:b/>
          <w:bCs/>
          <w:iCs/>
        </w:rPr>
      </w:pPr>
    </w:p>
    <w:p w14:paraId="67733247" w14:textId="77777777" w:rsidR="00262CEB" w:rsidRDefault="00262CEB" w:rsidP="00262CEB">
      <w:pPr>
        <w:spacing w:line="276" w:lineRule="auto"/>
        <w:rPr>
          <w:rFonts w:ascii="Calibri" w:eastAsia="MS Gothic" w:hAnsi="Calibri" w:cs="Times New Roman"/>
          <w:b/>
          <w:bCs/>
          <w:iCs/>
        </w:rPr>
        <w:sectPr w:rsidR="00262CEB" w:rsidSect="0099524E">
          <w:pgSz w:w="16838" w:h="11906" w:orient="landscape" w:code="9"/>
          <w:pgMar w:top="1134" w:right="964" w:bottom="992" w:left="992" w:header="425" w:footer="244" w:gutter="0"/>
          <w:cols w:space="708"/>
          <w:docGrid w:linePitch="360"/>
        </w:sectPr>
      </w:pPr>
    </w:p>
    <w:p w14:paraId="383E312E" w14:textId="64063D2E" w:rsidR="00736041" w:rsidRPr="006C4620" w:rsidRDefault="00C41246" w:rsidP="00852A4C">
      <w:pPr>
        <w:pStyle w:val="Heading4"/>
      </w:pPr>
      <w:r w:rsidRPr="006C4620">
        <w:lastRenderedPageBreak/>
        <w:t xml:space="preserve">Relevant aspects of </w:t>
      </w:r>
      <w:r w:rsidR="0063021F" w:rsidRPr="006C4620">
        <w:t xml:space="preserve">the PBAC </w:t>
      </w:r>
      <w:r w:rsidR="00736041" w:rsidRPr="006C4620">
        <w:t>consideration</w:t>
      </w:r>
    </w:p>
    <w:p w14:paraId="74094C97" w14:textId="55AD2779" w:rsidR="00262CEB" w:rsidRDefault="00262CEB" w:rsidP="00262CEB">
      <w:r>
        <w:t>T</w:t>
      </w:r>
      <w:r w:rsidRPr="009E7E70">
        <w:t xml:space="preserve">able </w:t>
      </w:r>
      <w:r>
        <w:t xml:space="preserve">2 </w:t>
      </w:r>
      <w:r w:rsidRPr="009E7E70">
        <w:t xml:space="preserve">provides a chronological summary of PBAC recommendations for PAH medicines.  </w:t>
      </w:r>
      <w:r>
        <w:t>Briefly, b</w:t>
      </w:r>
      <w:r w:rsidRPr="009E7E70">
        <w:t xml:space="preserve">osentan was the first medicine listed and this was on a cost-effectiveness basis compared with </w:t>
      </w:r>
      <w:r>
        <w:t>standard care, which included the use of supplemental oxygen, digitalis, diuretics, vasodilators, anticoagulants, or lung transplantation and repair</w:t>
      </w:r>
      <w:r w:rsidRPr="009E7E70">
        <w:t>. All medicines since have been recommended on a cost-</w:t>
      </w:r>
      <w:r w:rsidRPr="00852B53">
        <w:t>minimisation</w:t>
      </w:r>
      <w:r w:rsidRPr="009E7E70">
        <w:t xml:space="preserve"> basis </w:t>
      </w:r>
      <w:r>
        <w:t>to bosentan, except t</w:t>
      </w:r>
      <w:r w:rsidRPr="00397107">
        <w:t>adalafil</w:t>
      </w:r>
      <w:r>
        <w:t>, which was cost-minimised to sildenafil and r</w:t>
      </w:r>
      <w:r w:rsidRPr="00397107">
        <w:t>iociguat</w:t>
      </w:r>
      <w:r>
        <w:t xml:space="preserve"> (recommended but not yet listed</w:t>
      </w:r>
      <w:r w:rsidR="006A2270">
        <w:t xml:space="preserve"> </w:t>
      </w:r>
      <w:r w:rsidR="005573ED">
        <w:t xml:space="preserve">as </w:t>
      </w:r>
      <w:r w:rsidR="006A2270">
        <w:t xml:space="preserve">at </w:t>
      </w:r>
      <w:r w:rsidR="005573ED">
        <w:t>1 November 2014</w:t>
      </w:r>
      <w:r>
        <w:t xml:space="preserve">) which was </w:t>
      </w:r>
      <w:r w:rsidRPr="00397107">
        <w:t>cost minimis</w:t>
      </w:r>
      <w:r>
        <w:t xml:space="preserve">ed to </w:t>
      </w:r>
      <w:r w:rsidRPr="00397107">
        <w:t>a mixed comparator of bosentan and sildenafil</w:t>
      </w:r>
      <w:r>
        <w:t>.</w:t>
      </w:r>
      <w:r w:rsidRPr="009E7E70">
        <w:t xml:space="preserve"> </w:t>
      </w:r>
      <w:r w:rsidR="00EB5EBF">
        <w:t>For f</w:t>
      </w:r>
      <w:r w:rsidRPr="009E7E70">
        <w:t>urther detail</w:t>
      </w:r>
      <w:r w:rsidR="00EB5EBF">
        <w:t xml:space="preserve"> refer to the </w:t>
      </w:r>
      <w:hyperlink r:id="rId23" w:history="1">
        <w:r w:rsidR="00EB5EBF" w:rsidRPr="00EB5EBF">
          <w:rPr>
            <w:rStyle w:val="Hyperlink"/>
          </w:rPr>
          <w:t>Public Summary Documents</w:t>
        </w:r>
      </w:hyperlink>
      <w:r w:rsidR="00EB5EBF">
        <w:t>.</w:t>
      </w:r>
    </w:p>
    <w:p w14:paraId="23CC2455" w14:textId="6ED03196" w:rsidR="00262CEB" w:rsidRPr="00594679" w:rsidRDefault="00262CEB" w:rsidP="00262CEB">
      <w:pPr>
        <w:rPr>
          <w:b/>
        </w:rPr>
      </w:pPr>
      <w:r w:rsidRPr="00594679">
        <w:rPr>
          <w:b/>
        </w:rPr>
        <w:t xml:space="preserve">Table </w:t>
      </w:r>
      <w:r>
        <w:rPr>
          <w:b/>
        </w:rPr>
        <w:t>2</w:t>
      </w:r>
      <w:r w:rsidRPr="00594679">
        <w:rPr>
          <w:b/>
        </w:rPr>
        <w:t>: Summary of PB</w:t>
      </w:r>
      <w:r w:rsidR="003E3586">
        <w:rPr>
          <w:b/>
        </w:rPr>
        <w:t>AC</w:t>
      </w:r>
      <w:r w:rsidRPr="00594679">
        <w:rPr>
          <w:b/>
        </w:rPr>
        <w:t xml:space="preserve"> </w:t>
      </w:r>
      <w:r>
        <w:rPr>
          <w:b/>
        </w:rPr>
        <w:t xml:space="preserve">considerations </w:t>
      </w:r>
      <w:r w:rsidRPr="00594679">
        <w:rPr>
          <w:b/>
        </w:rPr>
        <w:t>by drug</w:t>
      </w:r>
    </w:p>
    <w:tbl>
      <w:tblPr>
        <w:tblStyle w:val="TableGrid"/>
        <w:tblW w:w="0" w:type="auto"/>
        <w:tblInd w:w="108" w:type="dxa"/>
        <w:tblLook w:val="04A0" w:firstRow="1" w:lastRow="0" w:firstColumn="1" w:lastColumn="0" w:noHBand="0" w:noVBand="1"/>
        <w:tblCaption w:val="Table 2: Summary of PBS considerations by drug"/>
      </w:tblPr>
      <w:tblGrid>
        <w:gridCol w:w="1116"/>
        <w:gridCol w:w="1581"/>
        <w:gridCol w:w="6368"/>
      </w:tblGrid>
      <w:tr w:rsidR="00262CEB" w14:paraId="0FF9E175" w14:textId="77777777" w:rsidTr="004B51C2">
        <w:trPr>
          <w:tblHeader/>
        </w:trPr>
        <w:tc>
          <w:tcPr>
            <w:tcW w:w="1116" w:type="dxa"/>
            <w:shd w:val="clear" w:color="auto" w:fill="BFBFBF" w:themeFill="background1" w:themeFillShade="BF"/>
          </w:tcPr>
          <w:p w14:paraId="699AA4DF" w14:textId="77777777" w:rsidR="00262CEB" w:rsidRPr="007357D3" w:rsidRDefault="00262CEB" w:rsidP="0099524E">
            <w:pPr>
              <w:rPr>
                <w:b/>
                <w:sz w:val="20"/>
                <w:szCs w:val="20"/>
              </w:rPr>
            </w:pPr>
            <w:r w:rsidRPr="007357D3">
              <w:rPr>
                <w:b/>
                <w:sz w:val="20"/>
                <w:szCs w:val="20"/>
              </w:rPr>
              <w:t>PBAC meeting</w:t>
            </w:r>
          </w:p>
        </w:tc>
        <w:tc>
          <w:tcPr>
            <w:tcW w:w="1581" w:type="dxa"/>
            <w:shd w:val="clear" w:color="auto" w:fill="BFBFBF" w:themeFill="background1" w:themeFillShade="BF"/>
          </w:tcPr>
          <w:p w14:paraId="6CB3F09A" w14:textId="77777777" w:rsidR="00262CEB" w:rsidRPr="007357D3" w:rsidRDefault="00262CEB" w:rsidP="0099524E">
            <w:pPr>
              <w:rPr>
                <w:b/>
                <w:sz w:val="20"/>
                <w:szCs w:val="20"/>
              </w:rPr>
            </w:pPr>
            <w:r w:rsidRPr="007357D3">
              <w:rPr>
                <w:b/>
                <w:sz w:val="20"/>
                <w:szCs w:val="20"/>
              </w:rPr>
              <w:t>Medicine</w:t>
            </w:r>
          </w:p>
        </w:tc>
        <w:tc>
          <w:tcPr>
            <w:tcW w:w="6368" w:type="dxa"/>
            <w:shd w:val="clear" w:color="auto" w:fill="BFBFBF" w:themeFill="background1" w:themeFillShade="BF"/>
          </w:tcPr>
          <w:p w14:paraId="4E222BDF" w14:textId="77777777" w:rsidR="00262CEB" w:rsidRPr="007357D3" w:rsidRDefault="00262CEB" w:rsidP="0099524E">
            <w:pPr>
              <w:rPr>
                <w:b/>
                <w:sz w:val="20"/>
                <w:szCs w:val="20"/>
              </w:rPr>
            </w:pPr>
            <w:r w:rsidRPr="007357D3">
              <w:rPr>
                <w:b/>
                <w:sz w:val="20"/>
                <w:szCs w:val="20"/>
              </w:rPr>
              <w:t>Basis for recommendation</w:t>
            </w:r>
          </w:p>
        </w:tc>
      </w:tr>
      <w:tr w:rsidR="00262CEB" w14:paraId="3A292C41" w14:textId="77777777" w:rsidTr="004B51C2">
        <w:tc>
          <w:tcPr>
            <w:tcW w:w="1116" w:type="dxa"/>
          </w:tcPr>
          <w:p w14:paraId="004AF803" w14:textId="77777777" w:rsidR="00262CEB" w:rsidRPr="007357D3" w:rsidRDefault="00262CEB" w:rsidP="0099524E">
            <w:pPr>
              <w:rPr>
                <w:b/>
                <w:sz w:val="20"/>
                <w:szCs w:val="20"/>
              </w:rPr>
            </w:pPr>
            <w:r w:rsidRPr="007357D3">
              <w:rPr>
                <w:b/>
                <w:sz w:val="20"/>
                <w:szCs w:val="20"/>
              </w:rPr>
              <w:t>Dec 2003</w:t>
            </w:r>
          </w:p>
        </w:tc>
        <w:tc>
          <w:tcPr>
            <w:tcW w:w="1581" w:type="dxa"/>
          </w:tcPr>
          <w:p w14:paraId="57192889" w14:textId="77777777" w:rsidR="00262CEB" w:rsidRPr="007357D3" w:rsidRDefault="00262CEB" w:rsidP="0099524E">
            <w:pPr>
              <w:rPr>
                <w:b/>
                <w:sz w:val="20"/>
                <w:szCs w:val="20"/>
              </w:rPr>
            </w:pPr>
            <w:r w:rsidRPr="007357D3">
              <w:rPr>
                <w:b/>
                <w:sz w:val="20"/>
                <w:szCs w:val="20"/>
              </w:rPr>
              <w:t>Bosentan</w:t>
            </w:r>
          </w:p>
        </w:tc>
        <w:tc>
          <w:tcPr>
            <w:tcW w:w="6368" w:type="dxa"/>
          </w:tcPr>
          <w:p w14:paraId="7B34F85E" w14:textId="440B2D8B" w:rsidR="00262CEB" w:rsidRPr="007357D3" w:rsidRDefault="00262CEB" w:rsidP="0099524E">
            <w:pPr>
              <w:rPr>
                <w:b/>
                <w:sz w:val="20"/>
                <w:szCs w:val="20"/>
              </w:rPr>
            </w:pPr>
            <w:r w:rsidRPr="007357D3">
              <w:rPr>
                <w:sz w:val="20"/>
                <w:szCs w:val="20"/>
              </w:rPr>
              <w:t>WHO functional Class III or IV patients with primary PH or PAH secondary to scleroderma (a connective tissue disease), on the basis of an acceptable, but high, cost-effectiveness ratio. The recommendation was considered in the context of a risk-sharing agreement (which include</w:t>
            </w:r>
            <w:r w:rsidR="00C53077">
              <w:rPr>
                <w:sz w:val="20"/>
                <w:szCs w:val="20"/>
              </w:rPr>
              <w:t>d</w:t>
            </w:r>
            <w:r w:rsidRPr="007357D3">
              <w:rPr>
                <w:sz w:val="20"/>
                <w:szCs w:val="20"/>
              </w:rPr>
              <w:t xml:space="preserve"> a patient registry to examine survival funded to run for three years), the proposal to limit prescribing to clinicians from designated hospitals and the proposed inclusion of the continuation rule in the restriction. The main uncertainty at this time was the modelled survival gain beyond the trial duration.   </w:t>
            </w:r>
          </w:p>
        </w:tc>
      </w:tr>
      <w:tr w:rsidR="00262CEB" w14:paraId="5F8E1E0B" w14:textId="77777777" w:rsidTr="004B51C2">
        <w:tc>
          <w:tcPr>
            <w:tcW w:w="1116" w:type="dxa"/>
          </w:tcPr>
          <w:p w14:paraId="58938810" w14:textId="77777777" w:rsidR="00262CEB" w:rsidRPr="007357D3" w:rsidRDefault="00262CEB" w:rsidP="0099524E">
            <w:pPr>
              <w:rPr>
                <w:b/>
                <w:sz w:val="20"/>
                <w:szCs w:val="20"/>
              </w:rPr>
            </w:pPr>
            <w:r w:rsidRPr="007357D3">
              <w:rPr>
                <w:b/>
                <w:sz w:val="20"/>
                <w:szCs w:val="20"/>
              </w:rPr>
              <w:t>Nov 2004</w:t>
            </w:r>
          </w:p>
        </w:tc>
        <w:tc>
          <w:tcPr>
            <w:tcW w:w="1581" w:type="dxa"/>
          </w:tcPr>
          <w:p w14:paraId="2ED7AE79" w14:textId="77777777" w:rsidR="00262CEB" w:rsidRPr="007357D3" w:rsidRDefault="00262CEB" w:rsidP="0099524E">
            <w:pPr>
              <w:rPr>
                <w:b/>
                <w:sz w:val="20"/>
                <w:szCs w:val="20"/>
              </w:rPr>
            </w:pPr>
            <w:r w:rsidRPr="007357D3">
              <w:rPr>
                <w:b/>
                <w:sz w:val="20"/>
                <w:szCs w:val="20"/>
              </w:rPr>
              <w:t>Iloprost</w:t>
            </w:r>
          </w:p>
        </w:tc>
        <w:tc>
          <w:tcPr>
            <w:tcW w:w="6368" w:type="dxa"/>
          </w:tcPr>
          <w:p w14:paraId="234D1793" w14:textId="6B155B4F" w:rsidR="00262CEB" w:rsidRPr="007357D3" w:rsidRDefault="00262CEB" w:rsidP="005573ED">
            <w:pPr>
              <w:rPr>
                <w:sz w:val="20"/>
                <w:szCs w:val="20"/>
              </w:rPr>
            </w:pPr>
            <w:r w:rsidRPr="007357D3">
              <w:rPr>
                <w:sz w:val="20"/>
                <w:szCs w:val="20"/>
              </w:rPr>
              <w:t>WHO functional Class III or IV patients with primary PH, PAH secondary to connective tissue disease or drug-induced PAH (appetite suppressants) on a cost-minimisation basis compared with bosentan, with the equi-effective doses being iloprost 2.5-5 micrograms nebulised 6-9 times per day, giving a mean of 7.5 x 20 micrograms (i.e. 7.5 x one ampoule) consumed per day, and bosentan 125 mg taken twice daily. From 1 August 2009 iloprost was restricted to class IV, and class II/IV drug-induced PAH</w:t>
            </w:r>
            <w:r w:rsidR="00DB02EB">
              <w:rPr>
                <w:sz w:val="20"/>
                <w:szCs w:val="20"/>
              </w:rPr>
              <w:t>.</w:t>
            </w:r>
            <w:r w:rsidRPr="007357D3">
              <w:rPr>
                <w:sz w:val="20"/>
                <w:szCs w:val="20"/>
              </w:rPr>
              <w:t xml:space="preserve"> </w:t>
            </w:r>
          </w:p>
        </w:tc>
      </w:tr>
      <w:tr w:rsidR="00262CEB" w14:paraId="653D65AF" w14:textId="77777777" w:rsidTr="004B51C2">
        <w:tc>
          <w:tcPr>
            <w:tcW w:w="1116" w:type="dxa"/>
          </w:tcPr>
          <w:p w14:paraId="6A237C50" w14:textId="77777777" w:rsidR="00262CEB" w:rsidRPr="007357D3" w:rsidRDefault="00262CEB" w:rsidP="0099524E">
            <w:pPr>
              <w:rPr>
                <w:b/>
                <w:sz w:val="20"/>
                <w:szCs w:val="20"/>
              </w:rPr>
            </w:pPr>
            <w:r w:rsidRPr="007357D3">
              <w:rPr>
                <w:b/>
                <w:sz w:val="20"/>
                <w:szCs w:val="20"/>
              </w:rPr>
              <w:t>Mar 2006</w:t>
            </w:r>
          </w:p>
        </w:tc>
        <w:tc>
          <w:tcPr>
            <w:tcW w:w="1581" w:type="dxa"/>
          </w:tcPr>
          <w:p w14:paraId="6E64ED9D" w14:textId="77777777" w:rsidR="00262CEB" w:rsidRPr="007357D3" w:rsidRDefault="00262CEB" w:rsidP="0099524E">
            <w:pPr>
              <w:rPr>
                <w:b/>
                <w:sz w:val="20"/>
                <w:szCs w:val="20"/>
              </w:rPr>
            </w:pPr>
            <w:r w:rsidRPr="007357D3">
              <w:rPr>
                <w:b/>
                <w:sz w:val="20"/>
                <w:szCs w:val="20"/>
              </w:rPr>
              <w:t>Epoprostenol</w:t>
            </w:r>
          </w:p>
        </w:tc>
        <w:tc>
          <w:tcPr>
            <w:tcW w:w="6368" w:type="dxa"/>
          </w:tcPr>
          <w:p w14:paraId="30FC9719" w14:textId="5E06D672" w:rsidR="00262CEB" w:rsidRPr="007357D3" w:rsidRDefault="00262CEB" w:rsidP="00DB02EB">
            <w:pPr>
              <w:rPr>
                <w:sz w:val="20"/>
                <w:szCs w:val="20"/>
              </w:rPr>
            </w:pPr>
            <w:r w:rsidRPr="007357D3">
              <w:rPr>
                <w:sz w:val="20"/>
                <w:szCs w:val="20"/>
              </w:rPr>
              <w:t>WHO functional Class III or IV patients with primary PH, on a cost-minimisation basis with bosentan.  The equi-effective doses are epoprostenol, commencing at an average dose of 11.9 ng/kg per minute (continuous infusion) over the first three months of treatment and escalating linearly in steps to an average dose of 27.2 ng/kg per minute at 3 years, and bosentan 125 mg twice a day. From 1 August 2009 epoprostenol was restricted to Class IV only</w:t>
            </w:r>
            <w:r w:rsidR="00DB02EB">
              <w:rPr>
                <w:sz w:val="20"/>
                <w:szCs w:val="20"/>
              </w:rPr>
              <w:t>.</w:t>
            </w:r>
            <w:r w:rsidRPr="007357D3">
              <w:rPr>
                <w:sz w:val="20"/>
                <w:szCs w:val="20"/>
              </w:rPr>
              <w:t xml:space="preserve"> </w:t>
            </w:r>
          </w:p>
        </w:tc>
      </w:tr>
      <w:tr w:rsidR="00262CEB" w14:paraId="2946EE35" w14:textId="77777777" w:rsidTr="004B51C2">
        <w:tc>
          <w:tcPr>
            <w:tcW w:w="1116" w:type="dxa"/>
          </w:tcPr>
          <w:p w14:paraId="7F72CEF9" w14:textId="77777777" w:rsidR="00262CEB" w:rsidRPr="007357D3" w:rsidRDefault="00262CEB" w:rsidP="0099524E">
            <w:pPr>
              <w:rPr>
                <w:b/>
                <w:sz w:val="20"/>
                <w:szCs w:val="20"/>
              </w:rPr>
            </w:pPr>
            <w:r w:rsidRPr="007357D3">
              <w:rPr>
                <w:b/>
                <w:sz w:val="20"/>
                <w:szCs w:val="20"/>
              </w:rPr>
              <w:t>Nov 2006</w:t>
            </w:r>
          </w:p>
        </w:tc>
        <w:tc>
          <w:tcPr>
            <w:tcW w:w="1581" w:type="dxa"/>
          </w:tcPr>
          <w:p w14:paraId="727B35F1" w14:textId="77777777" w:rsidR="00262CEB" w:rsidRPr="007357D3" w:rsidRDefault="00262CEB" w:rsidP="0099524E">
            <w:pPr>
              <w:rPr>
                <w:b/>
                <w:sz w:val="20"/>
                <w:szCs w:val="20"/>
              </w:rPr>
            </w:pPr>
            <w:r w:rsidRPr="007357D3">
              <w:rPr>
                <w:b/>
                <w:sz w:val="20"/>
                <w:szCs w:val="20"/>
              </w:rPr>
              <w:t>Sildenafil</w:t>
            </w:r>
          </w:p>
        </w:tc>
        <w:tc>
          <w:tcPr>
            <w:tcW w:w="6368" w:type="dxa"/>
          </w:tcPr>
          <w:p w14:paraId="7BD158C1" w14:textId="77777777" w:rsidR="00262CEB" w:rsidRPr="007357D3" w:rsidRDefault="00262CEB" w:rsidP="0099524E">
            <w:pPr>
              <w:rPr>
                <w:sz w:val="20"/>
                <w:szCs w:val="20"/>
              </w:rPr>
            </w:pPr>
            <w:r w:rsidRPr="007357D3">
              <w:rPr>
                <w:sz w:val="20"/>
                <w:szCs w:val="20"/>
              </w:rPr>
              <w:t xml:space="preserve">WHO functional Class III patients with primary PH or PAH secondary to connective tissue disease, on a cost minimisation basis compared with bosentan. The equi-effective doses are sildenafil 20 mg three times daily and bosentan 125 mg twice daily.  </w:t>
            </w:r>
          </w:p>
        </w:tc>
      </w:tr>
      <w:tr w:rsidR="00262CEB" w14:paraId="3F122703" w14:textId="77777777" w:rsidTr="004B51C2">
        <w:tc>
          <w:tcPr>
            <w:tcW w:w="1116" w:type="dxa"/>
          </w:tcPr>
          <w:p w14:paraId="212D381B" w14:textId="77777777" w:rsidR="00262CEB" w:rsidRPr="007357D3" w:rsidRDefault="00262CEB" w:rsidP="0099524E">
            <w:pPr>
              <w:rPr>
                <w:b/>
                <w:sz w:val="20"/>
                <w:szCs w:val="20"/>
              </w:rPr>
            </w:pPr>
            <w:r w:rsidRPr="007357D3">
              <w:rPr>
                <w:b/>
                <w:sz w:val="20"/>
                <w:szCs w:val="20"/>
              </w:rPr>
              <w:t>Jul 2007</w:t>
            </w:r>
          </w:p>
        </w:tc>
        <w:tc>
          <w:tcPr>
            <w:tcW w:w="1581" w:type="dxa"/>
          </w:tcPr>
          <w:p w14:paraId="5ECE16E8" w14:textId="77777777" w:rsidR="00262CEB" w:rsidRPr="007357D3" w:rsidRDefault="00262CEB" w:rsidP="0099524E">
            <w:pPr>
              <w:rPr>
                <w:b/>
                <w:sz w:val="20"/>
                <w:szCs w:val="20"/>
              </w:rPr>
            </w:pPr>
            <w:r w:rsidRPr="007357D3">
              <w:rPr>
                <w:b/>
                <w:sz w:val="20"/>
                <w:szCs w:val="20"/>
              </w:rPr>
              <w:t>Sitaxentan</w:t>
            </w:r>
          </w:p>
        </w:tc>
        <w:tc>
          <w:tcPr>
            <w:tcW w:w="6368" w:type="dxa"/>
          </w:tcPr>
          <w:p w14:paraId="2351BDD7" w14:textId="77777777" w:rsidR="00262CEB" w:rsidRPr="007357D3" w:rsidRDefault="00262CEB" w:rsidP="0099524E">
            <w:pPr>
              <w:rPr>
                <w:sz w:val="20"/>
                <w:szCs w:val="20"/>
              </w:rPr>
            </w:pPr>
            <w:r w:rsidRPr="007357D3">
              <w:rPr>
                <w:sz w:val="20"/>
                <w:szCs w:val="20"/>
              </w:rPr>
              <w:t xml:space="preserve">WHO functional Class III patients with primary PH or PAH secondary to connective tissue disease on a cost-minimisation basis compared to bosentan. The equi-effective doses are sitaxentan 100 mg daily and bosentan 125 mg twice daily.  </w:t>
            </w:r>
          </w:p>
          <w:p w14:paraId="11ECA8BD" w14:textId="77777777" w:rsidR="00262CEB" w:rsidRPr="007357D3" w:rsidRDefault="00262CEB" w:rsidP="0099524E">
            <w:pPr>
              <w:rPr>
                <w:sz w:val="20"/>
                <w:szCs w:val="20"/>
              </w:rPr>
            </w:pPr>
            <w:r w:rsidRPr="007357D3">
              <w:rPr>
                <w:sz w:val="20"/>
                <w:szCs w:val="20"/>
              </w:rPr>
              <w:t>Sitaxentan was delisted because on December 10, 2010 Pfizer announced it would be withdrawing the drug worldwide (both from marketing and from all clinical study use), citing that it is a cause of fatal liver damage.</w:t>
            </w:r>
          </w:p>
        </w:tc>
      </w:tr>
      <w:tr w:rsidR="00262CEB" w14:paraId="18393CC8" w14:textId="77777777" w:rsidTr="004B51C2">
        <w:tc>
          <w:tcPr>
            <w:tcW w:w="1116" w:type="dxa"/>
          </w:tcPr>
          <w:p w14:paraId="366F7B74" w14:textId="77777777" w:rsidR="00262CEB" w:rsidRPr="007357D3" w:rsidRDefault="00262CEB" w:rsidP="0099524E">
            <w:pPr>
              <w:rPr>
                <w:b/>
                <w:sz w:val="20"/>
                <w:szCs w:val="20"/>
              </w:rPr>
            </w:pPr>
            <w:r w:rsidRPr="007357D3">
              <w:rPr>
                <w:b/>
                <w:sz w:val="20"/>
                <w:szCs w:val="20"/>
              </w:rPr>
              <w:t>Mar 2008</w:t>
            </w:r>
          </w:p>
        </w:tc>
        <w:tc>
          <w:tcPr>
            <w:tcW w:w="1581" w:type="dxa"/>
          </w:tcPr>
          <w:p w14:paraId="6DDFD10D" w14:textId="77777777" w:rsidR="00262CEB" w:rsidRPr="007357D3" w:rsidRDefault="00262CEB" w:rsidP="0099524E">
            <w:pPr>
              <w:rPr>
                <w:b/>
                <w:sz w:val="20"/>
                <w:szCs w:val="20"/>
              </w:rPr>
            </w:pPr>
            <w:r w:rsidRPr="007357D3">
              <w:rPr>
                <w:b/>
                <w:sz w:val="20"/>
                <w:szCs w:val="20"/>
              </w:rPr>
              <w:t>Bosentan</w:t>
            </w:r>
          </w:p>
        </w:tc>
        <w:tc>
          <w:tcPr>
            <w:tcW w:w="6368" w:type="dxa"/>
          </w:tcPr>
          <w:p w14:paraId="3E63DD9A" w14:textId="77777777" w:rsidR="00262CEB" w:rsidRPr="007357D3" w:rsidRDefault="00262CEB" w:rsidP="0099524E">
            <w:pPr>
              <w:rPr>
                <w:sz w:val="20"/>
                <w:szCs w:val="20"/>
              </w:rPr>
            </w:pPr>
            <w:r w:rsidRPr="007357D3">
              <w:rPr>
                <w:sz w:val="20"/>
                <w:szCs w:val="20"/>
              </w:rPr>
              <w:t>Pulmonary arterial hypertension associated with congenital systemic-to-pulmonary shunts including Eisenmenger’s physiology (APAH-CHD) based on acceptable cost-effectiveness compared with standard care.</w:t>
            </w:r>
          </w:p>
        </w:tc>
      </w:tr>
      <w:tr w:rsidR="00262CEB" w14:paraId="13F83551" w14:textId="77777777" w:rsidTr="004B51C2">
        <w:tc>
          <w:tcPr>
            <w:tcW w:w="1116" w:type="dxa"/>
          </w:tcPr>
          <w:p w14:paraId="66DD8458" w14:textId="77777777" w:rsidR="00262CEB" w:rsidRPr="007357D3" w:rsidRDefault="00262CEB" w:rsidP="0099524E">
            <w:pPr>
              <w:rPr>
                <w:b/>
                <w:sz w:val="20"/>
                <w:szCs w:val="20"/>
              </w:rPr>
            </w:pPr>
            <w:r w:rsidRPr="007357D3">
              <w:rPr>
                <w:b/>
                <w:sz w:val="20"/>
                <w:szCs w:val="20"/>
              </w:rPr>
              <w:t>Jul 2009</w:t>
            </w:r>
          </w:p>
        </w:tc>
        <w:tc>
          <w:tcPr>
            <w:tcW w:w="1581" w:type="dxa"/>
          </w:tcPr>
          <w:p w14:paraId="5B2B0CF1" w14:textId="77777777" w:rsidR="00262CEB" w:rsidRPr="007357D3" w:rsidRDefault="00262CEB" w:rsidP="0099524E">
            <w:pPr>
              <w:rPr>
                <w:b/>
                <w:sz w:val="20"/>
                <w:szCs w:val="20"/>
              </w:rPr>
            </w:pPr>
            <w:r w:rsidRPr="007357D3">
              <w:rPr>
                <w:b/>
                <w:sz w:val="20"/>
                <w:szCs w:val="20"/>
              </w:rPr>
              <w:t>Ambrisentan</w:t>
            </w:r>
          </w:p>
        </w:tc>
        <w:tc>
          <w:tcPr>
            <w:tcW w:w="6368" w:type="dxa"/>
          </w:tcPr>
          <w:p w14:paraId="1D9C65C0" w14:textId="77777777" w:rsidR="00262CEB" w:rsidRPr="007357D3" w:rsidRDefault="00262CEB" w:rsidP="0099524E">
            <w:pPr>
              <w:rPr>
                <w:b/>
                <w:sz w:val="20"/>
                <w:szCs w:val="20"/>
              </w:rPr>
            </w:pPr>
            <w:r w:rsidRPr="007357D3">
              <w:rPr>
                <w:sz w:val="20"/>
                <w:szCs w:val="20"/>
              </w:rPr>
              <w:t xml:space="preserve">WHO functional Class III or IV patients with primary PH and PAH secondary </w:t>
            </w:r>
            <w:r w:rsidRPr="007357D3">
              <w:rPr>
                <w:sz w:val="20"/>
                <w:szCs w:val="20"/>
              </w:rPr>
              <w:lastRenderedPageBreak/>
              <w:t>to connective tissue disease on a cost minimisation basis compared with bosentan. The equi-effective doses are ambrisentan 5mg daily and bosentan125 mg twice daily.</w:t>
            </w:r>
          </w:p>
        </w:tc>
      </w:tr>
      <w:tr w:rsidR="00262CEB" w14:paraId="7028A0A8" w14:textId="77777777" w:rsidTr="004B51C2">
        <w:tc>
          <w:tcPr>
            <w:tcW w:w="1116" w:type="dxa"/>
          </w:tcPr>
          <w:p w14:paraId="3422319A" w14:textId="77777777" w:rsidR="00262CEB" w:rsidRPr="007357D3" w:rsidRDefault="00262CEB" w:rsidP="0099524E">
            <w:pPr>
              <w:rPr>
                <w:b/>
                <w:sz w:val="20"/>
                <w:szCs w:val="20"/>
              </w:rPr>
            </w:pPr>
            <w:r w:rsidRPr="007357D3">
              <w:rPr>
                <w:b/>
                <w:sz w:val="20"/>
                <w:szCs w:val="20"/>
              </w:rPr>
              <w:lastRenderedPageBreak/>
              <w:t>Nov 2011</w:t>
            </w:r>
          </w:p>
        </w:tc>
        <w:tc>
          <w:tcPr>
            <w:tcW w:w="1581" w:type="dxa"/>
          </w:tcPr>
          <w:p w14:paraId="1ED5BE3C" w14:textId="77777777" w:rsidR="00262CEB" w:rsidRPr="007357D3" w:rsidRDefault="00262CEB" w:rsidP="0099524E">
            <w:pPr>
              <w:rPr>
                <w:b/>
                <w:sz w:val="20"/>
                <w:szCs w:val="20"/>
              </w:rPr>
            </w:pPr>
            <w:r w:rsidRPr="007357D3">
              <w:rPr>
                <w:b/>
                <w:sz w:val="20"/>
                <w:szCs w:val="20"/>
              </w:rPr>
              <w:t>Tadalafil</w:t>
            </w:r>
          </w:p>
        </w:tc>
        <w:tc>
          <w:tcPr>
            <w:tcW w:w="6368" w:type="dxa"/>
          </w:tcPr>
          <w:p w14:paraId="08EFBCBF" w14:textId="77777777" w:rsidR="00262CEB" w:rsidRPr="007357D3" w:rsidRDefault="00262CEB" w:rsidP="0099524E">
            <w:pPr>
              <w:rPr>
                <w:sz w:val="20"/>
                <w:szCs w:val="20"/>
              </w:rPr>
            </w:pPr>
            <w:r w:rsidRPr="007357D3">
              <w:rPr>
                <w:sz w:val="20"/>
                <w:szCs w:val="20"/>
              </w:rPr>
              <w:t>Primary PH and PAH secondary to connective tissue disease Functional Class III on a cost minimisation basis compared with sildenafil. The equi-effective doses are tadalafil 40 mg (2 x 20 mg once daily) and sildenafil 60 mg (20 mg three times a day).</w:t>
            </w:r>
          </w:p>
        </w:tc>
      </w:tr>
      <w:tr w:rsidR="00262CEB" w14:paraId="2A9D1CFB" w14:textId="77777777" w:rsidTr="004B51C2">
        <w:tc>
          <w:tcPr>
            <w:tcW w:w="1116" w:type="dxa"/>
          </w:tcPr>
          <w:p w14:paraId="61A852DA" w14:textId="77777777" w:rsidR="00262CEB" w:rsidRPr="007357D3" w:rsidRDefault="00262CEB" w:rsidP="0099524E">
            <w:pPr>
              <w:rPr>
                <w:b/>
                <w:sz w:val="20"/>
                <w:szCs w:val="20"/>
              </w:rPr>
            </w:pPr>
            <w:r w:rsidRPr="007357D3">
              <w:rPr>
                <w:b/>
                <w:sz w:val="20"/>
                <w:szCs w:val="20"/>
              </w:rPr>
              <w:t>Mar 2014</w:t>
            </w:r>
          </w:p>
        </w:tc>
        <w:tc>
          <w:tcPr>
            <w:tcW w:w="1581" w:type="dxa"/>
          </w:tcPr>
          <w:p w14:paraId="117F5EC6" w14:textId="77777777" w:rsidR="00262CEB" w:rsidRPr="007357D3" w:rsidRDefault="00262CEB" w:rsidP="0099524E">
            <w:pPr>
              <w:rPr>
                <w:b/>
                <w:sz w:val="20"/>
                <w:szCs w:val="20"/>
              </w:rPr>
            </w:pPr>
            <w:r w:rsidRPr="007357D3">
              <w:rPr>
                <w:b/>
                <w:sz w:val="20"/>
                <w:szCs w:val="20"/>
              </w:rPr>
              <w:t>Macitentan</w:t>
            </w:r>
          </w:p>
        </w:tc>
        <w:tc>
          <w:tcPr>
            <w:tcW w:w="6368" w:type="dxa"/>
          </w:tcPr>
          <w:p w14:paraId="5E6382C8" w14:textId="77777777" w:rsidR="00262CEB" w:rsidRPr="007357D3" w:rsidRDefault="00262CEB" w:rsidP="0099524E">
            <w:pPr>
              <w:rPr>
                <w:sz w:val="20"/>
                <w:szCs w:val="20"/>
              </w:rPr>
            </w:pPr>
            <w:r w:rsidRPr="007357D3">
              <w:rPr>
                <w:sz w:val="20"/>
                <w:szCs w:val="20"/>
              </w:rPr>
              <w:t>Idiopathic PAH, PAH secondary to connective tissue disease (PAH-CTD) and PAH associated with congenital heart disease (PAH-CHD) in patients with WHO Functional Class III and IV severity on a cost minimisation basis to bosentan. The equi-effective doses were estimated as macitentan 10mg once daily versus bosentan 62.5mg twice daily for 4 weeks, then a maintenance dose of 125mg twice daily.</w:t>
            </w:r>
          </w:p>
        </w:tc>
      </w:tr>
      <w:tr w:rsidR="00262CEB" w14:paraId="042BB090" w14:textId="77777777" w:rsidTr="004B51C2">
        <w:tc>
          <w:tcPr>
            <w:tcW w:w="1116" w:type="dxa"/>
          </w:tcPr>
          <w:p w14:paraId="686D995B" w14:textId="77777777" w:rsidR="00262CEB" w:rsidRPr="007357D3" w:rsidRDefault="00262CEB" w:rsidP="0099524E">
            <w:pPr>
              <w:rPr>
                <w:b/>
                <w:sz w:val="20"/>
                <w:szCs w:val="20"/>
              </w:rPr>
            </w:pPr>
            <w:r w:rsidRPr="007357D3">
              <w:rPr>
                <w:b/>
                <w:sz w:val="20"/>
                <w:szCs w:val="20"/>
              </w:rPr>
              <w:t>Mar 2014</w:t>
            </w:r>
          </w:p>
        </w:tc>
        <w:tc>
          <w:tcPr>
            <w:tcW w:w="1581" w:type="dxa"/>
          </w:tcPr>
          <w:p w14:paraId="4FA11F89" w14:textId="77777777" w:rsidR="00262CEB" w:rsidRPr="007357D3" w:rsidRDefault="00262CEB" w:rsidP="0099524E">
            <w:pPr>
              <w:rPr>
                <w:b/>
                <w:sz w:val="20"/>
                <w:szCs w:val="20"/>
              </w:rPr>
            </w:pPr>
            <w:r w:rsidRPr="007357D3">
              <w:rPr>
                <w:b/>
                <w:sz w:val="20"/>
                <w:szCs w:val="20"/>
              </w:rPr>
              <w:t>Riociguat</w:t>
            </w:r>
          </w:p>
        </w:tc>
        <w:tc>
          <w:tcPr>
            <w:tcW w:w="6368" w:type="dxa"/>
          </w:tcPr>
          <w:p w14:paraId="73439EB0" w14:textId="2362079F" w:rsidR="00262CEB" w:rsidRPr="007357D3" w:rsidRDefault="00262CEB" w:rsidP="0099524E">
            <w:pPr>
              <w:rPr>
                <w:sz w:val="20"/>
                <w:szCs w:val="20"/>
              </w:rPr>
            </w:pPr>
            <w:r w:rsidRPr="007357D3">
              <w:rPr>
                <w:sz w:val="20"/>
                <w:szCs w:val="20"/>
              </w:rPr>
              <w:t>Primary PH, PAH secondary to connective tissue disease and PAH associated with congenital heart disease (CHD) in patients with WHO Functional Class III / IV severity on a cost minimisation bases with a mixed comparator of bosentan and sildenafil. The equi-effective doses being individual titration of riociguat (1 mg tid to 2.5 mg tid) and bosentan 62.5 mg bid or 125 mg bid, and individual titration of riociguat (1 mg tid to 2.5 mg tid) and sildenafil 20 mg tid. Not yet listed as at 1</w:t>
            </w:r>
            <w:r>
              <w:rPr>
                <w:sz w:val="20"/>
                <w:szCs w:val="20"/>
              </w:rPr>
              <w:t xml:space="preserve"> November </w:t>
            </w:r>
            <w:r w:rsidRPr="007357D3">
              <w:rPr>
                <w:sz w:val="20"/>
                <w:szCs w:val="20"/>
              </w:rPr>
              <w:t>2014</w:t>
            </w:r>
            <w:r w:rsidR="005573ED">
              <w:rPr>
                <w:sz w:val="20"/>
                <w:szCs w:val="20"/>
              </w:rPr>
              <w:t>.</w:t>
            </w:r>
          </w:p>
        </w:tc>
      </w:tr>
      <w:tr w:rsidR="00262CEB" w14:paraId="69A39405" w14:textId="77777777" w:rsidTr="004B51C2">
        <w:tc>
          <w:tcPr>
            <w:tcW w:w="1116" w:type="dxa"/>
          </w:tcPr>
          <w:p w14:paraId="1B214A13" w14:textId="77777777" w:rsidR="00262CEB" w:rsidRPr="007357D3" w:rsidRDefault="00262CEB" w:rsidP="0099524E">
            <w:pPr>
              <w:rPr>
                <w:b/>
                <w:sz w:val="20"/>
                <w:szCs w:val="20"/>
              </w:rPr>
            </w:pPr>
            <w:r w:rsidRPr="007357D3">
              <w:rPr>
                <w:b/>
                <w:sz w:val="20"/>
                <w:szCs w:val="20"/>
              </w:rPr>
              <w:t>July 2014</w:t>
            </w:r>
          </w:p>
        </w:tc>
        <w:tc>
          <w:tcPr>
            <w:tcW w:w="1581" w:type="dxa"/>
          </w:tcPr>
          <w:p w14:paraId="6723727F" w14:textId="77777777" w:rsidR="00262CEB" w:rsidRPr="007357D3" w:rsidRDefault="00262CEB" w:rsidP="0099524E">
            <w:pPr>
              <w:rPr>
                <w:b/>
                <w:sz w:val="20"/>
                <w:szCs w:val="20"/>
              </w:rPr>
            </w:pPr>
            <w:r w:rsidRPr="007357D3">
              <w:rPr>
                <w:b/>
                <w:sz w:val="20"/>
                <w:szCs w:val="20"/>
              </w:rPr>
              <w:t>Epoprostenol</w:t>
            </w:r>
          </w:p>
        </w:tc>
        <w:tc>
          <w:tcPr>
            <w:tcW w:w="6368" w:type="dxa"/>
          </w:tcPr>
          <w:p w14:paraId="55EC69CC" w14:textId="77777777" w:rsidR="00262CEB" w:rsidRPr="007357D3" w:rsidRDefault="00262CEB" w:rsidP="0099524E">
            <w:pPr>
              <w:rPr>
                <w:sz w:val="20"/>
                <w:szCs w:val="20"/>
              </w:rPr>
            </w:pPr>
            <w:r w:rsidRPr="007357D3">
              <w:rPr>
                <w:sz w:val="20"/>
                <w:szCs w:val="20"/>
              </w:rPr>
              <w:t>Listing of additional brand, Veletri®. The PBAC recommended listing at the price proposed in the submission, noting that this price incorporated a 16% price reduction compared to the currently listed Flolan® brand. The listing was effective 1 August 2014.</w:t>
            </w:r>
          </w:p>
        </w:tc>
      </w:tr>
    </w:tbl>
    <w:p w14:paraId="437266A6" w14:textId="77777777" w:rsidR="00262CEB" w:rsidRDefault="00262CEB" w:rsidP="00262CEB"/>
    <w:p w14:paraId="16D8B830" w14:textId="33B244AC" w:rsidR="00262CEB" w:rsidRDefault="00262CEB" w:rsidP="00262CEB">
      <w:pPr>
        <w:rPr>
          <w:b/>
        </w:rPr>
      </w:pPr>
      <w:r w:rsidRPr="00A96A2C">
        <w:t>At the November 2013 meeting, the PBAC considered correspondence from the Pulmonary</w:t>
      </w:r>
      <w:r>
        <w:t xml:space="preserve"> Hypertension Society of Australia and New Zealand (PHSANZ). The Society agreed for this correspondence to be provided for context in this DUSC report. </w:t>
      </w:r>
    </w:p>
    <w:p w14:paraId="2CC772C8" w14:textId="77777777" w:rsidR="00F07FD0" w:rsidRPr="002669D1" w:rsidRDefault="00F07FD0" w:rsidP="00F07FD0">
      <w:pPr>
        <w:pStyle w:val="Heading3"/>
        <w:rPr>
          <w:rFonts w:cstheme="minorHAnsi"/>
          <w:b w:val="0"/>
          <w:szCs w:val="24"/>
        </w:rPr>
      </w:pPr>
      <w:r w:rsidRPr="002669D1">
        <w:rPr>
          <w:rFonts w:cstheme="minorHAnsi"/>
          <w:szCs w:val="24"/>
        </w:rPr>
        <w:t xml:space="preserve">Previous </w:t>
      </w:r>
      <w:r>
        <w:rPr>
          <w:rFonts w:cstheme="minorHAnsi"/>
          <w:szCs w:val="24"/>
        </w:rPr>
        <w:t xml:space="preserve">analyses </w:t>
      </w:r>
      <w:r w:rsidRPr="002669D1">
        <w:rPr>
          <w:rFonts w:cstheme="minorHAnsi"/>
          <w:szCs w:val="24"/>
        </w:rPr>
        <w:t>by DUSC</w:t>
      </w:r>
    </w:p>
    <w:p w14:paraId="7A8B26FD" w14:textId="77777777" w:rsidR="00F07FD0" w:rsidRDefault="00F07FD0" w:rsidP="00F07FD0">
      <w:r w:rsidRPr="001B5B0B">
        <w:t>Following the listing of sitaxentan in April 2008, DUSC requested that the Secretariat maintain a watching brief on the utilisation of the group of medicines used in the treatment of PAH. Consequently an analysis of PAH medicines was presented to DUSC at its June 2010 meeting.</w:t>
      </w:r>
      <w:r>
        <w:t xml:space="preserve"> The following is an extract of the minutes of that meeting relating to the PAH analysis.</w:t>
      </w:r>
    </w:p>
    <w:p w14:paraId="4763AAED" w14:textId="12B9C13C" w:rsidR="00F07FD0" w:rsidRPr="004905E3" w:rsidRDefault="00B9030C" w:rsidP="00F07FD0">
      <w:pPr>
        <w:tabs>
          <w:tab w:val="num" w:pos="1701"/>
        </w:tabs>
        <w:rPr>
          <w:i/>
        </w:rPr>
      </w:pPr>
      <w:r>
        <w:rPr>
          <w:i/>
        </w:rPr>
        <w:t xml:space="preserve">The </w:t>
      </w:r>
      <w:r w:rsidR="00F07FD0" w:rsidRPr="004905E3">
        <w:rPr>
          <w:i/>
        </w:rPr>
        <w:t xml:space="preserve">DUSC noted the increasing use of bosentan. The pattern of use was considered and members commented that PAH is likely to be a disease </w:t>
      </w:r>
      <w:r w:rsidR="00F07FD0" w:rsidRPr="002F084D">
        <w:rPr>
          <w:i/>
        </w:rPr>
        <w:t>with constant</w:t>
      </w:r>
      <w:r w:rsidR="00F07FD0" w:rsidRPr="004905E3">
        <w:rPr>
          <w:i/>
        </w:rPr>
        <w:t xml:space="preserve"> and low prevalence. According to Medicare approvals, initiating numbers for bosentan are steady at around 20 per month. There is more variability in much lower numbers initiating other PAH drugs.  The Committee also noted the continuing rise in overall treatment costs and drug use. This may be explained by people living longer with the disease. The possibility of sequential use and some co-prescribing of these drugs was acknowledged.  Co-prescribing through the PBS is unlikely as these drugs have to be approved through Medicare Australia Tasmania</w:t>
      </w:r>
      <w:r w:rsidR="00446C8A">
        <w:rPr>
          <w:i/>
        </w:rPr>
        <w:t xml:space="preserve"> (prior written approval of complex drugs)</w:t>
      </w:r>
      <w:r w:rsidR="00F07FD0" w:rsidRPr="004905E3">
        <w:rPr>
          <w:i/>
        </w:rPr>
        <w:t>; however sildenafil is available at reasonably low cost to the private market.</w:t>
      </w:r>
    </w:p>
    <w:p w14:paraId="55A1190B" w14:textId="77777777" w:rsidR="00F07FD0" w:rsidRDefault="00F07FD0" w:rsidP="00F07FD0">
      <w:pPr>
        <w:tabs>
          <w:tab w:val="num" w:pos="1701"/>
        </w:tabs>
        <w:rPr>
          <w:i/>
        </w:rPr>
      </w:pPr>
      <w:r w:rsidRPr="004905E3">
        <w:rPr>
          <w:i/>
        </w:rPr>
        <w:lastRenderedPageBreak/>
        <w:t xml:space="preserve">The doses of epoprostenol provided in the analysis were questioned. Members were concerned that the choice of vial may be influencing costs which seem inconsistent with the pricing approach when listed.  </w:t>
      </w:r>
    </w:p>
    <w:p w14:paraId="204A97C2" w14:textId="77777777" w:rsidR="00F07FD0" w:rsidRPr="002F084D" w:rsidRDefault="00F07FD0" w:rsidP="00F07FD0">
      <w:pPr>
        <w:tabs>
          <w:tab w:val="num" w:pos="1701"/>
        </w:tabs>
      </w:pPr>
      <w:r w:rsidRPr="002F084D">
        <w:t>The current report updates and enhances the 2010 DUSC analysis.</w:t>
      </w:r>
    </w:p>
    <w:p w14:paraId="0312FFEC" w14:textId="5C6A9662" w:rsidR="00E677DD" w:rsidRPr="005E22C2" w:rsidRDefault="00E677DD" w:rsidP="00E11A6D">
      <w:pPr>
        <w:pStyle w:val="Heading3"/>
      </w:pPr>
      <w:r w:rsidRPr="005E22C2">
        <w:t>Method</w:t>
      </w:r>
      <w:r w:rsidR="001B5D37" w:rsidRPr="005E22C2">
        <w:t>s</w:t>
      </w:r>
    </w:p>
    <w:p w14:paraId="2CA2ED84" w14:textId="77777777" w:rsidR="00DA594E" w:rsidRPr="001B5B0B" w:rsidRDefault="00DA594E" w:rsidP="00DA594E">
      <w:r w:rsidRPr="001B5B0B">
        <w:t xml:space="preserve">The analysis includes utilisation for the </w:t>
      </w:r>
      <w:r>
        <w:t>total PBS-subsidised</w:t>
      </w:r>
      <w:r w:rsidRPr="001B5B0B">
        <w:t xml:space="preserve"> </w:t>
      </w:r>
      <w:r>
        <w:t xml:space="preserve">PAH </w:t>
      </w:r>
      <w:r w:rsidRPr="001B5B0B">
        <w:t xml:space="preserve">market and </w:t>
      </w:r>
      <w:r>
        <w:t xml:space="preserve">the </w:t>
      </w:r>
      <w:r w:rsidRPr="001B5B0B">
        <w:t>individual medicines</w:t>
      </w:r>
      <w:r>
        <w:t>.</w:t>
      </w:r>
    </w:p>
    <w:p w14:paraId="017EA597" w14:textId="4214D1E4" w:rsidR="00DA594E" w:rsidRPr="00AF6ACC" w:rsidRDefault="00DA594E" w:rsidP="00DA594E">
      <w:pPr>
        <w:rPr>
          <w:rFonts w:eastAsia="Calibri" w:cs="Times New Roman"/>
        </w:rPr>
      </w:pPr>
      <w:r w:rsidRPr="00AF6ACC">
        <w:rPr>
          <w:rFonts w:eastAsia="Calibri" w:cs="Times New Roman"/>
        </w:rPr>
        <w:t xml:space="preserve">PBS/RPBS </w:t>
      </w:r>
      <w:r w:rsidR="003F70D3">
        <w:rPr>
          <w:rFonts w:eastAsia="Calibri" w:cs="Times New Roman"/>
        </w:rPr>
        <w:t>prescription</w:t>
      </w:r>
      <w:r>
        <w:rPr>
          <w:rFonts w:eastAsia="Calibri" w:cs="Times New Roman"/>
        </w:rPr>
        <w:t xml:space="preserve"> approvals </w:t>
      </w:r>
      <w:r w:rsidRPr="00AF6ACC">
        <w:rPr>
          <w:rFonts w:eastAsia="Calibri" w:cs="Times New Roman"/>
        </w:rPr>
        <w:t xml:space="preserve">for </w:t>
      </w:r>
      <w:r>
        <w:rPr>
          <w:rFonts w:eastAsia="Calibri" w:cs="Times New Roman"/>
        </w:rPr>
        <w:t>PAH medicines</w:t>
      </w:r>
      <w:r w:rsidRPr="00AF6ACC">
        <w:rPr>
          <w:rFonts w:eastAsia="Calibri" w:cs="Times New Roman"/>
        </w:rPr>
        <w:t xml:space="preserve"> were extracted from the Department of Human Services (DHS) PBS </w:t>
      </w:r>
      <w:r>
        <w:rPr>
          <w:rFonts w:eastAsia="Calibri" w:cs="Times New Roman"/>
        </w:rPr>
        <w:t xml:space="preserve">Authority Approval </w:t>
      </w:r>
      <w:r w:rsidRPr="00AF6ACC">
        <w:rPr>
          <w:rFonts w:eastAsia="Calibri" w:cs="Times New Roman"/>
        </w:rPr>
        <w:t xml:space="preserve">database for the period </w:t>
      </w:r>
      <w:r>
        <w:rPr>
          <w:rFonts w:eastAsia="Calibri" w:cs="Times New Roman"/>
        </w:rPr>
        <w:t>March </w:t>
      </w:r>
      <w:r w:rsidRPr="00AF6ACC">
        <w:rPr>
          <w:rFonts w:eastAsia="Calibri" w:cs="Times New Roman"/>
        </w:rPr>
        <w:t>20</w:t>
      </w:r>
      <w:r>
        <w:rPr>
          <w:rFonts w:eastAsia="Calibri" w:cs="Times New Roman"/>
        </w:rPr>
        <w:t>04</w:t>
      </w:r>
      <w:r w:rsidRPr="00AF6ACC">
        <w:rPr>
          <w:rFonts w:eastAsia="Calibri" w:cs="Times New Roman"/>
        </w:rPr>
        <w:t xml:space="preserve"> to </w:t>
      </w:r>
      <w:r>
        <w:rPr>
          <w:rFonts w:eastAsia="Calibri" w:cs="Times New Roman"/>
        </w:rPr>
        <w:t xml:space="preserve">September </w:t>
      </w:r>
      <w:r w:rsidRPr="00AF6ACC">
        <w:rPr>
          <w:rFonts w:eastAsia="Calibri" w:cs="Times New Roman"/>
        </w:rPr>
        <w:t>2014 inclusive</w:t>
      </w:r>
      <w:r w:rsidR="00600A37">
        <w:rPr>
          <w:rFonts w:eastAsia="Calibri" w:cs="Times New Roman"/>
        </w:rPr>
        <w:t xml:space="preserve">, based on the date that the </w:t>
      </w:r>
      <w:r w:rsidR="003F70D3">
        <w:rPr>
          <w:rFonts w:eastAsia="Calibri" w:cs="Times New Roman"/>
        </w:rPr>
        <w:t>prescription</w:t>
      </w:r>
      <w:r w:rsidRPr="00AF6ACC">
        <w:rPr>
          <w:rFonts w:eastAsia="Calibri" w:cs="Times New Roman"/>
        </w:rPr>
        <w:t xml:space="preserve"> was </w:t>
      </w:r>
      <w:r>
        <w:rPr>
          <w:rFonts w:eastAsia="Calibri" w:cs="Times New Roman"/>
        </w:rPr>
        <w:t>approved</w:t>
      </w:r>
      <w:r w:rsidRPr="00AF6ACC">
        <w:rPr>
          <w:rFonts w:eastAsia="Calibri" w:cs="Times New Roman"/>
        </w:rPr>
        <w:t xml:space="preserve">. </w:t>
      </w:r>
    </w:p>
    <w:p w14:paraId="72A35404" w14:textId="19A1E530" w:rsidR="00DA594E" w:rsidRDefault="00DA594E" w:rsidP="00DA594E">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patients was determined by counting the number of 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Pr>
          <w:rFonts w:eastAsia="Calibri" w:cs="Times New Roman"/>
        </w:rPr>
        <w:t>ying)</w:t>
      </w:r>
      <w:r w:rsidRPr="00AF6ACC">
        <w:rPr>
          <w:rFonts w:eastAsia="Calibri" w:cs="Times New Roman"/>
        </w:rPr>
        <w:t xml:space="preserve"> in the </w:t>
      </w:r>
      <w:r>
        <w:rPr>
          <w:rFonts w:eastAsia="Calibri" w:cs="Times New Roman"/>
        </w:rPr>
        <w:t>authority approval data</w:t>
      </w:r>
      <w:r w:rsidRPr="00AF6ACC">
        <w:rPr>
          <w:rFonts w:eastAsia="Calibri" w:cs="Times New Roman"/>
        </w:rPr>
        <w:t xml:space="preserve"> for the specified time period. </w:t>
      </w:r>
      <w:r>
        <w:rPr>
          <w:rFonts w:eastAsia="Calibri" w:cs="Times New Roman"/>
        </w:rPr>
        <w:t>A</w:t>
      </w:r>
      <w:r w:rsidRPr="001D2C1E">
        <w:rPr>
          <w:rFonts w:eastAsia="Calibri" w:cs="Times New Roman"/>
        </w:rPr>
        <w:t xml:space="preserve">uthority approvals data </w:t>
      </w:r>
      <w:r w:rsidR="00600A37">
        <w:rPr>
          <w:rFonts w:eastAsia="Calibri" w:cs="Times New Roman"/>
        </w:rPr>
        <w:t xml:space="preserve">was used rather than </w:t>
      </w:r>
      <w:r w:rsidR="003F70D3">
        <w:rPr>
          <w:rFonts w:eastAsia="Calibri" w:cs="Times New Roman"/>
        </w:rPr>
        <w:t>prescription</w:t>
      </w:r>
      <w:r>
        <w:rPr>
          <w:rFonts w:eastAsia="Calibri" w:cs="Times New Roman"/>
        </w:rPr>
        <w:t xml:space="preserve"> supply data </w:t>
      </w:r>
      <w:r w:rsidRPr="001D2C1E">
        <w:rPr>
          <w:rFonts w:eastAsia="Calibri" w:cs="Times New Roman"/>
        </w:rPr>
        <w:t xml:space="preserve">as the latter is incomplete with respect to patient level supply history for PAH drugs prior to July 2013 (see </w:t>
      </w:r>
      <w:r w:rsidR="004402EE">
        <w:rPr>
          <w:rFonts w:eastAsia="Calibri" w:cs="Times New Roman"/>
        </w:rPr>
        <w:t>Appendix B</w:t>
      </w:r>
      <w:r>
        <w:rPr>
          <w:rFonts w:eastAsia="Calibri" w:cs="Times New Roman"/>
        </w:rPr>
        <w:t xml:space="preserve"> for further information).</w:t>
      </w:r>
      <w:r w:rsidRPr="001D2C1E">
        <w:rPr>
          <w:rFonts w:eastAsia="Calibri" w:cs="Times New Roman"/>
        </w:rPr>
        <w:t xml:space="preserve"> </w:t>
      </w:r>
      <w:r w:rsidRPr="00A34E84">
        <w:rPr>
          <w:rFonts w:eastAsia="Calibri" w:cs="Times New Roman"/>
        </w:rPr>
        <w:t xml:space="preserve">The median times to re-supply by drug </w:t>
      </w:r>
      <w:r>
        <w:rPr>
          <w:rFonts w:eastAsia="Calibri" w:cs="Times New Roman"/>
        </w:rPr>
        <w:t xml:space="preserve">(also in </w:t>
      </w:r>
      <w:r w:rsidR="004402EE">
        <w:rPr>
          <w:rFonts w:eastAsia="Calibri" w:cs="Times New Roman"/>
        </w:rPr>
        <w:t>Appendix B</w:t>
      </w:r>
      <w:r>
        <w:rPr>
          <w:rFonts w:eastAsia="Calibri" w:cs="Times New Roman"/>
        </w:rPr>
        <w:t>) show that t</w:t>
      </w:r>
      <w:r w:rsidRPr="00A34E84">
        <w:rPr>
          <w:rFonts w:eastAsia="Calibri" w:cs="Times New Roman"/>
        </w:rPr>
        <w:t xml:space="preserve">he longest median time to resupply is 37 days for iloprost.  This means that to capture all prevalent patients in the data, given that most have one original and five repeats, the period over which prevalence needs to be calculated is greater than 6 months. Thus in this report prevalence is calculated over a period of a year to avoid underestimation.  </w:t>
      </w:r>
    </w:p>
    <w:p w14:paraId="7EDB0633" w14:textId="77777777" w:rsidR="00DA594E" w:rsidRDefault="00DA594E" w:rsidP="00DA594E">
      <w:pPr>
        <w:rPr>
          <w:rFonts w:eastAsia="Calibri" w:cs="Times New Roman"/>
        </w:rPr>
      </w:pPr>
      <w:r w:rsidRPr="00AF6ACC">
        <w:rPr>
          <w:rFonts w:eastAsia="Calibri" w:cs="Times New Roman"/>
        </w:rPr>
        <w:t xml:space="preserve">New (initiating) patients were defined as those with no prior PBS or RPBS </w:t>
      </w:r>
      <w:r>
        <w:rPr>
          <w:rFonts w:eastAsia="Calibri" w:cs="Times New Roman"/>
        </w:rPr>
        <w:t xml:space="preserve">authority approval for </w:t>
      </w:r>
      <w:r w:rsidRPr="00AF6ACC">
        <w:rPr>
          <w:rFonts w:eastAsia="Calibri" w:cs="Times New Roman"/>
        </w:rPr>
        <w:t xml:space="preserve">the </w:t>
      </w:r>
      <w:r>
        <w:rPr>
          <w:rFonts w:eastAsia="Calibri" w:cs="Times New Roman"/>
        </w:rPr>
        <w:t>drug or drug group of interest.</w:t>
      </w:r>
    </w:p>
    <w:p w14:paraId="3389DBB9" w14:textId="2D27A8ED" w:rsidR="00DA594E" w:rsidRPr="00AF6ACC" w:rsidRDefault="00DA594E" w:rsidP="00DA594E">
      <w:pPr>
        <w:rPr>
          <w:rFonts w:eastAsia="Calibri" w:cs="Times New Roman"/>
        </w:rPr>
      </w:pPr>
      <w:r>
        <w:rPr>
          <w:rFonts w:eastAsia="Calibri" w:cs="Times New Roman"/>
        </w:rPr>
        <w:t xml:space="preserve">Pack and </w:t>
      </w:r>
      <w:r w:rsidR="003F70D3">
        <w:rPr>
          <w:rFonts w:eastAsia="Calibri" w:cs="Times New Roman"/>
        </w:rPr>
        <w:t>prescription</w:t>
      </w:r>
      <w:r>
        <w:rPr>
          <w:rFonts w:eastAsia="Calibri" w:cs="Times New Roman"/>
        </w:rPr>
        <w:t xml:space="preserve"> utilisation data were extracted from the </w:t>
      </w:r>
      <w:r w:rsidRPr="008C5F36">
        <w:rPr>
          <w:rFonts w:eastAsia="Calibri" w:cs="Times New Roman"/>
        </w:rPr>
        <w:t>DUSC HSD database</w:t>
      </w:r>
      <w:r>
        <w:rPr>
          <w:rFonts w:eastAsia="Calibri" w:cs="Times New Roman"/>
        </w:rPr>
        <w:t xml:space="preserve"> for the period March 2004 to June 2014 inclusive. The DUSC HSD database combines Public Hospital prescribed offline processed data with Public and Private Hospital prescribed online processed data to give a complete picture of HSD drug utilisation. </w:t>
      </w:r>
      <w:r w:rsidRPr="00B22F3F">
        <w:rPr>
          <w:rFonts w:eastAsia="Calibri" w:cs="Times New Roman"/>
        </w:rPr>
        <w:t xml:space="preserve">Note that pack </w:t>
      </w:r>
      <w:r>
        <w:rPr>
          <w:rFonts w:eastAsia="Calibri" w:cs="Times New Roman"/>
        </w:rPr>
        <w:t xml:space="preserve">and </w:t>
      </w:r>
      <w:r w:rsidR="003F70D3">
        <w:rPr>
          <w:rFonts w:eastAsia="Calibri" w:cs="Times New Roman"/>
        </w:rPr>
        <w:t>prescription</w:t>
      </w:r>
      <w:r>
        <w:rPr>
          <w:rFonts w:eastAsia="Calibri" w:cs="Times New Roman"/>
        </w:rPr>
        <w:t xml:space="preserve"> </w:t>
      </w:r>
      <w:r w:rsidRPr="00B22F3F">
        <w:rPr>
          <w:rFonts w:eastAsia="Calibri" w:cs="Times New Roman"/>
        </w:rPr>
        <w:t xml:space="preserve">supply data was only available until the end of </w:t>
      </w:r>
      <w:r>
        <w:rPr>
          <w:rFonts w:eastAsia="Calibri" w:cs="Times New Roman"/>
        </w:rPr>
        <w:t xml:space="preserve">June </w:t>
      </w:r>
      <w:r w:rsidRPr="00B22F3F">
        <w:rPr>
          <w:rFonts w:eastAsia="Calibri" w:cs="Times New Roman"/>
        </w:rPr>
        <w:t xml:space="preserve">2014, whereas the </w:t>
      </w:r>
      <w:r>
        <w:rPr>
          <w:rFonts w:eastAsia="Calibri" w:cs="Times New Roman"/>
        </w:rPr>
        <w:t xml:space="preserve">authority </w:t>
      </w:r>
      <w:r w:rsidRPr="00B22F3F">
        <w:rPr>
          <w:rFonts w:eastAsia="Calibri" w:cs="Times New Roman"/>
        </w:rPr>
        <w:t xml:space="preserve">approval data was available to </w:t>
      </w:r>
      <w:r>
        <w:rPr>
          <w:rFonts w:eastAsia="Calibri" w:cs="Times New Roman"/>
        </w:rPr>
        <w:t xml:space="preserve">September </w:t>
      </w:r>
      <w:r w:rsidRPr="00B22F3F">
        <w:rPr>
          <w:rFonts w:eastAsia="Calibri" w:cs="Times New Roman"/>
        </w:rPr>
        <w:t>2014. This is because of the significantly longer lag from pack supply to DHS processing of claims compared to the lag from approval to the approval data being available to the Department of Health.</w:t>
      </w:r>
    </w:p>
    <w:p w14:paraId="4ABF1229" w14:textId="482653D7" w:rsidR="00DA594E" w:rsidRDefault="00DA594E" w:rsidP="00DA594E">
      <w:pPr>
        <w:rPr>
          <w:rFonts w:eastAsia="Calibri" w:cs="Times New Roman"/>
        </w:rPr>
      </w:pPr>
      <w:r>
        <w:rPr>
          <w:rFonts w:eastAsia="Calibri" w:cs="Times New Roman"/>
        </w:rPr>
        <w:t>Patient demographic information was derived from data ext</w:t>
      </w:r>
      <w:r w:rsidR="00600A37">
        <w:rPr>
          <w:rFonts w:eastAsia="Calibri" w:cs="Times New Roman"/>
        </w:rPr>
        <w:t xml:space="preserve">racted from the DHS supplied </w:t>
      </w:r>
      <w:r w:rsidR="003F70D3">
        <w:rPr>
          <w:rFonts w:eastAsia="Calibri" w:cs="Times New Roman"/>
        </w:rPr>
        <w:t>prescription</w:t>
      </w:r>
      <w:r>
        <w:rPr>
          <w:rFonts w:eastAsia="Calibri" w:cs="Times New Roman"/>
        </w:rPr>
        <w:t xml:space="preserve"> database. The information was merged with the authority approval data to get initiating and prevalent patient counts by age and gender (see Figure 9). </w:t>
      </w:r>
    </w:p>
    <w:p w14:paraId="1F289373" w14:textId="2E5A37D8" w:rsidR="00DA594E" w:rsidRPr="00AF6ACC" w:rsidRDefault="00DA594E" w:rsidP="00DA594E">
      <w:pPr>
        <w:rPr>
          <w:rFonts w:eastAsia="Calibri" w:cs="Times New Roman"/>
        </w:rPr>
      </w:pPr>
      <w:r>
        <w:rPr>
          <w:rFonts w:eastAsia="Calibri" w:cs="Times New Roman"/>
        </w:rPr>
        <w:t xml:space="preserve">Length of treatment analysis was performed using DHS supplied </w:t>
      </w:r>
      <w:r w:rsidR="003F70D3">
        <w:rPr>
          <w:rFonts w:eastAsia="Calibri" w:cs="Times New Roman"/>
        </w:rPr>
        <w:t>prescription</w:t>
      </w:r>
      <w:r>
        <w:rPr>
          <w:rFonts w:eastAsia="Calibri" w:cs="Times New Roman"/>
        </w:rPr>
        <w:t xml:space="preserve"> data using the methodology described in </w:t>
      </w:r>
      <w:r w:rsidR="004402EE">
        <w:rPr>
          <w:rFonts w:eastAsia="Calibri" w:cs="Times New Roman"/>
        </w:rPr>
        <w:t>Appendix B</w:t>
      </w:r>
      <w:r>
        <w:rPr>
          <w:rFonts w:eastAsia="Calibri" w:cs="Times New Roman"/>
        </w:rPr>
        <w:t xml:space="preserve">. As noted above, this data </w:t>
      </w:r>
      <w:r w:rsidRPr="009366DE">
        <w:rPr>
          <w:rFonts w:eastAsia="Calibri" w:cs="Times New Roman"/>
        </w:rPr>
        <w:t>is incomplete with respect to patient level supply history for HSDs prior to July 2013</w:t>
      </w:r>
      <w:r>
        <w:rPr>
          <w:rFonts w:eastAsia="Calibri" w:cs="Times New Roman"/>
        </w:rPr>
        <w:t xml:space="preserve">. The extent of this incompleteness was investigated (see </w:t>
      </w:r>
      <w:r w:rsidR="004402EE">
        <w:rPr>
          <w:rFonts w:eastAsia="Calibri" w:cs="Times New Roman"/>
        </w:rPr>
        <w:t>Appendix B</w:t>
      </w:r>
      <w:r>
        <w:rPr>
          <w:rFonts w:eastAsia="Calibri" w:cs="Times New Roman"/>
        </w:rPr>
        <w:t xml:space="preserve">) and was not large. The impact of this slight incompleteness was tested in the analysis by comparing results from Victorian hospitals, </w:t>
      </w:r>
      <w:r>
        <w:rPr>
          <w:rFonts w:eastAsia="Calibri" w:cs="Times New Roman"/>
        </w:rPr>
        <w:lastRenderedPageBreak/>
        <w:t xml:space="preserve">which have 100% complete patient level data, with results from other states. Length of treatment analyses used </w:t>
      </w:r>
      <w:r w:rsidR="003F70D3">
        <w:rPr>
          <w:rFonts w:eastAsia="Calibri" w:cs="Times New Roman"/>
        </w:rPr>
        <w:t>prescription</w:t>
      </w:r>
      <w:r>
        <w:rPr>
          <w:rFonts w:eastAsia="Calibri" w:cs="Times New Roman"/>
        </w:rPr>
        <w:t xml:space="preserve"> data from March 2004 to July 2014 inclusive.</w:t>
      </w:r>
    </w:p>
    <w:p w14:paraId="72AD7379" w14:textId="05630A5A" w:rsidR="00DA594E" w:rsidRDefault="00DA594E" w:rsidP="00DA594E">
      <w:pPr>
        <w:rPr>
          <w:rFonts w:eastAsia="Calibri" w:cs="Times New Roman"/>
        </w:rPr>
      </w:pPr>
      <w:r w:rsidRPr="00A66603">
        <w:rPr>
          <w:rFonts w:eastAsia="Calibri" w:cs="Times New Roman"/>
        </w:rPr>
        <w:t>The dosage information in th</w:t>
      </w:r>
      <w:r>
        <w:rPr>
          <w:rFonts w:eastAsia="Calibri" w:cs="Times New Roman"/>
        </w:rPr>
        <w:t>e ‘Estimated prescribed dose’ section</w:t>
      </w:r>
      <w:r w:rsidRPr="00A66603">
        <w:rPr>
          <w:rFonts w:eastAsia="Calibri" w:cs="Times New Roman"/>
        </w:rPr>
        <w:t xml:space="preserve"> comes from the quantity and strength information recorded in the DHS Authorities Approval database for approvals from 201</w:t>
      </w:r>
      <w:r>
        <w:rPr>
          <w:rFonts w:eastAsia="Calibri" w:cs="Times New Roman"/>
        </w:rPr>
        <w:t>3</w:t>
      </w:r>
      <w:r w:rsidRPr="00A66603">
        <w:rPr>
          <w:rFonts w:eastAsia="Calibri" w:cs="Times New Roman"/>
        </w:rPr>
        <w:t xml:space="preserve"> Q</w:t>
      </w:r>
      <w:r>
        <w:rPr>
          <w:rFonts w:eastAsia="Calibri" w:cs="Times New Roman"/>
        </w:rPr>
        <w:t>3</w:t>
      </w:r>
      <w:r w:rsidRPr="00A66603">
        <w:rPr>
          <w:rFonts w:eastAsia="Calibri" w:cs="Times New Roman"/>
        </w:rPr>
        <w:t xml:space="preserve"> to 201</w:t>
      </w:r>
      <w:r>
        <w:rPr>
          <w:rFonts w:eastAsia="Calibri" w:cs="Times New Roman"/>
        </w:rPr>
        <w:t>4</w:t>
      </w:r>
      <w:r w:rsidRPr="00A66603">
        <w:rPr>
          <w:rFonts w:eastAsia="Calibri" w:cs="Times New Roman"/>
        </w:rPr>
        <w:t xml:space="preserve"> Q</w:t>
      </w:r>
      <w:r>
        <w:rPr>
          <w:rFonts w:eastAsia="Calibri" w:cs="Times New Roman"/>
        </w:rPr>
        <w:t>2</w:t>
      </w:r>
      <w:r w:rsidRPr="00A66603">
        <w:rPr>
          <w:rFonts w:eastAsia="Calibri" w:cs="Times New Roman"/>
        </w:rPr>
        <w:t xml:space="preserve"> inclusive. The actual prescribed dose is not recorded in the database. The prescribed dose was estimated from the approval data by assuming the quantity prescribed on each </w:t>
      </w:r>
      <w:r w:rsidR="003F70D3">
        <w:rPr>
          <w:rFonts w:eastAsia="Calibri" w:cs="Times New Roman"/>
        </w:rPr>
        <w:t>prescription</w:t>
      </w:r>
      <w:r w:rsidRPr="00A66603">
        <w:rPr>
          <w:rFonts w:eastAsia="Calibri" w:cs="Times New Roman"/>
        </w:rPr>
        <w:t xml:space="preserve"> is intended</w:t>
      </w:r>
      <w:r>
        <w:rPr>
          <w:rFonts w:eastAsia="Calibri" w:cs="Times New Roman"/>
        </w:rPr>
        <w:t xml:space="preserve"> by the prescriber </w:t>
      </w:r>
      <w:r w:rsidRPr="00A66603">
        <w:rPr>
          <w:rFonts w:eastAsia="Calibri" w:cs="Times New Roman"/>
        </w:rPr>
        <w:t xml:space="preserve">to be for 30 days of treatment </w:t>
      </w:r>
      <w:r>
        <w:rPr>
          <w:rFonts w:eastAsia="Calibri" w:cs="Times New Roman"/>
        </w:rPr>
        <w:t xml:space="preserve">(except for tadalafil which has a pack size of 56 tablets so it assumed to be intended for 28 days) </w:t>
      </w:r>
      <w:r w:rsidRPr="00A66603">
        <w:rPr>
          <w:rFonts w:eastAsia="Calibri" w:cs="Times New Roman"/>
        </w:rPr>
        <w:t>and summing the approvals for different strengths of a drug for a patient on a day, having regard to both the strength and the quantity requested.</w:t>
      </w:r>
    </w:p>
    <w:p w14:paraId="0333DADA" w14:textId="1734119A" w:rsidR="00DA594E" w:rsidRPr="00641FF3" w:rsidRDefault="00DA594E" w:rsidP="00DA594E">
      <w:pPr>
        <w:rPr>
          <w:rFonts w:eastAsia="Calibri" w:cs="Times New Roman"/>
        </w:rPr>
      </w:pPr>
      <w:r w:rsidRPr="00AF6ACC">
        <w:rPr>
          <w:rFonts w:eastAsia="Calibri" w:cs="Times New Roman"/>
        </w:rPr>
        <w:t xml:space="preserve">Data </w:t>
      </w:r>
      <w:r>
        <w:rPr>
          <w:rFonts w:eastAsia="Calibri" w:cs="Times New Roman"/>
        </w:rPr>
        <w:t>analysis</w:t>
      </w:r>
      <w:r w:rsidRPr="00AF6ACC">
        <w:rPr>
          <w:rFonts w:eastAsia="Calibri" w:cs="Times New Roman"/>
        </w:rPr>
        <w:t xml:space="preserve"> was undertaken using SAS.</w:t>
      </w:r>
      <w:r w:rsidRPr="00683A1F">
        <w:rPr>
          <w:rFonts w:eastAsia="Calibri" w:cs="Times New Roman"/>
        </w:rPr>
        <w:t xml:space="preserve"> </w:t>
      </w:r>
      <w:r w:rsidRPr="00641FF3">
        <w:rPr>
          <w:rFonts w:eastAsia="Calibri" w:cs="Times New Roman"/>
        </w:rPr>
        <w:br w:type="page"/>
      </w:r>
    </w:p>
    <w:p w14:paraId="4F91A98A" w14:textId="00180E30" w:rsidR="00C714D0" w:rsidRPr="005E22C2" w:rsidRDefault="00C714D0" w:rsidP="00E11A6D">
      <w:pPr>
        <w:pStyle w:val="Heading3"/>
      </w:pPr>
      <w:r w:rsidRPr="005E22C2">
        <w:lastRenderedPageBreak/>
        <w:t>Results</w:t>
      </w:r>
    </w:p>
    <w:p w14:paraId="2221FF19" w14:textId="336CE8B2" w:rsidR="00736041" w:rsidRDefault="001B5D37" w:rsidP="0038097B">
      <w:pPr>
        <w:pStyle w:val="Heading4"/>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14:paraId="665717DB" w14:textId="77777777" w:rsidR="00EA175A" w:rsidRPr="00182F75" w:rsidRDefault="00EA175A" w:rsidP="00EA175A">
      <w:pPr>
        <w:pStyle w:val="Heading3"/>
        <w:rPr>
          <w:b w:val="0"/>
          <w:sz w:val="24"/>
          <w:szCs w:val="24"/>
        </w:rPr>
      </w:pPr>
      <w:r w:rsidRPr="00182F75">
        <w:rPr>
          <w:rFonts w:eastAsia="Calibri" w:cs="Times New Roman"/>
          <w:b w:val="0"/>
          <w:sz w:val="24"/>
          <w:szCs w:val="24"/>
        </w:rPr>
        <w:t xml:space="preserve">Figure </w:t>
      </w:r>
      <w:r>
        <w:rPr>
          <w:rFonts w:eastAsia="Calibri" w:cs="Times New Roman"/>
          <w:b w:val="0"/>
          <w:sz w:val="24"/>
          <w:szCs w:val="24"/>
        </w:rPr>
        <w:t xml:space="preserve">2 </w:t>
      </w:r>
      <w:r w:rsidRPr="00182F75">
        <w:rPr>
          <w:rFonts w:eastAsia="Calibri" w:cs="Times New Roman"/>
          <w:b w:val="0"/>
          <w:sz w:val="24"/>
          <w:szCs w:val="24"/>
        </w:rPr>
        <w:t>shows</w:t>
      </w:r>
      <w:r>
        <w:rPr>
          <w:rFonts w:eastAsia="Calibri" w:cs="Times New Roman"/>
          <w:b w:val="0"/>
          <w:sz w:val="24"/>
          <w:szCs w:val="24"/>
        </w:rPr>
        <w:t xml:space="preserve"> the number of patients initiating a PAH medicine for the first time, and the total number of patients treated with a PAH medicine (prevalent population), each year.</w:t>
      </w:r>
    </w:p>
    <w:p w14:paraId="11E7236D" w14:textId="4390CCA0" w:rsidR="00EA175A" w:rsidRPr="00E71FA1" w:rsidRDefault="00EA175A" w:rsidP="00EA175A">
      <w:pPr>
        <w:rPr>
          <w:rFonts w:cs="Arial"/>
          <w:b/>
          <w:bCs/>
        </w:rPr>
      </w:pPr>
      <w:r>
        <w:rPr>
          <w:noProof/>
        </w:rPr>
        <w:drawing>
          <wp:inline distT="0" distB="0" distL="0" distR="0" wp14:anchorId="4B1DDAB4" wp14:editId="0FE4FD7A">
            <wp:extent cx="5687695" cy="3703686"/>
            <wp:effectExtent l="0" t="0" r="8255" b="0"/>
            <wp:docPr id="4" name="Chart 4" title="Figure 2: Patients - initiating and prevalent to PAH treatment, based on authority approv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Pr="004A11F0">
        <w:rPr>
          <w:rFonts w:cs="Arial"/>
          <w:b/>
        </w:rPr>
        <w:t xml:space="preserve">Figure </w:t>
      </w:r>
      <w:r>
        <w:rPr>
          <w:rFonts w:cs="Arial"/>
          <w:b/>
        </w:rPr>
        <w:t xml:space="preserve">2: </w:t>
      </w:r>
      <w:r w:rsidRPr="00683F1D">
        <w:rPr>
          <w:rFonts w:cs="Arial"/>
          <w:b/>
          <w:bCs/>
        </w:rPr>
        <w:t xml:space="preserve">Patients - initiating and prevalent to </w:t>
      </w:r>
      <w:r>
        <w:rPr>
          <w:rFonts w:cs="Arial"/>
          <w:b/>
          <w:bCs/>
        </w:rPr>
        <w:t xml:space="preserve">PAH </w:t>
      </w:r>
      <w:r w:rsidRPr="00683F1D">
        <w:rPr>
          <w:rFonts w:cs="Arial"/>
          <w:b/>
          <w:bCs/>
        </w:rPr>
        <w:t>treatment</w:t>
      </w:r>
      <w:r>
        <w:rPr>
          <w:rFonts w:cs="Arial"/>
          <w:b/>
          <w:bCs/>
        </w:rPr>
        <w:t>, based on authority approvals</w:t>
      </w:r>
      <w:r>
        <w:rPr>
          <w:rFonts w:cs="Arial"/>
          <w:b/>
          <w:bCs/>
        </w:rPr>
        <w:br/>
      </w:r>
      <w:r>
        <w:rPr>
          <w:rFonts w:cs="Arial"/>
          <w:sz w:val="20"/>
          <w:szCs w:val="20"/>
        </w:rPr>
        <w:t>Source: DHS Authority Approvals database</w:t>
      </w:r>
      <w:r>
        <w:rPr>
          <w:rFonts w:cs="Arial"/>
          <w:sz w:val="20"/>
          <w:szCs w:val="20"/>
        </w:rPr>
        <w:br/>
        <w:t>Note: Prevalence in 2004 is calculated from only 10 months of data as the first PAH drug (bosentan) was listed in March 2004. Prevalence in 2014 YTD is calculated from only the first 3 quarters of data (i</w:t>
      </w:r>
      <w:r w:rsidR="008A4A83">
        <w:rPr>
          <w:rFonts w:cs="Arial"/>
          <w:sz w:val="20"/>
          <w:szCs w:val="20"/>
        </w:rPr>
        <w:t>.</w:t>
      </w:r>
      <w:r>
        <w:rPr>
          <w:rFonts w:cs="Arial"/>
          <w:sz w:val="20"/>
          <w:szCs w:val="20"/>
        </w:rPr>
        <w:t xml:space="preserve">e. until the end of September 2014). </w:t>
      </w:r>
    </w:p>
    <w:p w14:paraId="6B46D67A" w14:textId="77777777" w:rsidR="00EA175A" w:rsidRDefault="00EA175A" w:rsidP="00EA175A">
      <w:pPr>
        <w:rPr>
          <w:rFonts w:eastAsia="Calibri" w:cs="Times New Roman"/>
        </w:rPr>
      </w:pPr>
      <w:r>
        <w:rPr>
          <w:rFonts w:eastAsia="Calibri" w:cs="Times New Roman"/>
        </w:rPr>
        <w:t>The number of initiators has remained steady since 2009. The number of prevalent patients has not yet plateaued, indicating a relatively long average time on treatment (the apparent plateau in 2014 YTD is because the year is incomplete).</w:t>
      </w:r>
    </w:p>
    <w:p w14:paraId="179EE3E9" w14:textId="77777777" w:rsidR="00EA175A" w:rsidRDefault="00EA175A" w:rsidP="00EA175A">
      <w:pPr>
        <w:rPr>
          <w:rFonts w:eastAsia="Calibri" w:cs="Times New Roman"/>
        </w:rPr>
      </w:pPr>
      <w:r>
        <w:rPr>
          <w:rFonts w:eastAsia="Calibri" w:cs="Times New Roman"/>
        </w:rPr>
        <w:t>There are no published national prevalence and incidence figures for PAH in Australia. Peacock et al.</w:t>
      </w:r>
      <w:r>
        <w:rPr>
          <w:rStyle w:val="FootnoteReference"/>
          <w:rFonts w:eastAsia="Calibri" w:cs="Times New Roman"/>
        </w:rPr>
        <w:footnoteReference w:id="4"/>
      </w:r>
      <w:r>
        <w:rPr>
          <w:rFonts w:eastAsia="Calibri" w:cs="Times New Roman"/>
        </w:rPr>
        <w:t xml:space="preserve"> reported that total PAH prevalence and incidence ranged from 15 to 52 and 2.4 to 7.6 per million population respectively using three sources, one from France and two </w:t>
      </w:r>
      <w:r>
        <w:rPr>
          <w:rFonts w:eastAsia="Calibri" w:cs="Times New Roman"/>
        </w:rPr>
        <w:lastRenderedPageBreak/>
        <w:t>from Scotland.  Jansa et al.</w:t>
      </w:r>
      <w:r>
        <w:rPr>
          <w:rStyle w:val="FootnoteReference"/>
          <w:rFonts w:eastAsia="Calibri" w:cs="Times New Roman"/>
        </w:rPr>
        <w:footnoteReference w:id="5"/>
      </w:r>
      <w:r>
        <w:rPr>
          <w:rFonts w:eastAsia="Calibri" w:cs="Times New Roman"/>
        </w:rPr>
        <w:t xml:space="preserve"> reported</w:t>
      </w:r>
      <w:r w:rsidRPr="00FC0AEE">
        <w:rPr>
          <w:rFonts w:eastAsia="Calibri" w:cs="Times New Roman"/>
        </w:rPr>
        <w:t xml:space="preserve"> prevalence estimates</w:t>
      </w:r>
      <w:r>
        <w:rPr>
          <w:rFonts w:eastAsia="Calibri" w:cs="Times New Roman"/>
        </w:rPr>
        <w:t xml:space="preserve"> </w:t>
      </w:r>
      <w:r w:rsidRPr="00FC0AEE">
        <w:rPr>
          <w:rFonts w:eastAsia="Calibri" w:cs="Times New Roman"/>
        </w:rPr>
        <w:t>of PAH between 15 to 26</w:t>
      </w:r>
      <w:r>
        <w:rPr>
          <w:rFonts w:eastAsia="Calibri" w:cs="Times New Roman"/>
        </w:rPr>
        <w:t xml:space="preserve"> </w:t>
      </w:r>
      <w:r w:rsidRPr="00FC0AEE">
        <w:rPr>
          <w:rFonts w:eastAsia="Calibri" w:cs="Times New Roman"/>
        </w:rPr>
        <w:t>cases per million adults</w:t>
      </w:r>
      <w:r>
        <w:rPr>
          <w:rFonts w:eastAsia="Calibri" w:cs="Times New Roman"/>
        </w:rPr>
        <w:t xml:space="preserve"> from several sources, including Scotland, France, Spain, Switzerland and the USA. They also estimate prevalence and incidence for adults in the Czech Republic in 2007 as 22.4 and 10.7 cases per million persons respectively.</w:t>
      </w:r>
    </w:p>
    <w:p w14:paraId="459A102D" w14:textId="77777777" w:rsidR="00EA175A" w:rsidRDefault="00EA175A" w:rsidP="00EA175A">
      <w:pPr>
        <w:rPr>
          <w:rFonts w:eastAsia="Calibri" w:cs="Times New Roman"/>
        </w:rPr>
      </w:pPr>
      <w:r>
        <w:rPr>
          <w:rFonts w:eastAsia="Calibri" w:cs="Times New Roman"/>
        </w:rPr>
        <w:t xml:space="preserve">Using the data in Figure 2 for 2013 the number of prevalent and incident patients on PAH treatment are 2,026 and 431 respectively. If this is divided by the total Australian population as at 30 June 2013 (23.13 million) the prevalent and incident rates of PAH treatment are 87.6 and 18.6 per million population. This is considerably higher than any of the above published estimates.  </w:t>
      </w:r>
    </w:p>
    <w:p w14:paraId="426B6078" w14:textId="77777777" w:rsidR="00EA175A" w:rsidRPr="003A641C" w:rsidRDefault="00EA175A" w:rsidP="00EA175A">
      <w:pPr>
        <w:rPr>
          <w:rFonts w:eastAsia="Calibri" w:cs="Times New Roman"/>
        </w:rPr>
      </w:pPr>
      <w:r w:rsidRPr="003A641C">
        <w:rPr>
          <w:rFonts w:eastAsia="Calibri" w:cs="Times New Roman"/>
        </w:rPr>
        <w:t xml:space="preserve">Figure 3 breaks down the initiators shown in Figure 2 by the </w:t>
      </w:r>
      <w:r>
        <w:rPr>
          <w:rFonts w:eastAsia="Calibri" w:cs="Times New Roman"/>
        </w:rPr>
        <w:t>medicine</w:t>
      </w:r>
      <w:r w:rsidRPr="003A641C">
        <w:rPr>
          <w:rFonts w:eastAsia="Calibri" w:cs="Times New Roman"/>
        </w:rPr>
        <w:t xml:space="preserve"> they used to initiate PAH therapy. In total 4,044 patients have initiated PAH therapy over the period March 2004 to September 2014 inclusive. </w:t>
      </w:r>
    </w:p>
    <w:p w14:paraId="2C60B86E" w14:textId="77777777" w:rsidR="00EA175A" w:rsidRDefault="00EA175A" w:rsidP="00EA175A">
      <w:pPr>
        <w:rPr>
          <w:rFonts w:eastAsia="Calibri" w:cs="Times New Roman"/>
        </w:rPr>
      </w:pPr>
    </w:p>
    <w:p w14:paraId="15902FD3" w14:textId="77777777" w:rsidR="00EA175A" w:rsidRDefault="00EA175A" w:rsidP="00EA175A">
      <w:pPr>
        <w:tabs>
          <w:tab w:val="left" w:pos="3119"/>
        </w:tabs>
        <w:rPr>
          <w:rFonts w:eastAsia="Calibri" w:cs="Times New Roman"/>
        </w:rPr>
      </w:pPr>
      <w:r>
        <w:rPr>
          <w:noProof/>
        </w:rPr>
        <w:drawing>
          <wp:inline distT="0" distB="0" distL="0" distR="0" wp14:anchorId="0DA5EA13" wp14:editId="2C286580">
            <wp:extent cx="5943600" cy="3870325"/>
            <wp:effectExtent l="0" t="0" r="0" b="0"/>
            <wp:docPr id="2" name="Chart 2" title="Figure 3: Patients - initiating to PAH therapy by initiating drug, based on authority approv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7877FA7" w14:textId="77777777" w:rsidR="00EA175A" w:rsidRDefault="00EA175A" w:rsidP="00EA175A">
      <w:pPr>
        <w:rPr>
          <w:rFonts w:cs="Arial"/>
          <w:sz w:val="20"/>
          <w:szCs w:val="20"/>
        </w:rPr>
      </w:pPr>
      <w:r w:rsidRPr="004A11F0">
        <w:rPr>
          <w:rFonts w:cs="Arial"/>
          <w:b/>
        </w:rPr>
        <w:t xml:space="preserve">Figure </w:t>
      </w:r>
      <w:r>
        <w:rPr>
          <w:rFonts w:cs="Arial"/>
          <w:b/>
        </w:rPr>
        <w:t xml:space="preserve">3: </w:t>
      </w:r>
      <w:r w:rsidRPr="00683F1D">
        <w:rPr>
          <w:rFonts w:cs="Arial"/>
          <w:b/>
          <w:bCs/>
        </w:rPr>
        <w:t xml:space="preserve">Patients - initiating </w:t>
      </w:r>
      <w:r>
        <w:rPr>
          <w:rFonts w:cs="Arial"/>
          <w:b/>
          <w:bCs/>
        </w:rPr>
        <w:t>to PAH therapy by initiating drug, based on authority approvals</w:t>
      </w:r>
      <w:r>
        <w:rPr>
          <w:rFonts w:cs="Arial"/>
          <w:b/>
          <w:bCs/>
        </w:rPr>
        <w:br/>
      </w:r>
      <w:r>
        <w:rPr>
          <w:rFonts w:cs="Arial"/>
          <w:sz w:val="20"/>
          <w:szCs w:val="20"/>
        </w:rPr>
        <w:t>Source: DHS Authority Approvals database</w:t>
      </w:r>
      <w:r>
        <w:rPr>
          <w:rFonts w:cs="Arial"/>
          <w:sz w:val="20"/>
          <w:szCs w:val="20"/>
        </w:rPr>
        <w:br/>
        <w:t>N</w:t>
      </w:r>
      <w:r w:rsidRPr="00152A94">
        <w:rPr>
          <w:rFonts w:cs="Arial"/>
          <w:sz w:val="20"/>
          <w:szCs w:val="20"/>
        </w:rPr>
        <w:t>ote</w:t>
      </w:r>
      <w:r>
        <w:rPr>
          <w:rFonts w:cs="Arial"/>
          <w:sz w:val="20"/>
          <w:szCs w:val="20"/>
        </w:rPr>
        <w:t>:</w:t>
      </w:r>
      <w:r w:rsidRPr="00152A94">
        <w:rPr>
          <w:rFonts w:cs="Arial"/>
          <w:sz w:val="20"/>
          <w:szCs w:val="20"/>
        </w:rPr>
        <w:t xml:space="preserve"> </w:t>
      </w:r>
      <w:r>
        <w:rPr>
          <w:rFonts w:cs="Arial"/>
          <w:sz w:val="20"/>
          <w:szCs w:val="20"/>
        </w:rPr>
        <w:t xml:space="preserve">Macitentan was </w:t>
      </w:r>
      <w:r w:rsidRPr="00152A94">
        <w:rPr>
          <w:rFonts w:cs="Arial"/>
          <w:sz w:val="20"/>
          <w:szCs w:val="20"/>
        </w:rPr>
        <w:t>listed on the 1/9/2014 and so 2014 Q3 only contains one month of data</w:t>
      </w:r>
    </w:p>
    <w:p w14:paraId="043906E2" w14:textId="77777777" w:rsidR="00EA175A" w:rsidRDefault="00EA175A" w:rsidP="00EA175A">
      <w:pPr>
        <w:tabs>
          <w:tab w:val="left" w:pos="3119"/>
        </w:tabs>
        <w:rPr>
          <w:rFonts w:eastAsia="Calibri" w:cs="Times New Roman"/>
        </w:rPr>
      </w:pPr>
      <w:r>
        <w:rPr>
          <w:rFonts w:eastAsia="Calibri" w:cs="Times New Roman"/>
        </w:rPr>
        <w:lastRenderedPageBreak/>
        <w:t>The</w:t>
      </w:r>
      <w:r w:rsidRPr="008425B0">
        <w:rPr>
          <w:rFonts w:eastAsia="Calibri" w:cs="Times New Roman"/>
        </w:rPr>
        <w:t xml:space="preserve"> large spike in the number of </w:t>
      </w:r>
      <w:r>
        <w:rPr>
          <w:rFonts w:eastAsia="Calibri" w:cs="Times New Roman"/>
        </w:rPr>
        <w:t xml:space="preserve">patients </w:t>
      </w:r>
      <w:r w:rsidRPr="008425B0">
        <w:rPr>
          <w:rFonts w:eastAsia="Calibri" w:cs="Times New Roman"/>
        </w:rPr>
        <w:t xml:space="preserve">initiating </w:t>
      </w:r>
      <w:r>
        <w:rPr>
          <w:rFonts w:eastAsia="Calibri" w:cs="Times New Roman"/>
        </w:rPr>
        <w:t xml:space="preserve">PAH therapy on </w:t>
      </w:r>
      <w:r w:rsidRPr="008425B0">
        <w:rPr>
          <w:rFonts w:eastAsia="Calibri" w:cs="Times New Roman"/>
        </w:rPr>
        <w:t>bosentan in 2008 Q3 was associated with the extension of the bosentan listing on 1/8/2008 to include treatment of PAH associated with a congenital systemic-to-pulmonary shunt (including Eisenmenger's physiology). This was recommended at the March 2008 PABC meeting.</w:t>
      </w:r>
    </w:p>
    <w:p w14:paraId="1AC9BE15" w14:textId="669ACCAF" w:rsidR="00EA175A" w:rsidRDefault="00EA175A" w:rsidP="00EA175A">
      <w:pPr>
        <w:tabs>
          <w:tab w:val="left" w:pos="3119"/>
        </w:tabs>
        <w:rPr>
          <w:rFonts w:eastAsia="Calibri" w:cs="Times New Roman"/>
        </w:rPr>
      </w:pPr>
      <w:r>
        <w:rPr>
          <w:rFonts w:eastAsia="Calibri" w:cs="Times New Roman"/>
        </w:rPr>
        <w:t xml:space="preserve">It can be seen that patients rarely initiate PAH therapy on iloprost or epoprostenol. This is not unexpected given that other medicines are administered orally and also because iloprost </w:t>
      </w:r>
      <w:r w:rsidR="00EB5EC5">
        <w:rPr>
          <w:rFonts w:eastAsia="Calibri" w:cs="Times New Roman"/>
        </w:rPr>
        <w:t xml:space="preserve">and </w:t>
      </w:r>
      <w:r>
        <w:rPr>
          <w:rFonts w:eastAsia="Calibri" w:cs="Times New Roman"/>
        </w:rPr>
        <w:t>epoprostenol have been limited since 1/8/2009 in the PBS restriction to patients with advanced disease (i</w:t>
      </w:r>
      <w:r w:rsidR="004453C5">
        <w:rPr>
          <w:rFonts w:eastAsia="Calibri" w:cs="Times New Roman"/>
        </w:rPr>
        <w:t>.</w:t>
      </w:r>
      <w:r>
        <w:rPr>
          <w:rFonts w:eastAsia="Calibri" w:cs="Times New Roman"/>
        </w:rPr>
        <w:t>e. WHO Functional Class IV, see Figure 1), except iloprost can also be used for drug-induced PAH in WHO Functional Class III patients.</w:t>
      </w:r>
    </w:p>
    <w:p w14:paraId="488DE506" w14:textId="77777777" w:rsidR="00EA175A" w:rsidRDefault="00EA175A" w:rsidP="00EA175A">
      <w:pPr>
        <w:tabs>
          <w:tab w:val="left" w:pos="3119"/>
        </w:tabs>
        <w:rPr>
          <w:rFonts w:eastAsia="Calibri" w:cs="Times New Roman"/>
        </w:rPr>
      </w:pPr>
      <w:r w:rsidRPr="00A070EF">
        <w:rPr>
          <w:rFonts w:eastAsia="Calibri" w:cs="Times New Roman"/>
        </w:rPr>
        <w:t>Macitentan has become the most common medicine for new patients since it was listed on 1/9/2014.</w:t>
      </w:r>
      <w:r>
        <w:rPr>
          <w:rFonts w:eastAsia="Calibri" w:cs="Times New Roman"/>
        </w:rPr>
        <w:t xml:space="preserve"> The dominance of the new patient market will be much greater than implied in Figure 3 as the macitentan data point includes only one month of data.</w:t>
      </w:r>
    </w:p>
    <w:p w14:paraId="0697F644" w14:textId="2506FD3A" w:rsidR="00EA175A" w:rsidRPr="00784989" w:rsidRDefault="00EA175A" w:rsidP="00EA175A">
      <w:pPr>
        <w:tabs>
          <w:tab w:val="left" w:pos="3119"/>
        </w:tabs>
        <w:rPr>
          <w:rFonts w:eastAsia="Calibri" w:cs="Times New Roman"/>
        </w:rPr>
      </w:pPr>
      <w:r w:rsidRPr="00BB2398">
        <w:rPr>
          <w:rFonts w:eastAsia="Calibri" w:cs="Times New Roman"/>
        </w:rPr>
        <w:t>Figure 4 shows initiations to individual PAH medicines, as opposed to Figure 3 which shows the first medicine used in PAH therapy. Patients will be represented multiple times in Figure 4 if they switch PAH medicines.</w:t>
      </w:r>
    </w:p>
    <w:p w14:paraId="0ECF5570" w14:textId="77777777" w:rsidR="00EA175A" w:rsidRDefault="00EA175A" w:rsidP="00EA175A">
      <w:pPr>
        <w:tabs>
          <w:tab w:val="left" w:pos="3119"/>
        </w:tabs>
        <w:rPr>
          <w:rFonts w:eastAsia="Calibri" w:cs="Times New Roman"/>
        </w:rPr>
      </w:pPr>
    </w:p>
    <w:p w14:paraId="430D6F25" w14:textId="77777777" w:rsidR="00EA175A" w:rsidRDefault="00EA175A" w:rsidP="00EA175A">
      <w:pPr>
        <w:spacing w:line="276" w:lineRule="auto"/>
        <w:rPr>
          <w:rStyle w:val="SubtleEmphasis"/>
          <w:iCs w:val="0"/>
          <w:sz w:val="28"/>
        </w:rPr>
      </w:pPr>
      <w:r>
        <w:rPr>
          <w:noProof/>
        </w:rPr>
        <w:drawing>
          <wp:inline distT="0" distB="0" distL="0" distR="0" wp14:anchorId="07A746E6" wp14:editId="06F82A63">
            <wp:extent cx="5943600" cy="3870325"/>
            <wp:effectExtent l="0" t="0" r="0" b="0"/>
            <wp:docPr id="1" name="Chart 1" title="Figure 4: Patients - initiating to individual PAH drugs, based on authority approv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56DC6E3" w14:textId="77777777" w:rsidR="00EA175A" w:rsidRDefault="00EA175A" w:rsidP="00EA175A">
      <w:pPr>
        <w:rPr>
          <w:rFonts w:cs="Arial"/>
          <w:sz w:val="20"/>
          <w:szCs w:val="20"/>
        </w:rPr>
      </w:pPr>
      <w:r w:rsidRPr="004A11F0">
        <w:rPr>
          <w:rFonts w:cs="Arial"/>
          <w:b/>
        </w:rPr>
        <w:t xml:space="preserve">Figure </w:t>
      </w:r>
      <w:r>
        <w:rPr>
          <w:rFonts w:cs="Arial"/>
          <w:b/>
        </w:rPr>
        <w:t xml:space="preserve">4: </w:t>
      </w:r>
      <w:r w:rsidRPr="00683F1D">
        <w:rPr>
          <w:rFonts w:cs="Arial"/>
          <w:b/>
          <w:bCs/>
        </w:rPr>
        <w:t xml:space="preserve">Patients - initiating </w:t>
      </w:r>
      <w:r>
        <w:rPr>
          <w:rFonts w:cs="Arial"/>
          <w:b/>
          <w:bCs/>
        </w:rPr>
        <w:t>to individual PAH drugs, based on authority approvals</w:t>
      </w:r>
      <w:r>
        <w:rPr>
          <w:rFonts w:cs="Arial"/>
          <w:b/>
          <w:bCs/>
        </w:rPr>
        <w:br/>
      </w:r>
      <w:r>
        <w:rPr>
          <w:rFonts w:cs="Arial"/>
          <w:sz w:val="20"/>
          <w:szCs w:val="20"/>
        </w:rPr>
        <w:t>Source: DHS Authority Approvals database</w:t>
      </w:r>
      <w:r>
        <w:rPr>
          <w:rFonts w:cs="Arial"/>
          <w:sz w:val="20"/>
          <w:szCs w:val="20"/>
        </w:rPr>
        <w:br/>
      </w:r>
      <w:r w:rsidRPr="00152A94">
        <w:rPr>
          <w:rFonts w:cs="Arial"/>
          <w:sz w:val="20"/>
          <w:szCs w:val="20"/>
        </w:rPr>
        <w:t>Note: Macitentan was listed on the 1/9/2014 and so 2014 Q3 only contains one month of data</w:t>
      </w:r>
    </w:p>
    <w:p w14:paraId="0F73FA9D" w14:textId="182D7184" w:rsidR="00EA175A" w:rsidRDefault="00EA175A" w:rsidP="00EA175A">
      <w:pPr>
        <w:rPr>
          <w:rFonts w:cs="Arial"/>
        </w:rPr>
      </w:pPr>
      <w:r>
        <w:rPr>
          <w:rFonts w:cs="Arial"/>
        </w:rPr>
        <w:lastRenderedPageBreak/>
        <w:t>In 2010 Q4 there w</w:t>
      </w:r>
      <w:r w:rsidR="00BA54AD">
        <w:rPr>
          <w:rFonts w:cs="Arial"/>
        </w:rPr>
        <w:t>ere</w:t>
      </w:r>
      <w:r>
        <w:rPr>
          <w:rFonts w:cs="Arial"/>
        </w:rPr>
        <w:t xml:space="preserve"> large spikes in the number of patients initiating to bosentan and ambrisentan. This corresponds with the withdrawal from the market of sitaxentan in December 2010. These large spikes were not present in Figure 3 as these initiations are for patients who were on sitaxentan before it was delisted and so these patients are initiating a new drug, but not PAH therapy.</w:t>
      </w:r>
    </w:p>
    <w:p w14:paraId="6F620E28" w14:textId="77777777" w:rsidR="00EA175A" w:rsidRDefault="00EA175A" w:rsidP="00EA175A">
      <w:pPr>
        <w:rPr>
          <w:rFonts w:cs="Arial"/>
        </w:rPr>
      </w:pPr>
      <w:r>
        <w:rPr>
          <w:rFonts w:cs="Arial"/>
        </w:rPr>
        <w:t>Figure 4 shows that 157 patients initiated macitentan in 2014 Q3 and Figure 3 shows that 71 of these were initiating PAH therapy. Thus 86 patients had previously been on another PAH drug (see Table 3 for more details).</w:t>
      </w:r>
    </w:p>
    <w:p w14:paraId="1FC60C6B" w14:textId="77777777" w:rsidR="00EA175A" w:rsidRPr="002C0419" w:rsidRDefault="00EA175A" w:rsidP="00EA175A">
      <w:pPr>
        <w:rPr>
          <w:rFonts w:cs="Arial"/>
          <w:szCs w:val="20"/>
        </w:rPr>
      </w:pPr>
      <w:r>
        <w:rPr>
          <w:rFonts w:cs="Arial"/>
          <w:szCs w:val="20"/>
        </w:rPr>
        <w:t xml:space="preserve">Figure 5 shows the prevalent patients from Figure 2 by the medicine prescribed. Patients may be included in multiple medicines within a year if they switched medicine during the year. </w:t>
      </w:r>
    </w:p>
    <w:p w14:paraId="0BD73054" w14:textId="77777777" w:rsidR="00EA175A" w:rsidRDefault="00EA175A" w:rsidP="00EA175A">
      <w:r>
        <w:rPr>
          <w:noProof/>
        </w:rPr>
        <w:drawing>
          <wp:inline distT="0" distB="0" distL="0" distR="0" wp14:anchorId="38068906" wp14:editId="72360735">
            <wp:extent cx="5687695" cy="3704294"/>
            <wp:effectExtent l="0" t="0" r="8255" b="0"/>
            <wp:docPr id="5" name="Chart 5" title="Figure 5: Patients – prevalent on PAH drugs, based on authority approvals"/>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965B69E" w14:textId="77777777" w:rsidR="00EA175A" w:rsidRDefault="00EA175A" w:rsidP="00EA175A">
      <w:pPr>
        <w:rPr>
          <w:rFonts w:cs="Arial"/>
          <w:sz w:val="20"/>
          <w:szCs w:val="20"/>
        </w:rPr>
      </w:pPr>
      <w:r w:rsidRPr="004A11F0">
        <w:rPr>
          <w:rFonts w:cs="Arial"/>
          <w:b/>
        </w:rPr>
        <w:t xml:space="preserve">Figure </w:t>
      </w:r>
      <w:r>
        <w:rPr>
          <w:rFonts w:cs="Arial"/>
          <w:b/>
        </w:rPr>
        <w:t xml:space="preserve">5: </w:t>
      </w:r>
      <w:r w:rsidRPr="00683F1D">
        <w:rPr>
          <w:rFonts w:cs="Arial"/>
          <w:b/>
          <w:bCs/>
        </w:rPr>
        <w:t xml:space="preserve">Patients </w:t>
      </w:r>
      <w:r>
        <w:rPr>
          <w:rFonts w:cs="Arial"/>
          <w:b/>
          <w:bCs/>
        </w:rPr>
        <w:t>–</w:t>
      </w:r>
      <w:r w:rsidRPr="00683F1D">
        <w:rPr>
          <w:rFonts w:cs="Arial"/>
          <w:b/>
          <w:bCs/>
        </w:rPr>
        <w:t xml:space="preserve"> </w:t>
      </w:r>
      <w:r>
        <w:rPr>
          <w:rFonts w:cs="Arial"/>
          <w:b/>
          <w:bCs/>
        </w:rPr>
        <w:t>prevalent on</w:t>
      </w:r>
      <w:r w:rsidRPr="00683F1D">
        <w:rPr>
          <w:rFonts w:cs="Arial"/>
          <w:b/>
          <w:bCs/>
        </w:rPr>
        <w:t xml:space="preserve"> </w:t>
      </w:r>
      <w:r>
        <w:rPr>
          <w:rFonts w:cs="Arial"/>
          <w:b/>
          <w:bCs/>
        </w:rPr>
        <w:t>PAH drugs, based on authority approvals</w:t>
      </w:r>
      <w:r>
        <w:rPr>
          <w:rFonts w:cs="Arial"/>
          <w:b/>
          <w:bCs/>
        </w:rPr>
        <w:br/>
      </w:r>
      <w:r>
        <w:rPr>
          <w:rFonts w:cs="Arial"/>
          <w:sz w:val="20"/>
          <w:szCs w:val="20"/>
        </w:rPr>
        <w:t>Source: DHS Authority Approvals database</w:t>
      </w:r>
      <w:r>
        <w:rPr>
          <w:rFonts w:cs="Arial"/>
          <w:sz w:val="20"/>
          <w:szCs w:val="20"/>
        </w:rPr>
        <w:br/>
      </w:r>
      <w:r w:rsidRPr="00C04EEF">
        <w:rPr>
          <w:rFonts w:cs="Arial"/>
          <w:sz w:val="20"/>
          <w:szCs w:val="20"/>
        </w:rPr>
        <w:t>Note: Macitentan was listed on the 1/9/2014 and so 2014 Q3 only contains one month</w:t>
      </w:r>
      <w:r>
        <w:rPr>
          <w:rFonts w:cs="Arial"/>
          <w:sz w:val="20"/>
          <w:szCs w:val="20"/>
        </w:rPr>
        <w:t xml:space="preserve"> of</w:t>
      </w:r>
      <w:r w:rsidRPr="00C04EEF">
        <w:rPr>
          <w:rFonts w:cs="Arial"/>
          <w:sz w:val="20"/>
          <w:szCs w:val="20"/>
        </w:rPr>
        <w:t xml:space="preserve"> data</w:t>
      </w:r>
    </w:p>
    <w:p w14:paraId="2E1BBCC4" w14:textId="77777777" w:rsidR="00EA175A" w:rsidRDefault="00EA175A" w:rsidP="00EA175A">
      <w:pPr>
        <w:rPr>
          <w:rFonts w:cs="Arial"/>
        </w:rPr>
      </w:pPr>
      <w:r>
        <w:rPr>
          <w:rFonts w:cs="Arial"/>
        </w:rPr>
        <w:t xml:space="preserve">The number of patients on bosentan has plateaued. The drugs with strongest growth of prevalent patients are ambrisentan, tadalafil and macitentan. </w:t>
      </w:r>
    </w:p>
    <w:p w14:paraId="79257E38" w14:textId="642E3D87" w:rsidR="00EA175A" w:rsidRDefault="00EA175A" w:rsidP="00EA175A">
      <w:pPr>
        <w:rPr>
          <w:rFonts w:cs="Arial"/>
          <w:szCs w:val="20"/>
        </w:rPr>
      </w:pPr>
      <w:r w:rsidRPr="00337253">
        <w:rPr>
          <w:rFonts w:cs="Arial"/>
          <w:szCs w:val="20"/>
        </w:rPr>
        <w:t>Table</w:t>
      </w:r>
      <w:r>
        <w:rPr>
          <w:rFonts w:cs="Arial"/>
          <w:szCs w:val="20"/>
        </w:rPr>
        <w:t xml:space="preserve"> 3 is an analysis by drug prior to initiation (i</w:t>
      </w:r>
      <w:r w:rsidR="007921AB">
        <w:rPr>
          <w:rFonts w:cs="Arial"/>
          <w:szCs w:val="20"/>
        </w:rPr>
        <w:t>.</w:t>
      </w:r>
      <w:r>
        <w:rPr>
          <w:rFonts w:cs="Arial"/>
          <w:szCs w:val="20"/>
        </w:rPr>
        <w:t xml:space="preserve">e. the PAH drug approved prior to initiation of another PAH drug) for all initiations shown in Figure 3. Where prior drug is “None”, the initiation to the drug is also an initiation to PAH therapy. Thus in total 4,044 patients have initiated PAH therapy and PAH drugs have been initiated 5,528 times by these patients. If a prior drug exists then the patient has either switched from this drug to </w:t>
      </w:r>
      <w:r>
        <w:rPr>
          <w:rFonts w:cs="Arial"/>
          <w:szCs w:val="20"/>
        </w:rPr>
        <w:lastRenderedPageBreak/>
        <w:t>the newly initiated drug, or had a break in treatment with the prior drug and subsequently initiated on the new drug.</w:t>
      </w:r>
    </w:p>
    <w:p w14:paraId="6EB07D88" w14:textId="77777777" w:rsidR="00EA175A" w:rsidRDefault="00EA175A" w:rsidP="00EA175A">
      <w:pPr>
        <w:rPr>
          <w:rFonts w:cs="Arial"/>
        </w:rPr>
      </w:pPr>
      <w:r>
        <w:rPr>
          <w:rFonts w:cs="Arial"/>
          <w:b/>
        </w:rPr>
        <w:t>Table 3: Initiating patients by drug initiated and prior drug,</w:t>
      </w:r>
      <w:r>
        <w:rPr>
          <w:rFonts w:cs="Arial"/>
          <w:b/>
          <w:bCs/>
        </w:rPr>
        <w:t xml:space="preserve"> based on authority approvals</w:t>
      </w:r>
    </w:p>
    <w:tbl>
      <w:tblPr>
        <w:tblW w:w="9238" w:type="dxa"/>
        <w:tblLook w:val="04A0" w:firstRow="1" w:lastRow="0" w:firstColumn="1" w:lastColumn="0" w:noHBand="0" w:noVBand="1"/>
      </w:tblPr>
      <w:tblGrid>
        <w:gridCol w:w="1265"/>
        <w:gridCol w:w="1191"/>
        <w:gridCol w:w="938"/>
        <w:gridCol w:w="1265"/>
        <w:gridCol w:w="857"/>
        <w:gridCol w:w="951"/>
        <w:gridCol w:w="1039"/>
        <w:gridCol w:w="919"/>
        <w:gridCol w:w="617"/>
        <w:gridCol w:w="617"/>
      </w:tblGrid>
      <w:tr w:rsidR="00EA175A" w:rsidRPr="00832BA2" w14:paraId="5C93BBDD" w14:textId="77777777" w:rsidTr="0099524E">
        <w:tc>
          <w:tcPr>
            <w:tcW w:w="0" w:type="auto"/>
            <w:tcBorders>
              <w:top w:val="nil"/>
              <w:left w:val="nil"/>
              <w:bottom w:val="nil"/>
              <w:right w:val="nil"/>
            </w:tcBorders>
            <w:shd w:val="clear" w:color="auto" w:fill="BFBFBF" w:themeFill="background1" w:themeFillShade="BF"/>
            <w:noWrap/>
            <w:vAlign w:val="bottom"/>
            <w:hideMark/>
          </w:tcPr>
          <w:p w14:paraId="03CCCA3D" w14:textId="77777777" w:rsidR="00EA175A" w:rsidRPr="00832BA2" w:rsidRDefault="00EA175A" w:rsidP="0099524E">
            <w:pPr>
              <w:spacing w:after="0"/>
              <w:jc w:val="center"/>
              <w:rPr>
                <w:rFonts w:ascii="Calibri" w:eastAsia="Times New Roman" w:hAnsi="Calibri" w:cs="Times New Roman"/>
                <w:b/>
                <w:bCs/>
                <w:color w:val="000000"/>
                <w:sz w:val="16"/>
                <w:szCs w:val="22"/>
              </w:rPr>
            </w:pPr>
            <w:r w:rsidRPr="00832BA2">
              <w:rPr>
                <w:rFonts w:ascii="Calibri" w:eastAsia="Times New Roman" w:hAnsi="Calibri" w:cs="Times New Roman"/>
                <w:b/>
                <w:bCs/>
                <w:color w:val="000000"/>
                <w:sz w:val="16"/>
                <w:szCs w:val="22"/>
              </w:rPr>
              <w:t>Patients</w:t>
            </w:r>
          </w:p>
        </w:tc>
        <w:tc>
          <w:tcPr>
            <w:tcW w:w="1191" w:type="dxa"/>
            <w:tcBorders>
              <w:top w:val="nil"/>
              <w:left w:val="nil"/>
              <w:bottom w:val="nil"/>
              <w:right w:val="nil"/>
            </w:tcBorders>
            <w:shd w:val="clear" w:color="auto" w:fill="BFBFBF" w:themeFill="background1" w:themeFillShade="BF"/>
            <w:noWrap/>
            <w:vAlign w:val="bottom"/>
            <w:hideMark/>
          </w:tcPr>
          <w:p w14:paraId="627734FD" w14:textId="77777777" w:rsidR="00EA175A" w:rsidRPr="00832BA2" w:rsidRDefault="00EA175A" w:rsidP="0099524E">
            <w:pPr>
              <w:spacing w:after="0"/>
              <w:jc w:val="center"/>
              <w:rPr>
                <w:rFonts w:ascii="Calibri" w:eastAsia="Times New Roman" w:hAnsi="Calibri" w:cs="Times New Roman"/>
                <w:b/>
                <w:bCs/>
                <w:color w:val="000000"/>
                <w:sz w:val="16"/>
                <w:szCs w:val="22"/>
              </w:rPr>
            </w:pPr>
            <w:r>
              <w:rPr>
                <w:rFonts w:ascii="Calibri" w:eastAsia="Times New Roman" w:hAnsi="Calibri" w:cs="Times New Roman"/>
                <w:b/>
                <w:bCs/>
                <w:color w:val="000000"/>
                <w:sz w:val="16"/>
                <w:szCs w:val="22"/>
              </w:rPr>
              <w:t>P</w:t>
            </w:r>
            <w:r w:rsidRPr="00832BA2">
              <w:rPr>
                <w:rFonts w:ascii="Calibri" w:eastAsia="Times New Roman" w:hAnsi="Calibri" w:cs="Times New Roman"/>
                <w:b/>
                <w:bCs/>
                <w:color w:val="000000"/>
                <w:sz w:val="16"/>
                <w:szCs w:val="22"/>
              </w:rPr>
              <w:t>rior drug</w:t>
            </w:r>
          </w:p>
        </w:tc>
        <w:tc>
          <w:tcPr>
            <w:tcW w:w="0" w:type="auto"/>
            <w:tcBorders>
              <w:top w:val="nil"/>
              <w:left w:val="nil"/>
              <w:bottom w:val="nil"/>
              <w:right w:val="nil"/>
            </w:tcBorders>
            <w:shd w:val="clear" w:color="auto" w:fill="BFBFBF" w:themeFill="background1" w:themeFillShade="BF"/>
            <w:noWrap/>
            <w:vAlign w:val="bottom"/>
            <w:hideMark/>
          </w:tcPr>
          <w:p w14:paraId="1238BBE8"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258D7FA3"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40664736"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2EC6C8E5"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1B15D0B6"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tcPr>
          <w:p w14:paraId="2EF48F97"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7735538B"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nil"/>
              <w:left w:val="nil"/>
              <w:bottom w:val="nil"/>
              <w:right w:val="nil"/>
            </w:tcBorders>
            <w:shd w:val="clear" w:color="auto" w:fill="BFBFBF" w:themeFill="background1" w:themeFillShade="BF"/>
            <w:noWrap/>
            <w:vAlign w:val="bottom"/>
            <w:hideMark/>
          </w:tcPr>
          <w:p w14:paraId="53D2E478" w14:textId="77777777" w:rsidR="00EA175A" w:rsidRPr="00832BA2" w:rsidRDefault="00EA175A" w:rsidP="0099524E">
            <w:pPr>
              <w:spacing w:after="0"/>
              <w:jc w:val="center"/>
              <w:rPr>
                <w:rFonts w:ascii="Calibri" w:eastAsia="Times New Roman" w:hAnsi="Calibri" w:cs="Times New Roman"/>
                <w:b/>
                <w:bCs/>
                <w:color w:val="000000"/>
                <w:sz w:val="16"/>
                <w:szCs w:val="22"/>
              </w:rPr>
            </w:pPr>
          </w:p>
        </w:tc>
      </w:tr>
      <w:tr w:rsidR="00EA175A" w:rsidRPr="00A07254" w14:paraId="6BD36903" w14:textId="77777777" w:rsidTr="0099524E">
        <w:tc>
          <w:tcPr>
            <w:tcW w:w="0" w:type="auto"/>
            <w:tcBorders>
              <w:top w:val="nil"/>
              <w:left w:val="nil"/>
              <w:bottom w:val="single" w:sz="4" w:space="0" w:color="95B3D7"/>
              <w:right w:val="nil"/>
            </w:tcBorders>
            <w:shd w:val="clear" w:color="auto" w:fill="BFBFBF" w:themeFill="background1" w:themeFillShade="BF"/>
            <w:noWrap/>
            <w:hideMark/>
          </w:tcPr>
          <w:p w14:paraId="2A9AF92F" w14:textId="77777777" w:rsidR="00EA175A" w:rsidRPr="00A07254" w:rsidRDefault="00EA175A" w:rsidP="0099524E">
            <w:pPr>
              <w:spacing w:after="0"/>
              <w:jc w:val="center"/>
              <w:rPr>
                <w:rFonts w:ascii="Calibri" w:eastAsia="Times New Roman" w:hAnsi="Calibri" w:cs="Times New Roman"/>
                <w:b/>
                <w:bCs/>
                <w:color w:val="000000"/>
                <w:sz w:val="16"/>
                <w:szCs w:val="22"/>
              </w:rPr>
            </w:pPr>
            <w:r w:rsidRPr="00A07254">
              <w:rPr>
                <w:rFonts w:ascii="Calibri" w:eastAsia="Times New Roman" w:hAnsi="Calibri" w:cs="Times New Roman"/>
                <w:b/>
                <w:bCs/>
                <w:color w:val="000000"/>
                <w:sz w:val="16"/>
                <w:szCs w:val="22"/>
              </w:rPr>
              <w:t>drug initiated</w:t>
            </w:r>
          </w:p>
        </w:tc>
        <w:tc>
          <w:tcPr>
            <w:tcW w:w="1191" w:type="dxa"/>
            <w:tcBorders>
              <w:top w:val="nil"/>
              <w:left w:val="nil"/>
              <w:bottom w:val="single" w:sz="4" w:space="0" w:color="95B3D7"/>
              <w:right w:val="nil"/>
            </w:tcBorders>
            <w:shd w:val="clear" w:color="auto" w:fill="BFBFBF" w:themeFill="background1" w:themeFillShade="BF"/>
            <w:noWrap/>
            <w:hideMark/>
          </w:tcPr>
          <w:p w14:paraId="16564922"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AMBRISENTAN</w:t>
            </w:r>
          </w:p>
        </w:tc>
        <w:tc>
          <w:tcPr>
            <w:tcW w:w="0" w:type="auto"/>
            <w:tcBorders>
              <w:top w:val="nil"/>
              <w:left w:val="nil"/>
              <w:bottom w:val="single" w:sz="4" w:space="0" w:color="95B3D7"/>
              <w:right w:val="nil"/>
            </w:tcBorders>
            <w:shd w:val="clear" w:color="auto" w:fill="BFBFBF" w:themeFill="background1" w:themeFillShade="BF"/>
            <w:noWrap/>
            <w:hideMark/>
          </w:tcPr>
          <w:p w14:paraId="074054A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BOSENTAN</w:t>
            </w:r>
          </w:p>
        </w:tc>
        <w:tc>
          <w:tcPr>
            <w:tcW w:w="0" w:type="auto"/>
            <w:tcBorders>
              <w:top w:val="nil"/>
              <w:left w:val="nil"/>
              <w:bottom w:val="single" w:sz="4" w:space="0" w:color="95B3D7"/>
              <w:right w:val="nil"/>
            </w:tcBorders>
            <w:shd w:val="clear" w:color="auto" w:fill="BFBFBF" w:themeFill="background1" w:themeFillShade="BF"/>
            <w:noWrap/>
            <w:hideMark/>
          </w:tcPr>
          <w:p w14:paraId="49FC401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EPOPROSTENOL</w:t>
            </w:r>
          </w:p>
        </w:tc>
        <w:tc>
          <w:tcPr>
            <w:tcW w:w="0" w:type="auto"/>
            <w:tcBorders>
              <w:top w:val="nil"/>
              <w:left w:val="nil"/>
              <w:bottom w:val="single" w:sz="4" w:space="0" w:color="95B3D7"/>
              <w:right w:val="nil"/>
            </w:tcBorders>
            <w:shd w:val="clear" w:color="auto" w:fill="BFBFBF" w:themeFill="background1" w:themeFillShade="BF"/>
            <w:noWrap/>
            <w:hideMark/>
          </w:tcPr>
          <w:p w14:paraId="6D339FC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ILOPROST</w:t>
            </w:r>
          </w:p>
        </w:tc>
        <w:tc>
          <w:tcPr>
            <w:tcW w:w="0" w:type="auto"/>
            <w:tcBorders>
              <w:top w:val="nil"/>
              <w:left w:val="nil"/>
              <w:bottom w:val="single" w:sz="4" w:space="0" w:color="95B3D7"/>
              <w:right w:val="nil"/>
            </w:tcBorders>
            <w:shd w:val="clear" w:color="auto" w:fill="BFBFBF" w:themeFill="background1" w:themeFillShade="BF"/>
            <w:noWrap/>
            <w:hideMark/>
          </w:tcPr>
          <w:p w14:paraId="70846A1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SILDENAFIL</w:t>
            </w:r>
          </w:p>
        </w:tc>
        <w:tc>
          <w:tcPr>
            <w:tcW w:w="0" w:type="auto"/>
            <w:tcBorders>
              <w:top w:val="nil"/>
              <w:left w:val="nil"/>
              <w:bottom w:val="single" w:sz="4" w:space="0" w:color="95B3D7"/>
              <w:right w:val="nil"/>
            </w:tcBorders>
            <w:shd w:val="clear" w:color="auto" w:fill="BFBFBF" w:themeFill="background1" w:themeFillShade="BF"/>
            <w:noWrap/>
            <w:hideMark/>
          </w:tcPr>
          <w:p w14:paraId="22E67FA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SITAXENTAN</w:t>
            </w:r>
          </w:p>
        </w:tc>
        <w:tc>
          <w:tcPr>
            <w:tcW w:w="0" w:type="auto"/>
            <w:tcBorders>
              <w:top w:val="nil"/>
              <w:left w:val="nil"/>
              <w:bottom w:val="single" w:sz="4" w:space="0" w:color="95B3D7"/>
              <w:right w:val="nil"/>
            </w:tcBorders>
            <w:shd w:val="clear" w:color="auto" w:fill="BFBFBF" w:themeFill="background1" w:themeFillShade="BF"/>
          </w:tcPr>
          <w:p w14:paraId="7FBCAD7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TADALAFIL</w:t>
            </w:r>
          </w:p>
        </w:tc>
        <w:tc>
          <w:tcPr>
            <w:tcW w:w="0" w:type="auto"/>
            <w:tcBorders>
              <w:top w:val="nil"/>
              <w:left w:val="nil"/>
              <w:bottom w:val="single" w:sz="4" w:space="0" w:color="95B3D7"/>
              <w:right w:val="nil"/>
            </w:tcBorders>
            <w:shd w:val="clear" w:color="auto" w:fill="BFBFBF" w:themeFill="background1" w:themeFillShade="BF"/>
            <w:noWrap/>
            <w:hideMark/>
          </w:tcPr>
          <w:p w14:paraId="0456BE9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None</w:t>
            </w:r>
          </w:p>
        </w:tc>
        <w:tc>
          <w:tcPr>
            <w:tcW w:w="0" w:type="auto"/>
            <w:tcBorders>
              <w:top w:val="nil"/>
              <w:left w:val="nil"/>
              <w:bottom w:val="single" w:sz="4" w:space="0" w:color="95B3D7"/>
              <w:right w:val="nil"/>
            </w:tcBorders>
            <w:shd w:val="clear" w:color="auto" w:fill="BFBFBF" w:themeFill="background1" w:themeFillShade="BF"/>
            <w:noWrap/>
            <w:hideMark/>
          </w:tcPr>
          <w:p w14:paraId="0EDA67F9"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Total</w:t>
            </w:r>
          </w:p>
        </w:tc>
      </w:tr>
      <w:tr w:rsidR="00EA175A" w:rsidRPr="00A07254" w14:paraId="67009D4E" w14:textId="77777777" w:rsidTr="0099524E">
        <w:tc>
          <w:tcPr>
            <w:tcW w:w="0" w:type="auto"/>
            <w:tcBorders>
              <w:top w:val="nil"/>
              <w:left w:val="nil"/>
              <w:bottom w:val="nil"/>
              <w:right w:val="nil"/>
            </w:tcBorders>
            <w:shd w:val="clear" w:color="auto" w:fill="auto"/>
            <w:noWrap/>
            <w:hideMark/>
          </w:tcPr>
          <w:p w14:paraId="287082B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AMBRISENTAN</w:t>
            </w:r>
          </w:p>
        </w:tc>
        <w:tc>
          <w:tcPr>
            <w:tcW w:w="1191" w:type="dxa"/>
            <w:tcBorders>
              <w:top w:val="nil"/>
              <w:left w:val="nil"/>
              <w:bottom w:val="nil"/>
              <w:right w:val="nil"/>
            </w:tcBorders>
            <w:shd w:val="clear" w:color="auto" w:fill="auto"/>
            <w:noWrap/>
            <w:hideMark/>
          </w:tcPr>
          <w:p w14:paraId="7F536C3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3E6C3E1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186 </w:t>
            </w:r>
          </w:p>
        </w:tc>
        <w:tc>
          <w:tcPr>
            <w:tcW w:w="0" w:type="auto"/>
            <w:tcBorders>
              <w:top w:val="nil"/>
              <w:left w:val="nil"/>
              <w:bottom w:val="nil"/>
              <w:right w:val="nil"/>
            </w:tcBorders>
            <w:shd w:val="clear" w:color="auto" w:fill="auto"/>
            <w:noWrap/>
            <w:hideMark/>
          </w:tcPr>
          <w:p w14:paraId="5997FC8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 </w:t>
            </w:r>
          </w:p>
        </w:tc>
        <w:tc>
          <w:tcPr>
            <w:tcW w:w="0" w:type="auto"/>
            <w:tcBorders>
              <w:top w:val="nil"/>
              <w:left w:val="nil"/>
              <w:bottom w:val="nil"/>
              <w:right w:val="nil"/>
            </w:tcBorders>
            <w:shd w:val="clear" w:color="auto" w:fill="auto"/>
            <w:noWrap/>
            <w:hideMark/>
          </w:tcPr>
          <w:p w14:paraId="36C0D6D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12 </w:t>
            </w:r>
          </w:p>
        </w:tc>
        <w:tc>
          <w:tcPr>
            <w:tcW w:w="0" w:type="auto"/>
            <w:tcBorders>
              <w:top w:val="nil"/>
              <w:left w:val="nil"/>
              <w:bottom w:val="nil"/>
              <w:right w:val="nil"/>
            </w:tcBorders>
            <w:shd w:val="clear" w:color="auto" w:fill="auto"/>
            <w:noWrap/>
            <w:hideMark/>
          </w:tcPr>
          <w:p w14:paraId="1EFF98C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41 </w:t>
            </w:r>
          </w:p>
        </w:tc>
        <w:tc>
          <w:tcPr>
            <w:tcW w:w="0" w:type="auto"/>
            <w:tcBorders>
              <w:top w:val="nil"/>
              <w:left w:val="nil"/>
              <w:bottom w:val="nil"/>
              <w:right w:val="nil"/>
            </w:tcBorders>
            <w:shd w:val="clear" w:color="auto" w:fill="auto"/>
            <w:noWrap/>
            <w:hideMark/>
          </w:tcPr>
          <w:p w14:paraId="4E93EDF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99 </w:t>
            </w:r>
          </w:p>
        </w:tc>
        <w:tc>
          <w:tcPr>
            <w:tcW w:w="0" w:type="auto"/>
            <w:tcBorders>
              <w:top w:val="nil"/>
              <w:left w:val="nil"/>
              <w:bottom w:val="nil"/>
              <w:right w:val="nil"/>
            </w:tcBorders>
          </w:tcPr>
          <w:p w14:paraId="1C1E06D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 </w:t>
            </w:r>
          </w:p>
        </w:tc>
        <w:tc>
          <w:tcPr>
            <w:tcW w:w="0" w:type="auto"/>
            <w:tcBorders>
              <w:top w:val="nil"/>
              <w:left w:val="nil"/>
              <w:bottom w:val="nil"/>
              <w:right w:val="nil"/>
            </w:tcBorders>
            <w:shd w:val="clear" w:color="auto" w:fill="auto"/>
            <w:noWrap/>
            <w:hideMark/>
          </w:tcPr>
          <w:p w14:paraId="46F9FAB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324 </w:t>
            </w:r>
          </w:p>
        </w:tc>
        <w:tc>
          <w:tcPr>
            <w:tcW w:w="0" w:type="auto"/>
            <w:tcBorders>
              <w:top w:val="nil"/>
              <w:left w:val="nil"/>
              <w:bottom w:val="nil"/>
              <w:right w:val="nil"/>
            </w:tcBorders>
            <w:shd w:val="clear" w:color="auto" w:fill="auto"/>
            <w:noWrap/>
            <w:hideMark/>
          </w:tcPr>
          <w:p w14:paraId="7F15162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672 </w:t>
            </w:r>
          </w:p>
        </w:tc>
      </w:tr>
      <w:tr w:rsidR="00EA175A" w:rsidRPr="00A07254" w14:paraId="67EC056D" w14:textId="77777777" w:rsidTr="0099524E">
        <w:tc>
          <w:tcPr>
            <w:tcW w:w="0" w:type="auto"/>
            <w:tcBorders>
              <w:top w:val="nil"/>
              <w:left w:val="nil"/>
              <w:bottom w:val="nil"/>
              <w:right w:val="nil"/>
            </w:tcBorders>
            <w:shd w:val="clear" w:color="auto" w:fill="auto"/>
            <w:noWrap/>
            <w:hideMark/>
          </w:tcPr>
          <w:p w14:paraId="1D9F94D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BOSENTAN</w:t>
            </w:r>
          </w:p>
        </w:tc>
        <w:tc>
          <w:tcPr>
            <w:tcW w:w="1191" w:type="dxa"/>
            <w:tcBorders>
              <w:top w:val="nil"/>
              <w:left w:val="nil"/>
              <w:bottom w:val="nil"/>
              <w:right w:val="nil"/>
            </w:tcBorders>
            <w:shd w:val="clear" w:color="auto" w:fill="auto"/>
            <w:noWrap/>
            <w:hideMark/>
          </w:tcPr>
          <w:p w14:paraId="0E1D342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23 </w:t>
            </w:r>
          </w:p>
        </w:tc>
        <w:tc>
          <w:tcPr>
            <w:tcW w:w="0" w:type="auto"/>
            <w:tcBorders>
              <w:top w:val="nil"/>
              <w:left w:val="nil"/>
              <w:bottom w:val="nil"/>
              <w:right w:val="nil"/>
            </w:tcBorders>
            <w:shd w:val="clear" w:color="auto" w:fill="auto"/>
            <w:noWrap/>
            <w:hideMark/>
          </w:tcPr>
          <w:p w14:paraId="11676DC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47EC27F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 </w:t>
            </w:r>
          </w:p>
        </w:tc>
        <w:tc>
          <w:tcPr>
            <w:tcW w:w="0" w:type="auto"/>
            <w:tcBorders>
              <w:top w:val="nil"/>
              <w:left w:val="nil"/>
              <w:bottom w:val="nil"/>
              <w:right w:val="nil"/>
            </w:tcBorders>
            <w:shd w:val="clear" w:color="auto" w:fill="auto"/>
            <w:noWrap/>
            <w:hideMark/>
          </w:tcPr>
          <w:p w14:paraId="49C5138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9 </w:t>
            </w:r>
          </w:p>
        </w:tc>
        <w:tc>
          <w:tcPr>
            <w:tcW w:w="0" w:type="auto"/>
            <w:tcBorders>
              <w:top w:val="nil"/>
              <w:left w:val="nil"/>
              <w:bottom w:val="nil"/>
              <w:right w:val="nil"/>
            </w:tcBorders>
            <w:shd w:val="clear" w:color="auto" w:fill="auto"/>
            <w:noWrap/>
            <w:hideMark/>
          </w:tcPr>
          <w:p w14:paraId="288C019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73 </w:t>
            </w:r>
          </w:p>
        </w:tc>
        <w:tc>
          <w:tcPr>
            <w:tcW w:w="0" w:type="auto"/>
            <w:tcBorders>
              <w:top w:val="nil"/>
              <w:left w:val="nil"/>
              <w:bottom w:val="nil"/>
              <w:right w:val="nil"/>
            </w:tcBorders>
            <w:shd w:val="clear" w:color="auto" w:fill="auto"/>
            <w:noWrap/>
            <w:hideMark/>
          </w:tcPr>
          <w:p w14:paraId="1E267B0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57 </w:t>
            </w:r>
          </w:p>
        </w:tc>
        <w:tc>
          <w:tcPr>
            <w:tcW w:w="0" w:type="auto"/>
            <w:tcBorders>
              <w:top w:val="nil"/>
              <w:left w:val="nil"/>
              <w:bottom w:val="nil"/>
              <w:right w:val="nil"/>
            </w:tcBorders>
          </w:tcPr>
          <w:p w14:paraId="454AFF6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 </w:t>
            </w:r>
          </w:p>
        </w:tc>
        <w:tc>
          <w:tcPr>
            <w:tcW w:w="0" w:type="auto"/>
            <w:tcBorders>
              <w:top w:val="nil"/>
              <w:left w:val="nil"/>
              <w:bottom w:val="nil"/>
              <w:right w:val="nil"/>
            </w:tcBorders>
            <w:shd w:val="clear" w:color="auto" w:fill="auto"/>
            <w:noWrap/>
            <w:hideMark/>
          </w:tcPr>
          <w:p w14:paraId="69350B4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2,688 </w:t>
            </w:r>
          </w:p>
        </w:tc>
        <w:tc>
          <w:tcPr>
            <w:tcW w:w="0" w:type="auto"/>
            <w:tcBorders>
              <w:top w:val="nil"/>
              <w:left w:val="nil"/>
              <w:bottom w:val="nil"/>
              <w:right w:val="nil"/>
            </w:tcBorders>
            <w:shd w:val="clear" w:color="auto" w:fill="auto"/>
            <w:noWrap/>
            <w:hideMark/>
          </w:tcPr>
          <w:p w14:paraId="32FE7C1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2,857 </w:t>
            </w:r>
          </w:p>
        </w:tc>
      </w:tr>
      <w:tr w:rsidR="00EA175A" w:rsidRPr="00A07254" w14:paraId="380CCA40" w14:textId="77777777" w:rsidTr="0099524E">
        <w:tc>
          <w:tcPr>
            <w:tcW w:w="0" w:type="auto"/>
            <w:tcBorders>
              <w:top w:val="nil"/>
              <w:left w:val="nil"/>
              <w:bottom w:val="nil"/>
              <w:right w:val="nil"/>
            </w:tcBorders>
            <w:shd w:val="clear" w:color="auto" w:fill="auto"/>
            <w:noWrap/>
            <w:hideMark/>
          </w:tcPr>
          <w:p w14:paraId="64991CD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EPOPROSTENOL</w:t>
            </w:r>
          </w:p>
        </w:tc>
        <w:tc>
          <w:tcPr>
            <w:tcW w:w="1191" w:type="dxa"/>
            <w:tcBorders>
              <w:top w:val="nil"/>
              <w:left w:val="nil"/>
              <w:bottom w:val="nil"/>
              <w:right w:val="nil"/>
            </w:tcBorders>
            <w:shd w:val="clear" w:color="auto" w:fill="auto"/>
            <w:noWrap/>
            <w:hideMark/>
          </w:tcPr>
          <w:p w14:paraId="60F4095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13 </w:t>
            </w:r>
          </w:p>
        </w:tc>
        <w:tc>
          <w:tcPr>
            <w:tcW w:w="0" w:type="auto"/>
            <w:tcBorders>
              <w:top w:val="nil"/>
              <w:left w:val="nil"/>
              <w:bottom w:val="nil"/>
              <w:right w:val="nil"/>
            </w:tcBorders>
            <w:shd w:val="clear" w:color="auto" w:fill="auto"/>
            <w:noWrap/>
            <w:hideMark/>
          </w:tcPr>
          <w:p w14:paraId="0D17596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83 </w:t>
            </w:r>
          </w:p>
        </w:tc>
        <w:tc>
          <w:tcPr>
            <w:tcW w:w="0" w:type="auto"/>
            <w:tcBorders>
              <w:top w:val="nil"/>
              <w:left w:val="nil"/>
              <w:bottom w:val="nil"/>
              <w:right w:val="nil"/>
            </w:tcBorders>
            <w:shd w:val="clear" w:color="auto" w:fill="auto"/>
            <w:noWrap/>
            <w:hideMark/>
          </w:tcPr>
          <w:p w14:paraId="53CC7AA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668992F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16 </w:t>
            </w:r>
          </w:p>
        </w:tc>
        <w:tc>
          <w:tcPr>
            <w:tcW w:w="0" w:type="auto"/>
            <w:tcBorders>
              <w:top w:val="nil"/>
              <w:left w:val="nil"/>
              <w:bottom w:val="nil"/>
              <w:right w:val="nil"/>
            </w:tcBorders>
            <w:shd w:val="clear" w:color="auto" w:fill="auto"/>
            <w:noWrap/>
            <w:hideMark/>
          </w:tcPr>
          <w:p w14:paraId="46D8AA3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 </w:t>
            </w:r>
          </w:p>
        </w:tc>
        <w:tc>
          <w:tcPr>
            <w:tcW w:w="0" w:type="auto"/>
            <w:tcBorders>
              <w:top w:val="nil"/>
              <w:left w:val="nil"/>
              <w:bottom w:val="nil"/>
              <w:right w:val="nil"/>
            </w:tcBorders>
            <w:shd w:val="clear" w:color="auto" w:fill="auto"/>
            <w:noWrap/>
            <w:hideMark/>
          </w:tcPr>
          <w:p w14:paraId="01078DB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 </w:t>
            </w:r>
          </w:p>
        </w:tc>
        <w:tc>
          <w:tcPr>
            <w:tcW w:w="0" w:type="auto"/>
            <w:tcBorders>
              <w:top w:val="nil"/>
              <w:left w:val="nil"/>
              <w:bottom w:val="nil"/>
              <w:right w:val="nil"/>
            </w:tcBorders>
          </w:tcPr>
          <w:p w14:paraId="19D4C87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 </w:t>
            </w:r>
          </w:p>
        </w:tc>
        <w:tc>
          <w:tcPr>
            <w:tcW w:w="0" w:type="auto"/>
            <w:tcBorders>
              <w:top w:val="nil"/>
              <w:left w:val="nil"/>
              <w:bottom w:val="nil"/>
              <w:right w:val="nil"/>
            </w:tcBorders>
            <w:shd w:val="clear" w:color="auto" w:fill="auto"/>
            <w:noWrap/>
            <w:hideMark/>
          </w:tcPr>
          <w:p w14:paraId="131AC03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27 </w:t>
            </w:r>
          </w:p>
        </w:tc>
        <w:tc>
          <w:tcPr>
            <w:tcW w:w="0" w:type="auto"/>
            <w:tcBorders>
              <w:top w:val="nil"/>
              <w:left w:val="nil"/>
              <w:bottom w:val="nil"/>
              <w:right w:val="nil"/>
            </w:tcBorders>
            <w:shd w:val="clear" w:color="auto" w:fill="auto"/>
            <w:noWrap/>
            <w:hideMark/>
          </w:tcPr>
          <w:p w14:paraId="044DCF0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152 </w:t>
            </w:r>
          </w:p>
        </w:tc>
      </w:tr>
      <w:tr w:rsidR="00EA175A" w:rsidRPr="00A07254" w14:paraId="15AAA517" w14:textId="77777777" w:rsidTr="0099524E">
        <w:tc>
          <w:tcPr>
            <w:tcW w:w="0" w:type="auto"/>
            <w:tcBorders>
              <w:top w:val="nil"/>
              <w:left w:val="nil"/>
              <w:bottom w:val="nil"/>
              <w:right w:val="nil"/>
            </w:tcBorders>
            <w:shd w:val="clear" w:color="auto" w:fill="auto"/>
            <w:noWrap/>
            <w:hideMark/>
          </w:tcPr>
          <w:p w14:paraId="5DB7D50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ILOPROST</w:t>
            </w:r>
          </w:p>
        </w:tc>
        <w:tc>
          <w:tcPr>
            <w:tcW w:w="1191" w:type="dxa"/>
            <w:tcBorders>
              <w:top w:val="nil"/>
              <w:left w:val="nil"/>
              <w:bottom w:val="nil"/>
              <w:right w:val="nil"/>
            </w:tcBorders>
            <w:shd w:val="clear" w:color="auto" w:fill="auto"/>
            <w:noWrap/>
            <w:hideMark/>
          </w:tcPr>
          <w:p w14:paraId="707337C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17 </w:t>
            </w:r>
          </w:p>
        </w:tc>
        <w:tc>
          <w:tcPr>
            <w:tcW w:w="0" w:type="auto"/>
            <w:tcBorders>
              <w:top w:val="nil"/>
              <w:left w:val="nil"/>
              <w:bottom w:val="nil"/>
              <w:right w:val="nil"/>
            </w:tcBorders>
            <w:shd w:val="clear" w:color="auto" w:fill="auto"/>
            <w:noWrap/>
            <w:hideMark/>
          </w:tcPr>
          <w:p w14:paraId="0F2F411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143 </w:t>
            </w:r>
          </w:p>
        </w:tc>
        <w:tc>
          <w:tcPr>
            <w:tcW w:w="0" w:type="auto"/>
            <w:tcBorders>
              <w:top w:val="nil"/>
              <w:left w:val="nil"/>
              <w:bottom w:val="nil"/>
              <w:right w:val="nil"/>
            </w:tcBorders>
            <w:shd w:val="clear" w:color="auto" w:fill="auto"/>
            <w:noWrap/>
            <w:hideMark/>
          </w:tcPr>
          <w:p w14:paraId="22E0853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8 </w:t>
            </w:r>
          </w:p>
        </w:tc>
        <w:tc>
          <w:tcPr>
            <w:tcW w:w="0" w:type="auto"/>
            <w:tcBorders>
              <w:top w:val="nil"/>
              <w:left w:val="nil"/>
              <w:bottom w:val="nil"/>
              <w:right w:val="nil"/>
            </w:tcBorders>
            <w:shd w:val="clear" w:color="auto" w:fill="auto"/>
            <w:noWrap/>
            <w:hideMark/>
          </w:tcPr>
          <w:p w14:paraId="1A64615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17F7C4F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27 </w:t>
            </w:r>
          </w:p>
        </w:tc>
        <w:tc>
          <w:tcPr>
            <w:tcW w:w="0" w:type="auto"/>
            <w:tcBorders>
              <w:top w:val="nil"/>
              <w:left w:val="nil"/>
              <w:bottom w:val="nil"/>
              <w:right w:val="nil"/>
            </w:tcBorders>
            <w:shd w:val="clear" w:color="auto" w:fill="auto"/>
            <w:noWrap/>
            <w:hideMark/>
          </w:tcPr>
          <w:p w14:paraId="174CEB1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 </w:t>
            </w:r>
          </w:p>
        </w:tc>
        <w:tc>
          <w:tcPr>
            <w:tcW w:w="0" w:type="auto"/>
            <w:tcBorders>
              <w:top w:val="nil"/>
              <w:left w:val="nil"/>
              <w:bottom w:val="nil"/>
              <w:right w:val="nil"/>
            </w:tcBorders>
          </w:tcPr>
          <w:p w14:paraId="7CE3884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3FEFEB1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64 </w:t>
            </w:r>
          </w:p>
        </w:tc>
        <w:tc>
          <w:tcPr>
            <w:tcW w:w="0" w:type="auto"/>
            <w:tcBorders>
              <w:top w:val="nil"/>
              <w:left w:val="nil"/>
              <w:bottom w:val="nil"/>
              <w:right w:val="nil"/>
            </w:tcBorders>
            <w:shd w:val="clear" w:color="auto" w:fill="auto"/>
            <w:noWrap/>
            <w:hideMark/>
          </w:tcPr>
          <w:p w14:paraId="721B201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266 </w:t>
            </w:r>
          </w:p>
        </w:tc>
      </w:tr>
      <w:tr w:rsidR="00EA175A" w:rsidRPr="00A07254" w14:paraId="526B8769" w14:textId="77777777" w:rsidTr="0099524E">
        <w:tc>
          <w:tcPr>
            <w:tcW w:w="0" w:type="auto"/>
            <w:tcBorders>
              <w:top w:val="nil"/>
              <w:left w:val="nil"/>
              <w:bottom w:val="nil"/>
              <w:right w:val="nil"/>
            </w:tcBorders>
            <w:shd w:val="clear" w:color="auto" w:fill="auto"/>
            <w:noWrap/>
            <w:hideMark/>
          </w:tcPr>
          <w:p w14:paraId="4E8C269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MACITENTAN</w:t>
            </w:r>
          </w:p>
        </w:tc>
        <w:tc>
          <w:tcPr>
            <w:tcW w:w="1191" w:type="dxa"/>
            <w:tcBorders>
              <w:top w:val="nil"/>
              <w:left w:val="nil"/>
              <w:bottom w:val="nil"/>
              <w:right w:val="nil"/>
            </w:tcBorders>
            <w:shd w:val="clear" w:color="auto" w:fill="auto"/>
            <w:noWrap/>
            <w:hideMark/>
          </w:tcPr>
          <w:p w14:paraId="71B05FE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24 </w:t>
            </w:r>
          </w:p>
        </w:tc>
        <w:tc>
          <w:tcPr>
            <w:tcW w:w="0" w:type="auto"/>
            <w:tcBorders>
              <w:top w:val="nil"/>
              <w:left w:val="nil"/>
              <w:bottom w:val="nil"/>
              <w:right w:val="nil"/>
            </w:tcBorders>
            <w:shd w:val="clear" w:color="auto" w:fill="auto"/>
            <w:noWrap/>
            <w:hideMark/>
          </w:tcPr>
          <w:p w14:paraId="165B982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51 </w:t>
            </w:r>
          </w:p>
        </w:tc>
        <w:tc>
          <w:tcPr>
            <w:tcW w:w="0" w:type="auto"/>
            <w:tcBorders>
              <w:top w:val="nil"/>
              <w:left w:val="nil"/>
              <w:bottom w:val="nil"/>
              <w:right w:val="nil"/>
            </w:tcBorders>
            <w:shd w:val="clear" w:color="auto" w:fill="auto"/>
            <w:noWrap/>
            <w:hideMark/>
          </w:tcPr>
          <w:p w14:paraId="52E8E06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4AF630F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61C0D07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 </w:t>
            </w:r>
          </w:p>
        </w:tc>
        <w:tc>
          <w:tcPr>
            <w:tcW w:w="0" w:type="auto"/>
            <w:tcBorders>
              <w:top w:val="nil"/>
              <w:left w:val="nil"/>
              <w:bottom w:val="nil"/>
              <w:right w:val="nil"/>
            </w:tcBorders>
            <w:shd w:val="clear" w:color="auto" w:fill="auto"/>
            <w:noWrap/>
            <w:hideMark/>
          </w:tcPr>
          <w:p w14:paraId="3D0943B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tcPr>
          <w:p w14:paraId="2776791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4 </w:t>
            </w:r>
          </w:p>
        </w:tc>
        <w:tc>
          <w:tcPr>
            <w:tcW w:w="0" w:type="auto"/>
            <w:tcBorders>
              <w:top w:val="nil"/>
              <w:left w:val="nil"/>
              <w:bottom w:val="nil"/>
              <w:right w:val="nil"/>
            </w:tcBorders>
            <w:shd w:val="clear" w:color="auto" w:fill="auto"/>
            <w:noWrap/>
            <w:hideMark/>
          </w:tcPr>
          <w:p w14:paraId="07109CD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71 </w:t>
            </w:r>
          </w:p>
        </w:tc>
        <w:tc>
          <w:tcPr>
            <w:tcW w:w="0" w:type="auto"/>
            <w:tcBorders>
              <w:top w:val="nil"/>
              <w:left w:val="nil"/>
              <w:bottom w:val="nil"/>
              <w:right w:val="nil"/>
            </w:tcBorders>
            <w:shd w:val="clear" w:color="auto" w:fill="auto"/>
            <w:noWrap/>
            <w:hideMark/>
          </w:tcPr>
          <w:p w14:paraId="235D6EA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157 </w:t>
            </w:r>
          </w:p>
        </w:tc>
      </w:tr>
      <w:tr w:rsidR="00EA175A" w:rsidRPr="00A07254" w14:paraId="2F8731EE" w14:textId="77777777" w:rsidTr="0099524E">
        <w:tc>
          <w:tcPr>
            <w:tcW w:w="0" w:type="auto"/>
            <w:tcBorders>
              <w:top w:val="nil"/>
              <w:left w:val="nil"/>
              <w:bottom w:val="nil"/>
              <w:right w:val="nil"/>
            </w:tcBorders>
            <w:shd w:val="clear" w:color="auto" w:fill="auto"/>
            <w:noWrap/>
            <w:hideMark/>
          </w:tcPr>
          <w:p w14:paraId="0236B99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SILDENAFIL</w:t>
            </w:r>
          </w:p>
        </w:tc>
        <w:tc>
          <w:tcPr>
            <w:tcW w:w="1191" w:type="dxa"/>
            <w:tcBorders>
              <w:top w:val="nil"/>
              <w:left w:val="nil"/>
              <w:bottom w:val="nil"/>
              <w:right w:val="nil"/>
            </w:tcBorders>
            <w:shd w:val="clear" w:color="auto" w:fill="auto"/>
            <w:noWrap/>
            <w:hideMark/>
          </w:tcPr>
          <w:p w14:paraId="08798AC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36 </w:t>
            </w:r>
          </w:p>
        </w:tc>
        <w:tc>
          <w:tcPr>
            <w:tcW w:w="0" w:type="auto"/>
            <w:tcBorders>
              <w:top w:val="nil"/>
              <w:left w:val="nil"/>
              <w:bottom w:val="nil"/>
              <w:right w:val="nil"/>
            </w:tcBorders>
            <w:shd w:val="clear" w:color="auto" w:fill="auto"/>
            <w:noWrap/>
            <w:hideMark/>
          </w:tcPr>
          <w:p w14:paraId="39CEAAE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217 </w:t>
            </w:r>
          </w:p>
        </w:tc>
        <w:tc>
          <w:tcPr>
            <w:tcW w:w="0" w:type="auto"/>
            <w:tcBorders>
              <w:top w:val="nil"/>
              <w:left w:val="nil"/>
              <w:bottom w:val="nil"/>
              <w:right w:val="nil"/>
            </w:tcBorders>
            <w:shd w:val="clear" w:color="auto" w:fill="auto"/>
            <w:noWrap/>
            <w:hideMark/>
          </w:tcPr>
          <w:p w14:paraId="487E1A0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 </w:t>
            </w:r>
          </w:p>
        </w:tc>
        <w:tc>
          <w:tcPr>
            <w:tcW w:w="0" w:type="auto"/>
            <w:tcBorders>
              <w:top w:val="nil"/>
              <w:left w:val="nil"/>
              <w:bottom w:val="nil"/>
              <w:right w:val="nil"/>
            </w:tcBorders>
            <w:shd w:val="clear" w:color="auto" w:fill="auto"/>
            <w:noWrap/>
            <w:hideMark/>
          </w:tcPr>
          <w:p w14:paraId="28B92DC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22 </w:t>
            </w:r>
          </w:p>
        </w:tc>
        <w:tc>
          <w:tcPr>
            <w:tcW w:w="0" w:type="auto"/>
            <w:tcBorders>
              <w:top w:val="nil"/>
              <w:left w:val="nil"/>
              <w:bottom w:val="nil"/>
              <w:right w:val="nil"/>
            </w:tcBorders>
            <w:shd w:val="clear" w:color="auto" w:fill="auto"/>
            <w:noWrap/>
            <w:hideMark/>
          </w:tcPr>
          <w:p w14:paraId="631CE2D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6637F00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20 </w:t>
            </w:r>
          </w:p>
        </w:tc>
        <w:tc>
          <w:tcPr>
            <w:tcW w:w="0" w:type="auto"/>
            <w:tcBorders>
              <w:top w:val="nil"/>
              <w:left w:val="nil"/>
              <w:bottom w:val="nil"/>
              <w:right w:val="nil"/>
            </w:tcBorders>
          </w:tcPr>
          <w:p w14:paraId="0B00422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3 </w:t>
            </w:r>
          </w:p>
        </w:tc>
        <w:tc>
          <w:tcPr>
            <w:tcW w:w="0" w:type="auto"/>
            <w:tcBorders>
              <w:top w:val="nil"/>
              <w:left w:val="nil"/>
              <w:bottom w:val="nil"/>
              <w:right w:val="nil"/>
            </w:tcBorders>
            <w:shd w:val="clear" w:color="auto" w:fill="auto"/>
            <w:noWrap/>
            <w:hideMark/>
          </w:tcPr>
          <w:p w14:paraId="23F633C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681 </w:t>
            </w:r>
          </w:p>
        </w:tc>
        <w:tc>
          <w:tcPr>
            <w:tcW w:w="0" w:type="auto"/>
            <w:tcBorders>
              <w:top w:val="nil"/>
              <w:left w:val="nil"/>
              <w:bottom w:val="nil"/>
              <w:right w:val="nil"/>
            </w:tcBorders>
            <w:shd w:val="clear" w:color="auto" w:fill="auto"/>
            <w:noWrap/>
            <w:hideMark/>
          </w:tcPr>
          <w:p w14:paraId="372C09F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980 </w:t>
            </w:r>
          </w:p>
        </w:tc>
      </w:tr>
      <w:tr w:rsidR="00EA175A" w:rsidRPr="00A07254" w14:paraId="09A836B3" w14:textId="77777777" w:rsidTr="0099524E">
        <w:tc>
          <w:tcPr>
            <w:tcW w:w="0" w:type="auto"/>
            <w:tcBorders>
              <w:top w:val="nil"/>
              <w:left w:val="nil"/>
              <w:bottom w:val="nil"/>
              <w:right w:val="nil"/>
            </w:tcBorders>
            <w:shd w:val="clear" w:color="auto" w:fill="auto"/>
            <w:noWrap/>
            <w:hideMark/>
          </w:tcPr>
          <w:p w14:paraId="70935232"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SITAXENTAN</w:t>
            </w:r>
          </w:p>
        </w:tc>
        <w:tc>
          <w:tcPr>
            <w:tcW w:w="1191" w:type="dxa"/>
            <w:tcBorders>
              <w:top w:val="nil"/>
              <w:left w:val="nil"/>
              <w:bottom w:val="nil"/>
              <w:right w:val="nil"/>
            </w:tcBorders>
            <w:shd w:val="clear" w:color="auto" w:fill="auto"/>
            <w:noWrap/>
            <w:hideMark/>
          </w:tcPr>
          <w:p w14:paraId="5EC5471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 </w:t>
            </w:r>
          </w:p>
        </w:tc>
        <w:tc>
          <w:tcPr>
            <w:tcW w:w="0" w:type="auto"/>
            <w:tcBorders>
              <w:top w:val="nil"/>
              <w:left w:val="nil"/>
              <w:bottom w:val="nil"/>
              <w:right w:val="nil"/>
            </w:tcBorders>
            <w:shd w:val="clear" w:color="auto" w:fill="auto"/>
            <w:noWrap/>
            <w:hideMark/>
          </w:tcPr>
          <w:p w14:paraId="5145320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98 </w:t>
            </w:r>
          </w:p>
        </w:tc>
        <w:tc>
          <w:tcPr>
            <w:tcW w:w="0" w:type="auto"/>
            <w:tcBorders>
              <w:top w:val="nil"/>
              <w:left w:val="nil"/>
              <w:bottom w:val="nil"/>
              <w:right w:val="nil"/>
            </w:tcBorders>
            <w:shd w:val="clear" w:color="auto" w:fill="auto"/>
            <w:noWrap/>
            <w:hideMark/>
          </w:tcPr>
          <w:p w14:paraId="669CBC8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 </w:t>
            </w:r>
          </w:p>
        </w:tc>
        <w:tc>
          <w:tcPr>
            <w:tcW w:w="0" w:type="auto"/>
            <w:tcBorders>
              <w:top w:val="nil"/>
              <w:left w:val="nil"/>
              <w:bottom w:val="nil"/>
              <w:right w:val="nil"/>
            </w:tcBorders>
            <w:shd w:val="clear" w:color="auto" w:fill="auto"/>
            <w:noWrap/>
            <w:hideMark/>
          </w:tcPr>
          <w:p w14:paraId="25F9C1F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10 </w:t>
            </w:r>
          </w:p>
        </w:tc>
        <w:tc>
          <w:tcPr>
            <w:tcW w:w="0" w:type="auto"/>
            <w:tcBorders>
              <w:top w:val="nil"/>
              <w:left w:val="nil"/>
              <w:bottom w:val="nil"/>
              <w:right w:val="nil"/>
            </w:tcBorders>
            <w:shd w:val="clear" w:color="auto" w:fill="auto"/>
            <w:noWrap/>
            <w:hideMark/>
          </w:tcPr>
          <w:p w14:paraId="7993E82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40 </w:t>
            </w:r>
          </w:p>
        </w:tc>
        <w:tc>
          <w:tcPr>
            <w:tcW w:w="0" w:type="auto"/>
            <w:tcBorders>
              <w:top w:val="nil"/>
              <w:left w:val="nil"/>
              <w:bottom w:val="nil"/>
              <w:right w:val="nil"/>
            </w:tcBorders>
            <w:shd w:val="clear" w:color="auto" w:fill="auto"/>
            <w:noWrap/>
            <w:hideMark/>
          </w:tcPr>
          <w:p w14:paraId="3A3E8A9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tcPr>
          <w:p w14:paraId="0C58B6E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hideMark/>
          </w:tcPr>
          <w:p w14:paraId="426C834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122 </w:t>
            </w:r>
          </w:p>
        </w:tc>
        <w:tc>
          <w:tcPr>
            <w:tcW w:w="0" w:type="auto"/>
            <w:tcBorders>
              <w:top w:val="nil"/>
              <w:left w:val="nil"/>
              <w:bottom w:val="nil"/>
              <w:right w:val="nil"/>
            </w:tcBorders>
            <w:shd w:val="clear" w:color="auto" w:fill="auto"/>
            <w:noWrap/>
            <w:hideMark/>
          </w:tcPr>
          <w:p w14:paraId="57F5BED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276 </w:t>
            </w:r>
          </w:p>
        </w:tc>
      </w:tr>
      <w:tr w:rsidR="00EA175A" w:rsidRPr="00A07254" w14:paraId="78D6C36B" w14:textId="77777777" w:rsidTr="0099524E">
        <w:tc>
          <w:tcPr>
            <w:tcW w:w="0" w:type="auto"/>
            <w:tcBorders>
              <w:top w:val="nil"/>
              <w:left w:val="nil"/>
              <w:bottom w:val="nil"/>
              <w:right w:val="nil"/>
            </w:tcBorders>
            <w:shd w:val="clear" w:color="auto" w:fill="auto"/>
            <w:noWrap/>
          </w:tcPr>
          <w:p w14:paraId="154721A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TADALAFIL</w:t>
            </w:r>
          </w:p>
        </w:tc>
        <w:tc>
          <w:tcPr>
            <w:tcW w:w="1191" w:type="dxa"/>
            <w:tcBorders>
              <w:top w:val="nil"/>
              <w:left w:val="nil"/>
              <w:bottom w:val="nil"/>
              <w:right w:val="nil"/>
            </w:tcBorders>
            <w:shd w:val="clear" w:color="auto" w:fill="auto"/>
            <w:noWrap/>
          </w:tcPr>
          <w:p w14:paraId="64E2FF7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14 </w:t>
            </w:r>
          </w:p>
        </w:tc>
        <w:tc>
          <w:tcPr>
            <w:tcW w:w="0" w:type="auto"/>
            <w:tcBorders>
              <w:top w:val="nil"/>
              <w:left w:val="nil"/>
              <w:bottom w:val="nil"/>
              <w:right w:val="nil"/>
            </w:tcBorders>
            <w:shd w:val="clear" w:color="auto" w:fill="auto"/>
            <w:noWrap/>
          </w:tcPr>
          <w:p w14:paraId="736EBB5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36 </w:t>
            </w:r>
          </w:p>
        </w:tc>
        <w:tc>
          <w:tcPr>
            <w:tcW w:w="0" w:type="auto"/>
            <w:tcBorders>
              <w:top w:val="nil"/>
              <w:left w:val="nil"/>
              <w:bottom w:val="nil"/>
              <w:right w:val="nil"/>
            </w:tcBorders>
            <w:shd w:val="clear" w:color="auto" w:fill="auto"/>
            <w:noWrap/>
          </w:tcPr>
          <w:p w14:paraId="7A14D26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tcPr>
          <w:p w14:paraId="0BD90AF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3 </w:t>
            </w:r>
          </w:p>
        </w:tc>
        <w:tc>
          <w:tcPr>
            <w:tcW w:w="0" w:type="auto"/>
            <w:tcBorders>
              <w:top w:val="nil"/>
              <w:left w:val="nil"/>
              <w:bottom w:val="nil"/>
              <w:right w:val="nil"/>
            </w:tcBorders>
            <w:shd w:val="clear" w:color="auto" w:fill="auto"/>
            <w:noWrap/>
          </w:tcPr>
          <w:p w14:paraId="20878E1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48 </w:t>
            </w:r>
          </w:p>
        </w:tc>
        <w:tc>
          <w:tcPr>
            <w:tcW w:w="0" w:type="auto"/>
            <w:tcBorders>
              <w:top w:val="nil"/>
              <w:left w:val="nil"/>
              <w:bottom w:val="nil"/>
              <w:right w:val="nil"/>
            </w:tcBorders>
            <w:shd w:val="clear" w:color="auto" w:fill="auto"/>
            <w:noWrap/>
          </w:tcPr>
          <w:p w14:paraId="0B61C2D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tcPr>
          <w:p w14:paraId="407CB9C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   </w:t>
            </w:r>
          </w:p>
        </w:tc>
        <w:tc>
          <w:tcPr>
            <w:tcW w:w="0" w:type="auto"/>
            <w:tcBorders>
              <w:top w:val="nil"/>
              <w:left w:val="nil"/>
              <w:bottom w:val="nil"/>
              <w:right w:val="nil"/>
            </w:tcBorders>
            <w:shd w:val="clear" w:color="auto" w:fill="auto"/>
            <w:noWrap/>
          </w:tcPr>
          <w:p w14:paraId="0BF0C57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67 </w:t>
            </w:r>
          </w:p>
        </w:tc>
        <w:tc>
          <w:tcPr>
            <w:tcW w:w="0" w:type="auto"/>
            <w:tcBorders>
              <w:top w:val="nil"/>
              <w:left w:val="nil"/>
              <w:bottom w:val="nil"/>
              <w:right w:val="nil"/>
            </w:tcBorders>
            <w:shd w:val="clear" w:color="auto" w:fill="auto"/>
            <w:noWrap/>
          </w:tcPr>
          <w:p w14:paraId="2ED33CF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168 </w:t>
            </w:r>
          </w:p>
        </w:tc>
      </w:tr>
      <w:tr w:rsidR="00EA175A" w:rsidRPr="00A07254" w14:paraId="538B7A01" w14:textId="77777777" w:rsidTr="0099524E">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6213CB17" w14:textId="77777777" w:rsidR="00EA175A" w:rsidRPr="00A07254" w:rsidRDefault="00EA175A" w:rsidP="0099524E">
            <w:pPr>
              <w:spacing w:after="0"/>
              <w:jc w:val="center"/>
              <w:rPr>
                <w:rFonts w:ascii="Calibri" w:eastAsia="Times New Roman" w:hAnsi="Calibri" w:cs="Times New Roman"/>
                <w:b/>
                <w:bCs/>
                <w:color w:val="000000"/>
                <w:sz w:val="16"/>
                <w:szCs w:val="22"/>
              </w:rPr>
            </w:pPr>
            <w:r w:rsidRPr="00A07254">
              <w:rPr>
                <w:rFonts w:ascii="Calibri" w:eastAsia="Times New Roman" w:hAnsi="Calibri" w:cs="Times New Roman"/>
                <w:b/>
                <w:bCs/>
                <w:color w:val="000000"/>
                <w:sz w:val="16"/>
                <w:szCs w:val="22"/>
              </w:rPr>
              <w:t>Total</w:t>
            </w:r>
          </w:p>
        </w:tc>
        <w:tc>
          <w:tcPr>
            <w:tcW w:w="1191" w:type="dxa"/>
            <w:tcBorders>
              <w:top w:val="single" w:sz="4" w:space="0" w:color="95B3D7"/>
              <w:left w:val="nil"/>
              <w:bottom w:val="single" w:sz="4" w:space="0" w:color="95B3D7"/>
              <w:right w:val="nil"/>
            </w:tcBorders>
            <w:shd w:val="clear" w:color="auto" w:fill="BFBFBF" w:themeFill="background1" w:themeFillShade="BF"/>
            <w:noWrap/>
            <w:hideMark/>
          </w:tcPr>
          <w:p w14:paraId="2C632ED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132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7409914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814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2E17251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17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48F6A42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72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3904E40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243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0BACDBA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188 </w:t>
            </w:r>
          </w:p>
        </w:tc>
        <w:tc>
          <w:tcPr>
            <w:tcW w:w="0" w:type="auto"/>
            <w:tcBorders>
              <w:top w:val="single" w:sz="4" w:space="0" w:color="95B3D7"/>
              <w:left w:val="nil"/>
              <w:bottom w:val="single" w:sz="4" w:space="0" w:color="95B3D7"/>
              <w:right w:val="nil"/>
            </w:tcBorders>
            <w:shd w:val="clear" w:color="auto" w:fill="BFBFBF" w:themeFill="background1" w:themeFillShade="BF"/>
          </w:tcPr>
          <w:p w14:paraId="017359D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18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414AE54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4,044 </w:t>
            </w:r>
          </w:p>
        </w:tc>
        <w:tc>
          <w:tcPr>
            <w:tcW w:w="0" w:type="auto"/>
            <w:tcBorders>
              <w:top w:val="single" w:sz="4" w:space="0" w:color="95B3D7"/>
              <w:left w:val="nil"/>
              <w:bottom w:val="single" w:sz="4" w:space="0" w:color="95B3D7"/>
              <w:right w:val="nil"/>
            </w:tcBorders>
            <w:shd w:val="clear" w:color="auto" w:fill="BFBFBF" w:themeFill="background1" w:themeFillShade="BF"/>
            <w:noWrap/>
            <w:hideMark/>
          </w:tcPr>
          <w:p w14:paraId="714A898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 xml:space="preserve"> 5,528 </w:t>
            </w:r>
          </w:p>
        </w:tc>
      </w:tr>
      <w:tr w:rsidR="00EA175A" w:rsidRPr="00832BA2" w14:paraId="3EDFB2F1" w14:textId="77777777" w:rsidTr="0099524E">
        <w:tc>
          <w:tcPr>
            <w:tcW w:w="0" w:type="auto"/>
            <w:tcBorders>
              <w:top w:val="single" w:sz="4" w:space="0" w:color="95B3D7"/>
              <w:left w:val="nil"/>
              <w:bottom w:val="single" w:sz="4" w:space="0" w:color="95B3D7"/>
              <w:right w:val="nil"/>
            </w:tcBorders>
            <w:shd w:val="clear" w:color="DCE6F1" w:fill="auto"/>
            <w:noWrap/>
            <w:vAlign w:val="bottom"/>
          </w:tcPr>
          <w:p w14:paraId="28D45068" w14:textId="77777777" w:rsidR="00EA175A" w:rsidRDefault="00EA175A" w:rsidP="0099524E">
            <w:pPr>
              <w:spacing w:after="0"/>
              <w:jc w:val="center"/>
              <w:rPr>
                <w:rFonts w:ascii="Calibri" w:eastAsia="Times New Roman" w:hAnsi="Calibri" w:cs="Times New Roman"/>
                <w:b/>
                <w:bCs/>
                <w:color w:val="000000"/>
                <w:sz w:val="16"/>
                <w:szCs w:val="22"/>
              </w:rPr>
            </w:pPr>
          </w:p>
        </w:tc>
        <w:tc>
          <w:tcPr>
            <w:tcW w:w="1191" w:type="dxa"/>
            <w:tcBorders>
              <w:top w:val="single" w:sz="4" w:space="0" w:color="95B3D7"/>
              <w:left w:val="nil"/>
              <w:bottom w:val="single" w:sz="4" w:space="0" w:color="95B3D7"/>
              <w:right w:val="nil"/>
            </w:tcBorders>
            <w:shd w:val="clear" w:color="DCE6F1" w:fill="auto"/>
            <w:noWrap/>
            <w:vAlign w:val="bottom"/>
          </w:tcPr>
          <w:p w14:paraId="741D69AA"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276B8E54"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643FF1D3"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042D062B"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4E526348"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49B79BD2"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tcPr>
          <w:p w14:paraId="23E198E3"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20B30EE3" w14:textId="77777777" w:rsidR="00EA175A" w:rsidRPr="00832BA2" w:rsidRDefault="00EA175A" w:rsidP="0099524E">
            <w:pPr>
              <w:spacing w:after="0"/>
              <w:jc w:val="center"/>
              <w:rPr>
                <w:rFonts w:ascii="Calibri" w:eastAsia="Times New Roman" w:hAnsi="Calibri" w:cs="Times New Roman"/>
                <w:b/>
                <w:bCs/>
                <w:color w:val="000000"/>
                <w:sz w:val="16"/>
                <w:szCs w:val="22"/>
              </w:rPr>
            </w:pPr>
          </w:p>
        </w:tc>
        <w:tc>
          <w:tcPr>
            <w:tcW w:w="0" w:type="auto"/>
            <w:tcBorders>
              <w:top w:val="single" w:sz="4" w:space="0" w:color="95B3D7"/>
              <w:left w:val="nil"/>
              <w:bottom w:val="single" w:sz="4" w:space="0" w:color="95B3D7"/>
              <w:right w:val="nil"/>
            </w:tcBorders>
            <w:shd w:val="clear" w:color="DCE6F1" w:fill="auto"/>
            <w:noWrap/>
            <w:vAlign w:val="bottom"/>
          </w:tcPr>
          <w:p w14:paraId="104EECD0" w14:textId="77777777" w:rsidR="00EA175A" w:rsidRPr="00832BA2" w:rsidRDefault="00EA175A" w:rsidP="0099524E">
            <w:pPr>
              <w:spacing w:after="0"/>
              <w:jc w:val="center"/>
              <w:rPr>
                <w:rFonts w:ascii="Calibri" w:eastAsia="Times New Roman" w:hAnsi="Calibri" w:cs="Times New Roman"/>
                <w:b/>
                <w:bCs/>
                <w:color w:val="000000"/>
                <w:sz w:val="16"/>
                <w:szCs w:val="22"/>
              </w:rPr>
            </w:pPr>
          </w:p>
        </w:tc>
      </w:tr>
      <w:tr w:rsidR="00EA175A" w:rsidRPr="00832BA2" w14:paraId="35A96E01" w14:textId="77777777" w:rsidTr="0099524E">
        <w:tc>
          <w:tcPr>
            <w:tcW w:w="0" w:type="auto"/>
            <w:tcBorders>
              <w:top w:val="single" w:sz="4" w:space="0" w:color="95B3D7"/>
              <w:left w:val="nil"/>
              <w:bottom w:val="nil"/>
              <w:right w:val="nil"/>
            </w:tcBorders>
            <w:shd w:val="clear" w:color="auto" w:fill="BFBFBF" w:themeFill="background1" w:themeFillShade="BF"/>
            <w:noWrap/>
            <w:vAlign w:val="bottom"/>
            <w:hideMark/>
          </w:tcPr>
          <w:p w14:paraId="26E0970D" w14:textId="77777777" w:rsidR="00EA175A" w:rsidRPr="00832BA2" w:rsidRDefault="00EA175A" w:rsidP="0099524E">
            <w:pPr>
              <w:spacing w:after="0"/>
              <w:jc w:val="center"/>
              <w:rPr>
                <w:rFonts w:ascii="Calibri" w:eastAsia="Times New Roman" w:hAnsi="Calibri" w:cs="Times New Roman"/>
                <w:b/>
                <w:bCs/>
                <w:color w:val="000000"/>
                <w:sz w:val="16"/>
                <w:szCs w:val="22"/>
              </w:rPr>
            </w:pPr>
            <w:r>
              <w:rPr>
                <w:rFonts w:ascii="Calibri" w:eastAsia="Times New Roman" w:hAnsi="Calibri" w:cs="Times New Roman"/>
                <w:b/>
                <w:bCs/>
                <w:color w:val="000000"/>
                <w:sz w:val="16"/>
                <w:szCs w:val="22"/>
              </w:rPr>
              <w:t xml:space="preserve">% </w:t>
            </w:r>
            <w:r w:rsidRPr="00832BA2">
              <w:rPr>
                <w:rFonts w:ascii="Calibri" w:eastAsia="Times New Roman" w:hAnsi="Calibri" w:cs="Times New Roman"/>
                <w:b/>
                <w:bCs/>
                <w:color w:val="000000"/>
                <w:sz w:val="16"/>
                <w:szCs w:val="22"/>
              </w:rPr>
              <w:t>Patients</w:t>
            </w:r>
            <w:r>
              <w:rPr>
                <w:rFonts w:ascii="Calibri" w:eastAsia="Times New Roman" w:hAnsi="Calibri" w:cs="Times New Roman"/>
                <w:b/>
                <w:bCs/>
                <w:color w:val="000000"/>
                <w:sz w:val="16"/>
                <w:szCs w:val="22"/>
              </w:rPr>
              <w:t xml:space="preserve"> </w:t>
            </w:r>
          </w:p>
        </w:tc>
        <w:tc>
          <w:tcPr>
            <w:tcW w:w="1191" w:type="dxa"/>
            <w:tcBorders>
              <w:top w:val="single" w:sz="4" w:space="0" w:color="95B3D7"/>
              <w:left w:val="nil"/>
              <w:bottom w:val="single" w:sz="4" w:space="0" w:color="95B3D7"/>
              <w:right w:val="nil"/>
            </w:tcBorders>
            <w:shd w:val="clear" w:color="auto" w:fill="BFBFBF" w:themeFill="background1" w:themeFillShade="BF"/>
            <w:noWrap/>
          </w:tcPr>
          <w:p w14:paraId="110F9CDA"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1F01037B"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04EF4693"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6A73346A"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60AEBD7E"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2AA875B3"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tcPr>
          <w:p w14:paraId="1BB80F39"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tcPr>
          <w:p w14:paraId="7F2CC436" w14:textId="77777777" w:rsidR="00EA175A" w:rsidRPr="00A07254" w:rsidRDefault="00EA175A" w:rsidP="0099524E">
            <w:pPr>
              <w:spacing w:after="0"/>
              <w:jc w:val="center"/>
              <w:rPr>
                <w:rFonts w:ascii="Calibri" w:eastAsia="Times New Roman" w:hAnsi="Calibri" w:cs="Times New Roman"/>
                <w:bCs/>
                <w:color w:val="000000"/>
                <w:sz w:val="16"/>
                <w:szCs w:val="22"/>
              </w:rPr>
            </w:pPr>
          </w:p>
        </w:tc>
        <w:tc>
          <w:tcPr>
            <w:tcW w:w="0" w:type="auto"/>
            <w:tcBorders>
              <w:top w:val="single" w:sz="4" w:space="0" w:color="95B3D7"/>
              <w:left w:val="nil"/>
              <w:bottom w:val="nil"/>
              <w:right w:val="nil"/>
            </w:tcBorders>
            <w:shd w:val="clear" w:color="auto" w:fill="BFBFBF" w:themeFill="background1" w:themeFillShade="BF"/>
            <w:noWrap/>
            <w:vAlign w:val="bottom"/>
            <w:hideMark/>
          </w:tcPr>
          <w:p w14:paraId="737048E5" w14:textId="77777777" w:rsidR="00EA175A" w:rsidRPr="00832BA2" w:rsidRDefault="00EA175A" w:rsidP="0099524E">
            <w:pPr>
              <w:spacing w:after="0"/>
              <w:jc w:val="center"/>
              <w:rPr>
                <w:rFonts w:ascii="Calibri" w:eastAsia="Times New Roman" w:hAnsi="Calibri" w:cs="Times New Roman"/>
                <w:b/>
                <w:bCs/>
                <w:color w:val="000000"/>
                <w:sz w:val="16"/>
                <w:szCs w:val="22"/>
              </w:rPr>
            </w:pPr>
          </w:p>
        </w:tc>
      </w:tr>
      <w:tr w:rsidR="00EA175A" w:rsidRPr="003D6CF8" w14:paraId="67477E99" w14:textId="77777777" w:rsidTr="0099524E">
        <w:tc>
          <w:tcPr>
            <w:tcW w:w="0" w:type="auto"/>
            <w:tcBorders>
              <w:top w:val="single" w:sz="4" w:space="0" w:color="95B3D7"/>
              <w:left w:val="nil"/>
              <w:bottom w:val="nil"/>
              <w:right w:val="nil"/>
            </w:tcBorders>
            <w:shd w:val="clear" w:color="auto" w:fill="FFFFFF" w:themeFill="background1"/>
            <w:noWrap/>
            <w:hideMark/>
          </w:tcPr>
          <w:p w14:paraId="3FEDFD19"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AMBRISENTAN</w:t>
            </w:r>
          </w:p>
        </w:tc>
        <w:tc>
          <w:tcPr>
            <w:tcW w:w="1191" w:type="dxa"/>
            <w:tcBorders>
              <w:top w:val="single" w:sz="4" w:space="0" w:color="95B3D7"/>
              <w:left w:val="nil"/>
              <w:bottom w:val="single" w:sz="4" w:space="0" w:color="95B3D7"/>
              <w:right w:val="nil"/>
            </w:tcBorders>
            <w:shd w:val="clear" w:color="auto" w:fill="FFFFFF" w:themeFill="background1"/>
            <w:noWrap/>
            <w:hideMark/>
          </w:tcPr>
          <w:p w14:paraId="28136EA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single" w:sz="4" w:space="0" w:color="95B3D7"/>
              <w:right w:val="nil"/>
            </w:tcBorders>
            <w:shd w:val="clear" w:color="auto" w:fill="FFFFFF" w:themeFill="background1"/>
            <w:noWrap/>
            <w:hideMark/>
          </w:tcPr>
          <w:p w14:paraId="0C894DA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28%</w:t>
            </w:r>
          </w:p>
        </w:tc>
        <w:tc>
          <w:tcPr>
            <w:tcW w:w="0" w:type="auto"/>
            <w:tcBorders>
              <w:top w:val="single" w:sz="4" w:space="0" w:color="95B3D7"/>
              <w:left w:val="nil"/>
              <w:bottom w:val="nil"/>
              <w:right w:val="nil"/>
            </w:tcBorders>
            <w:shd w:val="clear" w:color="auto" w:fill="FFFFFF" w:themeFill="background1"/>
            <w:noWrap/>
            <w:hideMark/>
          </w:tcPr>
          <w:p w14:paraId="0A747D4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w:t>
            </w:r>
          </w:p>
        </w:tc>
        <w:tc>
          <w:tcPr>
            <w:tcW w:w="0" w:type="auto"/>
            <w:tcBorders>
              <w:top w:val="single" w:sz="4" w:space="0" w:color="95B3D7"/>
              <w:left w:val="nil"/>
              <w:bottom w:val="nil"/>
              <w:right w:val="nil"/>
            </w:tcBorders>
            <w:shd w:val="clear" w:color="auto" w:fill="FFFFFF" w:themeFill="background1"/>
            <w:noWrap/>
            <w:hideMark/>
          </w:tcPr>
          <w:p w14:paraId="31F6A11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noWrap/>
            <w:hideMark/>
          </w:tcPr>
          <w:p w14:paraId="5D8F1E8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6%</w:t>
            </w:r>
          </w:p>
        </w:tc>
        <w:tc>
          <w:tcPr>
            <w:tcW w:w="0" w:type="auto"/>
            <w:tcBorders>
              <w:top w:val="single" w:sz="4" w:space="0" w:color="95B3D7"/>
              <w:left w:val="nil"/>
              <w:bottom w:val="nil"/>
              <w:right w:val="nil"/>
            </w:tcBorders>
            <w:shd w:val="clear" w:color="auto" w:fill="FFFFFF" w:themeFill="background1"/>
            <w:noWrap/>
            <w:hideMark/>
          </w:tcPr>
          <w:p w14:paraId="5693618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15%</w:t>
            </w:r>
          </w:p>
        </w:tc>
        <w:tc>
          <w:tcPr>
            <w:tcW w:w="0" w:type="auto"/>
            <w:tcBorders>
              <w:top w:val="single" w:sz="4" w:space="0" w:color="95B3D7"/>
              <w:left w:val="nil"/>
              <w:bottom w:val="nil"/>
              <w:right w:val="nil"/>
            </w:tcBorders>
            <w:shd w:val="clear" w:color="auto" w:fill="FFFFFF" w:themeFill="background1"/>
          </w:tcPr>
          <w:p w14:paraId="6F11909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w:t>
            </w:r>
          </w:p>
        </w:tc>
        <w:tc>
          <w:tcPr>
            <w:tcW w:w="0" w:type="auto"/>
            <w:tcBorders>
              <w:top w:val="single" w:sz="4" w:space="0" w:color="95B3D7"/>
              <w:left w:val="nil"/>
              <w:bottom w:val="nil"/>
              <w:right w:val="nil"/>
            </w:tcBorders>
            <w:shd w:val="clear" w:color="auto" w:fill="FFFFFF" w:themeFill="background1"/>
            <w:noWrap/>
            <w:hideMark/>
          </w:tcPr>
          <w:p w14:paraId="0FE5108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48%</w:t>
            </w:r>
          </w:p>
        </w:tc>
        <w:tc>
          <w:tcPr>
            <w:tcW w:w="0" w:type="auto"/>
            <w:tcBorders>
              <w:top w:val="single" w:sz="4" w:space="0" w:color="95B3D7"/>
              <w:left w:val="nil"/>
              <w:bottom w:val="nil"/>
              <w:right w:val="nil"/>
            </w:tcBorders>
            <w:shd w:val="clear" w:color="auto" w:fill="FFFFFF" w:themeFill="background1"/>
            <w:noWrap/>
            <w:hideMark/>
          </w:tcPr>
          <w:p w14:paraId="61B7E7E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28D842E1" w14:textId="77777777" w:rsidTr="0099524E">
        <w:tc>
          <w:tcPr>
            <w:tcW w:w="0" w:type="auto"/>
            <w:tcBorders>
              <w:top w:val="single" w:sz="4" w:space="0" w:color="95B3D7"/>
              <w:left w:val="nil"/>
              <w:bottom w:val="nil"/>
              <w:right w:val="nil"/>
            </w:tcBorders>
            <w:shd w:val="clear" w:color="auto" w:fill="FFFFFF" w:themeFill="background1"/>
            <w:noWrap/>
            <w:hideMark/>
          </w:tcPr>
          <w:p w14:paraId="3CD0A7F2"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BOSENTAN</w:t>
            </w:r>
          </w:p>
        </w:tc>
        <w:tc>
          <w:tcPr>
            <w:tcW w:w="1191" w:type="dxa"/>
            <w:tcBorders>
              <w:top w:val="single" w:sz="4" w:space="0" w:color="95B3D7"/>
              <w:left w:val="nil"/>
              <w:bottom w:val="nil"/>
              <w:right w:val="nil"/>
            </w:tcBorders>
            <w:shd w:val="clear" w:color="auto" w:fill="FFFFFF" w:themeFill="background1"/>
            <w:noWrap/>
            <w:hideMark/>
          </w:tcPr>
          <w:p w14:paraId="2BC7CC2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w:t>
            </w:r>
          </w:p>
        </w:tc>
        <w:tc>
          <w:tcPr>
            <w:tcW w:w="0" w:type="auto"/>
            <w:tcBorders>
              <w:top w:val="single" w:sz="4" w:space="0" w:color="95B3D7"/>
              <w:left w:val="nil"/>
              <w:bottom w:val="single" w:sz="4" w:space="0" w:color="95B3D7"/>
              <w:right w:val="nil"/>
            </w:tcBorders>
            <w:shd w:val="clear" w:color="auto" w:fill="FFFFFF" w:themeFill="background1"/>
            <w:noWrap/>
            <w:hideMark/>
          </w:tcPr>
          <w:p w14:paraId="2AEEBFF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2447467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5D68087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7B1AB6D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FFFFFF" w:themeFill="background1"/>
            <w:noWrap/>
            <w:hideMark/>
          </w:tcPr>
          <w:p w14:paraId="4AE64E7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tcPr>
          <w:p w14:paraId="005D3A1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138B79A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94%</w:t>
            </w:r>
          </w:p>
        </w:tc>
        <w:tc>
          <w:tcPr>
            <w:tcW w:w="0" w:type="auto"/>
            <w:tcBorders>
              <w:top w:val="single" w:sz="4" w:space="0" w:color="95B3D7"/>
              <w:left w:val="nil"/>
              <w:bottom w:val="nil"/>
              <w:right w:val="nil"/>
            </w:tcBorders>
            <w:shd w:val="clear" w:color="auto" w:fill="FFFFFF" w:themeFill="background1"/>
            <w:noWrap/>
            <w:hideMark/>
          </w:tcPr>
          <w:p w14:paraId="68C6AC9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61254EBC" w14:textId="77777777" w:rsidTr="0099524E">
        <w:tc>
          <w:tcPr>
            <w:tcW w:w="0" w:type="auto"/>
            <w:tcBorders>
              <w:top w:val="single" w:sz="4" w:space="0" w:color="95B3D7"/>
              <w:left w:val="nil"/>
              <w:bottom w:val="nil"/>
              <w:right w:val="nil"/>
            </w:tcBorders>
            <w:shd w:val="clear" w:color="auto" w:fill="FFFFFF" w:themeFill="background1"/>
            <w:noWrap/>
            <w:hideMark/>
          </w:tcPr>
          <w:p w14:paraId="0B8A80DE"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EPOPROSTENOL</w:t>
            </w:r>
          </w:p>
        </w:tc>
        <w:tc>
          <w:tcPr>
            <w:tcW w:w="1191" w:type="dxa"/>
            <w:tcBorders>
              <w:top w:val="single" w:sz="4" w:space="0" w:color="95B3D7"/>
              <w:left w:val="nil"/>
              <w:bottom w:val="nil"/>
              <w:right w:val="nil"/>
            </w:tcBorders>
            <w:shd w:val="clear" w:color="auto" w:fill="FFFFFF" w:themeFill="background1"/>
            <w:noWrap/>
            <w:hideMark/>
          </w:tcPr>
          <w:p w14:paraId="5B7E70E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9%</w:t>
            </w:r>
          </w:p>
        </w:tc>
        <w:tc>
          <w:tcPr>
            <w:tcW w:w="0" w:type="auto"/>
            <w:tcBorders>
              <w:top w:val="single" w:sz="4" w:space="0" w:color="95B3D7"/>
              <w:left w:val="nil"/>
              <w:bottom w:val="nil"/>
              <w:right w:val="nil"/>
            </w:tcBorders>
            <w:shd w:val="clear" w:color="auto" w:fill="FFFFFF" w:themeFill="background1"/>
            <w:noWrap/>
            <w:hideMark/>
          </w:tcPr>
          <w:p w14:paraId="1CBF41B7"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55%</w:t>
            </w:r>
          </w:p>
        </w:tc>
        <w:tc>
          <w:tcPr>
            <w:tcW w:w="0" w:type="auto"/>
            <w:tcBorders>
              <w:top w:val="single" w:sz="4" w:space="0" w:color="95B3D7"/>
              <w:left w:val="nil"/>
              <w:bottom w:val="nil"/>
              <w:right w:val="nil"/>
            </w:tcBorders>
            <w:shd w:val="clear" w:color="auto" w:fill="FFFFFF" w:themeFill="background1"/>
            <w:noWrap/>
            <w:hideMark/>
          </w:tcPr>
          <w:p w14:paraId="7048C87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334080C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11%</w:t>
            </w:r>
          </w:p>
        </w:tc>
        <w:tc>
          <w:tcPr>
            <w:tcW w:w="0" w:type="auto"/>
            <w:tcBorders>
              <w:top w:val="single" w:sz="4" w:space="0" w:color="95B3D7"/>
              <w:left w:val="nil"/>
              <w:bottom w:val="nil"/>
              <w:right w:val="nil"/>
            </w:tcBorders>
            <w:shd w:val="clear" w:color="auto" w:fill="FFFFFF" w:themeFill="background1"/>
            <w:noWrap/>
            <w:hideMark/>
          </w:tcPr>
          <w:p w14:paraId="4C987D6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5%</w:t>
            </w:r>
          </w:p>
        </w:tc>
        <w:tc>
          <w:tcPr>
            <w:tcW w:w="0" w:type="auto"/>
            <w:tcBorders>
              <w:top w:val="single" w:sz="4" w:space="0" w:color="95B3D7"/>
              <w:left w:val="nil"/>
              <w:bottom w:val="nil"/>
              <w:right w:val="nil"/>
            </w:tcBorders>
            <w:shd w:val="clear" w:color="auto" w:fill="FFFFFF" w:themeFill="background1"/>
            <w:noWrap/>
            <w:hideMark/>
          </w:tcPr>
          <w:p w14:paraId="110F939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FFFFFF" w:themeFill="background1"/>
          </w:tcPr>
          <w:p w14:paraId="1D9EB48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w:t>
            </w:r>
          </w:p>
        </w:tc>
        <w:tc>
          <w:tcPr>
            <w:tcW w:w="0" w:type="auto"/>
            <w:tcBorders>
              <w:top w:val="single" w:sz="4" w:space="0" w:color="95B3D7"/>
              <w:left w:val="nil"/>
              <w:bottom w:val="nil"/>
              <w:right w:val="nil"/>
            </w:tcBorders>
            <w:shd w:val="clear" w:color="auto" w:fill="FFFFFF" w:themeFill="background1"/>
            <w:noWrap/>
            <w:hideMark/>
          </w:tcPr>
          <w:p w14:paraId="6C810F6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18%</w:t>
            </w:r>
          </w:p>
        </w:tc>
        <w:tc>
          <w:tcPr>
            <w:tcW w:w="0" w:type="auto"/>
            <w:tcBorders>
              <w:top w:val="single" w:sz="4" w:space="0" w:color="95B3D7"/>
              <w:left w:val="nil"/>
              <w:bottom w:val="nil"/>
              <w:right w:val="nil"/>
            </w:tcBorders>
            <w:shd w:val="clear" w:color="auto" w:fill="FFFFFF" w:themeFill="background1"/>
            <w:noWrap/>
            <w:hideMark/>
          </w:tcPr>
          <w:p w14:paraId="2E3923F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3E491F76" w14:textId="77777777" w:rsidTr="0099524E">
        <w:tc>
          <w:tcPr>
            <w:tcW w:w="0" w:type="auto"/>
            <w:tcBorders>
              <w:top w:val="single" w:sz="4" w:space="0" w:color="95B3D7"/>
              <w:left w:val="nil"/>
              <w:bottom w:val="nil"/>
              <w:right w:val="nil"/>
            </w:tcBorders>
            <w:shd w:val="clear" w:color="auto" w:fill="FFFFFF" w:themeFill="background1"/>
            <w:noWrap/>
            <w:hideMark/>
          </w:tcPr>
          <w:p w14:paraId="6F4A6F3D"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ILOPROST</w:t>
            </w:r>
          </w:p>
        </w:tc>
        <w:tc>
          <w:tcPr>
            <w:tcW w:w="1191" w:type="dxa"/>
            <w:tcBorders>
              <w:top w:val="single" w:sz="4" w:space="0" w:color="95B3D7"/>
              <w:left w:val="nil"/>
              <w:bottom w:val="nil"/>
              <w:right w:val="nil"/>
            </w:tcBorders>
            <w:shd w:val="clear" w:color="auto" w:fill="FFFFFF" w:themeFill="background1"/>
            <w:noWrap/>
            <w:hideMark/>
          </w:tcPr>
          <w:p w14:paraId="159A7B6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6%</w:t>
            </w:r>
          </w:p>
        </w:tc>
        <w:tc>
          <w:tcPr>
            <w:tcW w:w="0" w:type="auto"/>
            <w:tcBorders>
              <w:top w:val="single" w:sz="4" w:space="0" w:color="95B3D7"/>
              <w:left w:val="nil"/>
              <w:bottom w:val="nil"/>
              <w:right w:val="nil"/>
            </w:tcBorders>
            <w:shd w:val="clear" w:color="auto" w:fill="FFFFFF" w:themeFill="background1"/>
            <w:noWrap/>
            <w:hideMark/>
          </w:tcPr>
          <w:p w14:paraId="627D358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54%</w:t>
            </w:r>
          </w:p>
        </w:tc>
        <w:tc>
          <w:tcPr>
            <w:tcW w:w="0" w:type="auto"/>
            <w:tcBorders>
              <w:top w:val="single" w:sz="4" w:space="0" w:color="95B3D7"/>
              <w:left w:val="nil"/>
              <w:bottom w:val="nil"/>
              <w:right w:val="nil"/>
            </w:tcBorders>
            <w:shd w:val="clear" w:color="auto" w:fill="FFFFFF" w:themeFill="background1"/>
            <w:noWrap/>
            <w:hideMark/>
          </w:tcPr>
          <w:p w14:paraId="787C23D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FFFFFF" w:themeFill="background1"/>
            <w:noWrap/>
            <w:hideMark/>
          </w:tcPr>
          <w:p w14:paraId="4D788D42"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24CFEAD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w:t>
            </w:r>
          </w:p>
        </w:tc>
        <w:tc>
          <w:tcPr>
            <w:tcW w:w="0" w:type="auto"/>
            <w:tcBorders>
              <w:top w:val="single" w:sz="4" w:space="0" w:color="95B3D7"/>
              <w:left w:val="nil"/>
              <w:bottom w:val="nil"/>
              <w:right w:val="nil"/>
            </w:tcBorders>
            <w:shd w:val="clear" w:color="auto" w:fill="FFFFFF" w:themeFill="background1"/>
            <w:noWrap/>
            <w:hideMark/>
          </w:tcPr>
          <w:p w14:paraId="5770964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FFFFFF" w:themeFill="background1"/>
          </w:tcPr>
          <w:p w14:paraId="1542757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31A1353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24%</w:t>
            </w:r>
          </w:p>
        </w:tc>
        <w:tc>
          <w:tcPr>
            <w:tcW w:w="0" w:type="auto"/>
            <w:tcBorders>
              <w:top w:val="single" w:sz="4" w:space="0" w:color="95B3D7"/>
              <w:left w:val="nil"/>
              <w:bottom w:val="nil"/>
              <w:right w:val="nil"/>
            </w:tcBorders>
            <w:shd w:val="clear" w:color="auto" w:fill="FFFFFF" w:themeFill="background1"/>
            <w:noWrap/>
            <w:hideMark/>
          </w:tcPr>
          <w:p w14:paraId="10844B4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50D5F926" w14:textId="77777777" w:rsidTr="0099524E">
        <w:tc>
          <w:tcPr>
            <w:tcW w:w="0" w:type="auto"/>
            <w:tcBorders>
              <w:top w:val="single" w:sz="4" w:space="0" w:color="95B3D7"/>
              <w:left w:val="nil"/>
              <w:bottom w:val="nil"/>
              <w:right w:val="nil"/>
            </w:tcBorders>
            <w:shd w:val="clear" w:color="auto" w:fill="FFFFFF" w:themeFill="background1"/>
            <w:noWrap/>
            <w:hideMark/>
          </w:tcPr>
          <w:p w14:paraId="1648D9F2"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SILDENAFIL</w:t>
            </w:r>
          </w:p>
        </w:tc>
        <w:tc>
          <w:tcPr>
            <w:tcW w:w="1191" w:type="dxa"/>
            <w:tcBorders>
              <w:top w:val="single" w:sz="4" w:space="0" w:color="95B3D7"/>
              <w:left w:val="nil"/>
              <w:bottom w:val="nil"/>
              <w:right w:val="nil"/>
            </w:tcBorders>
            <w:shd w:val="clear" w:color="auto" w:fill="FFFFFF" w:themeFill="background1"/>
            <w:noWrap/>
            <w:hideMark/>
          </w:tcPr>
          <w:p w14:paraId="03DDD7D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15%</w:t>
            </w:r>
          </w:p>
        </w:tc>
        <w:tc>
          <w:tcPr>
            <w:tcW w:w="0" w:type="auto"/>
            <w:tcBorders>
              <w:top w:val="single" w:sz="4" w:space="0" w:color="95B3D7"/>
              <w:left w:val="nil"/>
              <w:bottom w:val="nil"/>
              <w:right w:val="nil"/>
            </w:tcBorders>
            <w:shd w:val="clear" w:color="auto" w:fill="FFFFFF" w:themeFill="background1"/>
            <w:noWrap/>
            <w:hideMark/>
          </w:tcPr>
          <w:p w14:paraId="70AEB63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32%</w:t>
            </w:r>
          </w:p>
        </w:tc>
        <w:tc>
          <w:tcPr>
            <w:tcW w:w="0" w:type="auto"/>
            <w:tcBorders>
              <w:top w:val="single" w:sz="4" w:space="0" w:color="95B3D7"/>
              <w:left w:val="nil"/>
              <w:bottom w:val="nil"/>
              <w:right w:val="nil"/>
            </w:tcBorders>
            <w:shd w:val="clear" w:color="auto" w:fill="FFFFFF" w:themeFill="background1"/>
            <w:noWrap/>
            <w:hideMark/>
          </w:tcPr>
          <w:p w14:paraId="799124A8"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5038489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1A451FD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w:t>
            </w:r>
          </w:p>
        </w:tc>
        <w:tc>
          <w:tcPr>
            <w:tcW w:w="0" w:type="auto"/>
            <w:tcBorders>
              <w:top w:val="single" w:sz="4" w:space="0" w:color="95B3D7"/>
              <w:left w:val="nil"/>
              <w:bottom w:val="nil"/>
              <w:right w:val="nil"/>
            </w:tcBorders>
            <w:shd w:val="clear" w:color="auto" w:fill="FFFFFF" w:themeFill="background1"/>
            <w:noWrap/>
            <w:hideMark/>
          </w:tcPr>
          <w:p w14:paraId="68E47A2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tcPr>
          <w:p w14:paraId="202E7F8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FFFFFF" w:themeFill="background1"/>
            <w:noWrap/>
            <w:hideMark/>
          </w:tcPr>
          <w:p w14:paraId="32DF770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45%</w:t>
            </w:r>
          </w:p>
        </w:tc>
        <w:tc>
          <w:tcPr>
            <w:tcW w:w="0" w:type="auto"/>
            <w:tcBorders>
              <w:top w:val="single" w:sz="4" w:space="0" w:color="95B3D7"/>
              <w:left w:val="nil"/>
              <w:bottom w:val="nil"/>
              <w:right w:val="nil"/>
            </w:tcBorders>
            <w:shd w:val="clear" w:color="auto" w:fill="FFFFFF" w:themeFill="background1"/>
            <w:noWrap/>
            <w:hideMark/>
          </w:tcPr>
          <w:p w14:paraId="41E6DDC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06C9EC34" w14:textId="77777777" w:rsidTr="0099524E">
        <w:tc>
          <w:tcPr>
            <w:tcW w:w="0" w:type="auto"/>
            <w:tcBorders>
              <w:top w:val="single" w:sz="4" w:space="0" w:color="95B3D7"/>
              <w:left w:val="nil"/>
              <w:bottom w:val="nil"/>
              <w:right w:val="nil"/>
            </w:tcBorders>
            <w:shd w:val="clear" w:color="auto" w:fill="FFFFFF" w:themeFill="background1"/>
            <w:noWrap/>
            <w:hideMark/>
          </w:tcPr>
          <w:p w14:paraId="3BC3FDF2"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TADALAFIL</w:t>
            </w:r>
          </w:p>
        </w:tc>
        <w:tc>
          <w:tcPr>
            <w:tcW w:w="1191" w:type="dxa"/>
            <w:tcBorders>
              <w:top w:val="single" w:sz="4" w:space="0" w:color="95B3D7"/>
              <w:left w:val="nil"/>
              <w:bottom w:val="nil"/>
              <w:right w:val="nil"/>
            </w:tcBorders>
            <w:shd w:val="clear" w:color="auto" w:fill="FFFFFF" w:themeFill="background1"/>
            <w:noWrap/>
            <w:hideMark/>
          </w:tcPr>
          <w:p w14:paraId="68F2104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w:t>
            </w:r>
          </w:p>
        </w:tc>
        <w:tc>
          <w:tcPr>
            <w:tcW w:w="0" w:type="auto"/>
            <w:tcBorders>
              <w:top w:val="single" w:sz="4" w:space="0" w:color="95B3D7"/>
              <w:left w:val="nil"/>
              <w:bottom w:val="nil"/>
              <w:right w:val="nil"/>
            </w:tcBorders>
            <w:shd w:val="clear" w:color="auto" w:fill="FFFFFF" w:themeFill="background1"/>
            <w:noWrap/>
            <w:hideMark/>
          </w:tcPr>
          <w:p w14:paraId="2966FB5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22%</w:t>
            </w:r>
          </w:p>
        </w:tc>
        <w:tc>
          <w:tcPr>
            <w:tcW w:w="0" w:type="auto"/>
            <w:tcBorders>
              <w:top w:val="single" w:sz="4" w:space="0" w:color="95B3D7"/>
              <w:left w:val="nil"/>
              <w:bottom w:val="nil"/>
              <w:right w:val="nil"/>
            </w:tcBorders>
            <w:shd w:val="clear" w:color="auto" w:fill="FFFFFF" w:themeFill="background1"/>
            <w:noWrap/>
            <w:hideMark/>
          </w:tcPr>
          <w:p w14:paraId="6EC5DF8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381CEF1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noWrap/>
            <w:hideMark/>
          </w:tcPr>
          <w:p w14:paraId="490E5134"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454E02A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tcPr>
          <w:p w14:paraId="5CC93E9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2F7363A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69%</w:t>
            </w:r>
          </w:p>
        </w:tc>
        <w:tc>
          <w:tcPr>
            <w:tcW w:w="0" w:type="auto"/>
            <w:tcBorders>
              <w:top w:val="single" w:sz="4" w:space="0" w:color="95B3D7"/>
              <w:left w:val="nil"/>
              <w:bottom w:val="nil"/>
              <w:right w:val="nil"/>
            </w:tcBorders>
            <w:shd w:val="clear" w:color="auto" w:fill="FFFFFF" w:themeFill="background1"/>
            <w:noWrap/>
            <w:hideMark/>
          </w:tcPr>
          <w:p w14:paraId="78C3B37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2921BF54" w14:textId="77777777" w:rsidTr="0099524E">
        <w:tc>
          <w:tcPr>
            <w:tcW w:w="0" w:type="auto"/>
            <w:tcBorders>
              <w:top w:val="single" w:sz="4" w:space="0" w:color="95B3D7"/>
              <w:left w:val="nil"/>
              <w:bottom w:val="nil"/>
              <w:right w:val="nil"/>
            </w:tcBorders>
            <w:shd w:val="clear" w:color="auto" w:fill="FFFFFF" w:themeFill="background1"/>
            <w:noWrap/>
            <w:hideMark/>
          </w:tcPr>
          <w:p w14:paraId="0B772AEF"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MACITENTAN</w:t>
            </w:r>
          </w:p>
        </w:tc>
        <w:tc>
          <w:tcPr>
            <w:tcW w:w="1191" w:type="dxa"/>
            <w:tcBorders>
              <w:top w:val="single" w:sz="4" w:space="0" w:color="95B3D7"/>
              <w:left w:val="nil"/>
              <w:bottom w:val="nil"/>
              <w:right w:val="nil"/>
            </w:tcBorders>
            <w:shd w:val="clear" w:color="auto" w:fill="FFFFFF" w:themeFill="background1"/>
            <w:noWrap/>
            <w:hideMark/>
          </w:tcPr>
          <w:p w14:paraId="75B6D47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noWrap/>
            <w:hideMark/>
          </w:tcPr>
          <w:p w14:paraId="02019135"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36%</w:t>
            </w:r>
          </w:p>
        </w:tc>
        <w:tc>
          <w:tcPr>
            <w:tcW w:w="0" w:type="auto"/>
            <w:tcBorders>
              <w:top w:val="single" w:sz="4" w:space="0" w:color="95B3D7"/>
              <w:left w:val="nil"/>
              <w:bottom w:val="nil"/>
              <w:right w:val="nil"/>
            </w:tcBorders>
            <w:shd w:val="clear" w:color="auto" w:fill="FFFFFF" w:themeFill="background1"/>
            <w:noWrap/>
            <w:hideMark/>
          </w:tcPr>
          <w:p w14:paraId="112C45B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6A7C594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w:t>
            </w:r>
          </w:p>
        </w:tc>
        <w:tc>
          <w:tcPr>
            <w:tcW w:w="0" w:type="auto"/>
            <w:tcBorders>
              <w:top w:val="single" w:sz="4" w:space="0" w:color="95B3D7"/>
              <w:left w:val="nil"/>
              <w:bottom w:val="nil"/>
              <w:right w:val="nil"/>
            </w:tcBorders>
            <w:shd w:val="clear" w:color="auto" w:fill="FFFFFF" w:themeFill="background1"/>
            <w:noWrap/>
            <w:hideMark/>
          </w:tcPr>
          <w:p w14:paraId="3F7AB032"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14%</w:t>
            </w:r>
          </w:p>
        </w:tc>
        <w:tc>
          <w:tcPr>
            <w:tcW w:w="0" w:type="auto"/>
            <w:tcBorders>
              <w:top w:val="single" w:sz="4" w:space="0" w:color="95B3D7"/>
              <w:left w:val="nil"/>
              <w:bottom w:val="nil"/>
              <w:right w:val="nil"/>
            </w:tcBorders>
            <w:shd w:val="clear" w:color="auto" w:fill="FFFFFF" w:themeFill="background1"/>
            <w:noWrap/>
            <w:hideMark/>
          </w:tcPr>
          <w:p w14:paraId="60C6441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tcPr>
          <w:p w14:paraId="312FA6C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hideMark/>
          </w:tcPr>
          <w:p w14:paraId="0C1D5059"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44%</w:t>
            </w:r>
          </w:p>
        </w:tc>
        <w:tc>
          <w:tcPr>
            <w:tcW w:w="0" w:type="auto"/>
            <w:tcBorders>
              <w:top w:val="single" w:sz="4" w:space="0" w:color="95B3D7"/>
              <w:left w:val="nil"/>
              <w:bottom w:val="nil"/>
              <w:right w:val="nil"/>
            </w:tcBorders>
            <w:shd w:val="clear" w:color="auto" w:fill="FFFFFF" w:themeFill="background1"/>
            <w:noWrap/>
            <w:hideMark/>
          </w:tcPr>
          <w:p w14:paraId="5BA0211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308A85CE" w14:textId="77777777" w:rsidTr="0099524E">
        <w:tc>
          <w:tcPr>
            <w:tcW w:w="0" w:type="auto"/>
            <w:tcBorders>
              <w:top w:val="single" w:sz="4" w:space="0" w:color="95B3D7"/>
              <w:left w:val="nil"/>
              <w:bottom w:val="nil"/>
              <w:right w:val="nil"/>
            </w:tcBorders>
            <w:shd w:val="clear" w:color="auto" w:fill="FFFFFF" w:themeFill="background1"/>
            <w:noWrap/>
          </w:tcPr>
          <w:p w14:paraId="0EB5C2CD" w14:textId="77777777" w:rsidR="00EA175A" w:rsidRPr="00A07254" w:rsidRDefault="00EA175A" w:rsidP="0099524E">
            <w:pPr>
              <w:spacing w:after="0"/>
              <w:jc w:val="center"/>
              <w:rPr>
                <w:rFonts w:ascii="Calibri" w:eastAsia="Times New Roman" w:hAnsi="Calibri" w:cs="Times New Roman"/>
                <w:bCs/>
                <w:color w:val="000000"/>
                <w:sz w:val="16"/>
                <w:szCs w:val="22"/>
              </w:rPr>
            </w:pPr>
            <w:r w:rsidRPr="00A07254">
              <w:rPr>
                <w:rFonts w:ascii="Calibri" w:eastAsia="Times New Roman" w:hAnsi="Calibri" w:cs="Times New Roman"/>
                <w:bCs/>
                <w:color w:val="000000"/>
                <w:sz w:val="16"/>
                <w:szCs w:val="22"/>
              </w:rPr>
              <w:t>SITAXENTAN</w:t>
            </w:r>
          </w:p>
        </w:tc>
        <w:tc>
          <w:tcPr>
            <w:tcW w:w="1191" w:type="dxa"/>
            <w:tcBorders>
              <w:top w:val="single" w:sz="4" w:space="0" w:color="95B3D7"/>
              <w:left w:val="nil"/>
              <w:bottom w:val="nil"/>
              <w:right w:val="nil"/>
            </w:tcBorders>
            <w:shd w:val="clear" w:color="auto" w:fill="FFFFFF" w:themeFill="background1"/>
            <w:noWrap/>
          </w:tcPr>
          <w:p w14:paraId="6DFED84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8%</w:t>
            </w:r>
          </w:p>
        </w:tc>
        <w:tc>
          <w:tcPr>
            <w:tcW w:w="0" w:type="auto"/>
            <w:tcBorders>
              <w:top w:val="single" w:sz="4" w:space="0" w:color="95B3D7"/>
              <w:left w:val="nil"/>
              <w:bottom w:val="nil"/>
              <w:right w:val="nil"/>
            </w:tcBorders>
            <w:shd w:val="clear" w:color="auto" w:fill="FFFFFF" w:themeFill="background1"/>
            <w:noWrap/>
          </w:tcPr>
          <w:p w14:paraId="64BD447C"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21%</w:t>
            </w:r>
          </w:p>
        </w:tc>
        <w:tc>
          <w:tcPr>
            <w:tcW w:w="0" w:type="auto"/>
            <w:tcBorders>
              <w:top w:val="single" w:sz="4" w:space="0" w:color="95B3D7"/>
              <w:left w:val="nil"/>
              <w:bottom w:val="nil"/>
              <w:right w:val="nil"/>
            </w:tcBorders>
            <w:shd w:val="clear" w:color="auto" w:fill="FFFFFF" w:themeFill="background1"/>
            <w:noWrap/>
          </w:tcPr>
          <w:p w14:paraId="4BF9379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tcPr>
          <w:p w14:paraId="32D58C72"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FFFFFF" w:themeFill="background1"/>
            <w:noWrap/>
          </w:tcPr>
          <w:p w14:paraId="4579B1ED"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29%</w:t>
            </w:r>
          </w:p>
        </w:tc>
        <w:tc>
          <w:tcPr>
            <w:tcW w:w="0" w:type="auto"/>
            <w:tcBorders>
              <w:top w:val="single" w:sz="4" w:space="0" w:color="95B3D7"/>
              <w:left w:val="nil"/>
              <w:bottom w:val="nil"/>
              <w:right w:val="nil"/>
            </w:tcBorders>
            <w:shd w:val="clear" w:color="auto" w:fill="FFFFFF" w:themeFill="background1"/>
            <w:noWrap/>
          </w:tcPr>
          <w:p w14:paraId="68ABB9FF"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tcPr>
          <w:p w14:paraId="1F0B50D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FFFFFF" w:themeFill="background1"/>
            <w:noWrap/>
          </w:tcPr>
          <w:p w14:paraId="102A175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40%</w:t>
            </w:r>
          </w:p>
        </w:tc>
        <w:tc>
          <w:tcPr>
            <w:tcW w:w="0" w:type="auto"/>
            <w:tcBorders>
              <w:top w:val="single" w:sz="4" w:space="0" w:color="95B3D7"/>
              <w:left w:val="nil"/>
              <w:bottom w:val="nil"/>
              <w:right w:val="nil"/>
            </w:tcBorders>
            <w:shd w:val="clear" w:color="auto" w:fill="FFFFFF" w:themeFill="background1"/>
            <w:noWrap/>
          </w:tcPr>
          <w:p w14:paraId="39CE0B0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r w:rsidR="00EA175A" w:rsidRPr="003D6CF8" w14:paraId="544574C9" w14:textId="77777777" w:rsidTr="0099524E">
        <w:tc>
          <w:tcPr>
            <w:tcW w:w="0" w:type="auto"/>
            <w:tcBorders>
              <w:top w:val="single" w:sz="4" w:space="0" w:color="95B3D7"/>
              <w:left w:val="nil"/>
              <w:bottom w:val="nil"/>
              <w:right w:val="nil"/>
            </w:tcBorders>
            <w:shd w:val="clear" w:color="auto" w:fill="BFBFBF" w:themeFill="background1" w:themeFillShade="BF"/>
            <w:noWrap/>
            <w:vAlign w:val="bottom"/>
            <w:hideMark/>
          </w:tcPr>
          <w:p w14:paraId="4D3BFD63" w14:textId="77777777" w:rsidR="00EA175A" w:rsidRPr="003D6CF8" w:rsidRDefault="00EA175A" w:rsidP="0099524E">
            <w:pPr>
              <w:spacing w:after="0"/>
              <w:jc w:val="center"/>
              <w:rPr>
                <w:rFonts w:ascii="Calibri" w:eastAsia="Times New Roman" w:hAnsi="Calibri" w:cs="Times New Roman"/>
                <w:bCs/>
                <w:color w:val="000000"/>
                <w:sz w:val="16"/>
                <w:szCs w:val="22"/>
              </w:rPr>
            </w:pPr>
            <w:r w:rsidRPr="003D6CF8">
              <w:rPr>
                <w:rFonts w:ascii="Calibri" w:eastAsia="Times New Roman" w:hAnsi="Calibri" w:cs="Times New Roman"/>
                <w:bCs/>
                <w:color w:val="000000"/>
                <w:sz w:val="16"/>
                <w:szCs w:val="22"/>
              </w:rPr>
              <w:t>Total</w:t>
            </w:r>
          </w:p>
        </w:tc>
        <w:tc>
          <w:tcPr>
            <w:tcW w:w="1191" w:type="dxa"/>
            <w:tcBorders>
              <w:top w:val="single" w:sz="4" w:space="0" w:color="95B3D7"/>
              <w:left w:val="nil"/>
              <w:bottom w:val="nil"/>
              <w:right w:val="nil"/>
            </w:tcBorders>
            <w:shd w:val="clear" w:color="auto" w:fill="BFBFBF" w:themeFill="background1" w:themeFillShade="BF"/>
            <w:noWrap/>
            <w:hideMark/>
          </w:tcPr>
          <w:p w14:paraId="117498B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2%</w:t>
            </w:r>
          </w:p>
        </w:tc>
        <w:tc>
          <w:tcPr>
            <w:tcW w:w="0" w:type="auto"/>
            <w:tcBorders>
              <w:top w:val="single" w:sz="4" w:space="0" w:color="95B3D7"/>
              <w:left w:val="nil"/>
              <w:bottom w:val="nil"/>
              <w:right w:val="nil"/>
            </w:tcBorders>
            <w:shd w:val="clear" w:color="auto" w:fill="BFBFBF" w:themeFill="background1" w:themeFillShade="BF"/>
            <w:noWrap/>
            <w:hideMark/>
          </w:tcPr>
          <w:p w14:paraId="411408A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15%</w:t>
            </w:r>
          </w:p>
        </w:tc>
        <w:tc>
          <w:tcPr>
            <w:tcW w:w="0" w:type="auto"/>
            <w:tcBorders>
              <w:top w:val="single" w:sz="4" w:space="0" w:color="95B3D7"/>
              <w:left w:val="nil"/>
              <w:bottom w:val="nil"/>
              <w:right w:val="nil"/>
            </w:tcBorders>
            <w:shd w:val="clear" w:color="auto" w:fill="BFBFBF" w:themeFill="background1" w:themeFillShade="BF"/>
            <w:noWrap/>
            <w:hideMark/>
          </w:tcPr>
          <w:p w14:paraId="389C32BA"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BFBFBF" w:themeFill="background1" w:themeFillShade="BF"/>
            <w:noWrap/>
            <w:hideMark/>
          </w:tcPr>
          <w:p w14:paraId="5B52D76B"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w:t>
            </w:r>
          </w:p>
        </w:tc>
        <w:tc>
          <w:tcPr>
            <w:tcW w:w="0" w:type="auto"/>
            <w:tcBorders>
              <w:top w:val="single" w:sz="4" w:space="0" w:color="95B3D7"/>
              <w:left w:val="nil"/>
              <w:bottom w:val="nil"/>
              <w:right w:val="nil"/>
            </w:tcBorders>
            <w:shd w:val="clear" w:color="auto" w:fill="BFBFBF" w:themeFill="background1" w:themeFillShade="BF"/>
            <w:noWrap/>
            <w:hideMark/>
          </w:tcPr>
          <w:p w14:paraId="141F1983"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4%</w:t>
            </w:r>
          </w:p>
        </w:tc>
        <w:tc>
          <w:tcPr>
            <w:tcW w:w="0" w:type="auto"/>
            <w:tcBorders>
              <w:top w:val="single" w:sz="4" w:space="0" w:color="95B3D7"/>
              <w:left w:val="nil"/>
              <w:bottom w:val="nil"/>
              <w:right w:val="nil"/>
            </w:tcBorders>
            <w:shd w:val="clear" w:color="auto" w:fill="BFBFBF" w:themeFill="background1" w:themeFillShade="BF"/>
            <w:noWrap/>
            <w:hideMark/>
          </w:tcPr>
          <w:p w14:paraId="082270D0"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3%</w:t>
            </w:r>
          </w:p>
        </w:tc>
        <w:tc>
          <w:tcPr>
            <w:tcW w:w="0" w:type="auto"/>
            <w:tcBorders>
              <w:top w:val="single" w:sz="4" w:space="0" w:color="95B3D7"/>
              <w:left w:val="nil"/>
              <w:bottom w:val="nil"/>
              <w:right w:val="nil"/>
            </w:tcBorders>
            <w:shd w:val="clear" w:color="auto" w:fill="BFBFBF" w:themeFill="background1" w:themeFillShade="BF"/>
          </w:tcPr>
          <w:p w14:paraId="2C4E9436"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0%</w:t>
            </w:r>
          </w:p>
        </w:tc>
        <w:tc>
          <w:tcPr>
            <w:tcW w:w="0" w:type="auto"/>
            <w:tcBorders>
              <w:top w:val="single" w:sz="4" w:space="0" w:color="95B3D7"/>
              <w:left w:val="nil"/>
              <w:bottom w:val="nil"/>
              <w:right w:val="nil"/>
            </w:tcBorders>
            <w:shd w:val="clear" w:color="auto" w:fill="BFBFBF" w:themeFill="background1" w:themeFillShade="BF"/>
            <w:noWrap/>
            <w:hideMark/>
          </w:tcPr>
          <w:p w14:paraId="5D989B61"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73%</w:t>
            </w:r>
          </w:p>
        </w:tc>
        <w:tc>
          <w:tcPr>
            <w:tcW w:w="0" w:type="auto"/>
            <w:tcBorders>
              <w:top w:val="single" w:sz="4" w:space="0" w:color="95B3D7"/>
              <w:left w:val="nil"/>
              <w:bottom w:val="nil"/>
              <w:right w:val="nil"/>
            </w:tcBorders>
            <w:shd w:val="clear" w:color="auto" w:fill="BFBFBF" w:themeFill="background1" w:themeFillShade="BF"/>
            <w:noWrap/>
            <w:hideMark/>
          </w:tcPr>
          <w:p w14:paraId="428DC82E" w14:textId="77777777" w:rsidR="00EA175A" w:rsidRPr="001F4B49" w:rsidRDefault="00EA175A" w:rsidP="0099524E">
            <w:pPr>
              <w:spacing w:after="0"/>
              <w:jc w:val="center"/>
              <w:rPr>
                <w:rFonts w:ascii="Calibri" w:eastAsia="Times New Roman" w:hAnsi="Calibri" w:cs="Times New Roman"/>
                <w:bCs/>
                <w:color w:val="000000"/>
                <w:sz w:val="16"/>
                <w:szCs w:val="22"/>
              </w:rPr>
            </w:pPr>
            <w:r w:rsidRPr="001F4B49">
              <w:rPr>
                <w:rFonts w:ascii="Calibri" w:eastAsia="Times New Roman" w:hAnsi="Calibri" w:cs="Times New Roman"/>
                <w:bCs/>
                <w:color w:val="000000"/>
                <w:sz w:val="16"/>
                <w:szCs w:val="22"/>
              </w:rPr>
              <w:t>100%</w:t>
            </w:r>
          </w:p>
        </w:tc>
      </w:tr>
    </w:tbl>
    <w:p w14:paraId="079E2854" w14:textId="77777777" w:rsidR="00EA175A" w:rsidRDefault="00EA175A" w:rsidP="00EA175A">
      <w:pPr>
        <w:rPr>
          <w:rFonts w:cs="Arial"/>
          <w:sz w:val="20"/>
          <w:szCs w:val="20"/>
        </w:rPr>
      </w:pPr>
      <w:r>
        <w:rPr>
          <w:rFonts w:cs="Arial"/>
          <w:sz w:val="20"/>
          <w:szCs w:val="20"/>
        </w:rPr>
        <w:t>Source: DHS Authority Approvals database, data includes all approvals from 2004 Q1 to 2014 Q3 inclusive.</w:t>
      </w:r>
    </w:p>
    <w:p w14:paraId="597DC1CE" w14:textId="77777777" w:rsidR="00EA175A" w:rsidRDefault="00EA175A" w:rsidP="00EA175A">
      <w:pPr>
        <w:rPr>
          <w:rFonts w:cs="Arial"/>
          <w:szCs w:val="20"/>
        </w:rPr>
      </w:pPr>
      <w:r>
        <w:rPr>
          <w:rFonts w:cs="Arial"/>
          <w:szCs w:val="20"/>
        </w:rPr>
        <w:t>The 6 most common switches have been;</w:t>
      </w:r>
    </w:p>
    <w:p w14:paraId="4880EAE1" w14:textId="77777777" w:rsidR="00EA175A" w:rsidRDefault="00EA175A" w:rsidP="00EA175A">
      <w:pPr>
        <w:pStyle w:val="ListParagraph"/>
        <w:numPr>
          <w:ilvl w:val="0"/>
          <w:numId w:val="38"/>
        </w:numPr>
        <w:rPr>
          <w:rFonts w:cs="Arial"/>
          <w:szCs w:val="20"/>
        </w:rPr>
      </w:pPr>
      <w:r w:rsidRPr="008D5F59">
        <w:rPr>
          <w:rFonts w:cs="Arial"/>
          <w:szCs w:val="20"/>
        </w:rPr>
        <w:t>from bosentan to sildenafil (217 patients)</w:t>
      </w:r>
    </w:p>
    <w:p w14:paraId="14BF9AEC" w14:textId="77777777" w:rsidR="00EA175A" w:rsidRDefault="00EA175A" w:rsidP="00EA175A">
      <w:pPr>
        <w:pStyle w:val="ListParagraph"/>
        <w:numPr>
          <w:ilvl w:val="0"/>
          <w:numId w:val="38"/>
        </w:numPr>
        <w:rPr>
          <w:rFonts w:cs="Arial"/>
          <w:szCs w:val="20"/>
        </w:rPr>
      </w:pPr>
      <w:r w:rsidRPr="008D5F59">
        <w:rPr>
          <w:rFonts w:cs="Arial"/>
          <w:szCs w:val="20"/>
        </w:rPr>
        <w:t xml:space="preserve">from bosentan to </w:t>
      </w:r>
      <w:r>
        <w:rPr>
          <w:rFonts w:cs="Arial"/>
          <w:szCs w:val="20"/>
        </w:rPr>
        <w:t>ambrisentan</w:t>
      </w:r>
      <w:r w:rsidRPr="008D5F59">
        <w:rPr>
          <w:rFonts w:cs="Arial"/>
          <w:szCs w:val="20"/>
        </w:rPr>
        <w:t xml:space="preserve"> (</w:t>
      </w:r>
      <w:r>
        <w:rPr>
          <w:rFonts w:cs="Arial"/>
          <w:szCs w:val="20"/>
        </w:rPr>
        <w:t>186</w:t>
      </w:r>
      <w:r w:rsidRPr="008D5F59">
        <w:rPr>
          <w:rFonts w:cs="Arial"/>
          <w:szCs w:val="20"/>
        </w:rPr>
        <w:t xml:space="preserve"> patients)</w:t>
      </w:r>
    </w:p>
    <w:p w14:paraId="15A719C4" w14:textId="77777777" w:rsidR="00EA175A" w:rsidRDefault="00EA175A" w:rsidP="00EA175A">
      <w:pPr>
        <w:pStyle w:val="ListParagraph"/>
        <w:numPr>
          <w:ilvl w:val="0"/>
          <w:numId w:val="38"/>
        </w:numPr>
        <w:rPr>
          <w:rFonts w:cs="Arial"/>
          <w:szCs w:val="20"/>
        </w:rPr>
      </w:pPr>
      <w:r>
        <w:rPr>
          <w:rFonts w:cs="Arial"/>
          <w:szCs w:val="20"/>
        </w:rPr>
        <w:t>from bosentan to iloprost (143 patients)</w:t>
      </w:r>
    </w:p>
    <w:p w14:paraId="4694395D" w14:textId="77777777" w:rsidR="00EA175A" w:rsidRDefault="00EA175A" w:rsidP="00EA175A">
      <w:pPr>
        <w:pStyle w:val="ListParagraph"/>
        <w:numPr>
          <w:ilvl w:val="0"/>
          <w:numId w:val="38"/>
        </w:numPr>
        <w:rPr>
          <w:rFonts w:cs="Arial"/>
          <w:szCs w:val="20"/>
        </w:rPr>
      </w:pPr>
      <w:r>
        <w:rPr>
          <w:rFonts w:cs="Arial"/>
          <w:szCs w:val="20"/>
        </w:rPr>
        <w:t>from sitaxentan to ambrisentan (99 patients)</w:t>
      </w:r>
    </w:p>
    <w:p w14:paraId="3F69715D" w14:textId="77777777" w:rsidR="00EA175A" w:rsidRDefault="00EA175A" w:rsidP="00EA175A">
      <w:pPr>
        <w:pStyle w:val="ListParagraph"/>
        <w:numPr>
          <w:ilvl w:val="0"/>
          <w:numId w:val="38"/>
        </w:numPr>
        <w:rPr>
          <w:rFonts w:cs="Arial"/>
          <w:szCs w:val="20"/>
        </w:rPr>
      </w:pPr>
      <w:r>
        <w:rPr>
          <w:rFonts w:cs="Arial"/>
          <w:szCs w:val="20"/>
        </w:rPr>
        <w:t>from bosentan to sitaxentan (98 patients)</w:t>
      </w:r>
    </w:p>
    <w:p w14:paraId="4B2EC8B0" w14:textId="77777777" w:rsidR="00EA175A" w:rsidRDefault="00EA175A" w:rsidP="00EA175A">
      <w:pPr>
        <w:pStyle w:val="ListParagraph"/>
        <w:numPr>
          <w:ilvl w:val="0"/>
          <w:numId w:val="38"/>
        </w:numPr>
        <w:rPr>
          <w:rFonts w:cs="Arial"/>
          <w:szCs w:val="20"/>
        </w:rPr>
      </w:pPr>
      <w:r>
        <w:rPr>
          <w:rFonts w:cs="Arial"/>
          <w:szCs w:val="20"/>
        </w:rPr>
        <w:t>from bosentan to epoprostenol (83 patients)</w:t>
      </w:r>
    </w:p>
    <w:p w14:paraId="5CD5E1DA" w14:textId="77777777" w:rsidR="00EA175A" w:rsidRDefault="00EA175A" w:rsidP="00EA175A">
      <w:pPr>
        <w:rPr>
          <w:rFonts w:cs="Arial"/>
          <w:szCs w:val="20"/>
        </w:rPr>
      </w:pPr>
      <w:r>
        <w:rPr>
          <w:rFonts w:cs="Arial"/>
          <w:szCs w:val="20"/>
        </w:rPr>
        <w:t>These switches have been influenced by the order of PBS listing, with bosentan being the most commonly switched from drug partly because it was listed first, but also because most patients initiated PAH therapy on bosentan even when the alternative drugs were available (except for the most recent quarter, 2014 Q3, where macitentan was the most common, see Figure 3). The sitaxentan to ambrisentan switches would have been related to the delisting of sitaxentan.</w:t>
      </w:r>
    </w:p>
    <w:p w14:paraId="144640D7" w14:textId="77777777" w:rsidR="00EA175A" w:rsidRDefault="00EA175A" w:rsidP="00EA175A">
      <w:pPr>
        <w:rPr>
          <w:rFonts w:cs="Arial"/>
          <w:szCs w:val="20"/>
        </w:rPr>
      </w:pPr>
      <w:r>
        <w:rPr>
          <w:rFonts w:cs="Arial"/>
          <w:szCs w:val="20"/>
        </w:rPr>
        <w:t>Table 4 shows the distribution of the number of PAH drugs initiated by the 4,044 patients over the period 2004 Q1 to 2014 Q3 inclusive. The PBS restrictions allow switching between PAH drugs and have done so since the listing of iloprost, the second listed PAH drug.</w:t>
      </w:r>
    </w:p>
    <w:p w14:paraId="4ACCA8D6" w14:textId="77777777" w:rsidR="004E1C05" w:rsidRDefault="004E1C05">
      <w:pPr>
        <w:spacing w:line="276" w:lineRule="auto"/>
        <w:rPr>
          <w:rFonts w:cs="Arial"/>
          <w:b/>
        </w:rPr>
      </w:pPr>
      <w:r>
        <w:rPr>
          <w:rFonts w:cs="Arial"/>
          <w:b/>
        </w:rPr>
        <w:br w:type="page"/>
      </w:r>
    </w:p>
    <w:p w14:paraId="66322702" w14:textId="6D3CA682" w:rsidR="00EA175A" w:rsidRDefault="00EA175A" w:rsidP="00EA175A">
      <w:pPr>
        <w:rPr>
          <w:rFonts w:cs="Arial"/>
          <w:szCs w:val="20"/>
        </w:rPr>
      </w:pPr>
      <w:r>
        <w:rPr>
          <w:rFonts w:cs="Arial"/>
          <w:b/>
        </w:rPr>
        <w:lastRenderedPageBreak/>
        <w:t>Table 4: Distribution of number of PAH drugs initiated</w:t>
      </w:r>
    </w:p>
    <w:tbl>
      <w:tblPr>
        <w:tblStyle w:val="TableGrid2"/>
        <w:tblW w:w="0" w:type="auto"/>
        <w:tblLayout w:type="fixed"/>
        <w:tblLook w:val="04A0" w:firstRow="1" w:lastRow="0" w:firstColumn="1" w:lastColumn="0" w:noHBand="0" w:noVBand="1"/>
        <w:tblCaption w:val="Table 4: Distribution of number of PAH drugs initiated"/>
      </w:tblPr>
      <w:tblGrid>
        <w:gridCol w:w="1384"/>
        <w:gridCol w:w="1334"/>
      </w:tblGrid>
      <w:tr w:rsidR="00EA175A" w:rsidRPr="00BA3D95" w14:paraId="25D46125" w14:textId="77777777" w:rsidTr="00096FB3">
        <w:trPr>
          <w:trHeight w:val="300"/>
          <w:tblHeader/>
        </w:trPr>
        <w:tc>
          <w:tcPr>
            <w:tcW w:w="1384" w:type="dxa"/>
            <w:shd w:val="clear" w:color="auto" w:fill="BFBFBF" w:themeFill="background1" w:themeFillShade="BF"/>
            <w:noWrap/>
            <w:vAlign w:val="center"/>
            <w:hideMark/>
          </w:tcPr>
          <w:p w14:paraId="2D0F6CB1" w14:textId="77777777" w:rsidR="00EA175A" w:rsidRPr="00BA3D95" w:rsidRDefault="00EA175A" w:rsidP="0099524E">
            <w:pPr>
              <w:jc w:val="center"/>
              <w:rPr>
                <w:rFonts w:ascii="Calibri" w:eastAsia="Times New Roman" w:hAnsi="Calibri" w:cs="Times New Roman"/>
                <w:b/>
                <w:bCs/>
                <w:color w:val="000000"/>
                <w:sz w:val="20"/>
                <w:szCs w:val="20"/>
              </w:rPr>
            </w:pPr>
            <w:r w:rsidRPr="00BA3D95">
              <w:rPr>
                <w:rFonts w:ascii="Calibri" w:eastAsia="Times New Roman" w:hAnsi="Calibri" w:cs="Times New Roman"/>
                <w:b/>
                <w:bCs/>
                <w:color w:val="000000"/>
                <w:sz w:val="20"/>
                <w:szCs w:val="20"/>
              </w:rPr>
              <w:t>PAH drugs initiated</w:t>
            </w:r>
          </w:p>
        </w:tc>
        <w:tc>
          <w:tcPr>
            <w:tcW w:w="1334" w:type="dxa"/>
            <w:shd w:val="clear" w:color="auto" w:fill="BFBFBF" w:themeFill="background1" w:themeFillShade="BF"/>
            <w:noWrap/>
            <w:vAlign w:val="center"/>
            <w:hideMark/>
          </w:tcPr>
          <w:p w14:paraId="43C98A88" w14:textId="77777777" w:rsidR="00EA175A" w:rsidRPr="00BA3D95" w:rsidRDefault="00EA175A" w:rsidP="0099524E">
            <w:pPr>
              <w:jc w:val="center"/>
              <w:rPr>
                <w:rFonts w:ascii="Calibri" w:eastAsia="Times New Roman" w:hAnsi="Calibri" w:cs="Times New Roman"/>
                <w:b/>
                <w:bCs/>
                <w:color w:val="000000"/>
                <w:sz w:val="20"/>
                <w:szCs w:val="20"/>
              </w:rPr>
            </w:pPr>
            <w:r w:rsidRPr="00BA3D95">
              <w:rPr>
                <w:rFonts w:ascii="Calibri" w:eastAsia="Times New Roman" w:hAnsi="Calibri" w:cs="Times New Roman"/>
                <w:b/>
                <w:bCs/>
                <w:color w:val="000000"/>
                <w:sz w:val="20"/>
                <w:szCs w:val="20"/>
              </w:rPr>
              <w:t>Patients</w:t>
            </w:r>
          </w:p>
        </w:tc>
      </w:tr>
      <w:tr w:rsidR="00EA175A" w:rsidRPr="00BA3D95" w14:paraId="7699905F" w14:textId="77777777" w:rsidTr="0099524E">
        <w:trPr>
          <w:trHeight w:val="300"/>
        </w:trPr>
        <w:tc>
          <w:tcPr>
            <w:tcW w:w="1384" w:type="dxa"/>
            <w:noWrap/>
            <w:hideMark/>
          </w:tcPr>
          <w:p w14:paraId="5F9F84D5"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1</w:t>
            </w:r>
          </w:p>
        </w:tc>
        <w:tc>
          <w:tcPr>
            <w:tcW w:w="1334" w:type="dxa"/>
            <w:noWrap/>
            <w:hideMark/>
          </w:tcPr>
          <w:p w14:paraId="05B7C8A8"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2951</w:t>
            </w:r>
          </w:p>
        </w:tc>
      </w:tr>
      <w:tr w:rsidR="00EA175A" w:rsidRPr="00BA3D95" w14:paraId="0F483B61" w14:textId="77777777" w:rsidTr="0099524E">
        <w:trPr>
          <w:trHeight w:val="300"/>
        </w:trPr>
        <w:tc>
          <w:tcPr>
            <w:tcW w:w="1384" w:type="dxa"/>
            <w:noWrap/>
            <w:hideMark/>
          </w:tcPr>
          <w:p w14:paraId="7C448751"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2</w:t>
            </w:r>
          </w:p>
        </w:tc>
        <w:tc>
          <w:tcPr>
            <w:tcW w:w="1334" w:type="dxa"/>
            <w:noWrap/>
            <w:hideMark/>
          </w:tcPr>
          <w:p w14:paraId="6C082389"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792</w:t>
            </w:r>
          </w:p>
        </w:tc>
      </w:tr>
      <w:tr w:rsidR="00EA175A" w:rsidRPr="00BA3D95" w14:paraId="76FB5E9E" w14:textId="77777777" w:rsidTr="0099524E">
        <w:trPr>
          <w:trHeight w:val="300"/>
        </w:trPr>
        <w:tc>
          <w:tcPr>
            <w:tcW w:w="1384" w:type="dxa"/>
            <w:noWrap/>
            <w:hideMark/>
          </w:tcPr>
          <w:p w14:paraId="611AAE69"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3</w:t>
            </w:r>
          </w:p>
        </w:tc>
        <w:tc>
          <w:tcPr>
            <w:tcW w:w="1334" w:type="dxa"/>
            <w:noWrap/>
            <w:hideMark/>
          </w:tcPr>
          <w:p w14:paraId="57A1D87F"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224</w:t>
            </w:r>
          </w:p>
        </w:tc>
      </w:tr>
      <w:tr w:rsidR="00EA175A" w:rsidRPr="00BA3D95" w14:paraId="34EABA0E" w14:textId="77777777" w:rsidTr="0099524E">
        <w:trPr>
          <w:trHeight w:val="300"/>
        </w:trPr>
        <w:tc>
          <w:tcPr>
            <w:tcW w:w="1384" w:type="dxa"/>
            <w:noWrap/>
            <w:hideMark/>
          </w:tcPr>
          <w:p w14:paraId="2469D57A"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4</w:t>
            </w:r>
          </w:p>
        </w:tc>
        <w:tc>
          <w:tcPr>
            <w:tcW w:w="1334" w:type="dxa"/>
            <w:noWrap/>
            <w:hideMark/>
          </w:tcPr>
          <w:p w14:paraId="0B2F6963"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64</w:t>
            </w:r>
          </w:p>
        </w:tc>
      </w:tr>
      <w:tr w:rsidR="00EA175A" w:rsidRPr="00BA3D95" w14:paraId="49627B3C" w14:textId="77777777" w:rsidTr="0099524E">
        <w:trPr>
          <w:trHeight w:val="300"/>
        </w:trPr>
        <w:tc>
          <w:tcPr>
            <w:tcW w:w="1384" w:type="dxa"/>
            <w:noWrap/>
            <w:hideMark/>
          </w:tcPr>
          <w:p w14:paraId="2BF082AE"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5</w:t>
            </w:r>
          </w:p>
        </w:tc>
        <w:tc>
          <w:tcPr>
            <w:tcW w:w="1334" w:type="dxa"/>
            <w:noWrap/>
            <w:hideMark/>
          </w:tcPr>
          <w:p w14:paraId="44D20DA6"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13</w:t>
            </w:r>
          </w:p>
        </w:tc>
      </w:tr>
      <w:tr w:rsidR="00EA175A" w:rsidRPr="00BA3D95" w14:paraId="36BF3939" w14:textId="77777777" w:rsidTr="0099524E">
        <w:trPr>
          <w:trHeight w:val="300"/>
        </w:trPr>
        <w:tc>
          <w:tcPr>
            <w:tcW w:w="1384" w:type="dxa"/>
            <w:noWrap/>
            <w:hideMark/>
          </w:tcPr>
          <w:p w14:paraId="621E9625"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Total</w:t>
            </w:r>
          </w:p>
        </w:tc>
        <w:tc>
          <w:tcPr>
            <w:tcW w:w="1334" w:type="dxa"/>
            <w:noWrap/>
            <w:hideMark/>
          </w:tcPr>
          <w:p w14:paraId="4A72F21E" w14:textId="77777777" w:rsidR="00EA175A" w:rsidRPr="00842B85" w:rsidRDefault="00EA175A" w:rsidP="0099524E">
            <w:pPr>
              <w:jc w:val="center"/>
              <w:rPr>
                <w:rFonts w:ascii="Calibri" w:eastAsia="Times New Roman" w:hAnsi="Calibri" w:cs="Times New Roman"/>
                <w:sz w:val="20"/>
                <w:szCs w:val="20"/>
              </w:rPr>
            </w:pPr>
            <w:r w:rsidRPr="00842B85">
              <w:rPr>
                <w:rFonts w:ascii="Calibri" w:eastAsia="Times New Roman" w:hAnsi="Calibri" w:cs="Times New Roman"/>
                <w:sz w:val="20"/>
                <w:szCs w:val="20"/>
              </w:rPr>
              <w:t xml:space="preserve"> 4,044 </w:t>
            </w:r>
          </w:p>
        </w:tc>
      </w:tr>
    </w:tbl>
    <w:p w14:paraId="61030EC1" w14:textId="77777777" w:rsidR="00EA175A" w:rsidRPr="00BA3D95" w:rsidRDefault="00EA175A" w:rsidP="00EA175A">
      <w:pPr>
        <w:rPr>
          <w:rFonts w:cs="Arial"/>
          <w:b/>
        </w:rPr>
      </w:pPr>
      <w:r>
        <w:rPr>
          <w:rFonts w:cs="Arial"/>
          <w:sz w:val="20"/>
          <w:szCs w:val="20"/>
        </w:rPr>
        <w:t>Source: DHS Authority Approvals database, data includes all approvals from 2004 Q1 to 2014 Q3 inclusive.</w:t>
      </w:r>
    </w:p>
    <w:p w14:paraId="0EF8678B" w14:textId="58B824DF" w:rsidR="00EA175A" w:rsidRDefault="00EA175A" w:rsidP="00EA175A">
      <w:pPr>
        <w:pStyle w:val="Heading3"/>
      </w:pPr>
      <w:r>
        <w:t xml:space="preserve">Pack and </w:t>
      </w:r>
      <w:r w:rsidR="003F70D3">
        <w:t>prescription</w:t>
      </w:r>
      <w:r>
        <w:t xml:space="preserve"> utilisation</w:t>
      </w:r>
    </w:p>
    <w:p w14:paraId="0EFA4AA7" w14:textId="56245081" w:rsidR="001C4314" w:rsidRPr="001C4314" w:rsidRDefault="001C4314" w:rsidP="001C4314">
      <w:r w:rsidRPr="001C4314">
        <w:t>Figure 6</w:t>
      </w:r>
      <w:r>
        <w:t xml:space="preserve"> shows</w:t>
      </w:r>
      <w:r w:rsidRPr="001C4314">
        <w:t xml:space="preserve"> </w:t>
      </w:r>
      <w:r>
        <w:t>the number of p</w:t>
      </w:r>
      <w:r w:rsidRPr="001C4314">
        <w:t>acks supplied for PAH drugs by quarter of supply</w:t>
      </w:r>
      <w:r>
        <w:t>.</w:t>
      </w:r>
    </w:p>
    <w:p w14:paraId="6AA8FE22" w14:textId="77777777" w:rsidR="00EA175A" w:rsidRDefault="00EA175A" w:rsidP="00EA175A">
      <w:r>
        <w:rPr>
          <w:noProof/>
        </w:rPr>
        <w:drawing>
          <wp:inline distT="0" distB="0" distL="0" distR="0" wp14:anchorId="023192B7" wp14:editId="5A3EA33C">
            <wp:extent cx="5943600" cy="3870325"/>
            <wp:effectExtent l="0" t="0" r="0" b="0"/>
            <wp:docPr id="15" name="Chart 15" title="Figure 6: Packs supplied for PAH drugs by quarter of supply"/>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02A58DB" w14:textId="77777777" w:rsidR="00EA175A" w:rsidRDefault="00EA175A" w:rsidP="00EA175A">
      <w:pPr>
        <w:rPr>
          <w:rFonts w:cs="Arial"/>
          <w:sz w:val="20"/>
          <w:szCs w:val="20"/>
        </w:rPr>
      </w:pPr>
      <w:r>
        <w:rPr>
          <w:rFonts w:cs="Arial"/>
          <w:b/>
          <w:szCs w:val="20"/>
        </w:rPr>
        <w:t>Figure 6</w:t>
      </w:r>
      <w:r w:rsidRPr="00094D87">
        <w:rPr>
          <w:rFonts w:cs="Arial"/>
          <w:b/>
          <w:szCs w:val="20"/>
        </w:rPr>
        <w:t xml:space="preserve">: </w:t>
      </w:r>
      <w:r>
        <w:rPr>
          <w:rFonts w:cs="Arial"/>
          <w:b/>
          <w:szCs w:val="20"/>
        </w:rPr>
        <w:t>Packs supplied for PAH drugs by quarter of supply</w:t>
      </w:r>
      <w:r>
        <w:rPr>
          <w:rFonts w:cs="Arial"/>
          <w:b/>
          <w:szCs w:val="20"/>
        </w:rPr>
        <w:br/>
      </w:r>
      <w:r>
        <w:rPr>
          <w:rFonts w:cs="Arial"/>
          <w:sz w:val="20"/>
          <w:szCs w:val="20"/>
        </w:rPr>
        <w:t>Source</w:t>
      </w:r>
      <w:r w:rsidRPr="004A11F0">
        <w:rPr>
          <w:rFonts w:cs="Arial"/>
          <w:sz w:val="20"/>
          <w:szCs w:val="20"/>
        </w:rPr>
        <w:t xml:space="preserve">: </w:t>
      </w:r>
      <w:r>
        <w:rPr>
          <w:rFonts w:cs="Arial"/>
          <w:sz w:val="20"/>
          <w:szCs w:val="20"/>
        </w:rPr>
        <w:t xml:space="preserve">DUSC HSD database. </w:t>
      </w:r>
    </w:p>
    <w:p w14:paraId="239FC917" w14:textId="77777777" w:rsidR="00EA175A" w:rsidRPr="00E7772A" w:rsidRDefault="00EA175A" w:rsidP="00EA175A">
      <w:pPr>
        <w:rPr>
          <w:rFonts w:cs="Arial"/>
          <w:b/>
          <w:sz w:val="32"/>
          <w:szCs w:val="20"/>
        </w:rPr>
      </w:pPr>
      <w:r w:rsidRPr="00E7772A">
        <w:rPr>
          <w:rFonts w:cs="Arial"/>
          <w:szCs w:val="20"/>
        </w:rPr>
        <w:t xml:space="preserve">Note that </w:t>
      </w:r>
      <w:r>
        <w:rPr>
          <w:rFonts w:cs="Arial"/>
          <w:szCs w:val="20"/>
        </w:rPr>
        <w:t xml:space="preserve">pack </w:t>
      </w:r>
      <w:r w:rsidRPr="00E7772A">
        <w:rPr>
          <w:rFonts w:cs="Arial"/>
          <w:szCs w:val="20"/>
        </w:rPr>
        <w:t xml:space="preserve">supply data </w:t>
      </w:r>
      <w:r>
        <w:rPr>
          <w:rFonts w:cs="Arial"/>
          <w:szCs w:val="20"/>
        </w:rPr>
        <w:t>shown in Figure 6 was</w:t>
      </w:r>
      <w:r w:rsidRPr="00E7772A">
        <w:rPr>
          <w:rFonts w:cs="Arial"/>
          <w:szCs w:val="20"/>
        </w:rPr>
        <w:t xml:space="preserve"> only available until the end of 2014 Q2, whereas the approval data in Figures </w:t>
      </w:r>
      <w:r>
        <w:rPr>
          <w:rFonts w:cs="Arial"/>
          <w:szCs w:val="20"/>
        </w:rPr>
        <w:t>2</w:t>
      </w:r>
      <w:r w:rsidRPr="00E7772A">
        <w:rPr>
          <w:rFonts w:cs="Arial"/>
          <w:szCs w:val="20"/>
        </w:rPr>
        <w:t xml:space="preserve"> to </w:t>
      </w:r>
      <w:r>
        <w:rPr>
          <w:rFonts w:cs="Arial"/>
          <w:szCs w:val="20"/>
        </w:rPr>
        <w:t>5</w:t>
      </w:r>
      <w:r w:rsidRPr="00E7772A">
        <w:rPr>
          <w:rFonts w:cs="Arial"/>
          <w:szCs w:val="20"/>
        </w:rPr>
        <w:t xml:space="preserve"> was available to 2014 Q3. This is because of the significantly longer lag from pack supply to DHS processing of claims compared to </w:t>
      </w:r>
      <w:r>
        <w:rPr>
          <w:rFonts w:cs="Arial"/>
          <w:szCs w:val="20"/>
        </w:rPr>
        <w:t xml:space="preserve">the lag from </w:t>
      </w:r>
      <w:r w:rsidRPr="00E7772A">
        <w:rPr>
          <w:rFonts w:cs="Arial"/>
          <w:szCs w:val="20"/>
        </w:rPr>
        <w:t xml:space="preserve">approval to </w:t>
      </w:r>
      <w:r>
        <w:rPr>
          <w:rFonts w:cs="Arial"/>
          <w:szCs w:val="20"/>
        </w:rPr>
        <w:t xml:space="preserve">the </w:t>
      </w:r>
      <w:r w:rsidRPr="00E7772A">
        <w:rPr>
          <w:rFonts w:cs="Arial"/>
          <w:szCs w:val="20"/>
        </w:rPr>
        <w:t>approval data being available to the Department of Health. Thus there is no pack data for macitentan which was listed on 1</w:t>
      </w:r>
      <w:r>
        <w:rPr>
          <w:rFonts w:cs="Arial"/>
          <w:szCs w:val="20"/>
        </w:rPr>
        <w:t xml:space="preserve"> September </w:t>
      </w:r>
      <w:r w:rsidRPr="00E7772A">
        <w:rPr>
          <w:rFonts w:cs="Arial"/>
          <w:szCs w:val="20"/>
        </w:rPr>
        <w:t>2014.</w:t>
      </w:r>
    </w:p>
    <w:p w14:paraId="43F230AD" w14:textId="3AE12738" w:rsidR="00EA175A" w:rsidRDefault="00EA175A" w:rsidP="00EA175A">
      <w:r>
        <w:lastRenderedPageBreak/>
        <w:t>As the PAH drugs are listed in the s100 H</w:t>
      </w:r>
      <w:r w:rsidR="002268B7">
        <w:t xml:space="preserve">ighly </w:t>
      </w:r>
      <w:r>
        <w:t>S</w:t>
      </w:r>
      <w:r w:rsidR="002268B7">
        <w:t xml:space="preserve">pecialised </w:t>
      </w:r>
      <w:r>
        <w:t>D</w:t>
      </w:r>
      <w:r w:rsidR="002268B7">
        <w:t>rugs (HSD)</w:t>
      </w:r>
      <w:r w:rsidR="008E1F8C">
        <w:t xml:space="preserve"> Program</w:t>
      </w:r>
      <w:r>
        <w:t xml:space="preserve">, the utilisation measure normally used is packs because </w:t>
      </w:r>
      <w:r w:rsidR="003F70D3">
        <w:t>prescription</w:t>
      </w:r>
      <w:r>
        <w:t xml:space="preserve">s are not reported for a portion of the data. That is, HSD drugs prescribed in public hospitals and processed via the DHS Offline processing system were only reported as packs and not </w:t>
      </w:r>
      <w:r w:rsidR="003F70D3">
        <w:t>prescription</w:t>
      </w:r>
      <w:r>
        <w:t>s. The problem with Figure 6 is that patients, on average, consume many more packs per month of epoprostenol, than for the other PAH drugs. Thus Figure 6 gives the false impression that epoprostenol is the most highly utilised drug, which appears to be inconsistent with the prevalent patient counts in Figure 5.</w:t>
      </w:r>
    </w:p>
    <w:p w14:paraId="3D4234F7" w14:textId="72331E7D" w:rsidR="00EA175A" w:rsidRDefault="00EA175A" w:rsidP="00EA175A">
      <w:r>
        <w:t xml:space="preserve">Fortunately only a low proportion of PAH drugs were processed via the DHS Offline system (see </w:t>
      </w:r>
      <w:r w:rsidR="004402EE">
        <w:t>Appendix B</w:t>
      </w:r>
      <w:r w:rsidR="006F702D">
        <w:t xml:space="preserve"> </w:t>
      </w:r>
      <w:r>
        <w:t xml:space="preserve">for details), so reporting </w:t>
      </w:r>
      <w:r w:rsidR="003F70D3">
        <w:t>prescription</w:t>
      </w:r>
      <w:r w:rsidR="006A7107">
        <w:t>s</w:t>
      </w:r>
      <w:r>
        <w:t xml:space="preserve"> is only a slight under-estimate of utilisation prior to July 2013. The DHS Offline system was phased out in June 2013 and so from this point on </w:t>
      </w:r>
      <w:r w:rsidR="003F70D3">
        <w:t>prescription</w:t>
      </w:r>
      <w:r>
        <w:t xml:space="preserve"> utilisation is complete (i</w:t>
      </w:r>
      <w:r w:rsidR="009B46B3">
        <w:t>.</w:t>
      </w:r>
      <w:r>
        <w:t xml:space="preserve">e. no longer a slight underestimate). Figure 7 shows the </w:t>
      </w:r>
      <w:r w:rsidR="003F70D3">
        <w:t>prescription</w:t>
      </w:r>
      <w:r>
        <w:t xml:space="preserve"> utilisation by drug.</w:t>
      </w:r>
    </w:p>
    <w:p w14:paraId="2FF6B296" w14:textId="77777777" w:rsidR="00EA175A" w:rsidRDefault="00EA175A" w:rsidP="00EA175A">
      <w:r>
        <w:rPr>
          <w:noProof/>
        </w:rPr>
        <w:drawing>
          <wp:inline distT="0" distB="0" distL="0" distR="0" wp14:anchorId="2C67F570" wp14:editId="296DD876">
            <wp:extent cx="6010275" cy="3867150"/>
            <wp:effectExtent l="0" t="0" r="0" b="0"/>
            <wp:docPr id="17" name="Chart 17" title="Figure 7: Scripts supplied for PAH drugs"/>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262DE994" w14:textId="03513BD6" w:rsidR="00EA175A" w:rsidRPr="004C618A" w:rsidRDefault="00EA175A" w:rsidP="00EA175A">
      <w:pPr>
        <w:rPr>
          <w:rFonts w:cs="Arial"/>
          <w:b/>
          <w:szCs w:val="20"/>
        </w:rPr>
      </w:pPr>
      <w:r>
        <w:rPr>
          <w:rFonts w:cs="Arial"/>
          <w:b/>
          <w:szCs w:val="20"/>
        </w:rPr>
        <w:t>Figure 7</w:t>
      </w:r>
      <w:r w:rsidRPr="00094D87">
        <w:rPr>
          <w:rFonts w:cs="Arial"/>
          <w:b/>
          <w:szCs w:val="20"/>
        </w:rPr>
        <w:t xml:space="preserve">: </w:t>
      </w:r>
      <w:r w:rsidR="00487156">
        <w:rPr>
          <w:rFonts w:cs="Arial"/>
          <w:b/>
          <w:szCs w:val="20"/>
        </w:rPr>
        <w:t>P</w:t>
      </w:r>
      <w:r w:rsidR="003F70D3">
        <w:rPr>
          <w:rFonts w:cs="Arial"/>
          <w:b/>
          <w:szCs w:val="20"/>
        </w:rPr>
        <w:t>rescription</w:t>
      </w:r>
      <w:r w:rsidR="00CC3A31">
        <w:rPr>
          <w:rFonts w:cs="Arial"/>
          <w:b/>
          <w:szCs w:val="20"/>
        </w:rPr>
        <w:t>s</w:t>
      </w:r>
      <w:r>
        <w:rPr>
          <w:rFonts w:cs="Arial"/>
          <w:b/>
          <w:szCs w:val="20"/>
        </w:rPr>
        <w:t xml:space="preserve"> supplied for PAH drugs</w:t>
      </w:r>
      <w:r>
        <w:rPr>
          <w:rFonts w:cs="Arial"/>
          <w:b/>
          <w:szCs w:val="20"/>
        </w:rPr>
        <w:br/>
      </w:r>
      <w:r>
        <w:rPr>
          <w:rFonts w:cs="Arial"/>
          <w:sz w:val="20"/>
          <w:szCs w:val="20"/>
        </w:rPr>
        <w:t>Source</w:t>
      </w:r>
      <w:r w:rsidRPr="004A11F0">
        <w:rPr>
          <w:rFonts w:cs="Arial"/>
          <w:sz w:val="20"/>
          <w:szCs w:val="20"/>
        </w:rPr>
        <w:t xml:space="preserve">: </w:t>
      </w:r>
      <w:r>
        <w:rPr>
          <w:rFonts w:cs="Arial"/>
          <w:sz w:val="20"/>
          <w:szCs w:val="20"/>
        </w:rPr>
        <w:t>DUSC HSD database</w:t>
      </w:r>
    </w:p>
    <w:p w14:paraId="4A669860" w14:textId="77777777" w:rsidR="00EA175A" w:rsidRDefault="00EA175A" w:rsidP="00EA175A">
      <w:r>
        <w:t>The utilisation ranking of the drugs in Figure 7 is now consistent with the prevalent patient count in Figure 5. To elucidate the utilisation of these drugs further, expressing the utilisation in Defined Daily Doses per 1000 population was considered. This was not done as epoprostenol does not have a WHO Defined Daily Dose (presumably because it is a weight dependant continuous infusion).</w:t>
      </w:r>
    </w:p>
    <w:p w14:paraId="490CA821" w14:textId="75F85CE6" w:rsidR="00D01B8E" w:rsidRDefault="00D01B8E" w:rsidP="00EA175A">
      <w:r>
        <w:t>Table 5 shows p</w:t>
      </w:r>
      <w:r w:rsidRPr="00D01B8E">
        <w:t>rescription utilisation in 2013/14 by prescribing Hospital Type and PBS Item code.</w:t>
      </w:r>
    </w:p>
    <w:p w14:paraId="0E41D319" w14:textId="3E02152B" w:rsidR="00EA175A" w:rsidRDefault="00EA175A" w:rsidP="00EA175A">
      <w:r>
        <w:rPr>
          <w:rFonts w:cs="Arial"/>
          <w:b/>
        </w:rPr>
        <w:lastRenderedPageBreak/>
        <w:t xml:space="preserve">Table 5: </w:t>
      </w:r>
      <w:r w:rsidR="003F70D3">
        <w:rPr>
          <w:rFonts w:cs="Arial"/>
          <w:b/>
        </w:rPr>
        <w:t>Prescription</w:t>
      </w:r>
      <w:r w:rsidR="00D01B8E">
        <w:rPr>
          <w:rFonts w:cs="Arial"/>
          <w:b/>
        </w:rPr>
        <w:t>s</w:t>
      </w:r>
      <w:r>
        <w:rPr>
          <w:rFonts w:cs="Arial"/>
          <w:b/>
        </w:rPr>
        <w:t xml:space="preserve"> in 2013/14 by prescribing Hospital Type and PBS Item code.</w:t>
      </w:r>
    </w:p>
    <w:tbl>
      <w:tblPr>
        <w:tblStyle w:val="LightList-Accent1"/>
        <w:tblW w:w="987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Caption w:val="Table 5: Script utilisation in 2013/14 by prescribing Hospital Type and PBS Item code."/>
      </w:tblPr>
      <w:tblGrid>
        <w:gridCol w:w="2093"/>
        <w:gridCol w:w="992"/>
        <w:gridCol w:w="851"/>
        <w:gridCol w:w="4677"/>
        <w:gridCol w:w="425"/>
        <w:gridCol w:w="838"/>
      </w:tblGrid>
      <w:tr w:rsidR="00EA175A" w:rsidRPr="00587CDD" w14:paraId="6F2B9C5C" w14:textId="77777777" w:rsidTr="003C4978">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093" w:type="dxa"/>
            <w:shd w:val="clear" w:color="auto" w:fill="BFBFBF" w:themeFill="background1" w:themeFillShade="BF"/>
            <w:noWrap/>
            <w:hideMark/>
          </w:tcPr>
          <w:p w14:paraId="0E4C1BE2" w14:textId="77777777" w:rsidR="00EA175A" w:rsidRPr="00587CDD" w:rsidRDefault="00EA175A" w:rsidP="0099524E">
            <w:pPr>
              <w:rPr>
                <w:color w:val="auto"/>
                <w:sz w:val="18"/>
                <w:szCs w:val="20"/>
              </w:rPr>
            </w:pPr>
            <w:r w:rsidRPr="00587CDD">
              <w:rPr>
                <w:color w:val="auto"/>
                <w:sz w:val="18"/>
                <w:szCs w:val="20"/>
              </w:rPr>
              <w:t>Drug Name</w:t>
            </w:r>
          </w:p>
        </w:tc>
        <w:tc>
          <w:tcPr>
            <w:tcW w:w="992" w:type="dxa"/>
            <w:shd w:val="clear" w:color="auto" w:fill="BFBFBF" w:themeFill="background1" w:themeFillShade="BF"/>
            <w:hideMark/>
          </w:tcPr>
          <w:p w14:paraId="18D6709D" w14:textId="77777777" w:rsidR="00EA175A" w:rsidRPr="00587CDD" w:rsidRDefault="00EA175A" w:rsidP="0099524E">
            <w:pPr>
              <w:cnfStyle w:val="100000000000" w:firstRow="1" w:lastRow="0" w:firstColumn="0" w:lastColumn="0" w:oddVBand="0" w:evenVBand="0" w:oddHBand="0" w:evenHBand="0" w:firstRowFirstColumn="0" w:firstRowLastColumn="0" w:lastRowFirstColumn="0" w:lastRowLastColumn="0"/>
              <w:rPr>
                <w:color w:val="auto"/>
                <w:sz w:val="18"/>
                <w:szCs w:val="20"/>
              </w:rPr>
            </w:pPr>
            <w:r w:rsidRPr="00587CDD">
              <w:rPr>
                <w:color w:val="auto"/>
                <w:sz w:val="18"/>
                <w:szCs w:val="20"/>
              </w:rPr>
              <w:t>Hospital Type</w:t>
            </w:r>
          </w:p>
        </w:tc>
        <w:tc>
          <w:tcPr>
            <w:tcW w:w="851" w:type="dxa"/>
            <w:shd w:val="clear" w:color="auto" w:fill="BFBFBF" w:themeFill="background1" w:themeFillShade="BF"/>
            <w:hideMark/>
          </w:tcPr>
          <w:p w14:paraId="75AB03C2" w14:textId="77777777" w:rsidR="00EA175A" w:rsidRPr="00587CDD" w:rsidRDefault="00EA175A" w:rsidP="0099524E">
            <w:pPr>
              <w:cnfStyle w:val="100000000000" w:firstRow="1" w:lastRow="0" w:firstColumn="0" w:lastColumn="0" w:oddVBand="0" w:evenVBand="0" w:oddHBand="0" w:evenHBand="0" w:firstRowFirstColumn="0" w:firstRowLastColumn="0" w:lastRowFirstColumn="0" w:lastRowLastColumn="0"/>
              <w:rPr>
                <w:color w:val="auto"/>
                <w:sz w:val="18"/>
                <w:szCs w:val="20"/>
              </w:rPr>
            </w:pPr>
            <w:r w:rsidRPr="00587CDD">
              <w:rPr>
                <w:color w:val="auto"/>
                <w:sz w:val="18"/>
                <w:szCs w:val="20"/>
              </w:rPr>
              <w:t>PBS code</w:t>
            </w:r>
          </w:p>
        </w:tc>
        <w:tc>
          <w:tcPr>
            <w:tcW w:w="4677" w:type="dxa"/>
            <w:shd w:val="clear" w:color="auto" w:fill="BFBFBF" w:themeFill="background1" w:themeFillShade="BF"/>
            <w:noWrap/>
            <w:hideMark/>
          </w:tcPr>
          <w:p w14:paraId="3CBC29AE" w14:textId="77777777" w:rsidR="00EA175A" w:rsidRPr="00587CDD" w:rsidRDefault="00EA175A" w:rsidP="0099524E">
            <w:pPr>
              <w:cnfStyle w:val="100000000000" w:firstRow="1" w:lastRow="0" w:firstColumn="0" w:lastColumn="0" w:oddVBand="0" w:evenVBand="0" w:oddHBand="0" w:evenHBand="0" w:firstRowFirstColumn="0" w:firstRowLastColumn="0" w:lastRowFirstColumn="0" w:lastRowLastColumn="0"/>
              <w:rPr>
                <w:color w:val="auto"/>
                <w:sz w:val="18"/>
                <w:szCs w:val="20"/>
              </w:rPr>
            </w:pPr>
            <w:r w:rsidRPr="00587CDD">
              <w:rPr>
                <w:color w:val="auto"/>
                <w:sz w:val="18"/>
                <w:szCs w:val="20"/>
              </w:rPr>
              <w:t>Form, Strength, Pack Size</w:t>
            </w:r>
          </w:p>
        </w:tc>
        <w:tc>
          <w:tcPr>
            <w:tcW w:w="1263" w:type="dxa"/>
            <w:gridSpan w:val="2"/>
            <w:shd w:val="clear" w:color="auto" w:fill="BFBFBF" w:themeFill="background1" w:themeFillShade="BF"/>
            <w:noWrap/>
            <w:hideMark/>
          </w:tcPr>
          <w:p w14:paraId="1997C9F6" w14:textId="3666E185" w:rsidR="00EA175A" w:rsidRPr="00587CDD" w:rsidRDefault="003F70D3" w:rsidP="003C4978">
            <w:pPr>
              <w:jc w:val="right"/>
              <w:cnfStyle w:val="100000000000" w:firstRow="1" w:lastRow="0" w:firstColumn="0" w:lastColumn="0" w:oddVBand="0" w:evenVBand="0" w:oddHBand="0" w:evenHBand="0" w:firstRowFirstColumn="0" w:firstRowLastColumn="0" w:lastRowFirstColumn="0" w:lastRowLastColumn="0"/>
              <w:rPr>
                <w:color w:val="auto"/>
                <w:sz w:val="18"/>
                <w:szCs w:val="20"/>
              </w:rPr>
            </w:pPr>
            <w:r>
              <w:rPr>
                <w:color w:val="auto"/>
                <w:sz w:val="18"/>
                <w:szCs w:val="20"/>
              </w:rPr>
              <w:t>Prescription</w:t>
            </w:r>
            <w:r w:rsidR="003C4978">
              <w:rPr>
                <w:color w:val="auto"/>
                <w:sz w:val="18"/>
                <w:szCs w:val="20"/>
              </w:rPr>
              <w:t>s</w:t>
            </w:r>
          </w:p>
        </w:tc>
      </w:tr>
      <w:tr w:rsidR="00EA175A" w:rsidRPr="00587CDD" w14:paraId="48069F5A"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771A65E3" w14:textId="77777777" w:rsidR="00EA175A" w:rsidRPr="00587CDD" w:rsidRDefault="00EA175A" w:rsidP="0099524E">
            <w:pPr>
              <w:rPr>
                <w:b w:val="0"/>
                <w:sz w:val="18"/>
                <w:szCs w:val="20"/>
              </w:rPr>
            </w:pPr>
            <w:r w:rsidRPr="00587CDD">
              <w:rPr>
                <w:b w:val="0"/>
                <w:sz w:val="18"/>
                <w:szCs w:val="20"/>
              </w:rPr>
              <w:t>BOSENTAN</w:t>
            </w:r>
          </w:p>
        </w:tc>
        <w:tc>
          <w:tcPr>
            <w:tcW w:w="992" w:type="dxa"/>
            <w:tcBorders>
              <w:top w:val="none" w:sz="0" w:space="0" w:color="auto"/>
              <w:bottom w:val="none" w:sz="0" w:space="0" w:color="auto"/>
            </w:tcBorders>
            <w:noWrap/>
            <w:hideMark/>
          </w:tcPr>
          <w:p w14:paraId="4AC3A80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Public</w:t>
            </w:r>
          </w:p>
        </w:tc>
        <w:tc>
          <w:tcPr>
            <w:tcW w:w="851" w:type="dxa"/>
            <w:tcBorders>
              <w:top w:val="none" w:sz="0" w:space="0" w:color="auto"/>
              <w:bottom w:val="none" w:sz="0" w:space="0" w:color="auto"/>
            </w:tcBorders>
            <w:hideMark/>
          </w:tcPr>
          <w:p w14:paraId="4F120A6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5618Q</w:t>
            </w:r>
          </w:p>
        </w:tc>
        <w:tc>
          <w:tcPr>
            <w:tcW w:w="5102" w:type="dxa"/>
            <w:gridSpan w:val="2"/>
            <w:tcBorders>
              <w:top w:val="none" w:sz="0" w:space="0" w:color="auto"/>
              <w:bottom w:val="none" w:sz="0" w:space="0" w:color="auto"/>
            </w:tcBorders>
            <w:noWrap/>
            <w:hideMark/>
          </w:tcPr>
          <w:p w14:paraId="022606E9"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62.5 mg (as monohydrate) 60</w:t>
            </w:r>
          </w:p>
        </w:tc>
        <w:tc>
          <w:tcPr>
            <w:tcW w:w="838" w:type="dxa"/>
            <w:tcBorders>
              <w:top w:val="none" w:sz="0" w:space="0" w:color="auto"/>
              <w:bottom w:val="none" w:sz="0" w:space="0" w:color="auto"/>
              <w:right w:val="none" w:sz="0" w:space="0" w:color="auto"/>
            </w:tcBorders>
            <w:noWrap/>
            <w:hideMark/>
          </w:tcPr>
          <w:p w14:paraId="07E3C4EE"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481</w:t>
            </w:r>
          </w:p>
        </w:tc>
      </w:tr>
      <w:tr w:rsidR="00EA175A" w:rsidRPr="00587CDD" w14:paraId="3355C77C"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11C15B4" w14:textId="77777777" w:rsidR="00EA175A" w:rsidRPr="00587CDD" w:rsidRDefault="00EA175A" w:rsidP="0099524E">
            <w:pPr>
              <w:rPr>
                <w:b w:val="0"/>
                <w:sz w:val="18"/>
                <w:szCs w:val="20"/>
              </w:rPr>
            </w:pPr>
          </w:p>
        </w:tc>
        <w:tc>
          <w:tcPr>
            <w:tcW w:w="992" w:type="dxa"/>
            <w:noWrap/>
            <w:hideMark/>
          </w:tcPr>
          <w:p w14:paraId="6D797906"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51" w:type="dxa"/>
            <w:hideMark/>
          </w:tcPr>
          <w:p w14:paraId="6824C4D4"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5619R</w:t>
            </w:r>
          </w:p>
        </w:tc>
        <w:tc>
          <w:tcPr>
            <w:tcW w:w="5102" w:type="dxa"/>
            <w:gridSpan w:val="2"/>
            <w:noWrap/>
            <w:hideMark/>
          </w:tcPr>
          <w:p w14:paraId="659FD733"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125 mg (as monohydrate) 60</w:t>
            </w:r>
          </w:p>
        </w:tc>
        <w:tc>
          <w:tcPr>
            <w:tcW w:w="838" w:type="dxa"/>
            <w:noWrap/>
            <w:hideMark/>
          </w:tcPr>
          <w:p w14:paraId="400FA5BB"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8,298</w:t>
            </w:r>
          </w:p>
        </w:tc>
      </w:tr>
      <w:tr w:rsidR="00EA175A" w:rsidRPr="00587CDD" w14:paraId="0CF288A3"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7CD29DA2"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noWrap/>
            <w:hideMark/>
          </w:tcPr>
          <w:p w14:paraId="36F65BE5"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Private</w:t>
            </w:r>
          </w:p>
        </w:tc>
        <w:tc>
          <w:tcPr>
            <w:tcW w:w="851" w:type="dxa"/>
            <w:tcBorders>
              <w:top w:val="none" w:sz="0" w:space="0" w:color="auto"/>
              <w:bottom w:val="none" w:sz="0" w:space="0" w:color="auto"/>
            </w:tcBorders>
            <w:hideMark/>
          </w:tcPr>
          <w:p w14:paraId="24302667"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6429J</w:t>
            </w:r>
          </w:p>
        </w:tc>
        <w:tc>
          <w:tcPr>
            <w:tcW w:w="5102" w:type="dxa"/>
            <w:gridSpan w:val="2"/>
            <w:tcBorders>
              <w:top w:val="none" w:sz="0" w:space="0" w:color="auto"/>
              <w:bottom w:val="none" w:sz="0" w:space="0" w:color="auto"/>
            </w:tcBorders>
            <w:noWrap/>
            <w:hideMark/>
          </w:tcPr>
          <w:p w14:paraId="663DF876"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62.5 mg (as monohydrate) 60</w:t>
            </w:r>
          </w:p>
        </w:tc>
        <w:tc>
          <w:tcPr>
            <w:tcW w:w="838" w:type="dxa"/>
            <w:tcBorders>
              <w:top w:val="none" w:sz="0" w:space="0" w:color="auto"/>
              <w:bottom w:val="none" w:sz="0" w:space="0" w:color="auto"/>
              <w:right w:val="none" w:sz="0" w:space="0" w:color="auto"/>
            </w:tcBorders>
            <w:noWrap/>
            <w:hideMark/>
          </w:tcPr>
          <w:p w14:paraId="7271A5CC"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110</w:t>
            </w:r>
          </w:p>
        </w:tc>
      </w:tr>
      <w:tr w:rsidR="00EA175A" w:rsidRPr="00587CDD" w14:paraId="15842607"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4F707C8D" w14:textId="77777777" w:rsidR="00EA175A" w:rsidRPr="00587CDD" w:rsidRDefault="00EA175A" w:rsidP="0099524E">
            <w:pPr>
              <w:rPr>
                <w:b w:val="0"/>
                <w:sz w:val="18"/>
                <w:szCs w:val="20"/>
              </w:rPr>
            </w:pPr>
          </w:p>
        </w:tc>
        <w:tc>
          <w:tcPr>
            <w:tcW w:w="992" w:type="dxa"/>
            <w:noWrap/>
            <w:hideMark/>
          </w:tcPr>
          <w:p w14:paraId="296714ED"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51" w:type="dxa"/>
            <w:hideMark/>
          </w:tcPr>
          <w:p w14:paraId="729A8A8E"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6430K</w:t>
            </w:r>
          </w:p>
        </w:tc>
        <w:tc>
          <w:tcPr>
            <w:tcW w:w="5102" w:type="dxa"/>
            <w:gridSpan w:val="2"/>
            <w:noWrap/>
            <w:hideMark/>
          </w:tcPr>
          <w:p w14:paraId="2DC26E36"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125 mg (as monohydrate) 60</w:t>
            </w:r>
          </w:p>
        </w:tc>
        <w:tc>
          <w:tcPr>
            <w:tcW w:w="838" w:type="dxa"/>
            <w:noWrap/>
            <w:hideMark/>
          </w:tcPr>
          <w:p w14:paraId="170AD46D"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1,988</w:t>
            </w:r>
          </w:p>
        </w:tc>
      </w:tr>
      <w:tr w:rsidR="00EA175A" w:rsidRPr="00587CDD" w14:paraId="1934B28A"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09B39883" w14:textId="77777777" w:rsidR="00EA175A" w:rsidRPr="00587CDD" w:rsidRDefault="00EA175A" w:rsidP="0099524E">
            <w:pPr>
              <w:rPr>
                <w:b w:val="0"/>
                <w:sz w:val="18"/>
                <w:szCs w:val="20"/>
              </w:rPr>
            </w:pPr>
            <w:r w:rsidRPr="00587CDD">
              <w:rPr>
                <w:b w:val="0"/>
                <w:sz w:val="18"/>
                <w:szCs w:val="20"/>
              </w:rPr>
              <w:t>BOSENTAN Total</w:t>
            </w:r>
          </w:p>
        </w:tc>
        <w:tc>
          <w:tcPr>
            <w:tcW w:w="992" w:type="dxa"/>
            <w:tcBorders>
              <w:top w:val="none" w:sz="0" w:space="0" w:color="auto"/>
              <w:bottom w:val="none" w:sz="0" w:space="0" w:color="auto"/>
            </w:tcBorders>
            <w:noWrap/>
            <w:hideMark/>
          </w:tcPr>
          <w:p w14:paraId="49EE9562"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noWrap/>
            <w:hideMark/>
          </w:tcPr>
          <w:p w14:paraId="60E5A87E"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5102" w:type="dxa"/>
            <w:gridSpan w:val="2"/>
            <w:tcBorders>
              <w:top w:val="none" w:sz="0" w:space="0" w:color="auto"/>
              <w:bottom w:val="none" w:sz="0" w:space="0" w:color="auto"/>
            </w:tcBorders>
            <w:noWrap/>
            <w:hideMark/>
          </w:tcPr>
          <w:p w14:paraId="657DC615"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38" w:type="dxa"/>
            <w:tcBorders>
              <w:top w:val="none" w:sz="0" w:space="0" w:color="auto"/>
              <w:bottom w:val="none" w:sz="0" w:space="0" w:color="auto"/>
              <w:right w:val="none" w:sz="0" w:space="0" w:color="auto"/>
            </w:tcBorders>
            <w:noWrap/>
            <w:hideMark/>
          </w:tcPr>
          <w:p w14:paraId="25250B71"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10,877</w:t>
            </w:r>
          </w:p>
        </w:tc>
      </w:tr>
      <w:tr w:rsidR="00EA175A" w:rsidRPr="00587CDD" w14:paraId="07BDE17F"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noWrap/>
            <w:hideMark/>
          </w:tcPr>
          <w:p w14:paraId="15B20C5C" w14:textId="77777777" w:rsidR="00EA175A" w:rsidRPr="00587CDD" w:rsidRDefault="00EA175A" w:rsidP="0099524E">
            <w:pPr>
              <w:rPr>
                <w:b w:val="0"/>
                <w:sz w:val="18"/>
                <w:szCs w:val="20"/>
              </w:rPr>
            </w:pPr>
            <w:r w:rsidRPr="00587CDD">
              <w:rPr>
                <w:b w:val="0"/>
                <w:sz w:val="18"/>
                <w:szCs w:val="20"/>
              </w:rPr>
              <w:t>SILDENAFIL</w:t>
            </w:r>
          </w:p>
        </w:tc>
        <w:tc>
          <w:tcPr>
            <w:tcW w:w="992" w:type="dxa"/>
            <w:shd w:val="clear" w:color="auto" w:fill="D9D9D9" w:themeFill="background1" w:themeFillShade="D9"/>
            <w:noWrap/>
            <w:hideMark/>
          </w:tcPr>
          <w:p w14:paraId="6A90F00C"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Public</w:t>
            </w:r>
          </w:p>
        </w:tc>
        <w:tc>
          <w:tcPr>
            <w:tcW w:w="851" w:type="dxa"/>
            <w:shd w:val="clear" w:color="auto" w:fill="D9D9D9" w:themeFill="background1" w:themeFillShade="D9"/>
            <w:hideMark/>
          </w:tcPr>
          <w:p w14:paraId="5555F944"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9547L</w:t>
            </w:r>
          </w:p>
        </w:tc>
        <w:tc>
          <w:tcPr>
            <w:tcW w:w="5102" w:type="dxa"/>
            <w:gridSpan w:val="2"/>
            <w:shd w:val="clear" w:color="auto" w:fill="D9D9D9" w:themeFill="background1" w:themeFillShade="D9"/>
            <w:noWrap/>
            <w:hideMark/>
          </w:tcPr>
          <w:p w14:paraId="5E4877AC"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20mg 90</w:t>
            </w:r>
          </w:p>
        </w:tc>
        <w:tc>
          <w:tcPr>
            <w:tcW w:w="838" w:type="dxa"/>
            <w:shd w:val="clear" w:color="auto" w:fill="D9D9D9" w:themeFill="background1" w:themeFillShade="D9"/>
            <w:noWrap/>
            <w:hideMark/>
          </w:tcPr>
          <w:p w14:paraId="1D23F6C0"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1,886</w:t>
            </w:r>
          </w:p>
        </w:tc>
      </w:tr>
      <w:tr w:rsidR="00EA175A" w:rsidRPr="00587CDD" w14:paraId="13790213"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1A806C07"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shd w:val="clear" w:color="auto" w:fill="D9D9D9" w:themeFill="background1" w:themeFillShade="D9"/>
            <w:noWrap/>
            <w:hideMark/>
          </w:tcPr>
          <w:p w14:paraId="4BBD066F"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shd w:val="clear" w:color="auto" w:fill="D9D9D9" w:themeFill="background1" w:themeFillShade="D9"/>
            <w:hideMark/>
          </w:tcPr>
          <w:p w14:paraId="2DACAB83"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9605M</w:t>
            </w:r>
          </w:p>
        </w:tc>
        <w:tc>
          <w:tcPr>
            <w:tcW w:w="5102" w:type="dxa"/>
            <w:gridSpan w:val="2"/>
            <w:tcBorders>
              <w:top w:val="none" w:sz="0" w:space="0" w:color="auto"/>
              <w:bottom w:val="none" w:sz="0" w:space="0" w:color="auto"/>
            </w:tcBorders>
            <w:shd w:val="clear" w:color="auto" w:fill="D9D9D9" w:themeFill="background1" w:themeFillShade="D9"/>
            <w:noWrap/>
            <w:hideMark/>
          </w:tcPr>
          <w:p w14:paraId="543C9C9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20mg 90</w:t>
            </w: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34509BE2"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3</w:t>
            </w:r>
          </w:p>
        </w:tc>
      </w:tr>
      <w:tr w:rsidR="00EA175A" w:rsidRPr="00587CDD" w14:paraId="4F38BBD1"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noWrap/>
            <w:hideMark/>
          </w:tcPr>
          <w:p w14:paraId="245145A1" w14:textId="77777777" w:rsidR="00EA175A" w:rsidRPr="00587CDD" w:rsidRDefault="00EA175A" w:rsidP="0099524E">
            <w:pPr>
              <w:rPr>
                <w:b w:val="0"/>
                <w:sz w:val="18"/>
                <w:szCs w:val="20"/>
              </w:rPr>
            </w:pPr>
          </w:p>
        </w:tc>
        <w:tc>
          <w:tcPr>
            <w:tcW w:w="992" w:type="dxa"/>
            <w:shd w:val="clear" w:color="auto" w:fill="D9D9D9" w:themeFill="background1" w:themeFillShade="D9"/>
            <w:noWrap/>
            <w:hideMark/>
          </w:tcPr>
          <w:p w14:paraId="5CE90A34"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Private</w:t>
            </w:r>
          </w:p>
        </w:tc>
        <w:tc>
          <w:tcPr>
            <w:tcW w:w="851" w:type="dxa"/>
            <w:shd w:val="clear" w:color="auto" w:fill="D9D9D9" w:themeFill="background1" w:themeFillShade="D9"/>
            <w:hideMark/>
          </w:tcPr>
          <w:p w14:paraId="73394920"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9605M</w:t>
            </w:r>
          </w:p>
        </w:tc>
        <w:tc>
          <w:tcPr>
            <w:tcW w:w="5102" w:type="dxa"/>
            <w:gridSpan w:val="2"/>
            <w:shd w:val="clear" w:color="auto" w:fill="D9D9D9" w:themeFill="background1" w:themeFillShade="D9"/>
            <w:noWrap/>
            <w:hideMark/>
          </w:tcPr>
          <w:p w14:paraId="77B74177"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20mg 90</w:t>
            </w:r>
          </w:p>
        </w:tc>
        <w:tc>
          <w:tcPr>
            <w:tcW w:w="838" w:type="dxa"/>
            <w:shd w:val="clear" w:color="auto" w:fill="D9D9D9" w:themeFill="background1" w:themeFillShade="D9"/>
            <w:noWrap/>
            <w:hideMark/>
          </w:tcPr>
          <w:p w14:paraId="4C576133"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1,480</w:t>
            </w:r>
          </w:p>
        </w:tc>
      </w:tr>
      <w:tr w:rsidR="00EA175A" w:rsidRPr="00587CDD" w14:paraId="22EC355B"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4E8A160B" w14:textId="77777777" w:rsidR="00EA175A" w:rsidRPr="00587CDD" w:rsidRDefault="00EA175A" w:rsidP="0099524E">
            <w:pPr>
              <w:rPr>
                <w:b w:val="0"/>
                <w:sz w:val="18"/>
                <w:szCs w:val="20"/>
              </w:rPr>
            </w:pPr>
            <w:r w:rsidRPr="00587CDD">
              <w:rPr>
                <w:b w:val="0"/>
                <w:sz w:val="18"/>
                <w:szCs w:val="20"/>
              </w:rPr>
              <w:t>SILDENAFIL Total</w:t>
            </w:r>
          </w:p>
        </w:tc>
        <w:tc>
          <w:tcPr>
            <w:tcW w:w="992" w:type="dxa"/>
            <w:tcBorders>
              <w:top w:val="none" w:sz="0" w:space="0" w:color="auto"/>
              <w:bottom w:val="none" w:sz="0" w:space="0" w:color="auto"/>
            </w:tcBorders>
            <w:shd w:val="clear" w:color="auto" w:fill="D9D9D9" w:themeFill="background1" w:themeFillShade="D9"/>
            <w:noWrap/>
            <w:hideMark/>
          </w:tcPr>
          <w:p w14:paraId="227C8B06"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shd w:val="clear" w:color="auto" w:fill="D9D9D9" w:themeFill="background1" w:themeFillShade="D9"/>
            <w:noWrap/>
            <w:hideMark/>
          </w:tcPr>
          <w:p w14:paraId="1EEE35A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5102" w:type="dxa"/>
            <w:gridSpan w:val="2"/>
            <w:tcBorders>
              <w:top w:val="none" w:sz="0" w:space="0" w:color="auto"/>
              <w:bottom w:val="none" w:sz="0" w:space="0" w:color="auto"/>
            </w:tcBorders>
            <w:shd w:val="clear" w:color="auto" w:fill="D9D9D9" w:themeFill="background1" w:themeFillShade="D9"/>
            <w:noWrap/>
            <w:hideMark/>
          </w:tcPr>
          <w:p w14:paraId="338D24A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48C40477"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3,369</w:t>
            </w:r>
          </w:p>
        </w:tc>
      </w:tr>
      <w:tr w:rsidR="00EA175A" w:rsidRPr="00587CDD" w14:paraId="51823AB1"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AC79BA7" w14:textId="77777777" w:rsidR="00EA175A" w:rsidRPr="00587CDD" w:rsidRDefault="00EA175A" w:rsidP="0099524E">
            <w:pPr>
              <w:rPr>
                <w:b w:val="0"/>
                <w:sz w:val="18"/>
                <w:szCs w:val="20"/>
              </w:rPr>
            </w:pPr>
            <w:r w:rsidRPr="00587CDD">
              <w:rPr>
                <w:b w:val="0"/>
                <w:sz w:val="18"/>
                <w:szCs w:val="20"/>
              </w:rPr>
              <w:t>AMBRISENTAN</w:t>
            </w:r>
          </w:p>
        </w:tc>
        <w:tc>
          <w:tcPr>
            <w:tcW w:w="992" w:type="dxa"/>
            <w:noWrap/>
            <w:hideMark/>
          </w:tcPr>
          <w:p w14:paraId="36AB4D54"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Public</w:t>
            </w:r>
          </w:p>
        </w:tc>
        <w:tc>
          <w:tcPr>
            <w:tcW w:w="851" w:type="dxa"/>
            <w:hideMark/>
          </w:tcPr>
          <w:p w14:paraId="64C26C6D"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5607D</w:t>
            </w:r>
          </w:p>
        </w:tc>
        <w:tc>
          <w:tcPr>
            <w:tcW w:w="5102" w:type="dxa"/>
            <w:gridSpan w:val="2"/>
            <w:noWrap/>
            <w:hideMark/>
          </w:tcPr>
          <w:p w14:paraId="11C6746E"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5mg 30</w:t>
            </w:r>
          </w:p>
        </w:tc>
        <w:tc>
          <w:tcPr>
            <w:tcW w:w="838" w:type="dxa"/>
            <w:noWrap/>
            <w:hideMark/>
          </w:tcPr>
          <w:p w14:paraId="056D69D8"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1,408</w:t>
            </w:r>
          </w:p>
        </w:tc>
      </w:tr>
      <w:tr w:rsidR="00EA175A" w:rsidRPr="00587CDD" w14:paraId="5BF96D78"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0C126D20"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noWrap/>
            <w:hideMark/>
          </w:tcPr>
          <w:p w14:paraId="39F1096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hideMark/>
          </w:tcPr>
          <w:p w14:paraId="6F030876"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5608E</w:t>
            </w:r>
          </w:p>
        </w:tc>
        <w:tc>
          <w:tcPr>
            <w:tcW w:w="5102" w:type="dxa"/>
            <w:gridSpan w:val="2"/>
            <w:tcBorders>
              <w:top w:val="none" w:sz="0" w:space="0" w:color="auto"/>
              <w:bottom w:val="none" w:sz="0" w:space="0" w:color="auto"/>
            </w:tcBorders>
            <w:noWrap/>
            <w:hideMark/>
          </w:tcPr>
          <w:p w14:paraId="626898B7"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10mg 30</w:t>
            </w:r>
          </w:p>
        </w:tc>
        <w:tc>
          <w:tcPr>
            <w:tcW w:w="838" w:type="dxa"/>
            <w:tcBorders>
              <w:top w:val="none" w:sz="0" w:space="0" w:color="auto"/>
              <w:bottom w:val="none" w:sz="0" w:space="0" w:color="auto"/>
              <w:right w:val="none" w:sz="0" w:space="0" w:color="auto"/>
            </w:tcBorders>
            <w:noWrap/>
            <w:hideMark/>
          </w:tcPr>
          <w:p w14:paraId="61B79C70"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1,716</w:t>
            </w:r>
          </w:p>
        </w:tc>
      </w:tr>
      <w:tr w:rsidR="00EA175A" w:rsidRPr="00587CDD" w14:paraId="2796634C"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0AE98D4F" w14:textId="77777777" w:rsidR="00EA175A" w:rsidRPr="00587CDD" w:rsidRDefault="00EA175A" w:rsidP="0099524E">
            <w:pPr>
              <w:rPr>
                <w:b w:val="0"/>
                <w:sz w:val="18"/>
                <w:szCs w:val="20"/>
              </w:rPr>
            </w:pPr>
          </w:p>
        </w:tc>
        <w:tc>
          <w:tcPr>
            <w:tcW w:w="992" w:type="dxa"/>
            <w:noWrap/>
            <w:hideMark/>
          </w:tcPr>
          <w:p w14:paraId="3CDEB4B7"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Private</w:t>
            </w:r>
          </w:p>
        </w:tc>
        <w:tc>
          <w:tcPr>
            <w:tcW w:w="851" w:type="dxa"/>
            <w:hideMark/>
          </w:tcPr>
          <w:p w14:paraId="46C79FFB"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9648T</w:t>
            </w:r>
          </w:p>
        </w:tc>
        <w:tc>
          <w:tcPr>
            <w:tcW w:w="5102" w:type="dxa"/>
            <w:gridSpan w:val="2"/>
            <w:noWrap/>
            <w:hideMark/>
          </w:tcPr>
          <w:p w14:paraId="73512F4E"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5mg 30</w:t>
            </w:r>
          </w:p>
        </w:tc>
        <w:tc>
          <w:tcPr>
            <w:tcW w:w="838" w:type="dxa"/>
            <w:noWrap/>
            <w:hideMark/>
          </w:tcPr>
          <w:p w14:paraId="0C90BC59"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213</w:t>
            </w:r>
          </w:p>
        </w:tc>
      </w:tr>
      <w:tr w:rsidR="00EA175A" w:rsidRPr="00587CDD" w14:paraId="45CE2D8F"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4F6C2097"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noWrap/>
            <w:hideMark/>
          </w:tcPr>
          <w:p w14:paraId="022B33B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hideMark/>
          </w:tcPr>
          <w:p w14:paraId="4E6C0524"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9649W</w:t>
            </w:r>
          </w:p>
        </w:tc>
        <w:tc>
          <w:tcPr>
            <w:tcW w:w="5102" w:type="dxa"/>
            <w:gridSpan w:val="2"/>
            <w:tcBorders>
              <w:top w:val="none" w:sz="0" w:space="0" w:color="auto"/>
              <w:bottom w:val="none" w:sz="0" w:space="0" w:color="auto"/>
            </w:tcBorders>
            <w:noWrap/>
            <w:hideMark/>
          </w:tcPr>
          <w:p w14:paraId="210E141E"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10mg 30</w:t>
            </w:r>
          </w:p>
        </w:tc>
        <w:tc>
          <w:tcPr>
            <w:tcW w:w="838" w:type="dxa"/>
            <w:tcBorders>
              <w:top w:val="none" w:sz="0" w:space="0" w:color="auto"/>
              <w:bottom w:val="none" w:sz="0" w:space="0" w:color="auto"/>
              <w:right w:val="none" w:sz="0" w:space="0" w:color="auto"/>
            </w:tcBorders>
            <w:noWrap/>
            <w:hideMark/>
          </w:tcPr>
          <w:p w14:paraId="34268BCE"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487</w:t>
            </w:r>
          </w:p>
        </w:tc>
      </w:tr>
      <w:tr w:rsidR="00EA175A" w:rsidRPr="00587CDD" w14:paraId="6B22B349"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11B6AAFB" w14:textId="77777777" w:rsidR="00EA175A" w:rsidRPr="00587CDD" w:rsidRDefault="00EA175A" w:rsidP="0099524E">
            <w:pPr>
              <w:rPr>
                <w:b w:val="0"/>
                <w:sz w:val="18"/>
                <w:szCs w:val="20"/>
              </w:rPr>
            </w:pPr>
            <w:r w:rsidRPr="00587CDD">
              <w:rPr>
                <w:b w:val="0"/>
                <w:sz w:val="18"/>
                <w:szCs w:val="20"/>
              </w:rPr>
              <w:t>AMBRISENTAN Total</w:t>
            </w:r>
          </w:p>
        </w:tc>
        <w:tc>
          <w:tcPr>
            <w:tcW w:w="992" w:type="dxa"/>
            <w:noWrap/>
            <w:hideMark/>
          </w:tcPr>
          <w:p w14:paraId="27CA2578"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51" w:type="dxa"/>
            <w:noWrap/>
            <w:hideMark/>
          </w:tcPr>
          <w:p w14:paraId="110C2E9C"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5102" w:type="dxa"/>
            <w:gridSpan w:val="2"/>
            <w:noWrap/>
            <w:hideMark/>
          </w:tcPr>
          <w:p w14:paraId="1B64CB20"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38" w:type="dxa"/>
            <w:noWrap/>
            <w:hideMark/>
          </w:tcPr>
          <w:p w14:paraId="04D143CD"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3,824</w:t>
            </w:r>
          </w:p>
        </w:tc>
      </w:tr>
      <w:tr w:rsidR="00EA175A" w:rsidRPr="00587CDD" w14:paraId="578F58EF"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2D44F0FB" w14:textId="77777777" w:rsidR="00EA175A" w:rsidRPr="00587CDD" w:rsidRDefault="00EA175A" w:rsidP="0099524E">
            <w:pPr>
              <w:rPr>
                <w:b w:val="0"/>
                <w:sz w:val="18"/>
                <w:szCs w:val="20"/>
              </w:rPr>
            </w:pPr>
            <w:r w:rsidRPr="00587CDD">
              <w:rPr>
                <w:b w:val="0"/>
                <w:sz w:val="18"/>
                <w:szCs w:val="20"/>
              </w:rPr>
              <w:t>ILOPROST</w:t>
            </w:r>
          </w:p>
        </w:tc>
        <w:tc>
          <w:tcPr>
            <w:tcW w:w="992" w:type="dxa"/>
            <w:tcBorders>
              <w:top w:val="none" w:sz="0" w:space="0" w:color="auto"/>
              <w:bottom w:val="none" w:sz="0" w:space="0" w:color="auto"/>
            </w:tcBorders>
            <w:shd w:val="clear" w:color="auto" w:fill="D9D9D9" w:themeFill="background1" w:themeFillShade="D9"/>
            <w:noWrap/>
            <w:hideMark/>
          </w:tcPr>
          <w:p w14:paraId="48DD919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Public</w:t>
            </w:r>
          </w:p>
        </w:tc>
        <w:tc>
          <w:tcPr>
            <w:tcW w:w="851" w:type="dxa"/>
            <w:tcBorders>
              <w:top w:val="none" w:sz="0" w:space="0" w:color="auto"/>
              <w:bottom w:val="none" w:sz="0" w:space="0" w:color="auto"/>
            </w:tcBorders>
            <w:shd w:val="clear" w:color="auto" w:fill="D9D9D9" w:themeFill="background1" w:themeFillShade="D9"/>
            <w:hideMark/>
          </w:tcPr>
          <w:p w14:paraId="772747D6"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5751Q</w:t>
            </w:r>
          </w:p>
        </w:tc>
        <w:tc>
          <w:tcPr>
            <w:tcW w:w="5102" w:type="dxa"/>
            <w:gridSpan w:val="2"/>
            <w:tcBorders>
              <w:top w:val="none" w:sz="0" w:space="0" w:color="auto"/>
              <w:bottom w:val="none" w:sz="0" w:space="0" w:color="auto"/>
            </w:tcBorders>
            <w:shd w:val="clear" w:color="auto" w:fill="D9D9D9" w:themeFill="background1" w:themeFillShade="D9"/>
            <w:noWrap/>
            <w:hideMark/>
          </w:tcPr>
          <w:p w14:paraId="38FBD1DB"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Solution for inhalation 20ug (base) in 2mL 30</w:t>
            </w: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2FAE94CD"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220</w:t>
            </w:r>
          </w:p>
        </w:tc>
      </w:tr>
      <w:tr w:rsidR="00EA175A" w:rsidRPr="00587CDD" w14:paraId="08A0255C"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noWrap/>
            <w:hideMark/>
          </w:tcPr>
          <w:p w14:paraId="3153A836" w14:textId="77777777" w:rsidR="00EA175A" w:rsidRPr="00587CDD" w:rsidRDefault="00EA175A" w:rsidP="0099524E">
            <w:pPr>
              <w:rPr>
                <w:b w:val="0"/>
                <w:sz w:val="18"/>
                <w:szCs w:val="20"/>
              </w:rPr>
            </w:pPr>
          </w:p>
        </w:tc>
        <w:tc>
          <w:tcPr>
            <w:tcW w:w="992" w:type="dxa"/>
            <w:shd w:val="clear" w:color="auto" w:fill="D9D9D9" w:themeFill="background1" w:themeFillShade="D9"/>
            <w:noWrap/>
            <w:hideMark/>
          </w:tcPr>
          <w:p w14:paraId="7168DBDB"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Private</w:t>
            </w:r>
          </w:p>
        </w:tc>
        <w:tc>
          <w:tcPr>
            <w:tcW w:w="851" w:type="dxa"/>
            <w:shd w:val="clear" w:color="auto" w:fill="D9D9D9" w:themeFill="background1" w:themeFillShade="D9"/>
            <w:hideMark/>
          </w:tcPr>
          <w:p w14:paraId="5EC76242"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6456T</w:t>
            </w:r>
          </w:p>
        </w:tc>
        <w:tc>
          <w:tcPr>
            <w:tcW w:w="5102" w:type="dxa"/>
            <w:gridSpan w:val="2"/>
            <w:shd w:val="clear" w:color="auto" w:fill="D9D9D9" w:themeFill="background1" w:themeFillShade="D9"/>
            <w:noWrap/>
            <w:hideMark/>
          </w:tcPr>
          <w:p w14:paraId="22116801"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Solution for inhalation 20ug (base) in 2mL 30</w:t>
            </w:r>
          </w:p>
        </w:tc>
        <w:tc>
          <w:tcPr>
            <w:tcW w:w="838" w:type="dxa"/>
            <w:shd w:val="clear" w:color="auto" w:fill="D9D9D9" w:themeFill="background1" w:themeFillShade="D9"/>
            <w:noWrap/>
            <w:hideMark/>
          </w:tcPr>
          <w:p w14:paraId="10CFA2AB"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49</w:t>
            </w:r>
          </w:p>
        </w:tc>
      </w:tr>
      <w:tr w:rsidR="00EA175A" w:rsidRPr="00587CDD" w14:paraId="3243AD9D"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02C5E67C" w14:textId="77777777" w:rsidR="00EA175A" w:rsidRPr="00587CDD" w:rsidRDefault="00EA175A" w:rsidP="0099524E">
            <w:pPr>
              <w:rPr>
                <w:b w:val="0"/>
                <w:sz w:val="18"/>
                <w:szCs w:val="20"/>
              </w:rPr>
            </w:pPr>
            <w:r w:rsidRPr="00587CDD">
              <w:rPr>
                <w:b w:val="0"/>
                <w:sz w:val="18"/>
                <w:szCs w:val="20"/>
              </w:rPr>
              <w:t>ILOPROST Total</w:t>
            </w:r>
          </w:p>
        </w:tc>
        <w:tc>
          <w:tcPr>
            <w:tcW w:w="992" w:type="dxa"/>
            <w:tcBorders>
              <w:top w:val="none" w:sz="0" w:space="0" w:color="auto"/>
              <w:bottom w:val="none" w:sz="0" w:space="0" w:color="auto"/>
            </w:tcBorders>
            <w:shd w:val="clear" w:color="auto" w:fill="D9D9D9" w:themeFill="background1" w:themeFillShade="D9"/>
            <w:noWrap/>
            <w:hideMark/>
          </w:tcPr>
          <w:p w14:paraId="7D27CF07"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p>
        </w:tc>
        <w:tc>
          <w:tcPr>
            <w:tcW w:w="851" w:type="dxa"/>
            <w:tcBorders>
              <w:top w:val="none" w:sz="0" w:space="0" w:color="auto"/>
              <w:bottom w:val="none" w:sz="0" w:space="0" w:color="auto"/>
            </w:tcBorders>
            <w:shd w:val="clear" w:color="auto" w:fill="D9D9D9" w:themeFill="background1" w:themeFillShade="D9"/>
            <w:noWrap/>
            <w:hideMark/>
          </w:tcPr>
          <w:p w14:paraId="7B3E314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p>
        </w:tc>
        <w:tc>
          <w:tcPr>
            <w:tcW w:w="5102" w:type="dxa"/>
            <w:gridSpan w:val="2"/>
            <w:tcBorders>
              <w:top w:val="none" w:sz="0" w:space="0" w:color="auto"/>
              <w:bottom w:val="none" w:sz="0" w:space="0" w:color="auto"/>
            </w:tcBorders>
            <w:shd w:val="clear" w:color="auto" w:fill="D9D9D9" w:themeFill="background1" w:themeFillShade="D9"/>
            <w:noWrap/>
            <w:hideMark/>
          </w:tcPr>
          <w:p w14:paraId="1BF5A3F3"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399F6071"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269</w:t>
            </w:r>
          </w:p>
        </w:tc>
      </w:tr>
      <w:tr w:rsidR="00EA175A" w:rsidRPr="00587CDD" w14:paraId="46371051"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69681C5A" w14:textId="77777777" w:rsidR="00EA175A" w:rsidRPr="00587CDD" w:rsidRDefault="00EA175A" w:rsidP="0099524E">
            <w:pPr>
              <w:rPr>
                <w:b w:val="0"/>
                <w:sz w:val="18"/>
                <w:szCs w:val="20"/>
              </w:rPr>
            </w:pPr>
            <w:r w:rsidRPr="00587CDD">
              <w:rPr>
                <w:b w:val="0"/>
                <w:sz w:val="18"/>
                <w:szCs w:val="20"/>
              </w:rPr>
              <w:t>TADALAFIL</w:t>
            </w:r>
          </w:p>
        </w:tc>
        <w:tc>
          <w:tcPr>
            <w:tcW w:w="992" w:type="dxa"/>
            <w:noWrap/>
            <w:hideMark/>
          </w:tcPr>
          <w:p w14:paraId="5A148B00"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Public</w:t>
            </w:r>
          </w:p>
        </w:tc>
        <w:tc>
          <w:tcPr>
            <w:tcW w:w="851" w:type="dxa"/>
            <w:hideMark/>
          </w:tcPr>
          <w:p w14:paraId="612564D3"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1308W</w:t>
            </w:r>
          </w:p>
        </w:tc>
        <w:tc>
          <w:tcPr>
            <w:tcW w:w="5102" w:type="dxa"/>
            <w:gridSpan w:val="2"/>
            <w:noWrap/>
            <w:hideMark/>
          </w:tcPr>
          <w:p w14:paraId="7299ED15"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Tablet 20mg 56</w:t>
            </w:r>
          </w:p>
        </w:tc>
        <w:tc>
          <w:tcPr>
            <w:tcW w:w="838" w:type="dxa"/>
            <w:noWrap/>
            <w:hideMark/>
          </w:tcPr>
          <w:p w14:paraId="16293731"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783</w:t>
            </w:r>
          </w:p>
        </w:tc>
      </w:tr>
      <w:tr w:rsidR="00EA175A" w:rsidRPr="00587CDD" w14:paraId="000EC9C0"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noWrap/>
            <w:hideMark/>
          </w:tcPr>
          <w:p w14:paraId="4979D223"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noWrap/>
            <w:hideMark/>
          </w:tcPr>
          <w:p w14:paraId="617F52F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Private</w:t>
            </w:r>
          </w:p>
        </w:tc>
        <w:tc>
          <w:tcPr>
            <w:tcW w:w="851" w:type="dxa"/>
            <w:tcBorders>
              <w:top w:val="none" w:sz="0" w:space="0" w:color="auto"/>
              <w:bottom w:val="none" w:sz="0" w:space="0" w:color="auto"/>
            </w:tcBorders>
            <w:hideMark/>
          </w:tcPr>
          <w:p w14:paraId="6C9ECE28"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1304P</w:t>
            </w:r>
          </w:p>
        </w:tc>
        <w:tc>
          <w:tcPr>
            <w:tcW w:w="5102" w:type="dxa"/>
            <w:gridSpan w:val="2"/>
            <w:tcBorders>
              <w:top w:val="none" w:sz="0" w:space="0" w:color="auto"/>
              <w:bottom w:val="none" w:sz="0" w:space="0" w:color="auto"/>
            </w:tcBorders>
            <w:noWrap/>
            <w:hideMark/>
          </w:tcPr>
          <w:p w14:paraId="2357BB1C"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Tablet 20mg 56</w:t>
            </w:r>
          </w:p>
        </w:tc>
        <w:tc>
          <w:tcPr>
            <w:tcW w:w="838" w:type="dxa"/>
            <w:tcBorders>
              <w:top w:val="none" w:sz="0" w:space="0" w:color="auto"/>
              <w:bottom w:val="none" w:sz="0" w:space="0" w:color="auto"/>
              <w:right w:val="none" w:sz="0" w:space="0" w:color="auto"/>
            </w:tcBorders>
            <w:noWrap/>
            <w:hideMark/>
          </w:tcPr>
          <w:p w14:paraId="77B1EE45"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sz w:val="18"/>
                <w:szCs w:val="20"/>
              </w:rPr>
            </w:pPr>
            <w:r w:rsidRPr="00587CDD">
              <w:rPr>
                <w:sz w:val="18"/>
                <w:szCs w:val="20"/>
              </w:rPr>
              <w:t>200</w:t>
            </w:r>
          </w:p>
        </w:tc>
      </w:tr>
      <w:tr w:rsidR="00EA175A" w:rsidRPr="00587CDD" w14:paraId="1457E1A1"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525E87D1" w14:textId="77777777" w:rsidR="00EA175A" w:rsidRPr="00587CDD" w:rsidRDefault="00EA175A" w:rsidP="0099524E">
            <w:pPr>
              <w:rPr>
                <w:b w:val="0"/>
                <w:sz w:val="18"/>
                <w:szCs w:val="20"/>
              </w:rPr>
            </w:pPr>
            <w:r w:rsidRPr="00587CDD">
              <w:rPr>
                <w:b w:val="0"/>
                <w:sz w:val="18"/>
                <w:szCs w:val="20"/>
              </w:rPr>
              <w:t>TADALAFIL Total</w:t>
            </w:r>
          </w:p>
        </w:tc>
        <w:tc>
          <w:tcPr>
            <w:tcW w:w="992" w:type="dxa"/>
            <w:noWrap/>
            <w:hideMark/>
          </w:tcPr>
          <w:p w14:paraId="0F8D3831"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51" w:type="dxa"/>
            <w:noWrap/>
            <w:hideMark/>
          </w:tcPr>
          <w:p w14:paraId="37B17A0E"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5102" w:type="dxa"/>
            <w:gridSpan w:val="2"/>
            <w:noWrap/>
            <w:hideMark/>
          </w:tcPr>
          <w:p w14:paraId="2EA44527"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38" w:type="dxa"/>
            <w:noWrap/>
            <w:hideMark/>
          </w:tcPr>
          <w:p w14:paraId="6EFDA961"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983</w:t>
            </w:r>
          </w:p>
        </w:tc>
      </w:tr>
      <w:tr w:rsidR="00EA175A" w:rsidRPr="00587CDD" w14:paraId="4FFDC6DE"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0A77ACD7" w14:textId="77777777" w:rsidR="00EA175A" w:rsidRPr="00587CDD" w:rsidRDefault="00EA175A" w:rsidP="0099524E">
            <w:pPr>
              <w:rPr>
                <w:b w:val="0"/>
                <w:sz w:val="18"/>
                <w:szCs w:val="20"/>
              </w:rPr>
            </w:pPr>
            <w:r w:rsidRPr="00587CDD">
              <w:rPr>
                <w:b w:val="0"/>
                <w:sz w:val="18"/>
                <w:szCs w:val="20"/>
              </w:rPr>
              <w:t>EPOPROSTENOL</w:t>
            </w:r>
          </w:p>
        </w:tc>
        <w:tc>
          <w:tcPr>
            <w:tcW w:w="992" w:type="dxa"/>
            <w:tcBorders>
              <w:top w:val="none" w:sz="0" w:space="0" w:color="auto"/>
              <w:bottom w:val="none" w:sz="0" w:space="0" w:color="auto"/>
            </w:tcBorders>
            <w:shd w:val="clear" w:color="auto" w:fill="D9D9D9" w:themeFill="background1" w:themeFillShade="D9"/>
            <w:noWrap/>
            <w:hideMark/>
          </w:tcPr>
          <w:p w14:paraId="2C2E754B"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Public</w:t>
            </w:r>
          </w:p>
        </w:tc>
        <w:tc>
          <w:tcPr>
            <w:tcW w:w="851" w:type="dxa"/>
            <w:tcBorders>
              <w:top w:val="none" w:sz="0" w:space="0" w:color="auto"/>
              <w:bottom w:val="none" w:sz="0" w:space="0" w:color="auto"/>
            </w:tcBorders>
            <w:shd w:val="clear" w:color="auto" w:fill="D9D9D9" w:themeFill="background1" w:themeFillShade="D9"/>
            <w:hideMark/>
          </w:tcPr>
          <w:p w14:paraId="0D569923"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5030R</w:t>
            </w:r>
          </w:p>
        </w:tc>
        <w:tc>
          <w:tcPr>
            <w:tcW w:w="5102" w:type="dxa"/>
            <w:gridSpan w:val="2"/>
            <w:tcBorders>
              <w:top w:val="none" w:sz="0" w:space="0" w:color="auto"/>
              <w:bottom w:val="none" w:sz="0" w:space="0" w:color="auto"/>
            </w:tcBorders>
            <w:shd w:val="clear" w:color="auto" w:fill="D9D9D9" w:themeFill="background1" w:themeFillShade="D9"/>
            <w:noWrap/>
            <w:hideMark/>
          </w:tcPr>
          <w:p w14:paraId="4E3D93D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Powder for I.V. infusion 500ug (base) infusion administration set 1</w:t>
            </w: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2B5DFE9E"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45</w:t>
            </w:r>
          </w:p>
        </w:tc>
      </w:tr>
      <w:tr w:rsidR="00EA175A" w:rsidRPr="00587CDD" w14:paraId="112AD614"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noWrap/>
            <w:hideMark/>
          </w:tcPr>
          <w:p w14:paraId="55C319D3" w14:textId="77777777" w:rsidR="00EA175A" w:rsidRPr="00587CDD" w:rsidRDefault="00EA175A" w:rsidP="0099524E">
            <w:pPr>
              <w:rPr>
                <w:b w:val="0"/>
                <w:sz w:val="18"/>
                <w:szCs w:val="20"/>
              </w:rPr>
            </w:pPr>
          </w:p>
        </w:tc>
        <w:tc>
          <w:tcPr>
            <w:tcW w:w="992" w:type="dxa"/>
            <w:shd w:val="clear" w:color="auto" w:fill="D9D9D9" w:themeFill="background1" w:themeFillShade="D9"/>
            <w:noWrap/>
            <w:hideMark/>
          </w:tcPr>
          <w:p w14:paraId="38C29210"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p>
        </w:tc>
        <w:tc>
          <w:tcPr>
            <w:tcW w:w="851" w:type="dxa"/>
            <w:shd w:val="clear" w:color="auto" w:fill="D9D9D9" w:themeFill="background1" w:themeFillShade="D9"/>
            <w:hideMark/>
          </w:tcPr>
          <w:p w14:paraId="1B6A448F"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5035B</w:t>
            </w:r>
          </w:p>
        </w:tc>
        <w:tc>
          <w:tcPr>
            <w:tcW w:w="5102" w:type="dxa"/>
            <w:gridSpan w:val="2"/>
            <w:shd w:val="clear" w:color="auto" w:fill="D9D9D9" w:themeFill="background1" w:themeFillShade="D9"/>
            <w:noWrap/>
            <w:hideMark/>
          </w:tcPr>
          <w:p w14:paraId="56D4E622"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Powder for I.V. infusion 1.5mg (base) infusion administration set 1</w:t>
            </w:r>
          </w:p>
        </w:tc>
        <w:tc>
          <w:tcPr>
            <w:tcW w:w="838" w:type="dxa"/>
            <w:shd w:val="clear" w:color="auto" w:fill="D9D9D9" w:themeFill="background1" w:themeFillShade="D9"/>
            <w:noWrap/>
            <w:hideMark/>
          </w:tcPr>
          <w:p w14:paraId="408D8B6E"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592</w:t>
            </w:r>
          </w:p>
        </w:tc>
      </w:tr>
      <w:tr w:rsidR="00EA175A" w:rsidRPr="00587CDD" w14:paraId="3CCA22E4"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33636BF2" w14:textId="77777777" w:rsidR="00EA175A" w:rsidRPr="00587CDD" w:rsidRDefault="00EA175A" w:rsidP="0099524E">
            <w:pPr>
              <w:rPr>
                <w:b w:val="0"/>
                <w:sz w:val="18"/>
                <w:szCs w:val="20"/>
              </w:rPr>
            </w:pPr>
          </w:p>
        </w:tc>
        <w:tc>
          <w:tcPr>
            <w:tcW w:w="992" w:type="dxa"/>
            <w:tcBorders>
              <w:top w:val="none" w:sz="0" w:space="0" w:color="auto"/>
              <w:bottom w:val="none" w:sz="0" w:space="0" w:color="auto"/>
            </w:tcBorders>
            <w:shd w:val="clear" w:color="auto" w:fill="D9D9D9" w:themeFill="background1" w:themeFillShade="D9"/>
            <w:noWrap/>
            <w:hideMark/>
          </w:tcPr>
          <w:p w14:paraId="083102F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Private</w:t>
            </w:r>
          </w:p>
        </w:tc>
        <w:tc>
          <w:tcPr>
            <w:tcW w:w="851" w:type="dxa"/>
            <w:tcBorders>
              <w:top w:val="none" w:sz="0" w:space="0" w:color="auto"/>
              <w:bottom w:val="none" w:sz="0" w:space="0" w:color="auto"/>
            </w:tcBorders>
            <w:shd w:val="clear" w:color="auto" w:fill="D9D9D9" w:themeFill="background1" w:themeFillShade="D9"/>
            <w:hideMark/>
          </w:tcPr>
          <w:p w14:paraId="5B4BDF0D"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5036C</w:t>
            </w:r>
          </w:p>
        </w:tc>
        <w:tc>
          <w:tcPr>
            <w:tcW w:w="5102" w:type="dxa"/>
            <w:gridSpan w:val="2"/>
            <w:tcBorders>
              <w:top w:val="none" w:sz="0" w:space="0" w:color="auto"/>
              <w:bottom w:val="none" w:sz="0" w:space="0" w:color="auto"/>
            </w:tcBorders>
            <w:shd w:val="clear" w:color="auto" w:fill="D9D9D9" w:themeFill="background1" w:themeFillShade="D9"/>
            <w:noWrap/>
            <w:hideMark/>
          </w:tcPr>
          <w:p w14:paraId="08B8D256"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Powder for I.V. infusion 500ug (base) infusion administration set 1</w:t>
            </w: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3569F433"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3</w:t>
            </w:r>
          </w:p>
        </w:tc>
      </w:tr>
      <w:tr w:rsidR="00EA175A" w:rsidRPr="00587CDD" w14:paraId="77E40481"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shd w:val="clear" w:color="auto" w:fill="D9D9D9" w:themeFill="background1" w:themeFillShade="D9"/>
            <w:noWrap/>
            <w:hideMark/>
          </w:tcPr>
          <w:p w14:paraId="31A960EB" w14:textId="77777777" w:rsidR="00EA175A" w:rsidRPr="00587CDD" w:rsidRDefault="00EA175A" w:rsidP="0099524E">
            <w:pPr>
              <w:rPr>
                <w:b w:val="0"/>
                <w:sz w:val="18"/>
                <w:szCs w:val="20"/>
              </w:rPr>
            </w:pPr>
          </w:p>
        </w:tc>
        <w:tc>
          <w:tcPr>
            <w:tcW w:w="992" w:type="dxa"/>
            <w:shd w:val="clear" w:color="auto" w:fill="D9D9D9" w:themeFill="background1" w:themeFillShade="D9"/>
            <w:noWrap/>
            <w:hideMark/>
          </w:tcPr>
          <w:p w14:paraId="49F7D3EA"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p>
        </w:tc>
        <w:tc>
          <w:tcPr>
            <w:tcW w:w="851" w:type="dxa"/>
            <w:shd w:val="clear" w:color="auto" w:fill="D9D9D9" w:themeFill="background1" w:themeFillShade="D9"/>
            <w:hideMark/>
          </w:tcPr>
          <w:p w14:paraId="438988DB"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5042J</w:t>
            </w:r>
          </w:p>
        </w:tc>
        <w:tc>
          <w:tcPr>
            <w:tcW w:w="5102" w:type="dxa"/>
            <w:gridSpan w:val="2"/>
            <w:shd w:val="clear" w:color="auto" w:fill="D9D9D9" w:themeFill="background1" w:themeFillShade="D9"/>
            <w:noWrap/>
            <w:hideMark/>
          </w:tcPr>
          <w:p w14:paraId="0E541307"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Powder for I.V. infusion 1.5mg (base) infusion administration set 1</w:t>
            </w:r>
          </w:p>
        </w:tc>
        <w:tc>
          <w:tcPr>
            <w:tcW w:w="838" w:type="dxa"/>
            <w:shd w:val="clear" w:color="auto" w:fill="D9D9D9" w:themeFill="background1" w:themeFillShade="D9"/>
            <w:noWrap/>
            <w:hideMark/>
          </w:tcPr>
          <w:p w14:paraId="4A6AA25F"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sz w:val="18"/>
                <w:szCs w:val="20"/>
              </w:rPr>
            </w:pPr>
            <w:r w:rsidRPr="00587CDD">
              <w:rPr>
                <w:sz w:val="18"/>
                <w:szCs w:val="20"/>
              </w:rPr>
              <w:t>123</w:t>
            </w:r>
          </w:p>
        </w:tc>
      </w:tr>
      <w:tr w:rsidR="00EA175A" w:rsidRPr="00587CDD" w14:paraId="6EA4AB39" w14:textId="77777777" w:rsidTr="003C4978">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093" w:type="dxa"/>
            <w:tcBorders>
              <w:top w:val="none" w:sz="0" w:space="0" w:color="auto"/>
              <w:left w:val="none" w:sz="0" w:space="0" w:color="auto"/>
              <w:bottom w:val="none" w:sz="0" w:space="0" w:color="auto"/>
            </w:tcBorders>
            <w:shd w:val="clear" w:color="auto" w:fill="D9D9D9" w:themeFill="background1" w:themeFillShade="D9"/>
            <w:noWrap/>
            <w:hideMark/>
          </w:tcPr>
          <w:p w14:paraId="018DBB95" w14:textId="77777777" w:rsidR="00EA175A" w:rsidRPr="00587CDD" w:rsidRDefault="00EA175A" w:rsidP="0099524E">
            <w:pPr>
              <w:rPr>
                <w:b w:val="0"/>
                <w:sz w:val="18"/>
                <w:szCs w:val="20"/>
              </w:rPr>
            </w:pPr>
            <w:r w:rsidRPr="00587CDD">
              <w:rPr>
                <w:b w:val="0"/>
                <w:sz w:val="18"/>
                <w:szCs w:val="20"/>
              </w:rPr>
              <w:t>EPOPROSTENOL Total</w:t>
            </w:r>
          </w:p>
        </w:tc>
        <w:tc>
          <w:tcPr>
            <w:tcW w:w="992" w:type="dxa"/>
            <w:tcBorders>
              <w:top w:val="none" w:sz="0" w:space="0" w:color="auto"/>
              <w:bottom w:val="none" w:sz="0" w:space="0" w:color="auto"/>
            </w:tcBorders>
            <w:shd w:val="clear" w:color="auto" w:fill="D9D9D9" w:themeFill="background1" w:themeFillShade="D9"/>
            <w:noWrap/>
            <w:hideMark/>
          </w:tcPr>
          <w:p w14:paraId="3561FA34"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51" w:type="dxa"/>
            <w:tcBorders>
              <w:top w:val="none" w:sz="0" w:space="0" w:color="auto"/>
              <w:bottom w:val="none" w:sz="0" w:space="0" w:color="auto"/>
            </w:tcBorders>
            <w:shd w:val="clear" w:color="auto" w:fill="D9D9D9" w:themeFill="background1" w:themeFillShade="D9"/>
            <w:noWrap/>
            <w:hideMark/>
          </w:tcPr>
          <w:p w14:paraId="0AC863C7"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5102" w:type="dxa"/>
            <w:gridSpan w:val="2"/>
            <w:tcBorders>
              <w:top w:val="none" w:sz="0" w:space="0" w:color="auto"/>
              <w:bottom w:val="none" w:sz="0" w:space="0" w:color="auto"/>
            </w:tcBorders>
            <w:shd w:val="clear" w:color="auto" w:fill="D9D9D9" w:themeFill="background1" w:themeFillShade="D9"/>
            <w:noWrap/>
            <w:hideMark/>
          </w:tcPr>
          <w:p w14:paraId="44A881CA" w14:textId="77777777" w:rsidR="00EA175A" w:rsidRPr="00587CDD" w:rsidRDefault="00EA175A" w:rsidP="0099524E">
            <w:pPr>
              <w:cnfStyle w:val="000000100000" w:firstRow="0" w:lastRow="0" w:firstColumn="0" w:lastColumn="0" w:oddVBand="0" w:evenVBand="0" w:oddHBand="1" w:evenHBand="0" w:firstRowFirstColumn="0" w:firstRowLastColumn="0" w:lastRowFirstColumn="0" w:lastRowLastColumn="0"/>
              <w:rPr>
                <w:bCs/>
                <w:sz w:val="18"/>
                <w:szCs w:val="20"/>
              </w:rPr>
            </w:pPr>
          </w:p>
        </w:tc>
        <w:tc>
          <w:tcPr>
            <w:tcW w:w="838" w:type="dxa"/>
            <w:tcBorders>
              <w:top w:val="none" w:sz="0" w:space="0" w:color="auto"/>
              <w:bottom w:val="none" w:sz="0" w:space="0" w:color="auto"/>
              <w:right w:val="none" w:sz="0" w:space="0" w:color="auto"/>
            </w:tcBorders>
            <w:shd w:val="clear" w:color="auto" w:fill="D9D9D9" w:themeFill="background1" w:themeFillShade="D9"/>
            <w:noWrap/>
            <w:hideMark/>
          </w:tcPr>
          <w:p w14:paraId="0F87FA94" w14:textId="77777777" w:rsidR="00EA175A" w:rsidRPr="00587CDD" w:rsidRDefault="00EA175A" w:rsidP="0099524E">
            <w:pPr>
              <w:jc w:val="right"/>
              <w:cnfStyle w:val="000000100000" w:firstRow="0" w:lastRow="0" w:firstColumn="0" w:lastColumn="0" w:oddVBand="0" w:evenVBand="0" w:oddHBand="1" w:evenHBand="0" w:firstRowFirstColumn="0" w:firstRowLastColumn="0" w:lastRowFirstColumn="0" w:lastRowLastColumn="0"/>
              <w:rPr>
                <w:bCs/>
                <w:sz w:val="18"/>
                <w:szCs w:val="20"/>
              </w:rPr>
            </w:pPr>
            <w:r w:rsidRPr="00587CDD">
              <w:rPr>
                <w:bCs/>
                <w:sz w:val="18"/>
                <w:szCs w:val="20"/>
              </w:rPr>
              <w:t>763</w:t>
            </w:r>
          </w:p>
        </w:tc>
      </w:tr>
      <w:tr w:rsidR="00EA175A" w:rsidRPr="00587CDD" w14:paraId="67B85003" w14:textId="77777777" w:rsidTr="003C4978">
        <w:trPr>
          <w:cantSplit/>
        </w:trPr>
        <w:tc>
          <w:tcPr>
            <w:cnfStyle w:val="001000000000" w:firstRow="0" w:lastRow="0" w:firstColumn="1" w:lastColumn="0" w:oddVBand="0" w:evenVBand="0" w:oddHBand="0" w:evenHBand="0" w:firstRowFirstColumn="0" w:firstRowLastColumn="0" w:lastRowFirstColumn="0" w:lastRowLastColumn="0"/>
            <w:tcW w:w="2093" w:type="dxa"/>
            <w:noWrap/>
            <w:hideMark/>
          </w:tcPr>
          <w:p w14:paraId="3E499109" w14:textId="77777777" w:rsidR="00EA175A" w:rsidRPr="00587CDD" w:rsidRDefault="00EA175A" w:rsidP="0099524E">
            <w:pPr>
              <w:rPr>
                <w:b w:val="0"/>
                <w:sz w:val="18"/>
                <w:szCs w:val="20"/>
              </w:rPr>
            </w:pPr>
            <w:r w:rsidRPr="00587CDD">
              <w:rPr>
                <w:b w:val="0"/>
                <w:sz w:val="18"/>
                <w:szCs w:val="20"/>
              </w:rPr>
              <w:t>Total</w:t>
            </w:r>
          </w:p>
        </w:tc>
        <w:tc>
          <w:tcPr>
            <w:tcW w:w="992" w:type="dxa"/>
            <w:noWrap/>
            <w:hideMark/>
          </w:tcPr>
          <w:p w14:paraId="274DCC54"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51" w:type="dxa"/>
            <w:noWrap/>
            <w:hideMark/>
          </w:tcPr>
          <w:p w14:paraId="6EA485FC"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5102" w:type="dxa"/>
            <w:gridSpan w:val="2"/>
            <w:noWrap/>
            <w:hideMark/>
          </w:tcPr>
          <w:p w14:paraId="38B4FBB9" w14:textId="77777777" w:rsidR="00EA175A" w:rsidRPr="00587CDD" w:rsidRDefault="00EA175A" w:rsidP="0099524E">
            <w:pPr>
              <w:cnfStyle w:val="000000000000" w:firstRow="0" w:lastRow="0" w:firstColumn="0" w:lastColumn="0" w:oddVBand="0" w:evenVBand="0" w:oddHBand="0" w:evenHBand="0" w:firstRowFirstColumn="0" w:firstRowLastColumn="0" w:lastRowFirstColumn="0" w:lastRowLastColumn="0"/>
              <w:rPr>
                <w:bCs/>
                <w:sz w:val="18"/>
                <w:szCs w:val="20"/>
              </w:rPr>
            </w:pPr>
          </w:p>
        </w:tc>
        <w:tc>
          <w:tcPr>
            <w:tcW w:w="838" w:type="dxa"/>
            <w:noWrap/>
            <w:hideMark/>
          </w:tcPr>
          <w:p w14:paraId="1229C6B2" w14:textId="77777777" w:rsidR="00EA175A" w:rsidRPr="00587CDD" w:rsidRDefault="00EA175A" w:rsidP="0099524E">
            <w:pPr>
              <w:jc w:val="right"/>
              <w:cnfStyle w:val="000000000000" w:firstRow="0" w:lastRow="0" w:firstColumn="0" w:lastColumn="0" w:oddVBand="0" w:evenVBand="0" w:oddHBand="0" w:evenHBand="0" w:firstRowFirstColumn="0" w:firstRowLastColumn="0" w:lastRowFirstColumn="0" w:lastRowLastColumn="0"/>
              <w:rPr>
                <w:bCs/>
                <w:sz w:val="18"/>
                <w:szCs w:val="20"/>
              </w:rPr>
            </w:pPr>
            <w:r w:rsidRPr="00587CDD">
              <w:rPr>
                <w:bCs/>
                <w:sz w:val="18"/>
                <w:szCs w:val="20"/>
              </w:rPr>
              <w:t>20,085</w:t>
            </w:r>
          </w:p>
        </w:tc>
      </w:tr>
    </w:tbl>
    <w:p w14:paraId="24E26985" w14:textId="70F2F766" w:rsidR="00EA175A" w:rsidRPr="00587CDD" w:rsidRDefault="00EA175A" w:rsidP="00EA175A">
      <w:pPr>
        <w:rPr>
          <w:rFonts w:cs="Arial"/>
          <w:b/>
          <w:sz w:val="22"/>
        </w:rPr>
      </w:pPr>
      <w:r w:rsidRPr="00587CDD">
        <w:rPr>
          <w:rFonts w:cs="Arial"/>
          <w:sz w:val="18"/>
          <w:szCs w:val="20"/>
        </w:rPr>
        <w:t xml:space="preserve">Source: DHS Supplied </w:t>
      </w:r>
      <w:r w:rsidR="003F70D3">
        <w:rPr>
          <w:rFonts w:cs="Arial"/>
          <w:sz w:val="18"/>
          <w:szCs w:val="20"/>
        </w:rPr>
        <w:t>prescription</w:t>
      </w:r>
      <w:r w:rsidRPr="00587CDD">
        <w:rPr>
          <w:rFonts w:cs="Arial"/>
          <w:sz w:val="18"/>
          <w:szCs w:val="20"/>
        </w:rPr>
        <w:t xml:space="preserve"> database combined with DHS HSD Offline processing data.</w:t>
      </w:r>
    </w:p>
    <w:p w14:paraId="1CF6D269" w14:textId="226FC783" w:rsidR="00EA175A" w:rsidRDefault="00EA175A" w:rsidP="00EA175A">
      <w:r>
        <w:t xml:space="preserve">In Table 5 the </w:t>
      </w:r>
      <w:r w:rsidR="003F70D3">
        <w:t>prescription</w:t>
      </w:r>
      <w:r>
        <w:t xml:space="preserve"> count is only shown for </w:t>
      </w:r>
      <w:r w:rsidR="003F70D3">
        <w:t>prescription</w:t>
      </w:r>
      <w:r w:rsidR="00E052F7">
        <w:t>s</w:t>
      </w:r>
      <w:r>
        <w:t xml:space="preserve"> supplied from July 2013 to June 2014 as this is the only period for which the </w:t>
      </w:r>
      <w:r w:rsidR="003F70D3">
        <w:t>prescription</w:t>
      </w:r>
      <w:r>
        <w:t xml:space="preserve"> measure of utilisation is 100% complete (as explained above).</w:t>
      </w:r>
    </w:p>
    <w:p w14:paraId="43F2B75F" w14:textId="77777777" w:rsidR="00EA175A" w:rsidRDefault="00EA175A" w:rsidP="00EA175A">
      <w:r>
        <w:t>To be eligible for PAH medicines, patients must be assessed at a designated hospital. As at 15/12/2014 there were 56 designated centres, including both public and private hospitals, listed on the DHS website</w:t>
      </w:r>
      <w:r w:rsidRPr="008568F2">
        <w:rPr>
          <w:vertAlign w:val="superscript"/>
        </w:rPr>
        <w:footnoteReference w:id="6"/>
      </w:r>
      <w:r>
        <w:t>.</w:t>
      </w:r>
    </w:p>
    <w:p w14:paraId="51719E50" w14:textId="77777777" w:rsidR="00EA175A" w:rsidRDefault="00EA175A" w:rsidP="00EA175A">
      <w:pPr>
        <w:spacing w:line="276" w:lineRule="auto"/>
        <w:rPr>
          <w:rStyle w:val="SubtleEmphasis"/>
          <w:b/>
          <w:i/>
          <w:iCs w:val="0"/>
          <w:sz w:val="28"/>
          <w:szCs w:val="28"/>
        </w:rPr>
      </w:pPr>
      <w:r>
        <w:rPr>
          <w:rStyle w:val="SubtleEmphasis"/>
          <w:i/>
          <w:sz w:val="28"/>
        </w:rPr>
        <w:br w:type="page"/>
      </w:r>
    </w:p>
    <w:p w14:paraId="0ED344FF" w14:textId="77777777" w:rsidR="00EA175A" w:rsidRPr="00D01B8E" w:rsidRDefault="00EA175A" w:rsidP="00D01B8E">
      <w:pPr>
        <w:pStyle w:val="Heading4"/>
        <w:rPr>
          <w:rStyle w:val="SubtleEmphasis"/>
          <w:rFonts w:asciiTheme="minorHAnsi" w:hAnsiTheme="minorHAnsi"/>
          <w:iCs w:val="0"/>
          <w:sz w:val="28"/>
        </w:rPr>
      </w:pPr>
      <w:r w:rsidRPr="00D01B8E">
        <w:rPr>
          <w:rStyle w:val="SubtleEmphasis"/>
          <w:rFonts w:asciiTheme="minorHAnsi" w:hAnsiTheme="minorHAnsi"/>
          <w:iCs w:val="0"/>
          <w:sz w:val="28"/>
        </w:rPr>
        <w:lastRenderedPageBreak/>
        <w:t>Patient demographics</w:t>
      </w:r>
    </w:p>
    <w:p w14:paraId="5A0AAD9F" w14:textId="2430ADFF" w:rsidR="00EA175A" w:rsidRPr="00793609" w:rsidRDefault="00EA175A" w:rsidP="00EA175A">
      <w:r w:rsidRPr="00793609">
        <w:t xml:space="preserve">The mean age of patients initiating PAH therapy has increased slowly over the past decade from </w:t>
      </w:r>
      <w:r>
        <w:t>53.2</w:t>
      </w:r>
      <w:r w:rsidRPr="00793609">
        <w:t xml:space="preserve"> to 64.1 years (Figure </w:t>
      </w:r>
      <w:r>
        <w:t>9</w:t>
      </w:r>
      <w:r w:rsidRPr="00793609">
        <w:t>)</w:t>
      </w:r>
      <w:r>
        <w:t>.</w:t>
      </w:r>
      <w:r w:rsidRPr="00C90E16">
        <w:t xml:space="preserve"> The mean age of prevalent patients </w:t>
      </w:r>
      <w:r>
        <w:t>has increased from 53.2 to 61.1 years.</w:t>
      </w:r>
      <w:r w:rsidR="00D01B8E">
        <w:t xml:space="preserve"> </w:t>
      </w:r>
      <w:r w:rsidR="00D01B8E" w:rsidRPr="00D01B8E">
        <w:t>Figure 9</w:t>
      </w:r>
      <w:r w:rsidR="00D01B8E">
        <w:t xml:space="preserve"> shows the m</w:t>
      </w:r>
      <w:r w:rsidR="00D01B8E" w:rsidRPr="00D01B8E">
        <w:t>ean age of incident and prevalent patients by financial year.</w:t>
      </w:r>
    </w:p>
    <w:p w14:paraId="66B3956F" w14:textId="77777777" w:rsidR="00EA175A" w:rsidRDefault="00EA175A" w:rsidP="00EA175A">
      <w:r>
        <w:rPr>
          <w:noProof/>
        </w:rPr>
        <w:drawing>
          <wp:inline distT="0" distB="0" distL="0" distR="0" wp14:anchorId="43A22184" wp14:editId="2B28CFFF">
            <wp:extent cx="5943600" cy="3870325"/>
            <wp:effectExtent l="0" t="0" r="0" b="0"/>
            <wp:docPr id="6" name="Chart 6" title="Figure 9: Mean age (years) of incident and prevalent patients by financial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278BA04" w14:textId="7BA6D9E3" w:rsidR="00EA175A" w:rsidRDefault="00EA175A" w:rsidP="00EA175A">
      <w:pPr>
        <w:rPr>
          <w:rFonts w:cs="Arial"/>
          <w:sz w:val="20"/>
          <w:szCs w:val="20"/>
        </w:rPr>
      </w:pPr>
      <w:r w:rsidRPr="00CF1F13">
        <w:rPr>
          <w:b/>
        </w:rPr>
        <w:t>Figure 9: Mean age (years) of incident and prevalent patients by financial year.</w:t>
      </w:r>
      <w:r>
        <w:rPr>
          <w:b/>
        </w:rPr>
        <w:br/>
      </w:r>
      <w:r>
        <w:rPr>
          <w:rFonts w:cs="Arial"/>
          <w:sz w:val="20"/>
          <w:szCs w:val="20"/>
        </w:rPr>
        <w:t xml:space="preserve">Source: DHS Authority approval and Supplied </w:t>
      </w:r>
      <w:r w:rsidR="003F70D3">
        <w:rPr>
          <w:rFonts w:cs="Arial"/>
          <w:sz w:val="20"/>
          <w:szCs w:val="20"/>
        </w:rPr>
        <w:t>prescription</w:t>
      </w:r>
      <w:r>
        <w:rPr>
          <w:rFonts w:cs="Arial"/>
          <w:sz w:val="20"/>
          <w:szCs w:val="20"/>
        </w:rPr>
        <w:t xml:space="preserve"> databases. Age is calculated at first </w:t>
      </w:r>
      <w:r w:rsidR="003F70D3">
        <w:rPr>
          <w:rFonts w:cs="Arial"/>
          <w:sz w:val="20"/>
          <w:szCs w:val="20"/>
        </w:rPr>
        <w:t>prescription</w:t>
      </w:r>
      <w:r>
        <w:rPr>
          <w:rFonts w:cs="Arial"/>
          <w:sz w:val="20"/>
          <w:szCs w:val="20"/>
        </w:rPr>
        <w:t xml:space="preserve"> in the period.</w:t>
      </w:r>
      <w:r>
        <w:rPr>
          <w:rFonts w:cs="Arial"/>
          <w:sz w:val="20"/>
          <w:szCs w:val="20"/>
        </w:rPr>
        <w:br/>
        <w:t>Note: The first PAH medicine was listed on 1/3/2004 so 2003/04 only contains 4 months of data.</w:t>
      </w:r>
    </w:p>
    <w:p w14:paraId="3C84D424" w14:textId="7E375A1B" w:rsidR="00EA175A" w:rsidRDefault="00EA175A" w:rsidP="00EA175A">
      <w:r>
        <w:t>The mean age of patients in the bosentan arms of the key clinical trial (AC-052-352</w:t>
      </w:r>
      <w:r>
        <w:rPr>
          <w:rStyle w:val="FootnoteReference"/>
        </w:rPr>
        <w:footnoteReference w:id="7"/>
      </w:r>
      <w:r>
        <w:t xml:space="preserve">) was 48.8 years (N = 146, median not reported). This </w:t>
      </w:r>
      <w:r w:rsidRPr="00755861">
        <w:t>is 15.3 years</w:t>
      </w:r>
      <w:r>
        <w:t xml:space="preserve"> younger than the mean age of patients initiating PBS PAH therapy in 2013/14.  The Bosentan Patient Registry</w:t>
      </w:r>
      <w:r>
        <w:rPr>
          <w:rStyle w:val="FootnoteReference"/>
        </w:rPr>
        <w:footnoteReference w:id="8"/>
      </w:r>
      <w:r>
        <w:t xml:space="preserve"> also found that the treated population was generally older than the clinical trial population.</w:t>
      </w:r>
    </w:p>
    <w:p w14:paraId="4ECB34C1" w14:textId="77777777" w:rsidR="00EA175A" w:rsidRPr="00793609" w:rsidRDefault="00EA175A" w:rsidP="00EA175A">
      <w:r>
        <w:t xml:space="preserve">The decrease in mean age of patients receiving their first PBS subsidised PAH medicines in 2008/09 is probably due to the listing of bosentan for </w:t>
      </w:r>
      <w:r w:rsidRPr="00DA391D">
        <w:t>pulmonary arterial hypertension associated with a congenital systemic-to-pulmonary shunt (including Eisenmenger's physiology</w:t>
      </w:r>
      <w:r>
        <w:t>).</w:t>
      </w:r>
    </w:p>
    <w:p w14:paraId="64B3BB7C" w14:textId="77777777" w:rsidR="00EA175A" w:rsidRPr="00793609" w:rsidRDefault="00EA175A" w:rsidP="00EA175A">
      <w:r>
        <w:lastRenderedPageBreak/>
        <w:t>T</w:t>
      </w:r>
      <w:r w:rsidRPr="00793609">
        <w:t>he age distribution of new patients</w:t>
      </w:r>
      <w:r>
        <w:t xml:space="preserve"> and prevalent patients in the most recent year (2013/14)</w:t>
      </w:r>
      <w:r w:rsidRPr="00793609">
        <w:t xml:space="preserve"> </w:t>
      </w:r>
      <w:r>
        <w:t>is shown in Figure 10.</w:t>
      </w:r>
    </w:p>
    <w:p w14:paraId="5E2C690C" w14:textId="77777777" w:rsidR="00EA175A" w:rsidRDefault="00EA175A" w:rsidP="00EA175A">
      <w:r>
        <w:rPr>
          <w:noProof/>
        </w:rPr>
        <w:drawing>
          <wp:inline distT="0" distB="0" distL="0" distR="0" wp14:anchorId="3A8338AF" wp14:editId="3660BC92">
            <wp:extent cx="5943600" cy="3870325"/>
            <wp:effectExtent l="0" t="0" r="0" b="0"/>
            <wp:docPr id="8" name="Chart 8" title="Figure 10: Incident and prevalent patients by age and gender breakdown for authorities approved for any PAH medicine in the 2013/14 financial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68C6EBDD" w14:textId="153067CA" w:rsidR="00EA175A" w:rsidRDefault="00EA175A" w:rsidP="00EA175A">
      <w:pPr>
        <w:rPr>
          <w:rFonts w:cs="Arial"/>
          <w:sz w:val="20"/>
          <w:szCs w:val="20"/>
        </w:rPr>
      </w:pPr>
      <w:r w:rsidRPr="00E91EE3">
        <w:rPr>
          <w:b/>
        </w:rPr>
        <w:t xml:space="preserve">Figure </w:t>
      </w:r>
      <w:r>
        <w:rPr>
          <w:b/>
        </w:rPr>
        <w:t>10</w:t>
      </w:r>
      <w:r w:rsidRPr="009F23F8">
        <w:rPr>
          <w:b/>
        </w:rPr>
        <w:t>: Incident</w:t>
      </w:r>
      <w:r>
        <w:rPr>
          <w:b/>
        </w:rPr>
        <w:t xml:space="preserve"> and pr</w:t>
      </w:r>
      <w:r w:rsidRPr="00E91EE3">
        <w:rPr>
          <w:b/>
        </w:rPr>
        <w:t>evalent patient</w:t>
      </w:r>
      <w:r>
        <w:rPr>
          <w:b/>
        </w:rPr>
        <w:t>s</w:t>
      </w:r>
      <w:r w:rsidRPr="00E91EE3">
        <w:rPr>
          <w:b/>
        </w:rPr>
        <w:t xml:space="preserve"> </w:t>
      </w:r>
      <w:r>
        <w:rPr>
          <w:b/>
        </w:rPr>
        <w:t xml:space="preserve">by </w:t>
      </w:r>
      <w:r w:rsidRPr="00E91EE3">
        <w:rPr>
          <w:b/>
        </w:rPr>
        <w:t>a</w:t>
      </w:r>
      <w:r>
        <w:rPr>
          <w:b/>
        </w:rPr>
        <w:t xml:space="preserve">ge </w:t>
      </w:r>
      <w:r w:rsidRPr="00E91EE3">
        <w:rPr>
          <w:b/>
        </w:rPr>
        <w:t xml:space="preserve">and </w:t>
      </w:r>
      <w:r>
        <w:rPr>
          <w:b/>
        </w:rPr>
        <w:t xml:space="preserve">gender </w:t>
      </w:r>
      <w:r w:rsidRPr="00E91EE3">
        <w:rPr>
          <w:b/>
        </w:rPr>
        <w:t xml:space="preserve">breakdown for </w:t>
      </w:r>
      <w:r>
        <w:rPr>
          <w:b/>
        </w:rPr>
        <w:t xml:space="preserve">authorities approved for any PAH medicine </w:t>
      </w:r>
      <w:r w:rsidRPr="00E91EE3">
        <w:rPr>
          <w:b/>
        </w:rPr>
        <w:t xml:space="preserve">in the </w:t>
      </w:r>
      <w:r>
        <w:rPr>
          <w:b/>
        </w:rPr>
        <w:t xml:space="preserve">2013/14 </w:t>
      </w:r>
      <w:r w:rsidRPr="00E91EE3">
        <w:rPr>
          <w:b/>
        </w:rPr>
        <w:t>financial year.</w:t>
      </w:r>
      <w:r w:rsidRPr="00E91EE3">
        <w:rPr>
          <w:b/>
        </w:rPr>
        <w:br/>
      </w:r>
      <w:r>
        <w:rPr>
          <w:rFonts w:cs="Arial"/>
          <w:sz w:val="20"/>
          <w:szCs w:val="20"/>
        </w:rPr>
        <w:t xml:space="preserve">Source: DHS Authority approval and Supplied </w:t>
      </w:r>
      <w:r w:rsidR="003F70D3">
        <w:rPr>
          <w:rFonts w:cs="Arial"/>
          <w:sz w:val="20"/>
          <w:szCs w:val="20"/>
        </w:rPr>
        <w:t>prescription</w:t>
      </w:r>
      <w:r>
        <w:rPr>
          <w:rFonts w:cs="Arial"/>
          <w:sz w:val="20"/>
          <w:szCs w:val="20"/>
        </w:rPr>
        <w:t xml:space="preserve"> databases. Age is calculated at first </w:t>
      </w:r>
      <w:r w:rsidR="003F70D3">
        <w:rPr>
          <w:rFonts w:cs="Arial"/>
          <w:sz w:val="20"/>
          <w:szCs w:val="20"/>
        </w:rPr>
        <w:t>prescription</w:t>
      </w:r>
      <w:r>
        <w:rPr>
          <w:rFonts w:cs="Arial"/>
          <w:sz w:val="20"/>
          <w:szCs w:val="20"/>
        </w:rPr>
        <w:t xml:space="preserve"> in the period.</w:t>
      </w:r>
    </w:p>
    <w:p w14:paraId="32537CD0" w14:textId="09BB41B8" w:rsidR="00EA175A" w:rsidRPr="00D0275E" w:rsidRDefault="00EA175A" w:rsidP="00EA175A">
      <w:r>
        <w:t>Figure 10 shows that PAH patients cover the full age spectrum and t</w:t>
      </w:r>
      <w:r w:rsidRPr="00C90E16">
        <w:t xml:space="preserve">here </w:t>
      </w:r>
      <w:r>
        <w:t>a</w:t>
      </w:r>
      <w:r w:rsidRPr="00C90E16">
        <w:t xml:space="preserve">re more female patients (1,528 = 74%) than males (538 = 26%). </w:t>
      </w:r>
      <w:r>
        <w:t xml:space="preserve">The gender distribution </w:t>
      </w:r>
      <w:r w:rsidRPr="00C90E16">
        <w:t>is consistent with published international prevalence and incidence figures. Peacock et al.</w:t>
      </w:r>
      <w:r w:rsidRPr="00C90E16">
        <w:rPr>
          <w:vertAlign w:val="superscript"/>
        </w:rPr>
        <w:footnoteReference w:id="9"/>
      </w:r>
      <w:r w:rsidRPr="00C90E16">
        <w:t xml:space="preserve"> reported a 69.8% female and 30.2% male patient split for incident patients in Scotland. Jansa et al.</w:t>
      </w:r>
      <w:r w:rsidR="003B5BFA" w:rsidRPr="003B5BFA">
        <w:rPr>
          <w:vertAlign w:val="superscript"/>
        </w:rPr>
        <w:t>5</w:t>
      </w:r>
      <w:r w:rsidRPr="00C90E16">
        <w:t xml:space="preserve"> reported 65.9% and 65.0% female patients in the incident and prevalent populations respectively for the Czech Republic.</w:t>
      </w:r>
      <w:r>
        <w:t xml:space="preserve"> Treatment of anorexigen-induced PAH may be one factor contributing to a higher prevalence in women. Incidence of anoxerigen-induced PAH could reasonably be expected to decline over time.</w:t>
      </w:r>
      <w:r w:rsidRPr="00C90E16" w:rsidDel="00F35D2F">
        <w:t xml:space="preserve"> </w:t>
      </w:r>
      <w:r>
        <w:t>The PBS dispensing data does not capture use by PAH clinical subclass.</w:t>
      </w:r>
    </w:p>
    <w:p w14:paraId="2DD0A401" w14:textId="77777777" w:rsidR="00EA175A" w:rsidRPr="003B5BFA" w:rsidRDefault="00EA175A" w:rsidP="003B5BFA">
      <w:pPr>
        <w:pStyle w:val="Heading4"/>
        <w:rPr>
          <w:rStyle w:val="SubtleEmphasis"/>
          <w:rFonts w:asciiTheme="minorHAnsi" w:hAnsiTheme="minorHAnsi"/>
          <w:iCs w:val="0"/>
          <w:sz w:val="28"/>
        </w:rPr>
      </w:pPr>
      <w:r w:rsidRPr="003B5BFA">
        <w:rPr>
          <w:rStyle w:val="SubtleEmphasis"/>
          <w:rFonts w:asciiTheme="minorHAnsi" w:hAnsiTheme="minorHAnsi"/>
          <w:iCs w:val="0"/>
          <w:sz w:val="28"/>
        </w:rPr>
        <w:t>Length of treatment analysis</w:t>
      </w:r>
    </w:p>
    <w:p w14:paraId="38308538" w14:textId="77777777" w:rsidR="00EA175A" w:rsidRDefault="00EA175A" w:rsidP="00EA175A">
      <w:r>
        <w:t>This analysis was undertaken to measure the PBS length of treatment and compare this with;</w:t>
      </w:r>
    </w:p>
    <w:p w14:paraId="38737A6E" w14:textId="77777777" w:rsidR="00EA175A" w:rsidRDefault="00EA175A" w:rsidP="00EA175A">
      <w:pPr>
        <w:pStyle w:val="ListParagraph"/>
        <w:numPr>
          <w:ilvl w:val="0"/>
          <w:numId w:val="33"/>
        </w:numPr>
      </w:pPr>
      <w:r>
        <w:lastRenderedPageBreak/>
        <w:t xml:space="preserve">that assumed in the recommended bosentan submission to the December 2013 PBAC; and </w:t>
      </w:r>
    </w:p>
    <w:p w14:paraId="412C9392" w14:textId="77777777" w:rsidR="00EA175A" w:rsidRDefault="00EA175A" w:rsidP="00EA175A">
      <w:pPr>
        <w:pStyle w:val="ListParagraph"/>
        <w:numPr>
          <w:ilvl w:val="0"/>
          <w:numId w:val="33"/>
        </w:numPr>
      </w:pPr>
      <w:r>
        <w:t>that calculated from the Bosentan Patient Registry (BPR) data.</w:t>
      </w:r>
    </w:p>
    <w:p w14:paraId="6626180F" w14:textId="77777777" w:rsidR="00EA175A" w:rsidRDefault="00EA175A" w:rsidP="00EA175A">
      <w:r>
        <w:t>Figure 11 shows length of treatment for first treatment episode and all treatment episodes, the latter with and without accounting for breaks in treatment.</w:t>
      </w:r>
    </w:p>
    <w:p w14:paraId="5E75F75A" w14:textId="77777777" w:rsidR="00EA175A" w:rsidRDefault="00EA175A" w:rsidP="00EA175A">
      <w:r w:rsidRPr="00056820">
        <w:rPr>
          <w:rFonts w:eastAsia="Calibri" w:cs="Times New Roman"/>
          <w:b/>
          <w:noProof/>
          <w:u w:val="single"/>
        </w:rPr>
        <mc:AlternateContent>
          <mc:Choice Requires="wps">
            <w:drawing>
              <wp:anchor distT="0" distB="0" distL="114300" distR="114300" simplePos="0" relativeHeight="251659264" behindDoc="0" locked="0" layoutInCell="1" allowOverlap="1" wp14:anchorId="5EE9EE65" wp14:editId="4F6B730E">
                <wp:simplePos x="0" y="0"/>
                <wp:positionH relativeFrom="column">
                  <wp:posOffset>2423160</wp:posOffset>
                </wp:positionH>
                <wp:positionV relativeFrom="paragraph">
                  <wp:posOffset>3796030</wp:posOffset>
                </wp:positionV>
                <wp:extent cx="2514600" cy="828675"/>
                <wp:effectExtent l="0" t="0" r="0" b="9525"/>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828675"/>
                        </a:xfrm>
                        <a:prstGeom prst="rect">
                          <a:avLst/>
                        </a:prstGeom>
                        <a:solidFill>
                          <a:srgbClr val="FFFFFF"/>
                        </a:solidFill>
                        <a:ln w="9525">
                          <a:noFill/>
                          <a:miter lim="800000"/>
                          <a:headEnd/>
                          <a:tailEnd/>
                        </a:ln>
                      </wps:spPr>
                      <wps:txbx>
                        <w:txbxContent>
                          <w:p w14:paraId="609DD7C9" w14:textId="77777777" w:rsidR="00703DF8" w:rsidRPr="00697850" w:rsidRDefault="00703DF8" w:rsidP="00EA175A">
                            <w:pPr>
                              <w:spacing w:after="120"/>
                              <w:rPr>
                                <w:sz w:val="20"/>
                              </w:rPr>
                            </w:pPr>
                            <w:r>
                              <w:rPr>
                                <w:sz w:val="20"/>
                              </w:rPr>
                              <w:t>1st episode of treatment</w:t>
                            </w:r>
                          </w:p>
                          <w:p w14:paraId="226C3355" w14:textId="77777777" w:rsidR="00703DF8" w:rsidRPr="00697850" w:rsidRDefault="00703DF8" w:rsidP="00EA175A">
                            <w:pPr>
                              <w:spacing w:after="120"/>
                              <w:rPr>
                                <w:sz w:val="20"/>
                              </w:rPr>
                            </w:pPr>
                            <w:r>
                              <w:rPr>
                                <w:sz w:val="20"/>
                              </w:rPr>
                              <w:t>All treatment excluding breaks</w:t>
                            </w:r>
                          </w:p>
                          <w:p w14:paraId="2BF9FA47" w14:textId="77777777" w:rsidR="00703DF8" w:rsidRPr="00855376" w:rsidRDefault="00703DF8" w:rsidP="00EA175A">
                            <w:pPr>
                              <w:spacing w:after="120"/>
                              <w:rPr>
                                <w:sz w:val="20"/>
                              </w:rPr>
                            </w:pPr>
                            <w:r>
                              <w:rPr>
                                <w:sz w:val="20"/>
                              </w:rPr>
                              <w:t>All treatment including breaks</w:t>
                            </w:r>
                          </w:p>
                          <w:p w14:paraId="30034AB0" w14:textId="77777777" w:rsidR="00703DF8" w:rsidRDefault="00703DF8" w:rsidP="00EA175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0.8pt;margin-top:298.9pt;width:198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" stroked="f">
                <v:textbox>
                  <w:txbxContent>
                    <w:p w14:paraId="609DD7C9" w14:textId="77777777" w:rsidR="00703DF8" w:rsidRPr="00697850" w:rsidRDefault="00703DF8" w:rsidP="00EA175A">
                      <w:pPr>
                        <w:spacing w:after="120"/>
                        <w:rPr>
                          <w:sz w:val="20"/>
                        </w:rPr>
                      </w:pPr>
                      <w:r>
                        <w:rPr>
                          <w:sz w:val="20"/>
                        </w:rPr>
                        <w:t>1st episode of treatment</w:t>
                      </w:r>
                    </w:p>
                    <w:p w14:paraId="226C3355" w14:textId="77777777" w:rsidR="00703DF8" w:rsidRPr="00697850" w:rsidRDefault="00703DF8" w:rsidP="00EA175A">
                      <w:pPr>
                        <w:spacing w:after="120"/>
                        <w:rPr>
                          <w:sz w:val="20"/>
                        </w:rPr>
                      </w:pPr>
                      <w:r>
                        <w:rPr>
                          <w:sz w:val="20"/>
                        </w:rPr>
                        <w:t>All treatment excluding breaks</w:t>
                      </w:r>
                    </w:p>
                    <w:p w14:paraId="2BF9FA47" w14:textId="77777777" w:rsidR="00703DF8" w:rsidRPr="00855376" w:rsidRDefault="00703DF8" w:rsidP="00EA175A">
                      <w:pPr>
                        <w:spacing w:after="120"/>
                        <w:rPr>
                          <w:sz w:val="20"/>
                        </w:rPr>
                      </w:pPr>
                      <w:r>
                        <w:rPr>
                          <w:sz w:val="20"/>
                        </w:rPr>
                        <w:t>All treatment including breaks</w:t>
                      </w:r>
                    </w:p>
                    <w:p w14:paraId="30034AB0" w14:textId="77777777" w:rsidR="00703DF8" w:rsidRDefault="00703DF8" w:rsidP="00EA175A"/>
                  </w:txbxContent>
                </v:textbox>
              </v:shape>
            </w:pict>
          </mc:Fallback>
        </mc:AlternateContent>
      </w:r>
      <w:r>
        <w:rPr>
          <w:noProof/>
        </w:rPr>
        <w:drawing>
          <wp:inline distT="0" distB="0" distL="0" distR="0" wp14:anchorId="6829BC2C" wp14:editId="76D2A203">
            <wp:extent cx="6210300" cy="4657725"/>
            <wp:effectExtent l="0" t="0" r="0" b="9525"/>
            <wp:docPr id="24" name="Picture 24" descr="img0.gif" title="Figure 11: Length of PAH treatment using various measur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210300" cy="4657725"/>
                    </a:xfrm>
                    <a:prstGeom prst="rect">
                      <a:avLst/>
                    </a:prstGeom>
                    <a:noFill/>
                    <a:ln>
                      <a:noFill/>
                    </a:ln>
                  </pic:spPr>
                </pic:pic>
              </a:graphicData>
            </a:graphic>
          </wp:inline>
        </w:drawing>
      </w:r>
    </w:p>
    <w:p w14:paraId="6E9F13DB" w14:textId="0A6FE8DA" w:rsidR="00EA175A" w:rsidRPr="00C52BD8" w:rsidRDefault="00EA175A" w:rsidP="00EA175A">
      <w:pPr>
        <w:rPr>
          <w:rFonts w:cs="Arial"/>
          <w:b/>
          <w:szCs w:val="20"/>
        </w:rPr>
      </w:pPr>
      <w:r w:rsidRPr="00056820">
        <w:rPr>
          <w:rFonts w:cs="Arial"/>
          <w:b/>
          <w:szCs w:val="20"/>
        </w:rPr>
        <w:t xml:space="preserve">Figure </w:t>
      </w:r>
      <w:r>
        <w:rPr>
          <w:rFonts w:cs="Arial"/>
          <w:b/>
          <w:szCs w:val="20"/>
        </w:rPr>
        <w:t>11</w:t>
      </w:r>
      <w:r w:rsidRPr="00056820">
        <w:rPr>
          <w:rFonts w:cs="Arial"/>
          <w:b/>
          <w:szCs w:val="20"/>
        </w:rPr>
        <w:t xml:space="preserve">: Length of </w:t>
      </w:r>
      <w:r>
        <w:rPr>
          <w:rFonts w:cs="Arial"/>
          <w:b/>
          <w:szCs w:val="20"/>
        </w:rPr>
        <w:t>PAH</w:t>
      </w:r>
      <w:r w:rsidRPr="00056820">
        <w:rPr>
          <w:rFonts w:cs="Arial"/>
          <w:b/>
          <w:szCs w:val="20"/>
        </w:rPr>
        <w:t xml:space="preserve"> treatment </w:t>
      </w:r>
      <w:r>
        <w:rPr>
          <w:rFonts w:cs="Arial"/>
          <w:b/>
          <w:szCs w:val="20"/>
        </w:rPr>
        <w:t>using various measures</w:t>
      </w:r>
      <w:r w:rsidRPr="00056820">
        <w:rPr>
          <w:rFonts w:cs="Arial"/>
          <w:b/>
          <w:szCs w:val="20"/>
        </w:rPr>
        <w:t xml:space="preserve"> </w:t>
      </w:r>
      <w:r w:rsidRPr="00056820">
        <w:rPr>
          <w:rFonts w:cs="Arial"/>
          <w:b/>
          <w:szCs w:val="20"/>
        </w:rPr>
        <w:br/>
      </w:r>
      <w:r>
        <w:rPr>
          <w:rFonts w:cs="Arial"/>
          <w:sz w:val="20"/>
          <w:szCs w:val="20"/>
        </w:rPr>
        <w:t>Note: A circle symbol indicates a patient who is deemed to be continuing treatment at the end of the data period.</w:t>
      </w:r>
      <w:r>
        <w:rPr>
          <w:rFonts w:cs="Arial"/>
          <w:sz w:val="20"/>
          <w:szCs w:val="20"/>
        </w:rPr>
        <w:br/>
      </w:r>
      <w:r w:rsidRPr="00056820">
        <w:rPr>
          <w:rFonts w:cs="Arial"/>
          <w:sz w:val="20"/>
          <w:szCs w:val="20"/>
        </w:rPr>
        <w:t xml:space="preserve">Source: DHS PBS supplied </w:t>
      </w:r>
      <w:r w:rsidR="003F70D3">
        <w:rPr>
          <w:rFonts w:cs="Arial"/>
          <w:sz w:val="20"/>
          <w:szCs w:val="20"/>
        </w:rPr>
        <w:t>prescription</w:t>
      </w:r>
      <w:r w:rsidRPr="00056820">
        <w:rPr>
          <w:rFonts w:cs="Arial"/>
          <w:sz w:val="20"/>
          <w:szCs w:val="20"/>
        </w:rPr>
        <w:t xml:space="preserve"> database for </w:t>
      </w:r>
      <w:r w:rsidR="003F70D3">
        <w:rPr>
          <w:rFonts w:cs="Arial"/>
          <w:sz w:val="20"/>
          <w:szCs w:val="20"/>
        </w:rPr>
        <w:t>prescription</w:t>
      </w:r>
      <w:r w:rsidR="006A7107">
        <w:rPr>
          <w:rFonts w:cs="Arial"/>
          <w:sz w:val="20"/>
          <w:szCs w:val="20"/>
        </w:rPr>
        <w:t>s</w:t>
      </w:r>
      <w:r w:rsidRPr="00056820">
        <w:rPr>
          <w:rFonts w:cs="Arial"/>
          <w:sz w:val="20"/>
          <w:szCs w:val="20"/>
        </w:rPr>
        <w:t xml:space="preserve"> supplied from Ma</w:t>
      </w:r>
      <w:r>
        <w:rPr>
          <w:rFonts w:cs="Arial"/>
          <w:sz w:val="20"/>
          <w:szCs w:val="20"/>
        </w:rPr>
        <w:t>rch 2</w:t>
      </w:r>
      <w:r w:rsidRPr="00056820">
        <w:rPr>
          <w:rFonts w:cs="Arial"/>
          <w:sz w:val="20"/>
          <w:szCs w:val="20"/>
        </w:rPr>
        <w:t>00</w:t>
      </w:r>
      <w:r>
        <w:rPr>
          <w:rFonts w:cs="Arial"/>
          <w:sz w:val="20"/>
          <w:szCs w:val="20"/>
        </w:rPr>
        <w:t>4</w:t>
      </w:r>
      <w:r w:rsidRPr="00056820">
        <w:rPr>
          <w:rFonts w:cs="Arial"/>
          <w:sz w:val="20"/>
          <w:szCs w:val="20"/>
        </w:rPr>
        <w:t xml:space="preserve"> to </w:t>
      </w:r>
      <w:r>
        <w:rPr>
          <w:rFonts w:cs="Arial"/>
          <w:sz w:val="20"/>
          <w:szCs w:val="20"/>
        </w:rPr>
        <w:t xml:space="preserve">July </w:t>
      </w:r>
      <w:r w:rsidRPr="00056820">
        <w:rPr>
          <w:rFonts w:cs="Arial"/>
          <w:sz w:val="20"/>
          <w:szCs w:val="20"/>
        </w:rPr>
        <w:t>201</w:t>
      </w:r>
      <w:r>
        <w:rPr>
          <w:rFonts w:cs="Arial"/>
          <w:sz w:val="20"/>
          <w:szCs w:val="20"/>
        </w:rPr>
        <w:t>4</w:t>
      </w:r>
      <w:r w:rsidRPr="00056820">
        <w:rPr>
          <w:rFonts w:cs="Arial"/>
          <w:sz w:val="20"/>
          <w:szCs w:val="20"/>
        </w:rPr>
        <w:t xml:space="preserve"> inclusive</w:t>
      </w:r>
      <w:r>
        <w:rPr>
          <w:rFonts w:cs="Arial"/>
          <w:sz w:val="20"/>
          <w:szCs w:val="20"/>
        </w:rPr>
        <w:t>.</w:t>
      </w:r>
    </w:p>
    <w:p w14:paraId="67C9A26E" w14:textId="0F0232BD" w:rsidR="00EA175A" w:rsidRDefault="00EA175A" w:rsidP="00EA175A">
      <w:r>
        <w:t xml:space="preserve">The Kaplan Meier (KM) analysis used to produce Figure 11 was also used to estimate median and mean lengths of treatment for the three different measures. The estimated median lengths of treatment were 2.22, 3.45 and 3.66 years for </w:t>
      </w:r>
      <w:r w:rsidR="00242989">
        <w:t>first</w:t>
      </w:r>
      <w:r>
        <w:t xml:space="preserve"> episode, all excluding breaks and all including breaks respectively. The estimated mean lengths were 3.69, 4.63 and 4.72 years for first episode, all excluding breaks and all including breaks respectively. The number of patients included in the analysis was 3,489. This is the number of </w:t>
      </w:r>
      <w:r w:rsidRPr="0096620A">
        <w:t xml:space="preserve">PAH </w:t>
      </w:r>
      <w:r>
        <w:t xml:space="preserve">treatment initiators in the </w:t>
      </w:r>
      <w:r w:rsidRPr="0096620A">
        <w:t xml:space="preserve">DHS PBS supplied </w:t>
      </w:r>
      <w:r w:rsidR="003F70D3">
        <w:t>prescription</w:t>
      </w:r>
      <w:r w:rsidRPr="0096620A">
        <w:t xml:space="preserve"> database</w:t>
      </w:r>
      <w:r>
        <w:t xml:space="preserve"> from March 2004 to December 2013 inclusive. </w:t>
      </w:r>
      <w:r w:rsidRPr="0096620A">
        <w:t xml:space="preserve">Patients who initiated treatment in 2014 </w:t>
      </w:r>
      <w:r>
        <w:t>were</w:t>
      </w:r>
      <w:r w:rsidRPr="0096620A">
        <w:t xml:space="preserve"> excluded from the analysis due to </w:t>
      </w:r>
      <w:r>
        <w:t xml:space="preserve">the </w:t>
      </w:r>
      <w:r w:rsidRPr="0096620A">
        <w:t>short length of follow-up</w:t>
      </w:r>
      <w:r>
        <w:t xml:space="preserve"> (i</w:t>
      </w:r>
      <w:r w:rsidR="00A16888">
        <w:t>.</w:t>
      </w:r>
      <w:r>
        <w:t>e. to July 2014)</w:t>
      </w:r>
      <w:r w:rsidRPr="0096620A">
        <w:t>.</w:t>
      </w:r>
    </w:p>
    <w:p w14:paraId="3D694920" w14:textId="62612B0A" w:rsidR="00EA175A" w:rsidRDefault="00EA175A" w:rsidP="00EA175A">
      <w:r>
        <w:lastRenderedPageBreak/>
        <w:t xml:space="preserve">The patient continuation rate used in the Section E spreadsheet of the bosentan submission recommended by the </w:t>
      </w:r>
      <w:r w:rsidR="00713A49">
        <w:t xml:space="preserve">PBAC at its </w:t>
      </w:r>
      <w:r>
        <w:t xml:space="preserve">December 2003 </w:t>
      </w:r>
      <w:r w:rsidR="00713A49">
        <w:t>meeting</w:t>
      </w:r>
      <w:r>
        <w:t xml:space="preserve"> was derived from the economic model and implied a median length of treatment of </w:t>
      </w:r>
      <w:r w:rsidRPr="00380980">
        <w:t xml:space="preserve">approximately </w:t>
      </w:r>
      <w:r w:rsidRPr="004537CB">
        <w:t>5</w:t>
      </w:r>
      <w:r w:rsidRPr="00380980">
        <w:t xml:space="preserve"> years</w:t>
      </w:r>
      <w:r>
        <w:t>. The median length of all treatment (including breaks) calculated in this analysis (i</w:t>
      </w:r>
      <w:r w:rsidR="001B343A">
        <w:t>.</w:t>
      </w:r>
      <w:r>
        <w:t>e. 3.66 years) is less than this estimate.</w:t>
      </w:r>
    </w:p>
    <w:p w14:paraId="0B273170" w14:textId="77777777" w:rsidR="00EA175A" w:rsidRDefault="00EA175A" w:rsidP="00EA175A">
      <w:r>
        <w:t>Figure 12 shows the length of treatment for yearly cohorts of initiators to PAH therapy.</w:t>
      </w:r>
    </w:p>
    <w:p w14:paraId="79A03CDF" w14:textId="77777777" w:rsidR="00EA175A" w:rsidRDefault="00EA175A" w:rsidP="00EA175A">
      <w:r>
        <w:rPr>
          <w:noProof/>
        </w:rPr>
        <mc:AlternateContent>
          <mc:Choice Requires="wps">
            <w:drawing>
              <wp:anchor distT="0" distB="0" distL="114300" distR="114300" simplePos="0" relativeHeight="251669504" behindDoc="0" locked="0" layoutInCell="1" allowOverlap="1" wp14:anchorId="31EEE9AD" wp14:editId="35876B50">
                <wp:simplePos x="0" y="0"/>
                <wp:positionH relativeFrom="column">
                  <wp:posOffset>908685</wp:posOffset>
                </wp:positionH>
                <wp:positionV relativeFrom="paragraph">
                  <wp:posOffset>314960</wp:posOffset>
                </wp:positionV>
                <wp:extent cx="685800" cy="381000"/>
                <wp:effectExtent l="0" t="0" r="0" b="0"/>
                <wp:wrapNone/>
                <wp:docPr id="2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1FEF604A" w14:textId="77777777" w:rsidR="00703DF8" w:rsidRPr="00973B85" w:rsidRDefault="00703DF8" w:rsidP="00EA175A">
                            <w:pPr>
                              <w:jc w:val="center"/>
                              <w:rPr>
                                <w:sz w:val="18"/>
                              </w:rPr>
                            </w:pPr>
                            <w:r w:rsidRPr="00973B85">
                              <w:rPr>
                                <w:sz w:val="18"/>
                              </w:rPr>
                              <w:t>2</w:t>
                            </w:r>
                            <w:r>
                              <w:rPr>
                                <w:sz w:val="18"/>
                              </w:rPr>
                              <w:t>013</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1.55pt;margin-top:24.8pt;width:5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" filled="f" stroked="f">
                <v:textbox>
                  <w:txbxContent>
                    <w:p w14:paraId="1FEF604A" w14:textId="77777777" w:rsidR="00703DF8" w:rsidRPr="00973B85" w:rsidRDefault="00703DF8" w:rsidP="00EA175A">
                      <w:pPr>
                        <w:jc w:val="center"/>
                        <w:rPr>
                          <w:sz w:val="18"/>
                        </w:rPr>
                      </w:pPr>
                      <w:r w:rsidRPr="00973B85">
                        <w:rPr>
                          <w:sz w:val="18"/>
                        </w:rPr>
                        <w:t>2</w:t>
                      </w:r>
                      <w:r>
                        <w:rPr>
                          <w:sz w:val="18"/>
                        </w:rPr>
                        <w:t>013</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72CB142" wp14:editId="7898F89B">
                <wp:simplePos x="0" y="0"/>
                <wp:positionH relativeFrom="column">
                  <wp:posOffset>1051560</wp:posOffset>
                </wp:positionH>
                <wp:positionV relativeFrom="paragraph">
                  <wp:posOffset>1362710</wp:posOffset>
                </wp:positionV>
                <wp:extent cx="685800" cy="381000"/>
                <wp:effectExtent l="0" t="0" r="0" b="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67DAF99A" w14:textId="77777777" w:rsidR="00703DF8" w:rsidRPr="00973B85" w:rsidRDefault="00703DF8" w:rsidP="00EA175A">
                            <w:pPr>
                              <w:jc w:val="center"/>
                              <w:rPr>
                                <w:sz w:val="18"/>
                              </w:rPr>
                            </w:pPr>
                            <w:r w:rsidRPr="00973B85">
                              <w:rPr>
                                <w:sz w:val="18"/>
                              </w:rPr>
                              <w:t>2</w:t>
                            </w:r>
                            <w:r>
                              <w:rPr>
                                <w:sz w:val="18"/>
                              </w:rPr>
                              <w:t>012</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82.8pt;margin-top:107.3pt;width:54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" filled="f" stroked="f">
                <v:textbox>
                  <w:txbxContent>
                    <w:p w14:paraId="67DAF99A" w14:textId="77777777" w:rsidR="00703DF8" w:rsidRPr="00973B85" w:rsidRDefault="00703DF8" w:rsidP="00EA175A">
                      <w:pPr>
                        <w:jc w:val="center"/>
                        <w:rPr>
                          <w:sz w:val="18"/>
                        </w:rPr>
                      </w:pPr>
                      <w:r w:rsidRPr="00973B85">
                        <w:rPr>
                          <w:sz w:val="18"/>
                        </w:rPr>
                        <w:t>2</w:t>
                      </w:r>
                      <w:r>
                        <w:rPr>
                          <w:sz w:val="18"/>
                        </w:rPr>
                        <w:t>012</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F864507" wp14:editId="7D12D49D">
                <wp:simplePos x="0" y="0"/>
                <wp:positionH relativeFrom="column">
                  <wp:posOffset>1784985</wp:posOffset>
                </wp:positionH>
                <wp:positionV relativeFrom="paragraph">
                  <wp:posOffset>895985</wp:posOffset>
                </wp:positionV>
                <wp:extent cx="685800" cy="381000"/>
                <wp:effectExtent l="0" t="0" r="0" b="0"/>
                <wp:wrapNone/>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48A9E4DF" w14:textId="77777777" w:rsidR="00703DF8" w:rsidRPr="00973B85" w:rsidRDefault="00703DF8" w:rsidP="00EA175A">
                            <w:pPr>
                              <w:jc w:val="center"/>
                              <w:rPr>
                                <w:sz w:val="18"/>
                              </w:rPr>
                            </w:pPr>
                            <w:r w:rsidRPr="00973B85">
                              <w:rPr>
                                <w:sz w:val="18"/>
                              </w:rPr>
                              <w:t>2</w:t>
                            </w:r>
                            <w:r>
                              <w:rPr>
                                <w:sz w:val="18"/>
                              </w:rPr>
                              <w:t>011</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40.55pt;margin-top:70.55pt;width:54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" filled="f" stroked="f">
                <v:textbox>
                  <w:txbxContent>
                    <w:p w14:paraId="48A9E4DF" w14:textId="77777777" w:rsidR="00703DF8" w:rsidRPr="00973B85" w:rsidRDefault="00703DF8" w:rsidP="00EA175A">
                      <w:pPr>
                        <w:jc w:val="center"/>
                        <w:rPr>
                          <w:sz w:val="18"/>
                        </w:rPr>
                      </w:pPr>
                      <w:r w:rsidRPr="00973B85">
                        <w:rPr>
                          <w:sz w:val="18"/>
                        </w:rPr>
                        <w:t>2</w:t>
                      </w:r>
                      <w:r>
                        <w:rPr>
                          <w:sz w:val="18"/>
                        </w:rPr>
                        <w:t>011</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6737848" wp14:editId="26DA358E">
                <wp:simplePos x="0" y="0"/>
                <wp:positionH relativeFrom="column">
                  <wp:posOffset>2042160</wp:posOffset>
                </wp:positionH>
                <wp:positionV relativeFrom="paragraph">
                  <wp:posOffset>1858010</wp:posOffset>
                </wp:positionV>
                <wp:extent cx="685800" cy="381000"/>
                <wp:effectExtent l="0" t="0" r="0" b="0"/>
                <wp:wrapNone/>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70AF4AA6" w14:textId="77777777" w:rsidR="00703DF8" w:rsidRPr="00973B85" w:rsidRDefault="00703DF8" w:rsidP="00EA175A">
                            <w:pPr>
                              <w:jc w:val="center"/>
                              <w:rPr>
                                <w:sz w:val="18"/>
                              </w:rPr>
                            </w:pPr>
                            <w:r w:rsidRPr="00973B85">
                              <w:rPr>
                                <w:sz w:val="18"/>
                              </w:rPr>
                              <w:t>2</w:t>
                            </w:r>
                            <w:r>
                              <w:rPr>
                                <w:sz w:val="18"/>
                              </w:rPr>
                              <w:t>010</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160.8pt;margin-top:146.3pt;width:54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" filled="f" stroked="f">
                <v:textbox>
                  <w:txbxContent>
                    <w:p w14:paraId="70AF4AA6" w14:textId="77777777" w:rsidR="00703DF8" w:rsidRPr="00973B85" w:rsidRDefault="00703DF8" w:rsidP="00EA175A">
                      <w:pPr>
                        <w:jc w:val="center"/>
                        <w:rPr>
                          <w:sz w:val="18"/>
                        </w:rPr>
                      </w:pPr>
                      <w:r w:rsidRPr="00973B85">
                        <w:rPr>
                          <w:sz w:val="18"/>
                        </w:rPr>
                        <w:t>2</w:t>
                      </w:r>
                      <w:r>
                        <w:rPr>
                          <w:sz w:val="18"/>
                        </w:rPr>
                        <w:t>010</w:t>
                      </w:r>
                      <w:r w:rsidRPr="00973B85">
                        <w:rPr>
                          <w:sz w:val="18"/>
                        </w:rPr>
                        <w:br/>
                        <w:t>initiators</w:t>
                      </w:r>
                    </w:p>
                  </w:txbxContent>
                </v:textbox>
              </v:shape>
            </w:pict>
          </mc:Fallback>
        </mc:AlternateContent>
      </w:r>
      <w:r w:rsidRPr="00973B85">
        <w:rPr>
          <w:noProof/>
        </w:rPr>
        <mc:AlternateContent>
          <mc:Choice Requires="wps">
            <w:drawing>
              <wp:anchor distT="0" distB="0" distL="114300" distR="114300" simplePos="0" relativeHeight="251665408" behindDoc="0" locked="0" layoutInCell="1" allowOverlap="1" wp14:anchorId="1C45426F" wp14:editId="2812587E">
                <wp:simplePos x="0" y="0"/>
                <wp:positionH relativeFrom="column">
                  <wp:posOffset>2537460</wp:posOffset>
                </wp:positionH>
                <wp:positionV relativeFrom="paragraph">
                  <wp:posOffset>2010410</wp:posOffset>
                </wp:positionV>
                <wp:extent cx="685800" cy="381000"/>
                <wp:effectExtent l="0" t="0" r="0" b="0"/>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2D88C7E1" w14:textId="77777777" w:rsidR="00703DF8" w:rsidRPr="00973B85" w:rsidRDefault="00703DF8" w:rsidP="00EA175A">
                            <w:pPr>
                              <w:jc w:val="center"/>
                              <w:rPr>
                                <w:sz w:val="18"/>
                              </w:rPr>
                            </w:pPr>
                            <w:r w:rsidRPr="00973B85">
                              <w:rPr>
                                <w:sz w:val="18"/>
                              </w:rPr>
                              <w:t>200</w:t>
                            </w:r>
                            <w:r>
                              <w:rPr>
                                <w:sz w:val="18"/>
                              </w:rPr>
                              <w:t>9</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199.8pt;margin-top:158.3pt;width:54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" filled="f" stroked="f">
                <v:textbox>
                  <w:txbxContent>
                    <w:p w14:paraId="2D88C7E1" w14:textId="77777777" w:rsidR="00703DF8" w:rsidRPr="00973B85" w:rsidRDefault="00703DF8" w:rsidP="00EA175A">
                      <w:pPr>
                        <w:jc w:val="center"/>
                        <w:rPr>
                          <w:sz w:val="18"/>
                        </w:rPr>
                      </w:pPr>
                      <w:r w:rsidRPr="00973B85">
                        <w:rPr>
                          <w:sz w:val="18"/>
                        </w:rPr>
                        <w:t>200</w:t>
                      </w:r>
                      <w:r>
                        <w:rPr>
                          <w:sz w:val="18"/>
                        </w:rPr>
                        <w:t>9</w:t>
                      </w:r>
                      <w:r w:rsidRPr="00973B85">
                        <w:rPr>
                          <w:sz w:val="18"/>
                        </w:rPr>
                        <w:br/>
                        <w:t>initiators</w:t>
                      </w:r>
                    </w:p>
                  </w:txbxContent>
                </v:textbox>
              </v:shape>
            </w:pict>
          </mc:Fallback>
        </mc:AlternateContent>
      </w:r>
      <w:r w:rsidRPr="00973B85">
        <w:rPr>
          <w:noProof/>
        </w:rPr>
        <mc:AlternateContent>
          <mc:Choice Requires="wps">
            <w:drawing>
              <wp:anchor distT="0" distB="0" distL="114300" distR="114300" simplePos="0" relativeHeight="251663360" behindDoc="0" locked="0" layoutInCell="1" allowOverlap="1" wp14:anchorId="62D9AE24" wp14:editId="53FA8926">
                <wp:simplePos x="0" y="0"/>
                <wp:positionH relativeFrom="column">
                  <wp:posOffset>3547110</wp:posOffset>
                </wp:positionH>
                <wp:positionV relativeFrom="paragraph">
                  <wp:posOffset>1591310</wp:posOffset>
                </wp:positionV>
                <wp:extent cx="685800" cy="381000"/>
                <wp:effectExtent l="0" t="0" r="0" b="0"/>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1553B470" w14:textId="77777777" w:rsidR="00703DF8" w:rsidRPr="00973B85" w:rsidRDefault="00703DF8" w:rsidP="00EA175A">
                            <w:pPr>
                              <w:jc w:val="center"/>
                              <w:rPr>
                                <w:sz w:val="18"/>
                              </w:rPr>
                            </w:pPr>
                            <w:r w:rsidRPr="00973B85">
                              <w:rPr>
                                <w:sz w:val="18"/>
                              </w:rPr>
                              <w:t>200</w:t>
                            </w:r>
                            <w:r>
                              <w:rPr>
                                <w:sz w:val="18"/>
                              </w:rPr>
                              <w:t>7</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79.3pt;margin-top:125.3pt;width:54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" filled="f" stroked="f">
                <v:textbox>
                  <w:txbxContent>
                    <w:p w14:paraId="1553B470" w14:textId="77777777" w:rsidR="00703DF8" w:rsidRPr="00973B85" w:rsidRDefault="00703DF8" w:rsidP="00EA175A">
                      <w:pPr>
                        <w:jc w:val="center"/>
                        <w:rPr>
                          <w:sz w:val="18"/>
                        </w:rPr>
                      </w:pPr>
                      <w:r w:rsidRPr="00973B85">
                        <w:rPr>
                          <w:sz w:val="18"/>
                        </w:rPr>
                        <w:t>200</w:t>
                      </w:r>
                      <w:r>
                        <w:rPr>
                          <w:sz w:val="18"/>
                        </w:rPr>
                        <w:t>7</w:t>
                      </w:r>
                      <w:r w:rsidRPr="00973B85">
                        <w:rPr>
                          <w:sz w:val="18"/>
                        </w:rPr>
                        <w:br/>
                        <w:t>initiators</w:t>
                      </w:r>
                    </w:p>
                  </w:txbxContent>
                </v:textbox>
              </v:shape>
            </w:pict>
          </mc:Fallback>
        </mc:AlternateContent>
      </w:r>
      <w:r w:rsidRPr="00973B85">
        <w:rPr>
          <w:noProof/>
        </w:rPr>
        <mc:AlternateContent>
          <mc:Choice Requires="wps">
            <w:drawing>
              <wp:anchor distT="0" distB="0" distL="114300" distR="114300" simplePos="0" relativeHeight="251664384" behindDoc="0" locked="0" layoutInCell="1" allowOverlap="1" wp14:anchorId="4D6C4A20" wp14:editId="4E6486DD">
                <wp:simplePos x="0" y="0"/>
                <wp:positionH relativeFrom="column">
                  <wp:posOffset>3061335</wp:posOffset>
                </wp:positionH>
                <wp:positionV relativeFrom="paragraph">
                  <wp:posOffset>1362710</wp:posOffset>
                </wp:positionV>
                <wp:extent cx="685800" cy="381000"/>
                <wp:effectExtent l="0" t="0" r="0" b="0"/>
                <wp:wrapNone/>
                <wp:docPr id="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2C0CBA16" w14:textId="77777777" w:rsidR="00703DF8" w:rsidRPr="00973B85" w:rsidRDefault="00703DF8" w:rsidP="00EA175A">
                            <w:pPr>
                              <w:jc w:val="center"/>
                              <w:rPr>
                                <w:sz w:val="18"/>
                              </w:rPr>
                            </w:pPr>
                            <w:r w:rsidRPr="00973B85">
                              <w:rPr>
                                <w:sz w:val="18"/>
                              </w:rPr>
                              <w:t>200</w:t>
                            </w:r>
                            <w:r>
                              <w:rPr>
                                <w:sz w:val="18"/>
                              </w:rPr>
                              <w:t>8</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41.05pt;margin-top:107.3pt;width:54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" filled="f" stroked="f">
                <v:textbox>
                  <w:txbxContent>
                    <w:p w14:paraId="2C0CBA16" w14:textId="77777777" w:rsidR="00703DF8" w:rsidRPr="00973B85" w:rsidRDefault="00703DF8" w:rsidP="00EA175A">
                      <w:pPr>
                        <w:jc w:val="center"/>
                        <w:rPr>
                          <w:sz w:val="18"/>
                        </w:rPr>
                      </w:pPr>
                      <w:r w:rsidRPr="00973B85">
                        <w:rPr>
                          <w:sz w:val="18"/>
                        </w:rPr>
                        <w:t>200</w:t>
                      </w:r>
                      <w:r>
                        <w:rPr>
                          <w:sz w:val="18"/>
                        </w:rPr>
                        <w:t>8</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196B2F1" wp14:editId="0D5B752F">
                <wp:simplePos x="0" y="0"/>
                <wp:positionH relativeFrom="column">
                  <wp:posOffset>4451985</wp:posOffset>
                </wp:positionH>
                <wp:positionV relativeFrom="paragraph">
                  <wp:posOffset>1791335</wp:posOffset>
                </wp:positionV>
                <wp:extent cx="685800" cy="38100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14B050E2" w14:textId="77777777" w:rsidR="00703DF8" w:rsidRPr="00973B85" w:rsidRDefault="00703DF8" w:rsidP="00EA175A">
                            <w:pPr>
                              <w:jc w:val="center"/>
                              <w:rPr>
                                <w:sz w:val="18"/>
                              </w:rPr>
                            </w:pPr>
                            <w:r w:rsidRPr="00973B85">
                              <w:rPr>
                                <w:sz w:val="18"/>
                              </w:rPr>
                              <w:t>200</w:t>
                            </w:r>
                            <w:r>
                              <w:rPr>
                                <w:sz w:val="18"/>
                              </w:rPr>
                              <w:t>5</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50.55pt;margin-top:141.05pt;width:54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" filled="f" stroked="f">
                <v:textbox>
                  <w:txbxContent>
                    <w:p w14:paraId="14B050E2" w14:textId="77777777" w:rsidR="00703DF8" w:rsidRPr="00973B85" w:rsidRDefault="00703DF8" w:rsidP="00EA175A">
                      <w:pPr>
                        <w:jc w:val="center"/>
                        <w:rPr>
                          <w:sz w:val="18"/>
                        </w:rPr>
                      </w:pPr>
                      <w:r w:rsidRPr="00973B85">
                        <w:rPr>
                          <w:sz w:val="18"/>
                        </w:rPr>
                        <w:t>200</w:t>
                      </w:r>
                      <w:r>
                        <w:rPr>
                          <w:sz w:val="18"/>
                        </w:rPr>
                        <w:t>5</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8AB574F" wp14:editId="30411867">
                <wp:simplePos x="0" y="0"/>
                <wp:positionH relativeFrom="column">
                  <wp:posOffset>3909060</wp:posOffset>
                </wp:positionH>
                <wp:positionV relativeFrom="paragraph">
                  <wp:posOffset>2372360</wp:posOffset>
                </wp:positionV>
                <wp:extent cx="685800" cy="381000"/>
                <wp:effectExtent l="0" t="0" r="0" b="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81000"/>
                        </a:xfrm>
                        <a:prstGeom prst="rect">
                          <a:avLst/>
                        </a:prstGeom>
                        <a:noFill/>
                        <a:ln w="9525">
                          <a:noFill/>
                          <a:miter lim="800000"/>
                          <a:headEnd/>
                          <a:tailEnd/>
                        </a:ln>
                      </wps:spPr>
                      <wps:txbx>
                        <w:txbxContent>
                          <w:p w14:paraId="019913D5" w14:textId="77777777" w:rsidR="00703DF8" w:rsidRPr="00973B85" w:rsidRDefault="00703DF8" w:rsidP="00EA175A">
                            <w:pPr>
                              <w:jc w:val="center"/>
                              <w:rPr>
                                <w:sz w:val="18"/>
                              </w:rPr>
                            </w:pPr>
                            <w:r w:rsidRPr="00973B85">
                              <w:rPr>
                                <w:sz w:val="18"/>
                              </w:rPr>
                              <w:t>200</w:t>
                            </w:r>
                            <w:r>
                              <w:rPr>
                                <w:sz w:val="18"/>
                              </w:rPr>
                              <w:t>6</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7.8pt;margin-top:186.8pt;width:54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" filled="f" stroked="f">
                <v:textbox>
                  <w:txbxContent>
                    <w:p w14:paraId="019913D5" w14:textId="77777777" w:rsidR="00703DF8" w:rsidRPr="00973B85" w:rsidRDefault="00703DF8" w:rsidP="00EA175A">
                      <w:pPr>
                        <w:jc w:val="center"/>
                        <w:rPr>
                          <w:sz w:val="18"/>
                        </w:rPr>
                      </w:pPr>
                      <w:r w:rsidRPr="00973B85">
                        <w:rPr>
                          <w:sz w:val="18"/>
                        </w:rPr>
                        <w:t>200</w:t>
                      </w:r>
                      <w:r>
                        <w:rPr>
                          <w:sz w:val="18"/>
                        </w:rPr>
                        <w:t>6</w:t>
                      </w:r>
                      <w:r w:rsidRPr="00973B85">
                        <w:rPr>
                          <w:sz w:val="18"/>
                        </w:rPr>
                        <w:br/>
                        <w:t>initiators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C51E712" wp14:editId="7D1A6FD8">
                <wp:simplePos x="0" y="0"/>
                <wp:positionH relativeFrom="column">
                  <wp:posOffset>4857750</wp:posOffset>
                </wp:positionH>
                <wp:positionV relativeFrom="paragraph">
                  <wp:posOffset>2428875</wp:posOffset>
                </wp:positionV>
                <wp:extent cx="685800" cy="42862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8625"/>
                        </a:xfrm>
                        <a:prstGeom prst="rect">
                          <a:avLst/>
                        </a:prstGeom>
                        <a:noFill/>
                        <a:ln w="9525">
                          <a:noFill/>
                          <a:miter lim="800000"/>
                          <a:headEnd/>
                          <a:tailEnd/>
                        </a:ln>
                      </wps:spPr>
                      <wps:txbx>
                        <w:txbxContent>
                          <w:p w14:paraId="0C89632A" w14:textId="77777777" w:rsidR="00703DF8" w:rsidRPr="00973B85" w:rsidRDefault="00703DF8" w:rsidP="00EA175A">
                            <w:pPr>
                              <w:jc w:val="center"/>
                              <w:rPr>
                                <w:sz w:val="18"/>
                              </w:rPr>
                            </w:pPr>
                            <w:r w:rsidRPr="00973B85">
                              <w:rPr>
                                <w:sz w:val="18"/>
                              </w:rPr>
                              <w:t>2004</w:t>
                            </w:r>
                            <w:r w:rsidRPr="00973B85">
                              <w:rPr>
                                <w:sz w:val="18"/>
                              </w:rPr>
                              <w:br/>
                              <w:t>initiators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382.5pt;margin-top:191.25pt;width:54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" filled="f" stroked="f">
                <v:textbox>
                  <w:txbxContent>
                    <w:p w14:paraId="0C89632A" w14:textId="77777777" w:rsidR="00703DF8" w:rsidRPr="00973B85" w:rsidRDefault="00703DF8" w:rsidP="00EA175A">
                      <w:pPr>
                        <w:jc w:val="center"/>
                        <w:rPr>
                          <w:sz w:val="18"/>
                        </w:rPr>
                      </w:pPr>
                      <w:r w:rsidRPr="00973B85">
                        <w:rPr>
                          <w:sz w:val="18"/>
                        </w:rPr>
                        <w:t>2004</w:t>
                      </w:r>
                      <w:r w:rsidRPr="00973B85">
                        <w:rPr>
                          <w:sz w:val="18"/>
                        </w:rPr>
                        <w:br/>
                        <w:t>initiators</w:t>
                      </w:r>
                    </w:p>
                  </w:txbxContent>
                </v:textbox>
              </v:shape>
            </w:pict>
          </mc:Fallback>
        </mc:AlternateContent>
      </w:r>
      <w:r>
        <w:rPr>
          <w:noProof/>
        </w:rPr>
        <w:drawing>
          <wp:inline distT="0" distB="0" distL="0" distR="0" wp14:anchorId="7A41B2F1" wp14:editId="05F1FE01">
            <wp:extent cx="6210300" cy="3667125"/>
            <wp:effectExtent l="0" t="0" r="0" b="9525"/>
            <wp:docPr id="26" name="Picture 26" descr="img0.gif" title="Figure 12: Length of all PAH treatment including breaks by year of initi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g0.gif"/>
                    <pic:cNvPicPr>
                      <a:picLocks noChangeAspect="1" noChangeArrowheads="1"/>
                    </pic:cNvPicPr>
                  </pic:nvPicPr>
                  <pic:blipFill rotWithShape="1">
                    <a:blip r:embed="rId33">
                      <a:extLst>
                        <a:ext uri="{28A0092B-C50C-407E-A947-70E740481C1C}">
                          <a14:useLocalDpi xmlns:a14="http://schemas.microsoft.com/office/drawing/2010/main" val="0"/>
                        </a:ext>
                      </a:extLst>
                    </a:blip>
                    <a:srcRect b="21268"/>
                    <a:stretch/>
                  </pic:blipFill>
                  <pic:spPr bwMode="auto">
                    <a:xfrm>
                      <a:off x="0" y="0"/>
                      <a:ext cx="6210300" cy="3667125"/>
                    </a:xfrm>
                    <a:prstGeom prst="rect">
                      <a:avLst/>
                    </a:prstGeom>
                    <a:noFill/>
                    <a:ln>
                      <a:noFill/>
                    </a:ln>
                    <a:extLst>
                      <a:ext uri="{53640926-AAD7-44D8-BBD7-CCE9431645EC}">
                        <a14:shadowObscured xmlns:a14="http://schemas.microsoft.com/office/drawing/2010/main"/>
                      </a:ext>
                    </a:extLst>
                  </pic:spPr>
                </pic:pic>
              </a:graphicData>
            </a:graphic>
          </wp:inline>
        </w:drawing>
      </w:r>
    </w:p>
    <w:p w14:paraId="134C3724" w14:textId="36097437" w:rsidR="00EA175A" w:rsidRPr="00C52BD8" w:rsidRDefault="00EA175A" w:rsidP="00EA175A">
      <w:pPr>
        <w:rPr>
          <w:rFonts w:cs="Arial"/>
          <w:b/>
          <w:szCs w:val="20"/>
        </w:rPr>
      </w:pPr>
      <w:r w:rsidRPr="00056820">
        <w:rPr>
          <w:rFonts w:cs="Arial"/>
          <w:b/>
          <w:szCs w:val="20"/>
        </w:rPr>
        <w:t xml:space="preserve">Figure </w:t>
      </w:r>
      <w:r>
        <w:rPr>
          <w:rFonts w:cs="Arial"/>
          <w:b/>
          <w:szCs w:val="20"/>
        </w:rPr>
        <w:t>12</w:t>
      </w:r>
      <w:r w:rsidRPr="00056820">
        <w:rPr>
          <w:rFonts w:cs="Arial"/>
          <w:b/>
          <w:szCs w:val="20"/>
        </w:rPr>
        <w:t xml:space="preserve">: Length of </w:t>
      </w:r>
      <w:r>
        <w:rPr>
          <w:rFonts w:cs="Arial"/>
          <w:b/>
          <w:szCs w:val="20"/>
        </w:rPr>
        <w:t>all PAH</w:t>
      </w:r>
      <w:r w:rsidRPr="00056820">
        <w:rPr>
          <w:rFonts w:cs="Arial"/>
          <w:b/>
          <w:szCs w:val="20"/>
        </w:rPr>
        <w:t xml:space="preserve"> treatment </w:t>
      </w:r>
      <w:r>
        <w:rPr>
          <w:rFonts w:cs="Arial"/>
          <w:b/>
          <w:szCs w:val="20"/>
        </w:rPr>
        <w:t>including breaks by year of initiation</w:t>
      </w:r>
      <w:r w:rsidRPr="00056820">
        <w:rPr>
          <w:rFonts w:cs="Arial"/>
          <w:b/>
          <w:szCs w:val="20"/>
        </w:rPr>
        <w:t xml:space="preserve"> </w:t>
      </w:r>
      <w:r w:rsidRPr="00056820">
        <w:rPr>
          <w:rFonts w:cs="Arial"/>
          <w:b/>
          <w:szCs w:val="20"/>
        </w:rPr>
        <w:br/>
      </w:r>
      <w:r>
        <w:rPr>
          <w:rFonts w:cs="Arial"/>
          <w:sz w:val="20"/>
          <w:szCs w:val="20"/>
        </w:rPr>
        <w:t>Note: A circle symbol indicates a patient who is deemed to be continuing treatment at the end of the data period. The year cohorts are identified by a label near the continuing patients (i.e</w:t>
      </w:r>
      <w:r w:rsidR="00314B5F">
        <w:rPr>
          <w:rFonts w:cs="Arial"/>
          <w:sz w:val="20"/>
          <w:szCs w:val="20"/>
        </w:rPr>
        <w:t>.</w:t>
      </w:r>
      <w:r>
        <w:rPr>
          <w:rFonts w:cs="Arial"/>
          <w:sz w:val="20"/>
          <w:szCs w:val="20"/>
        </w:rPr>
        <w:t xml:space="preserve"> circle symbols).</w:t>
      </w:r>
      <w:r>
        <w:rPr>
          <w:rFonts w:cs="Arial"/>
          <w:sz w:val="20"/>
          <w:szCs w:val="20"/>
        </w:rPr>
        <w:br/>
      </w:r>
      <w:r w:rsidRPr="00056820">
        <w:rPr>
          <w:rFonts w:cs="Arial"/>
          <w:sz w:val="20"/>
          <w:szCs w:val="20"/>
        </w:rPr>
        <w:t xml:space="preserve">Source: DHS PBS supplied </w:t>
      </w:r>
      <w:r w:rsidR="003F70D3">
        <w:rPr>
          <w:rFonts w:cs="Arial"/>
          <w:sz w:val="20"/>
          <w:szCs w:val="20"/>
        </w:rPr>
        <w:t>prescription</w:t>
      </w:r>
      <w:r w:rsidRPr="00056820">
        <w:rPr>
          <w:rFonts w:cs="Arial"/>
          <w:sz w:val="20"/>
          <w:szCs w:val="20"/>
        </w:rPr>
        <w:t xml:space="preserve"> database for </w:t>
      </w:r>
      <w:r w:rsidR="003F70D3">
        <w:rPr>
          <w:rFonts w:cs="Arial"/>
          <w:sz w:val="20"/>
          <w:szCs w:val="20"/>
        </w:rPr>
        <w:t>prescription</w:t>
      </w:r>
      <w:r w:rsidR="006A7107">
        <w:rPr>
          <w:rFonts w:cs="Arial"/>
          <w:sz w:val="20"/>
          <w:szCs w:val="20"/>
        </w:rPr>
        <w:t>s</w:t>
      </w:r>
      <w:r w:rsidRPr="00056820">
        <w:rPr>
          <w:rFonts w:cs="Arial"/>
          <w:sz w:val="20"/>
          <w:szCs w:val="20"/>
        </w:rPr>
        <w:t xml:space="preserve"> supplied from Ma</w:t>
      </w:r>
      <w:r>
        <w:rPr>
          <w:rFonts w:cs="Arial"/>
          <w:sz w:val="20"/>
          <w:szCs w:val="20"/>
        </w:rPr>
        <w:t>rch 2</w:t>
      </w:r>
      <w:r w:rsidRPr="00056820">
        <w:rPr>
          <w:rFonts w:cs="Arial"/>
          <w:sz w:val="20"/>
          <w:szCs w:val="20"/>
        </w:rPr>
        <w:t>00</w:t>
      </w:r>
      <w:r>
        <w:rPr>
          <w:rFonts w:cs="Arial"/>
          <w:sz w:val="20"/>
          <w:szCs w:val="20"/>
        </w:rPr>
        <w:t>4</w:t>
      </w:r>
      <w:r w:rsidRPr="00056820">
        <w:rPr>
          <w:rFonts w:cs="Arial"/>
          <w:sz w:val="20"/>
          <w:szCs w:val="20"/>
        </w:rPr>
        <w:t xml:space="preserve"> to </w:t>
      </w:r>
      <w:r>
        <w:rPr>
          <w:rFonts w:cs="Arial"/>
          <w:sz w:val="20"/>
          <w:szCs w:val="20"/>
        </w:rPr>
        <w:t xml:space="preserve">July </w:t>
      </w:r>
      <w:r w:rsidRPr="00056820">
        <w:rPr>
          <w:rFonts w:cs="Arial"/>
          <w:sz w:val="20"/>
          <w:szCs w:val="20"/>
        </w:rPr>
        <w:t>201</w:t>
      </w:r>
      <w:r>
        <w:rPr>
          <w:rFonts w:cs="Arial"/>
          <w:sz w:val="20"/>
          <w:szCs w:val="20"/>
        </w:rPr>
        <w:t>4</w:t>
      </w:r>
      <w:r w:rsidRPr="00056820">
        <w:rPr>
          <w:rFonts w:cs="Arial"/>
          <w:sz w:val="20"/>
          <w:szCs w:val="20"/>
        </w:rPr>
        <w:t xml:space="preserve"> inclusive</w:t>
      </w:r>
      <w:r>
        <w:rPr>
          <w:rFonts w:cs="Arial"/>
          <w:sz w:val="20"/>
          <w:szCs w:val="20"/>
        </w:rPr>
        <w:t>.</w:t>
      </w:r>
    </w:p>
    <w:p w14:paraId="6DEC2AC7" w14:textId="0069831F" w:rsidR="00EA175A" w:rsidRDefault="00EA175A" w:rsidP="00EA175A">
      <w:pPr>
        <w:rPr>
          <w:rFonts w:cs="Arial"/>
        </w:rPr>
      </w:pPr>
      <w:r>
        <w:t xml:space="preserve">Figure 12 shows that patients who initiated in 2008 had the longest median length of treatment (4.80 years). This may be due to </w:t>
      </w:r>
      <w:r>
        <w:rPr>
          <w:rFonts w:cs="Arial"/>
        </w:rPr>
        <w:t xml:space="preserve">extension of the bosentan listing on 1/8/2008 to include treatment of PAH </w:t>
      </w:r>
      <w:r w:rsidRPr="002D4B79">
        <w:rPr>
          <w:rFonts w:cs="Arial"/>
        </w:rPr>
        <w:t xml:space="preserve">associated with a congenital systemic-to-pulmonary shunt </w:t>
      </w:r>
      <w:r>
        <w:rPr>
          <w:rFonts w:cs="Arial"/>
        </w:rPr>
        <w:t>(</w:t>
      </w:r>
      <w:r w:rsidRPr="002D4B79">
        <w:rPr>
          <w:rFonts w:cs="Arial"/>
        </w:rPr>
        <w:t>including Eisenmenger's physiology)</w:t>
      </w:r>
      <w:r>
        <w:rPr>
          <w:rFonts w:cs="Arial"/>
        </w:rPr>
        <w:t xml:space="preserve">. Figure 2 shows that there was a large increase in the number of patients initiating PAH therapy in 2008. In 2008 Q3 the number of initiators to PAH therapy approximately doubled compared to previous quarters (see Figure 3). There is some evidence that patients with </w:t>
      </w:r>
      <w:r w:rsidRPr="00BA490D">
        <w:rPr>
          <w:rFonts w:cs="Arial"/>
        </w:rPr>
        <w:t>Eisenmenger</w:t>
      </w:r>
      <w:r>
        <w:rPr>
          <w:rFonts w:cs="Arial"/>
        </w:rPr>
        <w:t>’s</w:t>
      </w:r>
      <w:r w:rsidRPr="00BA490D">
        <w:rPr>
          <w:rFonts w:cs="Arial"/>
        </w:rPr>
        <w:t xml:space="preserve"> syndrome </w:t>
      </w:r>
      <w:r>
        <w:rPr>
          <w:rFonts w:cs="Arial"/>
        </w:rPr>
        <w:t>have a better prognosis</w:t>
      </w:r>
      <w:r>
        <w:rPr>
          <w:rStyle w:val="FootnoteReference"/>
          <w:rFonts w:cs="Arial"/>
        </w:rPr>
        <w:footnoteReference w:id="10"/>
      </w:r>
      <w:r w:rsidRPr="00A25B9F">
        <w:rPr>
          <w:rFonts w:cs="Arial"/>
          <w:vertAlign w:val="superscript"/>
        </w:rPr>
        <w:t>,</w:t>
      </w:r>
      <w:r>
        <w:rPr>
          <w:rStyle w:val="FootnoteReference"/>
          <w:rFonts w:cs="Arial"/>
        </w:rPr>
        <w:footnoteReference w:id="11"/>
      </w:r>
      <w:r>
        <w:rPr>
          <w:rFonts w:cs="Arial"/>
          <w:vertAlign w:val="superscript"/>
        </w:rPr>
        <w:t>,</w:t>
      </w:r>
      <w:r>
        <w:rPr>
          <w:rStyle w:val="FootnoteReference"/>
          <w:rFonts w:cs="Arial"/>
        </w:rPr>
        <w:footnoteReference w:id="12"/>
      </w:r>
      <w:r>
        <w:rPr>
          <w:rFonts w:cs="Arial"/>
        </w:rPr>
        <w:t xml:space="preserve"> </w:t>
      </w:r>
      <w:r>
        <w:rPr>
          <w:rFonts w:cs="Arial"/>
        </w:rPr>
        <w:lastRenderedPageBreak/>
        <w:t>than other PAH patient types and this may account for the increased length of treatment of the 2008 cohort. To confirm this interpretation, it was considered to use the authority approval restriction codes to discern the PAH type at initiation and then re-do the length of treatment analysis by PAH type (e</w:t>
      </w:r>
      <w:r w:rsidR="00314B5F">
        <w:rPr>
          <w:rFonts w:cs="Arial"/>
        </w:rPr>
        <w:t>.</w:t>
      </w:r>
      <w:r>
        <w:rPr>
          <w:rFonts w:cs="Arial"/>
        </w:rPr>
        <w:t xml:space="preserve">g. WHO Function Class III or IV, </w:t>
      </w:r>
      <w:r w:rsidRPr="000309FF">
        <w:rPr>
          <w:rFonts w:cs="Arial"/>
        </w:rPr>
        <w:t>iPAH</w:t>
      </w:r>
      <w:r>
        <w:rPr>
          <w:rFonts w:cs="Arial"/>
        </w:rPr>
        <w:t>, anorexigen-</w:t>
      </w:r>
      <w:r w:rsidRPr="000309FF">
        <w:rPr>
          <w:rFonts w:cs="Arial"/>
        </w:rPr>
        <w:t>induced PAH and hereditable PAH</w:t>
      </w:r>
      <w:r>
        <w:rPr>
          <w:rFonts w:cs="Arial"/>
        </w:rPr>
        <w:t xml:space="preserve">, PAH secondary to connective tissue disease or PAH associated with </w:t>
      </w:r>
      <w:r w:rsidRPr="002D4B79">
        <w:rPr>
          <w:rFonts w:cs="Arial"/>
        </w:rPr>
        <w:t xml:space="preserve">a congenital systemic-to-pulmonary shunt </w:t>
      </w:r>
      <w:r>
        <w:rPr>
          <w:rFonts w:cs="Arial"/>
        </w:rPr>
        <w:t>(</w:t>
      </w:r>
      <w:r w:rsidRPr="002D4B79">
        <w:rPr>
          <w:rFonts w:cs="Arial"/>
        </w:rPr>
        <w:t>including Eisenmenger's physiology)</w:t>
      </w:r>
      <w:r>
        <w:rPr>
          <w:rFonts w:cs="Arial"/>
        </w:rPr>
        <w:t xml:space="preserve"> instead of year of initiation. However this was not possible as the restriction codes are not specific enough to enable discrimination between these types.</w:t>
      </w:r>
    </w:p>
    <w:p w14:paraId="1832182B" w14:textId="570D9990" w:rsidR="00EA175A" w:rsidRDefault="00EA175A" w:rsidP="00EA175A">
      <w:pPr>
        <w:rPr>
          <w:rFonts w:cs="Arial"/>
        </w:rPr>
      </w:pPr>
      <w:r>
        <w:rPr>
          <w:rFonts w:cs="Arial"/>
        </w:rPr>
        <w:t>The cohort with the second longest median length of treatment (4.10 years) was the 2004 initiators. This may be due to the healthy survivor effect that would have affected the first initiators after PBS listing</w:t>
      </w:r>
      <w:r w:rsidR="003B5BFA">
        <w:rPr>
          <w:rFonts w:cs="Arial"/>
        </w:rPr>
        <w:t xml:space="preserve"> (i.e. patients who </w:t>
      </w:r>
      <w:r w:rsidR="00D50900">
        <w:rPr>
          <w:rFonts w:cs="Arial"/>
        </w:rPr>
        <w:t>initiated</w:t>
      </w:r>
      <w:r w:rsidR="003B5BFA">
        <w:rPr>
          <w:rFonts w:cs="Arial"/>
        </w:rPr>
        <w:t xml:space="preserve"> on non-PBS bosentan prior to 2004 and were grandfathered onto PBS bosentan in 2004).</w:t>
      </w:r>
    </w:p>
    <w:p w14:paraId="54D5F778" w14:textId="388D2452" w:rsidR="00EA175A" w:rsidRDefault="00EA175A" w:rsidP="00EA175A">
      <w:pPr>
        <w:rPr>
          <w:rFonts w:cs="Arial"/>
        </w:rPr>
      </w:pPr>
      <w:r>
        <w:rPr>
          <w:rFonts w:cs="Arial"/>
        </w:rPr>
        <w:t xml:space="preserve">The tails of the Survival Distribution Function (SDF) plots in Figure 12 should be interpreted with care. Where the end of the plots becomes horizontal, the SDF is a slight overestimate. This is because, by definition, all the patients with the longest possible length of treatment have their final </w:t>
      </w:r>
      <w:r w:rsidR="003F70D3">
        <w:rPr>
          <w:rFonts w:cs="Arial"/>
        </w:rPr>
        <w:t>prescription</w:t>
      </w:r>
      <w:r>
        <w:rPr>
          <w:rFonts w:cs="Arial"/>
        </w:rPr>
        <w:t xml:space="preserve"> close to the end of the data period (i</w:t>
      </w:r>
      <w:r w:rsidR="00104950">
        <w:rPr>
          <w:rFonts w:cs="Arial"/>
        </w:rPr>
        <w:t>.</w:t>
      </w:r>
      <w:r>
        <w:rPr>
          <w:rFonts w:cs="Arial"/>
        </w:rPr>
        <w:t>e. 31 July 2014) and so are deemed to be continuing treatment (i</w:t>
      </w:r>
      <w:r w:rsidR="00104950">
        <w:rPr>
          <w:rFonts w:cs="Arial"/>
        </w:rPr>
        <w:t>.</w:t>
      </w:r>
      <w:r>
        <w:rPr>
          <w:rFonts w:cs="Arial"/>
        </w:rPr>
        <w:t>e. “censored”). The Kaplan Meier SDF overestimates if a string of “censored” observations are not interrupted by a “non-censored” one (i</w:t>
      </w:r>
      <w:r w:rsidR="00104950">
        <w:rPr>
          <w:rFonts w:cs="Arial"/>
        </w:rPr>
        <w:t>.</w:t>
      </w:r>
      <w:r>
        <w:rPr>
          <w:rFonts w:cs="Arial"/>
        </w:rPr>
        <w:t>e. one where the patient is deemed to have stopped treatment). This is because the SDF only decreases (i</w:t>
      </w:r>
      <w:r w:rsidR="00104950">
        <w:rPr>
          <w:rFonts w:cs="Arial"/>
        </w:rPr>
        <w:t>.</w:t>
      </w:r>
      <w:r>
        <w:rPr>
          <w:rFonts w:cs="Arial"/>
        </w:rPr>
        <w:t>e. the plot has a step down) when a “non-censored” observation is encountered.</w:t>
      </w:r>
    </w:p>
    <w:p w14:paraId="2F83AC3C" w14:textId="0533E57E" w:rsidR="00EA175A" w:rsidRDefault="00EA175A" w:rsidP="00EA175A">
      <w:pPr>
        <w:rPr>
          <w:rFonts w:cs="Arial"/>
        </w:rPr>
      </w:pPr>
      <w:r>
        <w:rPr>
          <w:rFonts w:cs="Arial"/>
        </w:rPr>
        <w:t xml:space="preserve">One concern with the methodology of the above KM analyses was that the incomplete patient level data for HSD drugs prior to July 2013 (see </w:t>
      </w:r>
      <w:r w:rsidR="004402EE">
        <w:rPr>
          <w:rFonts w:cs="Arial"/>
        </w:rPr>
        <w:t>Appendix C</w:t>
      </w:r>
      <w:r w:rsidR="00D50900">
        <w:rPr>
          <w:rFonts w:cs="Arial"/>
        </w:rPr>
        <w:t xml:space="preserve"> </w:t>
      </w:r>
      <w:r>
        <w:rPr>
          <w:rFonts w:cs="Arial"/>
        </w:rPr>
        <w:t>for details) might lead to an under-estimate of length of treatment for patient who initiated prior to this. This possibility was tested by comparing Victorian patients with non-Victorian patients. The patient level data for Victoria is complete all the way back to the listing of bosentan in March 2004. Thus the comparison may reveal a bias in the method for the non-Victorian patients.</w:t>
      </w:r>
    </w:p>
    <w:p w14:paraId="4BC7859E" w14:textId="7D4324D3" w:rsidR="00AA1224" w:rsidRDefault="00AA1224" w:rsidP="00AA1224">
      <w:pPr>
        <w:rPr>
          <w:rFonts w:cs="Arial"/>
        </w:rPr>
      </w:pPr>
      <w:r w:rsidRPr="00AA1224">
        <w:rPr>
          <w:rFonts w:cs="Arial"/>
        </w:rPr>
        <w:t>Figure 13</w:t>
      </w:r>
      <w:r>
        <w:rPr>
          <w:rFonts w:cs="Arial"/>
        </w:rPr>
        <w:t xml:space="preserve"> shows l</w:t>
      </w:r>
      <w:r w:rsidRPr="00AA1224">
        <w:rPr>
          <w:rFonts w:cs="Arial"/>
        </w:rPr>
        <w:t xml:space="preserve">ength of all PAH treatment </w:t>
      </w:r>
      <w:r>
        <w:rPr>
          <w:rFonts w:cs="Arial"/>
        </w:rPr>
        <w:t>(</w:t>
      </w:r>
      <w:r w:rsidRPr="00AA1224">
        <w:rPr>
          <w:rFonts w:cs="Arial"/>
        </w:rPr>
        <w:t>including breaks</w:t>
      </w:r>
      <w:r>
        <w:rPr>
          <w:rFonts w:cs="Arial"/>
        </w:rPr>
        <w:t>)</w:t>
      </w:r>
      <w:r w:rsidRPr="00AA1224">
        <w:rPr>
          <w:rFonts w:cs="Arial"/>
        </w:rPr>
        <w:t xml:space="preserve"> </w:t>
      </w:r>
      <w:r>
        <w:rPr>
          <w:rFonts w:cs="Arial"/>
        </w:rPr>
        <w:t xml:space="preserve">for </w:t>
      </w:r>
      <w:r w:rsidRPr="00AA1224">
        <w:rPr>
          <w:rFonts w:cs="Arial"/>
        </w:rPr>
        <w:t>V</w:t>
      </w:r>
      <w:r>
        <w:rPr>
          <w:rFonts w:cs="Arial"/>
        </w:rPr>
        <w:t>ictoria</w:t>
      </w:r>
      <w:r w:rsidR="00D50900">
        <w:rPr>
          <w:rFonts w:cs="Arial"/>
        </w:rPr>
        <w:t>n patients</w:t>
      </w:r>
      <w:r>
        <w:rPr>
          <w:rFonts w:cs="Arial"/>
        </w:rPr>
        <w:t xml:space="preserve"> compared to </w:t>
      </w:r>
      <w:r w:rsidR="00D50900">
        <w:rPr>
          <w:rFonts w:cs="Arial"/>
        </w:rPr>
        <w:t xml:space="preserve">patients from </w:t>
      </w:r>
      <w:r>
        <w:rPr>
          <w:rFonts w:cs="Arial"/>
        </w:rPr>
        <w:t>other States.</w:t>
      </w:r>
    </w:p>
    <w:p w14:paraId="69733404" w14:textId="77777777" w:rsidR="00EA175A" w:rsidRDefault="00EA175A" w:rsidP="00EA175A">
      <w:pPr>
        <w:rPr>
          <w:rFonts w:cs="Arial"/>
          <w:b/>
          <w:szCs w:val="20"/>
        </w:rPr>
      </w:pPr>
      <w:r>
        <w:rPr>
          <w:noProof/>
        </w:rPr>
        <w:lastRenderedPageBreak/>
        <w:drawing>
          <wp:inline distT="0" distB="0" distL="0" distR="0" wp14:anchorId="11961124" wp14:editId="1D2B8687">
            <wp:extent cx="5687695" cy="4259850"/>
            <wp:effectExtent l="0" t="0" r="8255" b="7620"/>
            <wp:docPr id="295" name="Picture 295" descr="img0.gif" title="Figure 13: Length of all PAH treatment including breaks by VIC vs non-VI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g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87695" cy="4259850"/>
                    </a:xfrm>
                    <a:prstGeom prst="rect">
                      <a:avLst/>
                    </a:prstGeom>
                    <a:noFill/>
                    <a:ln>
                      <a:noFill/>
                    </a:ln>
                  </pic:spPr>
                </pic:pic>
              </a:graphicData>
            </a:graphic>
          </wp:inline>
        </w:drawing>
      </w:r>
    </w:p>
    <w:p w14:paraId="039F5C77" w14:textId="15B7C888" w:rsidR="00EA175A" w:rsidRPr="0098397F" w:rsidRDefault="00EA175A" w:rsidP="00EA175A">
      <w:pPr>
        <w:rPr>
          <w:rFonts w:cs="Arial"/>
        </w:rPr>
      </w:pPr>
      <w:r w:rsidRPr="00056820">
        <w:rPr>
          <w:rFonts w:cs="Arial"/>
          <w:b/>
          <w:szCs w:val="20"/>
        </w:rPr>
        <w:t xml:space="preserve">Figure </w:t>
      </w:r>
      <w:r>
        <w:rPr>
          <w:rFonts w:cs="Arial"/>
          <w:b/>
          <w:szCs w:val="20"/>
        </w:rPr>
        <w:t>13</w:t>
      </w:r>
      <w:r w:rsidRPr="00056820">
        <w:rPr>
          <w:rFonts w:cs="Arial"/>
          <w:b/>
          <w:szCs w:val="20"/>
        </w:rPr>
        <w:t xml:space="preserve">: Length of </w:t>
      </w:r>
      <w:r>
        <w:rPr>
          <w:rFonts w:cs="Arial"/>
          <w:b/>
          <w:szCs w:val="20"/>
        </w:rPr>
        <w:t>all PAH</w:t>
      </w:r>
      <w:r w:rsidRPr="00056820">
        <w:rPr>
          <w:rFonts w:cs="Arial"/>
          <w:b/>
          <w:szCs w:val="20"/>
        </w:rPr>
        <w:t xml:space="preserve"> treatment </w:t>
      </w:r>
      <w:r>
        <w:rPr>
          <w:rFonts w:cs="Arial"/>
          <w:b/>
          <w:szCs w:val="20"/>
        </w:rPr>
        <w:t>including breaks by VIC vs non-VIC</w:t>
      </w:r>
      <w:r w:rsidRPr="00056820">
        <w:rPr>
          <w:rFonts w:cs="Arial"/>
          <w:b/>
          <w:szCs w:val="20"/>
        </w:rPr>
        <w:t xml:space="preserve"> </w:t>
      </w:r>
      <w:r w:rsidRPr="00056820">
        <w:rPr>
          <w:rFonts w:cs="Arial"/>
          <w:b/>
          <w:szCs w:val="20"/>
        </w:rPr>
        <w:br/>
      </w:r>
      <w:r>
        <w:rPr>
          <w:rFonts w:cs="Arial"/>
          <w:sz w:val="20"/>
          <w:szCs w:val="20"/>
        </w:rPr>
        <w:t>Note: A circle symbol indicates a patient who is deemed to be continuing treatment at the end of the data period.</w:t>
      </w:r>
      <w:r w:rsidRPr="00056820">
        <w:rPr>
          <w:rFonts w:cs="Arial"/>
          <w:sz w:val="20"/>
          <w:szCs w:val="20"/>
        </w:rPr>
        <w:t xml:space="preserve"> Source: DHS PBS supplied </w:t>
      </w:r>
      <w:r w:rsidR="003F70D3">
        <w:rPr>
          <w:rFonts w:cs="Arial"/>
          <w:sz w:val="20"/>
          <w:szCs w:val="20"/>
        </w:rPr>
        <w:t>prescription</w:t>
      </w:r>
      <w:r w:rsidRPr="00056820">
        <w:rPr>
          <w:rFonts w:cs="Arial"/>
          <w:sz w:val="20"/>
          <w:szCs w:val="20"/>
        </w:rPr>
        <w:t xml:space="preserve"> database for </w:t>
      </w:r>
      <w:r w:rsidR="003F70D3">
        <w:rPr>
          <w:rFonts w:cs="Arial"/>
          <w:sz w:val="20"/>
          <w:szCs w:val="20"/>
        </w:rPr>
        <w:t>prescription</w:t>
      </w:r>
      <w:r w:rsidR="006A7107">
        <w:rPr>
          <w:rFonts w:cs="Arial"/>
          <w:sz w:val="20"/>
          <w:szCs w:val="20"/>
        </w:rPr>
        <w:t>s</w:t>
      </w:r>
      <w:r w:rsidRPr="00056820">
        <w:rPr>
          <w:rFonts w:cs="Arial"/>
          <w:sz w:val="20"/>
          <w:szCs w:val="20"/>
        </w:rPr>
        <w:t xml:space="preserve"> supplied from Ma</w:t>
      </w:r>
      <w:r>
        <w:rPr>
          <w:rFonts w:cs="Arial"/>
          <w:sz w:val="20"/>
          <w:szCs w:val="20"/>
        </w:rPr>
        <w:t>rch 2</w:t>
      </w:r>
      <w:r w:rsidRPr="00056820">
        <w:rPr>
          <w:rFonts w:cs="Arial"/>
          <w:sz w:val="20"/>
          <w:szCs w:val="20"/>
        </w:rPr>
        <w:t>00</w:t>
      </w:r>
      <w:r>
        <w:rPr>
          <w:rFonts w:cs="Arial"/>
          <w:sz w:val="20"/>
          <w:szCs w:val="20"/>
        </w:rPr>
        <w:t>4</w:t>
      </w:r>
      <w:r w:rsidRPr="00056820">
        <w:rPr>
          <w:rFonts w:cs="Arial"/>
          <w:sz w:val="20"/>
          <w:szCs w:val="20"/>
        </w:rPr>
        <w:t xml:space="preserve"> to </w:t>
      </w:r>
      <w:r>
        <w:rPr>
          <w:rFonts w:cs="Arial"/>
          <w:sz w:val="20"/>
          <w:szCs w:val="20"/>
        </w:rPr>
        <w:t xml:space="preserve">July </w:t>
      </w:r>
      <w:r w:rsidRPr="00056820">
        <w:rPr>
          <w:rFonts w:cs="Arial"/>
          <w:sz w:val="20"/>
          <w:szCs w:val="20"/>
        </w:rPr>
        <w:t>201</w:t>
      </w:r>
      <w:r>
        <w:rPr>
          <w:rFonts w:cs="Arial"/>
          <w:sz w:val="20"/>
          <w:szCs w:val="20"/>
        </w:rPr>
        <w:t>4</w:t>
      </w:r>
      <w:r w:rsidRPr="00056820">
        <w:rPr>
          <w:rFonts w:cs="Arial"/>
          <w:sz w:val="20"/>
          <w:szCs w:val="20"/>
        </w:rPr>
        <w:t xml:space="preserve"> inclusive</w:t>
      </w:r>
      <w:r>
        <w:rPr>
          <w:rFonts w:cs="Arial"/>
          <w:sz w:val="20"/>
          <w:szCs w:val="20"/>
        </w:rPr>
        <w:t>.</w:t>
      </w:r>
    </w:p>
    <w:p w14:paraId="13AB00FF" w14:textId="77777777" w:rsidR="00EA175A" w:rsidRDefault="00EA175A" w:rsidP="00EA175A">
      <w:pPr>
        <w:rPr>
          <w:rFonts w:cs="Arial"/>
        </w:rPr>
      </w:pPr>
      <w:r>
        <w:rPr>
          <w:rFonts w:cs="Arial"/>
        </w:rPr>
        <w:t>Figure 13 shows that there does not appear to be a difference between the lengths of treatment between the two groups. The Log-Rank test for equality over strata gave non-statistically significant differences between the SDFs (p=0.8084). This increases confidence in the results reported in Figures 11 &amp; 12 which includes patients from all states.</w:t>
      </w:r>
    </w:p>
    <w:p w14:paraId="22520038" w14:textId="4ED26406" w:rsidR="00EA175A" w:rsidRPr="00FB2D7B" w:rsidRDefault="00EA175A" w:rsidP="00EA175A">
      <w:pPr>
        <w:pStyle w:val="Heading3"/>
        <w:rPr>
          <w:rStyle w:val="SubtleEmphasis"/>
          <w:b w:val="0"/>
          <w:sz w:val="24"/>
          <w:u w:val="single"/>
          <w:vertAlign w:val="superscript"/>
        </w:rPr>
      </w:pPr>
      <w:r w:rsidRPr="00FB2D7B">
        <w:rPr>
          <w:rStyle w:val="Heading5Char"/>
        </w:rPr>
        <w:t>Comparison of length of treatment analysis with results from the Bosentan Patient Registry (BPR)</w:t>
      </w:r>
      <w:r w:rsidR="00FB2D7B" w:rsidRPr="00FB2D7B">
        <w:rPr>
          <w:rStyle w:val="SubtleEmphasis"/>
          <w:b w:val="0"/>
          <w:sz w:val="24"/>
          <w:vertAlign w:val="superscript"/>
        </w:rPr>
        <w:t>8</w:t>
      </w:r>
    </w:p>
    <w:p w14:paraId="3EDF260E" w14:textId="496AEED0" w:rsidR="00EA175A" w:rsidRPr="00A168E7" w:rsidRDefault="00EA175A" w:rsidP="00EA175A">
      <w:r w:rsidRPr="00A168E7">
        <w:t>The BPR analysis contains 821 patient years of follow-up on 528 patients treated with bosentan in Australia between March 2004 and September 2007 (i</w:t>
      </w:r>
      <w:r w:rsidR="001F6242">
        <w:t>.</w:t>
      </w:r>
      <w:r w:rsidRPr="00A168E7">
        <w:t>e. up to 3 years and 7 months of follow-up).</w:t>
      </w:r>
    </w:p>
    <w:p w14:paraId="11C3CC64" w14:textId="7460E9DF" w:rsidR="00EA175A" w:rsidRPr="00A168E7" w:rsidRDefault="00EA175A" w:rsidP="00EA175A">
      <w:r w:rsidRPr="00A168E7">
        <w:t>The Kaplan Meier (KM) mortality estimate at year 1 after initiating treatment was 12.6% and at year 2 was 26.0%. This compares to KM estimates from Figure 11 of stopping treatment (i</w:t>
      </w:r>
      <w:r w:rsidR="004C48FA">
        <w:t>.</w:t>
      </w:r>
      <w:r w:rsidRPr="00A168E7">
        <w:t xml:space="preserve">e. All treatment including breaks) at year 1 = 23.3% and at year 2 = 36.1%. The rate of stopping PAH drug therapy is higher than the mortality rate.  </w:t>
      </w:r>
    </w:p>
    <w:p w14:paraId="1F84E1FC" w14:textId="77777777" w:rsidR="00EA175A" w:rsidRPr="00A168E7" w:rsidRDefault="00EA175A" w:rsidP="00EA175A">
      <w:r w:rsidRPr="00A168E7">
        <w:lastRenderedPageBreak/>
        <w:t>When the length of treatment analysis is limited to those who initiated in 2004 to 2007, which corresponds to the period of the BPR operation, then the probability of stopping treatment at year 1 was 21.3% and at year 2 was 34.7%.</w:t>
      </w:r>
    </w:p>
    <w:p w14:paraId="47DE493A" w14:textId="4AAB2880" w:rsidR="00EA175A" w:rsidRPr="00A168E7" w:rsidRDefault="00EA175A" w:rsidP="00EA175A">
      <w:r w:rsidRPr="00A168E7">
        <w:t>Length of exposure was reported in the BPR analysis using a mean, but not using KM median or survival estimates. Exposure to bosentan was up to 6.6 years (for grandfathered patients) with a mean exposure of 2.1 years. This report used data from the period March 2004 to July 2014 (i</w:t>
      </w:r>
      <w:r w:rsidR="007F3CB5">
        <w:t>.</w:t>
      </w:r>
      <w:r w:rsidRPr="00A168E7">
        <w:t>e. up to 10 years and 5 months of follow-up, but no regard to length of treatment pre-PBS listing). The mean length of treatment on PAH drug therapy (i</w:t>
      </w:r>
      <w:r w:rsidR="00C27582">
        <w:t>.</w:t>
      </w:r>
      <w:r w:rsidRPr="00A168E7">
        <w:t>e. not limited to bosentan) was 4.72 years (including breaks in therapy, which matches the definition used in the BPR analysis). This difference in mean exposure may simply be due to the difference in the length of follow-up. Mean exposure is sensitive to length of follow-up whereas KM median exposure (or KM probability of stopping at 1 or 2 years) is relatively insensitive to the length of follow-up.</w:t>
      </w:r>
    </w:p>
    <w:p w14:paraId="35AC1741" w14:textId="77777777" w:rsidR="00EA175A" w:rsidRPr="00A168E7" w:rsidRDefault="00EA175A" w:rsidP="00EA175A">
      <w:r w:rsidRPr="00A168E7">
        <w:t>A potential problem with the above comparison is that iloprost, epoprostenol and sildenafil were all listed during the period of the registry operation and switching to these products may have shortened the mean exposure to bosentan reported in the Statistical Analysis Report for BPR.</w:t>
      </w:r>
    </w:p>
    <w:p w14:paraId="2604E2A5" w14:textId="77777777" w:rsidR="00EA175A" w:rsidRPr="00FB2D7B" w:rsidRDefault="00EA175A" w:rsidP="00FB2D7B">
      <w:pPr>
        <w:pStyle w:val="Heading4"/>
        <w:rPr>
          <w:rStyle w:val="SubtleEmphasis"/>
          <w:rFonts w:asciiTheme="minorHAnsi" w:hAnsiTheme="minorHAnsi"/>
          <w:iCs w:val="0"/>
          <w:sz w:val="28"/>
        </w:rPr>
      </w:pPr>
      <w:r w:rsidRPr="00FB2D7B">
        <w:rPr>
          <w:rStyle w:val="SubtleEmphasis"/>
          <w:rFonts w:asciiTheme="minorHAnsi" w:hAnsiTheme="minorHAnsi"/>
          <w:iCs w:val="0"/>
          <w:sz w:val="28"/>
        </w:rPr>
        <w:t>Estimated prescribed dose</w:t>
      </w:r>
    </w:p>
    <w:p w14:paraId="2477991A" w14:textId="3B4597EC" w:rsidR="00EA175A" w:rsidRDefault="00372328" w:rsidP="00EA175A">
      <w:r>
        <w:t xml:space="preserve">The </w:t>
      </w:r>
      <w:r w:rsidR="00EA175A">
        <w:t>DUSC has previously questioned t</w:t>
      </w:r>
      <w:r w:rsidR="00EA175A" w:rsidRPr="00FF456E">
        <w:t>he doses of epoprostenol</w:t>
      </w:r>
      <w:r w:rsidR="00EA175A">
        <w:t>, therefore the doses of epoprostenol have been investigated further in the current report.</w:t>
      </w:r>
    </w:p>
    <w:p w14:paraId="1B394706" w14:textId="77777777" w:rsidR="00EA175A" w:rsidRDefault="00EA175A" w:rsidP="00EA175A">
      <w:r>
        <w:t xml:space="preserve">Epoprostenol was recommended for listing on a cost-minimisation basis to bosentan for </w:t>
      </w:r>
      <w:r w:rsidRPr="001B265C">
        <w:t>WHO Class III or IV patients with primary PH</w:t>
      </w:r>
      <w:r>
        <w:t>.</w:t>
      </w:r>
      <w:r w:rsidRPr="001B265C">
        <w:t xml:space="preserve"> The equi-effective doses</w:t>
      </w:r>
      <w:r>
        <w:t xml:space="preserve"> defined by the PBAC we</w:t>
      </w:r>
      <w:r w:rsidRPr="001B265C">
        <w:t xml:space="preserve">re </w:t>
      </w:r>
      <w:r w:rsidRPr="0037641B">
        <w:t>epoprostenol, commencing at an average dose of 11.9 ng/kg per minute (continuous infusion) over the first three months of treatment and escalating linearly in steps to an average dose of 27.2 ng/kg per minute at 3 years, and bosentan 125 mg twice a day.</w:t>
      </w:r>
    </w:p>
    <w:p w14:paraId="7F667D14" w14:textId="77777777" w:rsidR="00EA175A" w:rsidRDefault="00EA175A" w:rsidP="00EA175A">
      <w:r>
        <w:t xml:space="preserve">To assess whether the equi-effective doses have been maintained in practice it is necessary to translate the </w:t>
      </w:r>
      <w:r w:rsidRPr="0037641B">
        <w:t>dose</w:t>
      </w:r>
      <w:r>
        <w:t xml:space="preserve"> for </w:t>
      </w:r>
      <w:r w:rsidRPr="003F630C">
        <w:t>epoprostenol</w:t>
      </w:r>
      <w:r>
        <w:t xml:space="preserve"> from ng/kg/minute into mg/day. To do this an average body weight needs to be assumed. In 2011-12 the average weights of Australian men and woman were 85.9kg and 71.1kg respectively</w:t>
      </w:r>
      <w:r>
        <w:rPr>
          <w:rStyle w:val="FootnoteReference"/>
        </w:rPr>
        <w:footnoteReference w:id="13"/>
      </w:r>
      <w:r>
        <w:t>. The proportion of men and women treated with PAH drugs in 2013/14 was 26% and 74% respectively. Assuming these patients are of average weight the weighted average patient weight was 74.9kg.</w:t>
      </w:r>
    </w:p>
    <w:p w14:paraId="19D9688C" w14:textId="77777777" w:rsidR="00EA175A" w:rsidRDefault="00EA175A" w:rsidP="00EA175A">
      <w:r>
        <w:t xml:space="preserve">The dose escalation of </w:t>
      </w:r>
      <w:r w:rsidRPr="00C94702">
        <w:t xml:space="preserve">11.9 ng/kg per minute (continuous infusion) over the first three months </w:t>
      </w:r>
      <w:r>
        <w:t xml:space="preserve">increasing </w:t>
      </w:r>
      <w:r w:rsidRPr="00C94702">
        <w:t>linearly in steps to an average dose of 27.2 ng/kg per minute at 3 years,</w:t>
      </w:r>
      <w:r>
        <w:t xml:space="preserve"> results in a weighted average dose over 3 years of 18.9 ng/kg per minute. This translates to a dose of;</w:t>
      </w:r>
    </w:p>
    <w:p w14:paraId="448C7523" w14:textId="77777777" w:rsidR="00EA175A" w:rsidRDefault="00EA175A" w:rsidP="00EA175A">
      <w:r>
        <w:t>18.9 ng/kg per minute x 74.9kg x 60 minutes/hour x 24 hours = 2.04 mg/day.</w:t>
      </w:r>
    </w:p>
    <w:p w14:paraId="5B7694FB" w14:textId="77777777" w:rsidR="00EA175A" w:rsidRDefault="00EA175A" w:rsidP="00EA175A">
      <w:r>
        <w:lastRenderedPageBreak/>
        <w:t xml:space="preserve">Figure 14 shows the estimated daily dose of epoprostenol derived from the Authority Approvals data for the 13/14 financial year. See Methodology section for further details.  </w:t>
      </w:r>
    </w:p>
    <w:p w14:paraId="6F3E5625" w14:textId="77777777" w:rsidR="00EA175A" w:rsidRDefault="00EA175A" w:rsidP="00EA175A">
      <w:r>
        <w:rPr>
          <w:noProof/>
        </w:rPr>
        <w:drawing>
          <wp:inline distT="0" distB="0" distL="0" distR="0" wp14:anchorId="68E74748" wp14:editId="4DFC877B">
            <wp:extent cx="5943600" cy="3877945"/>
            <wp:effectExtent l="0" t="0" r="0" b="8255"/>
            <wp:docPr id="12" name="Chart 12" title="Figure 14: Distribution of epoprostenol estimated daily dose (mg/day) "/>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57BB809" w14:textId="77777777" w:rsidR="00EA175A" w:rsidRPr="00CF5F0F" w:rsidRDefault="00EA175A" w:rsidP="00EA175A">
      <w:pPr>
        <w:rPr>
          <w:rFonts w:cs="Arial"/>
          <w:sz w:val="20"/>
          <w:szCs w:val="20"/>
        </w:rPr>
      </w:pPr>
      <w:r w:rsidRPr="00056820">
        <w:rPr>
          <w:rFonts w:cs="Arial"/>
          <w:b/>
          <w:szCs w:val="20"/>
        </w:rPr>
        <w:t xml:space="preserve">Figure </w:t>
      </w:r>
      <w:r>
        <w:rPr>
          <w:rFonts w:cs="Arial"/>
          <w:b/>
          <w:szCs w:val="20"/>
        </w:rPr>
        <w:t>14</w:t>
      </w:r>
      <w:r w:rsidRPr="00056820">
        <w:rPr>
          <w:rFonts w:cs="Arial"/>
          <w:b/>
          <w:szCs w:val="20"/>
        </w:rPr>
        <w:t xml:space="preserve">: </w:t>
      </w:r>
      <w:r>
        <w:rPr>
          <w:rFonts w:cs="Arial"/>
          <w:b/>
          <w:szCs w:val="20"/>
        </w:rPr>
        <w:t xml:space="preserve">Distribution of epoprostenol estimated daily dose (mg/day) </w:t>
      </w:r>
      <w:r>
        <w:rPr>
          <w:rFonts w:cs="Arial"/>
          <w:b/>
          <w:szCs w:val="20"/>
        </w:rPr>
        <w:br/>
      </w:r>
      <w:r w:rsidRPr="00CF5F0F">
        <w:rPr>
          <w:rFonts w:cs="Arial"/>
          <w:sz w:val="20"/>
          <w:szCs w:val="20"/>
        </w:rPr>
        <w:t>Source:</w:t>
      </w:r>
      <w:r>
        <w:rPr>
          <w:rFonts w:cs="Arial"/>
          <w:sz w:val="20"/>
          <w:szCs w:val="20"/>
        </w:rPr>
        <w:t xml:space="preserve"> DHS Authority Approvals database, approvals in the 2013/14 financial year</w:t>
      </w:r>
    </w:p>
    <w:p w14:paraId="36500F01" w14:textId="630D43C8" w:rsidR="00EA175A" w:rsidRDefault="00EA175A" w:rsidP="00EA175A">
      <w:r>
        <w:t xml:space="preserve">The weighted average dose of all doses in Figure 14 is 2.90 mg/day, which is 42% more than the PBAC </w:t>
      </w:r>
      <w:r w:rsidRPr="0037641B">
        <w:t>equi-effective dose</w:t>
      </w:r>
      <w:r w:rsidR="00D50900">
        <w:t>.</w:t>
      </w:r>
    </w:p>
    <w:p w14:paraId="385C7C1F" w14:textId="77777777" w:rsidR="00EA175A" w:rsidRDefault="00EA175A" w:rsidP="00EA175A">
      <w:pPr>
        <w:spacing w:line="276" w:lineRule="auto"/>
        <w:rPr>
          <w:b/>
          <w:sz w:val="28"/>
          <w:szCs w:val="28"/>
        </w:rPr>
      </w:pPr>
      <w:r>
        <w:t>For completeness, the distribution of bosentan doses is provided in Figure 16.</w:t>
      </w:r>
      <w:r w:rsidRPr="00AE19EB">
        <w:t xml:space="preserve"> </w:t>
      </w:r>
      <w:r>
        <w:t xml:space="preserve">The recommended dosage in the bosentan product information is “initially 62.5 mg twice daily for 4 weeks. Increase to a maintenance dose of 125 mg twice daily. Doses above 125 mg twice daily did not appear to confer additional benefit sufficient to offset the increased risk of liver injury.” </w:t>
      </w:r>
      <w:r>
        <w:br w:type="page"/>
      </w:r>
    </w:p>
    <w:p w14:paraId="4F12742C" w14:textId="77777777" w:rsidR="00EA175A" w:rsidRDefault="00EA175A" w:rsidP="00EA175A"/>
    <w:p w14:paraId="11FF9DB2" w14:textId="77777777" w:rsidR="00EA175A" w:rsidRDefault="00EA175A" w:rsidP="00EA175A">
      <w:r>
        <w:rPr>
          <w:noProof/>
        </w:rPr>
        <w:drawing>
          <wp:inline distT="0" distB="0" distL="0" distR="0" wp14:anchorId="0DF6BC0A" wp14:editId="23B44DB4">
            <wp:extent cx="5943600" cy="3877945"/>
            <wp:effectExtent l="0" t="0" r="0" b="8255"/>
            <wp:docPr id="14" name="Chart 14" title="Figure 15: Distribution of bosentan estimated daily dose (mg/day) "/>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65163BF" w14:textId="77777777" w:rsidR="00EA175A" w:rsidRPr="00CF5F0F" w:rsidRDefault="00EA175A" w:rsidP="00EA175A">
      <w:pPr>
        <w:rPr>
          <w:rFonts w:cs="Arial"/>
          <w:sz w:val="20"/>
          <w:szCs w:val="20"/>
        </w:rPr>
      </w:pPr>
      <w:r w:rsidRPr="00056820">
        <w:rPr>
          <w:rFonts w:cs="Arial"/>
          <w:b/>
          <w:szCs w:val="20"/>
        </w:rPr>
        <w:t xml:space="preserve">Figure </w:t>
      </w:r>
      <w:r>
        <w:rPr>
          <w:rFonts w:cs="Arial"/>
          <w:b/>
          <w:szCs w:val="20"/>
        </w:rPr>
        <w:t>15</w:t>
      </w:r>
      <w:r w:rsidRPr="00056820">
        <w:rPr>
          <w:rFonts w:cs="Arial"/>
          <w:b/>
          <w:szCs w:val="20"/>
        </w:rPr>
        <w:t xml:space="preserve">: </w:t>
      </w:r>
      <w:r>
        <w:rPr>
          <w:rFonts w:cs="Arial"/>
          <w:b/>
          <w:szCs w:val="20"/>
        </w:rPr>
        <w:t xml:space="preserve">Distribution of bosentan estimated daily dose (mg/day) </w:t>
      </w:r>
      <w:r>
        <w:rPr>
          <w:rFonts w:cs="Arial"/>
          <w:b/>
          <w:szCs w:val="20"/>
        </w:rPr>
        <w:br/>
      </w:r>
      <w:r w:rsidRPr="00CF5F0F">
        <w:rPr>
          <w:rFonts w:cs="Arial"/>
          <w:sz w:val="20"/>
          <w:szCs w:val="20"/>
        </w:rPr>
        <w:t>Source:</w:t>
      </w:r>
      <w:r>
        <w:rPr>
          <w:rFonts w:cs="Arial"/>
          <w:sz w:val="20"/>
          <w:szCs w:val="20"/>
        </w:rPr>
        <w:t xml:space="preserve"> DHS Authority Approvals database, approvals in the 2013/14 financial year</w:t>
      </w:r>
    </w:p>
    <w:p w14:paraId="4B6C6510" w14:textId="77777777" w:rsidR="00EA175A" w:rsidRDefault="00EA175A" w:rsidP="00EA175A">
      <w:r>
        <w:t xml:space="preserve">The most common dose of bosentan is 250 mg per day, which is consistent with the dose of bosentan used to establish equi-effective doses with epoprostenol. </w:t>
      </w:r>
    </w:p>
    <w:p w14:paraId="186DE604" w14:textId="77777777" w:rsidR="00EA175A" w:rsidRDefault="00EA175A" w:rsidP="00EA175A">
      <w:pPr>
        <w:spacing w:line="276" w:lineRule="auto"/>
        <w:rPr>
          <w:b/>
          <w:sz w:val="28"/>
          <w:szCs w:val="28"/>
        </w:rPr>
      </w:pPr>
      <w:r>
        <w:rPr>
          <w:b/>
          <w:sz w:val="28"/>
          <w:szCs w:val="28"/>
        </w:rPr>
        <w:br w:type="page"/>
      </w:r>
    </w:p>
    <w:p w14:paraId="4F8723A6" w14:textId="3B792516" w:rsidR="00736041" w:rsidRPr="005E22C2" w:rsidRDefault="001B5D37" w:rsidP="0085256D">
      <w:pPr>
        <w:pStyle w:val="Heading4"/>
      </w:pPr>
      <w:r w:rsidRPr="005E22C2">
        <w:lastRenderedPageBreak/>
        <w:t xml:space="preserve">Analysis </w:t>
      </w:r>
      <w:r w:rsidR="00481108" w:rsidRPr="005E22C2">
        <w:t xml:space="preserve">of </w:t>
      </w:r>
      <w:r w:rsidR="0063631C">
        <w:t>e</w:t>
      </w:r>
      <w:r w:rsidR="00736041" w:rsidRPr="005E22C2">
        <w:t>xpenditure</w:t>
      </w:r>
    </w:p>
    <w:p w14:paraId="7CC4633A" w14:textId="092CAA2E" w:rsidR="00322CBF" w:rsidRDefault="00322CBF" w:rsidP="00322CBF">
      <w:pPr>
        <w:spacing w:after="0"/>
        <w:rPr>
          <w:rFonts w:eastAsia="Calibri" w:cs="Arial"/>
          <w:szCs w:val="20"/>
        </w:rPr>
      </w:pPr>
      <w:r w:rsidRPr="00322CBF">
        <w:rPr>
          <w:rFonts w:eastAsia="Calibri" w:cs="Arial"/>
          <w:szCs w:val="20"/>
        </w:rPr>
        <w:t xml:space="preserve">Table </w:t>
      </w:r>
      <w:r>
        <w:rPr>
          <w:rFonts w:eastAsia="Calibri" w:cs="Arial"/>
          <w:szCs w:val="20"/>
        </w:rPr>
        <w:t xml:space="preserve">6 shows combined Repatriation PBS (ie. Department of Veterans Affairs) and </w:t>
      </w:r>
      <w:r w:rsidRPr="00322CBF">
        <w:rPr>
          <w:rFonts w:eastAsia="Calibri" w:cs="Arial"/>
          <w:szCs w:val="20"/>
        </w:rPr>
        <w:t xml:space="preserve">PBS </w:t>
      </w:r>
      <w:r>
        <w:rPr>
          <w:rFonts w:eastAsia="Calibri" w:cs="Arial"/>
          <w:szCs w:val="20"/>
        </w:rPr>
        <w:t xml:space="preserve">(R/PBS) </w:t>
      </w:r>
      <w:r w:rsidRPr="00322CBF">
        <w:rPr>
          <w:rFonts w:eastAsia="Calibri" w:cs="Arial"/>
          <w:szCs w:val="20"/>
        </w:rPr>
        <w:t>expenditure by financial year</w:t>
      </w:r>
    </w:p>
    <w:p w14:paraId="1394A89C" w14:textId="77777777" w:rsidR="00322CBF" w:rsidRPr="00322CBF" w:rsidRDefault="00322CBF" w:rsidP="00322CBF">
      <w:pPr>
        <w:spacing w:after="0"/>
        <w:rPr>
          <w:rFonts w:eastAsia="Calibri" w:cs="Arial"/>
          <w:szCs w:val="20"/>
        </w:rPr>
      </w:pPr>
    </w:p>
    <w:p w14:paraId="22232353" w14:textId="77777777" w:rsidR="00EA175A" w:rsidRPr="00FF456E" w:rsidRDefault="00EA175A" w:rsidP="00EA175A">
      <w:pPr>
        <w:rPr>
          <w:rFonts w:cs="Arial"/>
          <w:b/>
        </w:rPr>
      </w:pPr>
      <w:r w:rsidRPr="00FF456E">
        <w:rPr>
          <w:rFonts w:cs="Arial"/>
          <w:b/>
        </w:rPr>
        <w:t>Table 6: R/PBS expenditure by financial year (date of supply, published prices)</w:t>
      </w:r>
    </w:p>
    <w:tbl>
      <w:tblPr>
        <w:tblW w:w="3417" w:type="dxa"/>
        <w:tblInd w:w="93" w:type="dxa"/>
        <w:tblLook w:val="04A0" w:firstRow="1" w:lastRow="0" w:firstColumn="1" w:lastColumn="0" w:noHBand="0" w:noVBand="1"/>
      </w:tblPr>
      <w:tblGrid>
        <w:gridCol w:w="1480"/>
        <w:gridCol w:w="1937"/>
      </w:tblGrid>
      <w:tr w:rsidR="00EA175A" w:rsidRPr="00A168E7" w14:paraId="52E80C6E" w14:textId="77777777" w:rsidTr="0099524E">
        <w:trPr>
          <w:trHeight w:val="315"/>
        </w:trPr>
        <w:tc>
          <w:tcPr>
            <w:tcW w:w="1480" w:type="dxa"/>
            <w:tcBorders>
              <w:top w:val="nil"/>
              <w:left w:val="nil"/>
              <w:bottom w:val="single" w:sz="4" w:space="0" w:color="95B3D7"/>
              <w:right w:val="nil"/>
            </w:tcBorders>
            <w:shd w:val="clear" w:color="auto" w:fill="BFBFBF" w:themeFill="background1" w:themeFillShade="BF"/>
            <w:noWrap/>
            <w:hideMark/>
          </w:tcPr>
          <w:p w14:paraId="390EE57E" w14:textId="77777777" w:rsidR="00EA175A" w:rsidRPr="00A168E7" w:rsidRDefault="00EA175A" w:rsidP="0099524E">
            <w:pPr>
              <w:spacing w:after="0"/>
              <w:jc w:val="center"/>
              <w:rPr>
                <w:rFonts w:ascii="Calibri" w:eastAsia="Times New Roman" w:hAnsi="Calibri" w:cs="Times New Roman"/>
                <w:b/>
                <w:bCs/>
                <w:color w:val="000000"/>
                <w:sz w:val="20"/>
                <w:szCs w:val="22"/>
              </w:rPr>
            </w:pPr>
            <w:r w:rsidRPr="00A168E7">
              <w:rPr>
                <w:rFonts w:ascii="Calibri" w:eastAsia="Times New Roman" w:hAnsi="Calibri" w:cs="Times New Roman"/>
                <w:b/>
                <w:bCs/>
                <w:color w:val="000000"/>
                <w:sz w:val="20"/>
                <w:szCs w:val="22"/>
              </w:rPr>
              <w:t>Financial Year</w:t>
            </w:r>
          </w:p>
        </w:tc>
        <w:tc>
          <w:tcPr>
            <w:tcW w:w="1937" w:type="dxa"/>
            <w:tcBorders>
              <w:top w:val="nil"/>
              <w:left w:val="nil"/>
              <w:bottom w:val="single" w:sz="4" w:space="0" w:color="95B3D7"/>
              <w:right w:val="nil"/>
            </w:tcBorders>
            <w:shd w:val="clear" w:color="auto" w:fill="BFBFBF" w:themeFill="background1" w:themeFillShade="BF"/>
            <w:noWrap/>
            <w:hideMark/>
          </w:tcPr>
          <w:p w14:paraId="0B86F169" w14:textId="77777777" w:rsidR="00EA175A" w:rsidRPr="00A168E7" w:rsidRDefault="00EA175A" w:rsidP="0099524E">
            <w:pPr>
              <w:spacing w:after="0"/>
              <w:jc w:val="center"/>
              <w:rPr>
                <w:rFonts w:ascii="Calibri" w:eastAsia="Times New Roman" w:hAnsi="Calibri" w:cs="Times New Roman"/>
                <w:b/>
                <w:bCs/>
                <w:color w:val="000000"/>
                <w:sz w:val="20"/>
                <w:szCs w:val="22"/>
              </w:rPr>
            </w:pPr>
            <w:r w:rsidRPr="00A168E7">
              <w:rPr>
                <w:rFonts w:ascii="Calibri" w:eastAsia="Times New Roman" w:hAnsi="Calibri" w:cs="Times New Roman"/>
                <w:b/>
                <w:bCs/>
                <w:color w:val="000000"/>
                <w:sz w:val="20"/>
                <w:szCs w:val="22"/>
              </w:rPr>
              <w:t xml:space="preserve">R/PBS Published Expenditure </w:t>
            </w:r>
            <w:r w:rsidRPr="00A168E7">
              <w:rPr>
                <w:rFonts w:ascii="Calibri" w:eastAsia="Times New Roman" w:hAnsi="Calibri" w:cs="Times New Roman"/>
                <w:b/>
                <w:bCs/>
                <w:color w:val="000000"/>
                <w:sz w:val="20"/>
                <w:szCs w:val="22"/>
              </w:rPr>
              <w:br/>
              <w:t>($ Million)</w:t>
            </w:r>
          </w:p>
        </w:tc>
      </w:tr>
      <w:tr w:rsidR="00EA175A" w:rsidRPr="00A168E7" w14:paraId="15047D7E" w14:textId="77777777" w:rsidTr="0099524E">
        <w:trPr>
          <w:trHeight w:val="315"/>
        </w:trPr>
        <w:tc>
          <w:tcPr>
            <w:tcW w:w="1480" w:type="dxa"/>
            <w:tcBorders>
              <w:top w:val="nil"/>
              <w:left w:val="nil"/>
              <w:bottom w:val="nil"/>
              <w:right w:val="nil"/>
            </w:tcBorders>
            <w:shd w:val="clear" w:color="auto" w:fill="auto"/>
            <w:noWrap/>
            <w:vAlign w:val="center"/>
            <w:hideMark/>
          </w:tcPr>
          <w:p w14:paraId="2B31B626"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2004/05</w:t>
            </w:r>
          </w:p>
        </w:tc>
        <w:tc>
          <w:tcPr>
            <w:tcW w:w="1937" w:type="dxa"/>
            <w:tcBorders>
              <w:top w:val="nil"/>
              <w:left w:val="nil"/>
              <w:bottom w:val="nil"/>
              <w:right w:val="nil"/>
            </w:tcBorders>
            <w:shd w:val="clear" w:color="auto" w:fill="auto"/>
            <w:noWrap/>
            <w:vAlign w:val="center"/>
            <w:hideMark/>
          </w:tcPr>
          <w:p w14:paraId="2D258FA5"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$8.4M</w:t>
            </w:r>
          </w:p>
        </w:tc>
      </w:tr>
      <w:tr w:rsidR="00EA175A" w:rsidRPr="00A168E7" w14:paraId="2671445E" w14:textId="77777777" w:rsidTr="0099524E">
        <w:trPr>
          <w:trHeight w:val="315"/>
        </w:trPr>
        <w:tc>
          <w:tcPr>
            <w:tcW w:w="1480" w:type="dxa"/>
            <w:tcBorders>
              <w:top w:val="nil"/>
              <w:left w:val="nil"/>
              <w:bottom w:val="nil"/>
              <w:right w:val="nil"/>
            </w:tcBorders>
            <w:shd w:val="clear" w:color="auto" w:fill="auto"/>
            <w:noWrap/>
            <w:vAlign w:val="center"/>
            <w:hideMark/>
          </w:tcPr>
          <w:p w14:paraId="684F085D"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2005/06</w:t>
            </w:r>
          </w:p>
        </w:tc>
        <w:tc>
          <w:tcPr>
            <w:tcW w:w="1937" w:type="dxa"/>
            <w:tcBorders>
              <w:top w:val="nil"/>
              <w:left w:val="nil"/>
              <w:bottom w:val="nil"/>
              <w:right w:val="nil"/>
            </w:tcBorders>
            <w:shd w:val="clear" w:color="auto" w:fill="auto"/>
            <w:noWrap/>
            <w:vAlign w:val="center"/>
            <w:hideMark/>
          </w:tcPr>
          <w:p w14:paraId="3B00BD77"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$14.4M</w:t>
            </w:r>
          </w:p>
        </w:tc>
      </w:tr>
      <w:tr w:rsidR="00EA175A" w:rsidRPr="00A168E7" w14:paraId="2EA19EA0" w14:textId="77777777" w:rsidTr="0099524E">
        <w:trPr>
          <w:trHeight w:val="315"/>
        </w:trPr>
        <w:tc>
          <w:tcPr>
            <w:tcW w:w="1480" w:type="dxa"/>
            <w:tcBorders>
              <w:top w:val="nil"/>
              <w:left w:val="nil"/>
              <w:bottom w:val="nil"/>
              <w:right w:val="nil"/>
            </w:tcBorders>
            <w:shd w:val="clear" w:color="auto" w:fill="auto"/>
            <w:noWrap/>
            <w:vAlign w:val="center"/>
            <w:hideMark/>
          </w:tcPr>
          <w:p w14:paraId="62587E39"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2006/07</w:t>
            </w:r>
          </w:p>
        </w:tc>
        <w:tc>
          <w:tcPr>
            <w:tcW w:w="1937" w:type="dxa"/>
            <w:tcBorders>
              <w:top w:val="nil"/>
              <w:left w:val="nil"/>
              <w:bottom w:val="nil"/>
              <w:right w:val="nil"/>
            </w:tcBorders>
            <w:shd w:val="clear" w:color="auto" w:fill="auto"/>
            <w:noWrap/>
            <w:vAlign w:val="center"/>
            <w:hideMark/>
          </w:tcPr>
          <w:p w14:paraId="77EF33C2"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$19.8M</w:t>
            </w:r>
          </w:p>
        </w:tc>
      </w:tr>
      <w:tr w:rsidR="00EA175A" w:rsidRPr="00A168E7" w14:paraId="19C24346" w14:textId="77777777" w:rsidTr="0099524E">
        <w:trPr>
          <w:trHeight w:val="315"/>
        </w:trPr>
        <w:tc>
          <w:tcPr>
            <w:tcW w:w="1480" w:type="dxa"/>
            <w:tcBorders>
              <w:top w:val="nil"/>
              <w:left w:val="nil"/>
              <w:bottom w:val="nil"/>
              <w:right w:val="nil"/>
            </w:tcBorders>
            <w:shd w:val="clear" w:color="auto" w:fill="auto"/>
            <w:noWrap/>
            <w:vAlign w:val="center"/>
            <w:hideMark/>
          </w:tcPr>
          <w:p w14:paraId="094F316D"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2007/08</w:t>
            </w:r>
          </w:p>
        </w:tc>
        <w:tc>
          <w:tcPr>
            <w:tcW w:w="1937" w:type="dxa"/>
            <w:tcBorders>
              <w:top w:val="nil"/>
              <w:left w:val="nil"/>
              <w:bottom w:val="nil"/>
              <w:right w:val="nil"/>
            </w:tcBorders>
            <w:shd w:val="clear" w:color="auto" w:fill="auto"/>
            <w:noWrap/>
            <w:vAlign w:val="center"/>
            <w:hideMark/>
          </w:tcPr>
          <w:p w14:paraId="3E27D925"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$24.9M</w:t>
            </w:r>
          </w:p>
        </w:tc>
      </w:tr>
      <w:tr w:rsidR="00EA175A" w:rsidRPr="00A168E7" w14:paraId="099E3758" w14:textId="77777777" w:rsidTr="0099524E">
        <w:trPr>
          <w:trHeight w:val="315"/>
        </w:trPr>
        <w:tc>
          <w:tcPr>
            <w:tcW w:w="1480" w:type="dxa"/>
            <w:tcBorders>
              <w:top w:val="nil"/>
              <w:left w:val="nil"/>
              <w:bottom w:val="nil"/>
              <w:right w:val="nil"/>
            </w:tcBorders>
            <w:shd w:val="clear" w:color="auto" w:fill="auto"/>
            <w:noWrap/>
            <w:vAlign w:val="center"/>
            <w:hideMark/>
          </w:tcPr>
          <w:p w14:paraId="4C9B9E4F"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2008/09</w:t>
            </w:r>
          </w:p>
        </w:tc>
        <w:tc>
          <w:tcPr>
            <w:tcW w:w="1937" w:type="dxa"/>
            <w:tcBorders>
              <w:top w:val="nil"/>
              <w:left w:val="nil"/>
              <w:bottom w:val="nil"/>
              <w:right w:val="nil"/>
            </w:tcBorders>
            <w:shd w:val="clear" w:color="auto" w:fill="auto"/>
            <w:noWrap/>
            <w:vAlign w:val="center"/>
            <w:hideMark/>
          </w:tcPr>
          <w:p w14:paraId="09151A4A"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$34.5M</w:t>
            </w:r>
          </w:p>
        </w:tc>
      </w:tr>
      <w:tr w:rsidR="00EA175A" w:rsidRPr="00A168E7" w14:paraId="58474BCF" w14:textId="77777777" w:rsidTr="0099524E">
        <w:trPr>
          <w:trHeight w:val="315"/>
        </w:trPr>
        <w:tc>
          <w:tcPr>
            <w:tcW w:w="1480" w:type="dxa"/>
            <w:tcBorders>
              <w:top w:val="nil"/>
              <w:left w:val="nil"/>
              <w:bottom w:val="nil"/>
              <w:right w:val="nil"/>
            </w:tcBorders>
            <w:shd w:val="clear" w:color="auto" w:fill="auto"/>
            <w:noWrap/>
            <w:vAlign w:val="center"/>
            <w:hideMark/>
          </w:tcPr>
          <w:p w14:paraId="15BDCFC3"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2009/10</w:t>
            </w:r>
          </w:p>
        </w:tc>
        <w:tc>
          <w:tcPr>
            <w:tcW w:w="1937" w:type="dxa"/>
            <w:tcBorders>
              <w:top w:val="nil"/>
              <w:left w:val="nil"/>
              <w:bottom w:val="nil"/>
              <w:right w:val="nil"/>
            </w:tcBorders>
            <w:shd w:val="clear" w:color="auto" w:fill="auto"/>
            <w:noWrap/>
            <w:vAlign w:val="center"/>
            <w:hideMark/>
          </w:tcPr>
          <w:p w14:paraId="2DD8266F"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$48.4M</w:t>
            </w:r>
          </w:p>
        </w:tc>
      </w:tr>
      <w:tr w:rsidR="00EA175A" w:rsidRPr="00A168E7" w14:paraId="22AF62E2" w14:textId="77777777" w:rsidTr="0099524E">
        <w:trPr>
          <w:trHeight w:val="315"/>
        </w:trPr>
        <w:tc>
          <w:tcPr>
            <w:tcW w:w="1480" w:type="dxa"/>
            <w:tcBorders>
              <w:top w:val="nil"/>
              <w:left w:val="nil"/>
              <w:bottom w:val="nil"/>
              <w:right w:val="nil"/>
            </w:tcBorders>
            <w:shd w:val="clear" w:color="auto" w:fill="auto"/>
            <w:noWrap/>
            <w:vAlign w:val="center"/>
            <w:hideMark/>
          </w:tcPr>
          <w:p w14:paraId="42343C16"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2010/11</w:t>
            </w:r>
          </w:p>
        </w:tc>
        <w:tc>
          <w:tcPr>
            <w:tcW w:w="1937" w:type="dxa"/>
            <w:tcBorders>
              <w:top w:val="nil"/>
              <w:left w:val="nil"/>
              <w:bottom w:val="nil"/>
              <w:right w:val="nil"/>
            </w:tcBorders>
            <w:shd w:val="clear" w:color="auto" w:fill="auto"/>
            <w:noWrap/>
            <w:vAlign w:val="center"/>
            <w:hideMark/>
          </w:tcPr>
          <w:p w14:paraId="68F1E371"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$56.3M</w:t>
            </w:r>
          </w:p>
        </w:tc>
      </w:tr>
      <w:tr w:rsidR="00EA175A" w:rsidRPr="00A168E7" w14:paraId="4AA5E9BF" w14:textId="77777777" w:rsidTr="0099524E">
        <w:trPr>
          <w:trHeight w:val="315"/>
        </w:trPr>
        <w:tc>
          <w:tcPr>
            <w:tcW w:w="1480" w:type="dxa"/>
            <w:tcBorders>
              <w:top w:val="nil"/>
              <w:left w:val="nil"/>
              <w:bottom w:val="nil"/>
              <w:right w:val="nil"/>
            </w:tcBorders>
            <w:shd w:val="clear" w:color="auto" w:fill="auto"/>
            <w:noWrap/>
            <w:vAlign w:val="center"/>
            <w:hideMark/>
          </w:tcPr>
          <w:p w14:paraId="3D71431B"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2011/12</w:t>
            </w:r>
          </w:p>
        </w:tc>
        <w:tc>
          <w:tcPr>
            <w:tcW w:w="1937" w:type="dxa"/>
            <w:tcBorders>
              <w:top w:val="nil"/>
              <w:left w:val="nil"/>
              <w:bottom w:val="nil"/>
              <w:right w:val="nil"/>
            </w:tcBorders>
            <w:shd w:val="clear" w:color="auto" w:fill="auto"/>
            <w:noWrap/>
            <w:vAlign w:val="center"/>
            <w:hideMark/>
          </w:tcPr>
          <w:p w14:paraId="3D2835D4"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$62.2M</w:t>
            </w:r>
          </w:p>
        </w:tc>
      </w:tr>
      <w:tr w:rsidR="00EA175A" w:rsidRPr="00A168E7" w14:paraId="5B280DA4" w14:textId="77777777" w:rsidTr="0099524E">
        <w:trPr>
          <w:trHeight w:val="315"/>
        </w:trPr>
        <w:tc>
          <w:tcPr>
            <w:tcW w:w="1480" w:type="dxa"/>
            <w:tcBorders>
              <w:top w:val="nil"/>
              <w:left w:val="nil"/>
              <w:bottom w:val="nil"/>
              <w:right w:val="nil"/>
            </w:tcBorders>
            <w:shd w:val="clear" w:color="auto" w:fill="auto"/>
            <w:noWrap/>
            <w:vAlign w:val="center"/>
            <w:hideMark/>
          </w:tcPr>
          <w:p w14:paraId="5A051528"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2012/13</w:t>
            </w:r>
          </w:p>
        </w:tc>
        <w:tc>
          <w:tcPr>
            <w:tcW w:w="1937" w:type="dxa"/>
            <w:tcBorders>
              <w:top w:val="nil"/>
              <w:left w:val="nil"/>
              <w:bottom w:val="nil"/>
              <w:right w:val="nil"/>
            </w:tcBorders>
            <w:shd w:val="clear" w:color="auto" w:fill="auto"/>
            <w:noWrap/>
            <w:vAlign w:val="center"/>
            <w:hideMark/>
          </w:tcPr>
          <w:p w14:paraId="10099865"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$65.8M</w:t>
            </w:r>
          </w:p>
        </w:tc>
      </w:tr>
      <w:tr w:rsidR="00EA175A" w:rsidRPr="00A168E7" w14:paraId="0361E906" w14:textId="77777777" w:rsidTr="0099524E">
        <w:trPr>
          <w:trHeight w:val="315"/>
        </w:trPr>
        <w:tc>
          <w:tcPr>
            <w:tcW w:w="1480" w:type="dxa"/>
            <w:tcBorders>
              <w:top w:val="nil"/>
              <w:left w:val="nil"/>
              <w:bottom w:val="nil"/>
              <w:right w:val="nil"/>
            </w:tcBorders>
            <w:shd w:val="clear" w:color="auto" w:fill="auto"/>
            <w:noWrap/>
            <w:vAlign w:val="center"/>
            <w:hideMark/>
          </w:tcPr>
          <w:p w14:paraId="2AA03A33"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2013/14</w:t>
            </w:r>
          </w:p>
        </w:tc>
        <w:tc>
          <w:tcPr>
            <w:tcW w:w="1937" w:type="dxa"/>
            <w:tcBorders>
              <w:top w:val="nil"/>
              <w:left w:val="nil"/>
              <w:bottom w:val="nil"/>
              <w:right w:val="nil"/>
            </w:tcBorders>
            <w:shd w:val="clear" w:color="auto" w:fill="auto"/>
            <w:noWrap/>
            <w:vAlign w:val="center"/>
            <w:hideMark/>
          </w:tcPr>
          <w:p w14:paraId="5FE58666" w14:textId="77777777" w:rsidR="00EA175A" w:rsidRPr="00A168E7" w:rsidRDefault="00EA175A" w:rsidP="0099524E">
            <w:pPr>
              <w:spacing w:after="0"/>
              <w:jc w:val="center"/>
              <w:rPr>
                <w:rFonts w:ascii="Calibri" w:eastAsia="Times New Roman" w:hAnsi="Calibri" w:cs="Times New Roman"/>
                <w:color w:val="000000"/>
                <w:sz w:val="20"/>
                <w:szCs w:val="22"/>
              </w:rPr>
            </w:pPr>
            <w:r w:rsidRPr="00A168E7">
              <w:rPr>
                <w:rFonts w:ascii="Calibri" w:eastAsia="Times New Roman" w:hAnsi="Calibri" w:cs="Times New Roman"/>
                <w:color w:val="000000"/>
                <w:sz w:val="20"/>
                <w:szCs w:val="22"/>
              </w:rPr>
              <w:t>$54.2M</w:t>
            </w:r>
          </w:p>
        </w:tc>
      </w:tr>
      <w:tr w:rsidR="00EA175A" w:rsidRPr="00A168E7" w14:paraId="6105195D" w14:textId="77777777" w:rsidTr="0099524E">
        <w:trPr>
          <w:trHeight w:val="315"/>
        </w:trPr>
        <w:tc>
          <w:tcPr>
            <w:tcW w:w="1480" w:type="dxa"/>
            <w:tcBorders>
              <w:top w:val="single" w:sz="4" w:space="0" w:color="95B3D7"/>
              <w:left w:val="nil"/>
              <w:bottom w:val="nil"/>
              <w:right w:val="nil"/>
            </w:tcBorders>
            <w:shd w:val="clear" w:color="auto" w:fill="BFBFBF" w:themeFill="background1" w:themeFillShade="BF"/>
            <w:noWrap/>
            <w:vAlign w:val="center"/>
            <w:hideMark/>
          </w:tcPr>
          <w:p w14:paraId="5E354938" w14:textId="77777777" w:rsidR="00EA175A" w:rsidRPr="00A168E7" w:rsidRDefault="00EA175A" w:rsidP="0099524E">
            <w:pPr>
              <w:spacing w:after="0"/>
              <w:jc w:val="center"/>
              <w:rPr>
                <w:rFonts w:ascii="Calibri" w:eastAsia="Times New Roman" w:hAnsi="Calibri" w:cs="Times New Roman"/>
                <w:b/>
                <w:bCs/>
                <w:color w:val="000000"/>
                <w:sz w:val="20"/>
                <w:szCs w:val="22"/>
              </w:rPr>
            </w:pPr>
            <w:r w:rsidRPr="00A168E7">
              <w:rPr>
                <w:rFonts w:ascii="Calibri" w:eastAsia="Times New Roman" w:hAnsi="Calibri" w:cs="Times New Roman"/>
                <w:b/>
                <w:bCs/>
                <w:color w:val="000000"/>
                <w:sz w:val="20"/>
                <w:szCs w:val="22"/>
              </w:rPr>
              <w:t>Total</w:t>
            </w:r>
          </w:p>
        </w:tc>
        <w:tc>
          <w:tcPr>
            <w:tcW w:w="1937" w:type="dxa"/>
            <w:tcBorders>
              <w:top w:val="single" w:sz="4" w:space="0" w:color="95B3D7"/>
              <w:left w:val="nil"/>
              <w:bottom w:val="nil"/>
              <w:right w:val="nil"/>
            </w:tcBorders>
            <w:shd w:val="clear" w:color="auto" w:fill="BFBFBF" w:themeFill="background1" w:themeFillShade="BF"/>
            <w:noWrap/>
            <w:vAlign w:val="center"/>
            <w:hideMark/>
          </w:tcPr>
          <w:p w14:paraId="3D46D278" w14:textId="77777777" w:rsidR="00EA175A" w:rsidRPr="00A168E7" w:rsidRDefault="00EA175A" w:rsidP="0099524E">
            <w:pPr>
              <w:spacing w:after="0"/>
              <w:jc w:val="center"/>
              <w:rPr>
                <w:rFonts w:ascii="Calibri" w:eastAsia="Times New Roman" w:hAnsi="Calibri" w:cs="Times New Roman"/>
                <w:b/>
                <w:bCs/>
                <w:color w:val="000000"/>
                <w:sz w:val="20"/>
                <w:szCs w:val="22"/>
              </w:rPr>
            </w:pPr>
            <w:r w:rsidRPr="00A168E7">
              <w:rPr>
                <w:rFonts w:ascii="Calibri" w:eastAsia="Times New Roman" w:hAnsi="Calibri" w:cs="Times New Roman"/>
                <w:b/>
                <w:bCs/>
                <w:color w:val="000000"/>
                <w:sz w:val="20"/>
                <w:szCs w:val="22"/>
              </w:rPr>
              <w:t>$388.9M</w:t>
            </w:r>
          </w:p>
        </w:tc>
      </w:tr>
    </w:tbl>
    <w:p w14:paraId="1BAAE179" w14:textId="77777777" w:rsidR="00EA175A" w:rsidRPr="00FF456E" w:rsidRDefault="00EA175A" w:rsidP="00EA175A">
      <w:pPr>
        <w:spacing w:after="0"/>
        <w:rPr>
          <w:rFonts w:eastAsia="Calibri" w:cs="Arial"/>
          <w:szCs w:val="20"/>
        </w:rPr>
      </w:pPr>
    </w:p>
    <w:p w14:paraId="0598ACE3" w14:textId="77777777" w:rsidR="00EA175A" w:rsidRDefault="00EA175A" w:rsidP="00EA175A">
      <w:pPr>
        <w:spacing w:after="0"/>
        <w:rPr>
          <w:rFonts w:eastAsia="Calibri" w:cs="Arial"/>
          <w:szCs w:val="20"/>
        </w:rPr>
      </w:pPr>
      <w:r w:rsidRPr="00FF456E">
        <w:rPr>
          <w:rFonts w:eastAsia="Calibri" w:cs="Arial"/>
          <w:szCs w:val="20"/>
        </w:rPr>
        <w:t xml:space="preserve">Some medicines have special pricing arrangements, and government expenditure may be less than presented. There was a change in one of these arrangements in 2013/14 accounting for the apparent expenditure reduction. </w:t>
      </w:r>
    </w:p>
    <w:p w14:paraId="5BD7B092" w14:textId="77777777" w:rsidR="00A81285" w:rsidRDefault="00A81285" w:rsidP="00EA175A">
      <w:pPr>
        <w:spacing w:after="0"/>
        <w:rPr>
          <w:rFonts w:eastAsia="Calibri" w:cs="Arial"/>
          <w:szCs w:val="20"/>
        </w:rPr>
      </w:pPr>
    </w:p>
    <w:p w14:paraId="7C9DAD6C" w14:textId="48130703" w:rsidR="00A81285" w:rsidRPr="00FF456E" w:rsidRDefault="00A81285" w:rsidP="00EA175A">
      <w:pPr>
        <w:spacing w:after="0"/>
        <w:rPr>
          <w:rFonts w:eastAsia="Calibri" w:cs="Arial"/>
          <w:szCs w:val="20"/>
        </w:rPr>
      </w:pPr>
      <w:r w:rsidRPr="00054495">
        <w:rPr>
          <w:rFonts w:eastAsia="Calibri" w:cs="Arial"/>
          <w:szCs w:val="20"/>
        </w:rPr>
        <w:t>Bosentan, ambrisentan and iloprost have Special Pricing Arrangements.</w:t>
      </w:r>
    </w:p>
    <w:p w14:paraId="3555DFBA" w14:textId="60E8E761" w:rsidR="00591512" w:rsidRDefault="00AB3733" w:rsidP="00FD13CD">
      <w:pPr>
        <w:pStyle w:val="Heading3"/>
      </w:pPr>
      <w:r>
        <w:t>D</w:t>
      </w:r>
      <w:r w:rsidR="007346C7" w:rsidRPr="005E22C2">
        <w:t>iscussion</w:t>
      </w:r>
    </w:p>
    <w:p w14:paraId="2789C457" w14:textId="77777777" w:rsidR="00EA175A" w:rsidRDefault="00EA175A" w:rsidP="00EA175A">
      <w:r>
        <w:t>The first medicine specifically for PAH was listed on the PBS in 2004. Since then 7 further medicines, from three different pharmacological classes, have become available through the PBS. From 2004 to 2007 approximately 300 new patients each year started treatment with a PAH therapy. This increased in 2008 following a broadening of the restriction to include PAH</w:t>
      </w:r>
      <w:r w:rsidRPr="006A0A5C">
        <w:t xml:space="preserve"> associated with congenital systemic-to-pulmonary shunts</w:t>
      </w:r>
      <w:r>
        <w:t xml:space="preserve">, and has since remained steady at approximately 400 new patients per year. Bosentan was the most commonly prescribed first PAH medicine until very recently. Macitentan, listed on the PBS from September 2014, is now the most frequently prescribed first medicine. Patients commencing PAH therapy in Australian clinical practice are on average older than those in the key clinical trials, and the average age at initiation has increased by five years between 2004 and 2014. </w:t>
      </w:r>
    </w:p>
    <w:p w14:paraId="6B3E126C" w14:textId="722776F0" w:rsidR="00EA175A" w:rsidRDefault="00EA175A" w:rsidP="00EA175A">
      <w:r>
        <w:t xml:space="preserve">The total number of people on treatment has been increasing over time. Compound annual growth in the prevalent population was 37% between 2004 and 2009. Although still increasing, the rate of growth has declined to about 7% in recent years. This indicates that patients are remaining on treatment for long durations. In this report, the median length of </w:t>
      </w:r>
      <w:r>
        <w:lastRenderedPageBreak/>
        <w:t>the first episode of PAH treatment was estimated to be 2.22 years. The total</w:t>
      </w:r>
      <w:r w:rsidR="00C73013">
        <w:t xml:space="preserve"> median</w:t>
      </w:r>
      <w:r>
        <w:t xml:space="preserve"> length of treatment, including switches to other medicines and breaks in therapy was 3.66 years. Patients are allowed to switch or use medicines sequentially if they meet the PBS criteria and have not previously failed treatment with the particular agent. Of 4,044 patients starting PAH treatment between 2004 and 2014, about 27% have progressed to a second agent, 5% to a third agent, and less than 2% to a fourth or fifth agent. There appears to be switching within pharmacological classes when new products become available. For example switching from bosentan to sitaxentan, ambrisentan or macitentan. However the majority of changes in therapy are to alternate classes, presumably due to lack of response.</w:t>
      </w:r>
    </w:p>
    <w:p w14:paraId="4755AAC0" w14:textId="77777777" w:rsidR="00EA175A" w:rsidRDefault="00EA175A" w:rsidP="00EA175A">
      <w:r>
        <w:t>The dose of epoprostenol used in practice appears to be substantially higher than that used as the basis for equi-effective dose against bosentan. Although it is recognised that dose determination is difficult where the dose is gradually increased over a long duration, and that patients treated with epoprostenol may have more severe disease than patients on oral medicines, the cost-effectiveness of these higher doses is not known.</w:t>
      </w:r>
    </w:p>
    <w:p w14:paraId="3C8468C8" w14:textId="67279682" w:rsidR="00EA175A" w:rsidRDefault="00EA175A" w:rsidP="00EA175A">
      <w:r>
        <w:t>The data collected through the authority approval system has enhanced the analyses in this report, particularly because patient level PBS prescription data was incomplete prior to mid-2013. Although not captured in the data available to the Secretariat, the DHS may have additional information, such as the clinical classification subcategory, that could be requested to further understand use of PBS subsidised PAH medicines. Another parameter of interest may be the proportion of approvals that are based on RHC and/or ECHO, and if this has changed over time. At the time of recommending bosentan for listing, t</w:t>
      </w:r>
      <w:r w:rsidRPr="00B40CC5">
        <w:t xml:space="preserve">he PBAC stated that the restriction should take into account that diagnosis via right heart catheter is the most desirable, followed by ECHO and then the six minute walk test. </w:t>
      </w:r>
      <w:r>
        <w:t xml:space="preserve">These types of information may also be available from the </w:t>
      </w:r>
      <w:r w:rsidRPr="004A3004">
        <w:t xml:space="preserve">PHSANZ PHT </w:t>
      </w:r>
      <w:r>
        <w:t>patient registry.</w:t>
      </w:r>
    </w:p>
    <w:p w14:paraId="32E25CF0" w14:textId="1C08C82B" w:rsidR="00EA175A" w:rsidRDefault="00EA175A" w:rsidP="00EA175A">
      <w:r>
        <w:t>The</w:t>
      </w:r>
      <w:r w:rsidR="002405BA">
        <w:t xml:space="preserve"> data in this report did not </w:t>
      </w:r>
      <w:r>
        <w:t>indicat</w:t>
      </w:r>
      <w:r w:rsidR="002405BA">
        <w:t>e</w:t>
      </w:r>
      <w:r>
        <w:t xml:space="preserve"> that PAH medicines have been used beyond the PBS restrictions.  As there is some discordance between PBS criteria and clinical guidelines</w:t>
      </w:r>
      <w:r w:rsidR="002F204E" w:rsidRPr="002F204E">
        <w:rPr>
          <w:vertAlign w:val="superscript"/>
        </w:rPr>
        <w:t>3</w:t>
      </w:r>
      <w:r w:rsidR="002F204E">
        <w:t xml:space="preserve"> </w:t>
      </w:r>
      <w:r>
        <w:t xml:space="preserve">there is some risk of use outside of PBS criteria. </w:t>
      </w:r>
      <w:r w:rsidR="00DF7127">
        <w:t xml:space="preserve"> </w:t>
      </w:r>
      <w:r>
        <w:t xml:space="preserve">This may include treatment of functional class II patients with endothelin receptor antagonists, or use of combination therapy. The PHSANZ </w:t>
      </w:r>
      <w:r w:rsidR="00B421B8">
        <w:t xml:space="preserve">has </w:t>
      </w:r>
      <w:r>
        <w:t xml:space="preserve">highlighted differences between guidelines and PBS restrictions in their correspondence to PBAC but the PBAC </w:t>
      </w:r>
      <w:r w:rsidR="00B421B8">
        <w:t xml:space="preserve">has </w:t>
      </w:r>
      <w:r>
        <w:t xml:space="preserve">noted that </w:t>
      </w:r>
      <w:r w:rsidR="005A5604">
        <w:t xml:space="preserve">determining </w:t>
      </w:r>
      <w:r>
        <w:t>the cost-effectiveness of these indications would require a submission to the PBAC.  There is also potential use outside of restriction for other PH classifications for which there are no subsidised options currently available. For example, chronic thromboembolic pulmonary hypertension.</w:t>
      </w:r>
    </w:p>
    <w:p w14:paraId="1EEA2608" w14:textId="67C05ADF" w:rsidR="00DA594E" w:rsidRPr="00DA594E" w:rsidRDefault="00DA594E" w:rsidP="00DA594E">
      <w:pPr>
        <w:keepNext/>
        <w:spacing w:before="240" w:after="60"/>
        <w:outlineLvl w:val="3"/>
        <w:rPr>
          <w:rFonts w:eastAsia="MS Mincho"/>
          <w:bCs/>
        </w:rPr>
      </w:pPr>
      <w:r>
        <w:rPr>
          <w:rFonts w:eastAsia="MS Mincho"/>
          <w:bCs/>
        </w:rPr>
        <w:t xml:space="preserve">The </w:t>
      </w:r>
      <w:r w:rsidRPr="00DA594E">
        <w:rPr>
          <w:rFonts w:eastAsia="MS Mincho"/>
          <w:bCs/>
        </w:rPr>
        <w:t>DUSC considered it important to be cognisant when interpreting the results that switching from sitaxentan was not due to failure or preference, but a result of this medicine being withdrawn from the market.</w:t>
      </w:r>
    </w:p>
    <w:p w14:paraId="17C1B86E" w14:textId="596B0EC0" w:rsidR="00DA594E" w:rsidRPr="00DA594E" w:rsidRDefault="00DA594E" w:rsidP="00DA594E">
      <w:pPr>
        <w:spacing w:before="240" w:after="60"/>
        <w:rPr>
          <w:bCs/>
        </w:rPr>
      </w:pPr>
      <w:r>
        <w:rPr>
          <w:bCs/>
        </w:rPr>
        <w:t xml:space="preserve">The </w:t>
      </w:r>
      <w:r w:rsidRPr="00DA594E">
        <w:rPr>
          <w:bCs/>
        </w:rPr>
        <w:t>DUSC considered that:</w:t>
      </w:r>
    </w:p>
    <w:p w14:paraId="7DCD1E49" w14:textId="77777777" w:rsidR="00DA594E" w:rsidRPr="00DA594E" w:rsidRDefault="00DA594E" w:rsidP="00DA594E">
      <w:pPr>
        <w:pStyle w:val="PBACBullets"/>
        <w:rPr>
          <w:sz w:val="24"/>
          <w:szCs w:val="24"/>
        </w:rPr>
      </w:pPr>
      <w:r w:rsidRPr="00DA594E">
        <w:rPr>
          <w:sz w:val="24"/>
          <w:szCs w:val="24"/>
        </w:rPr>
        <w:t>The increasing prevalence of patients on PAH treatment (Figure 2) is a reflection of the increasing survival of these patients;</w:t>
      </w:r>
    </w:p>
    <w:p w14:paraId="410FDDEA" w14:textId="77777777" w:rsidR="00DA594E" w:rsidRPr="00DA594E" w:rsidRDefault="00DA594E" w:rsidP="00DA594E">
      <w:pPr>
        <w:pStyle w:val="PBACBullets"/>
        <w:rPr>
          <w:bCs/>
          <w:sz w:val="24"/>
          <w:szCs w:val="24"/>
        </w:rPr>
      </w:pPr>
      <w:r w:rsidRPr="00DA594E">
        <w:rPr>
          <w:sz w:val="24"/>
          <w:szCs w:val="24"/>
        </w:rPr>
        <w:t>The PBS restriction is not consistent with current treatment guidelines in that;</w:t>
      </w:r>
    </w:p>
    <w:p w14:paraId="18C13C8B" w14:textId="7B21D19C" w:rsidR="00DA594E" w:rsidRPr="00DA594E" w:rsidRDefault="00DA594E" w:rsidP="003119AD">
      <w:pPr>
        <w:pStyle w:val="minutesdotpoint"/>
        <w:spacing w:after="0"/>
        <w:jc w:val="left"/>
        <w:rPr>
          <w:bCs/>
          <w:sz w:val="24"/>
          <w:szCs w:val="24"/>
        </w:rPr>
      </w:pPr>
      <w:r w:rsidRPr="00DA594E">
        <w:rPr>
          <w:sz w:val="24"/>
          <w:szCs w:val="24"/>
        </w:rPr>
        <w:lastRenderedPageBreak/>
        <w:t xml:space="preserve">it requires failure to respond to 6 or more weeks of appropriate vasodilator treatment for WHO Functional Class III patients with a mean right atrial pressure of 8 mmHg or less; </w:t>
      </w:r>
    </w:p>
    <w:p w14:paraId="483C4E80" w14:textId="77777777" w:rsidR="00DA594E" w:rsidRPr="00DA594E" w:rsidRDefault="00DA594E" w:rsidP="003119AD">
      <w:pPr>
        <w:pStyle w:val="minutesdotpoint"/>
        <w:spacing w:after="0"/>
        <w:jc w:val="left"/>
        <w:rPr>
          <w:bCs/>
          <w:sz w:val="24"/>
          <w:szCs w:val="24"/>
        </w:rPr>
      </w:pPr>
      <w:r w:rsidRPr="00DA594E">
        <w:rPr>
          <w:sz w:val="24"/>
          <w:szCs w:val="24"/>
        </w:rPr>
        <w:t>it does not allow treatment of functional class II patients; and</w:t>
      </w:r>
    </w:p>
    <w:p w14:paraId="4C9C7292" w14:textId="77777777" w:rsidR="00DA594E" w:rsidRPr="00DA594E" w:rsidRDefault="00DA594E" w:rsidP="003119AD">
      <w:pPr>
        <w:pStyle w:val="minutesdotpoint"/>
        <w:spacing w:after="0"/>
        <w:jc w:val="left"/>
        <w:rPr>
          <w:bCs/>
          <w:sz w:val="24"/>
          <w:szCs w:val="24"/>
        </w:rPr>
      </w:pPr>
      <w:r w:rsidRPr="00DA594E">
        <w:rPr>
          <w:sz w:val="24"/>
          <w:szCs w:val="24"/>
        </w:rPr>
        <w:t>it does not allow combination therapy.</w:t>
      </w:r>
    </w:p>
    <w:p w14:paraId="28E41E5C" w14:textId="77777777" w:rsidR="00DA594E" w:rsidRPr="00DA594E" w:rsidRDefault="00DA594E" w:rsidP="00DA594E">
      <w:pPr>
        <w:pStyle w:val="PBACBullets"/>
        <w:rPr>
          <w:sz w:val="24"/>
          <w:szCs w:val="24"/>
        </w:rPr>
      </w:pPr>
      <w:r w:rsidRPr="00DA594E">
        <w:rPr>
          <w:sz w:val="24"/>
          <w:szCs w:val="24"/>
        </w:rPr>
        <w:t>As previously stated by the PBAC, changes to the PBS restriction to allow</w:t>
      </w:r>
    </w:p>
    <w:p w14:paraId="526D88A9" w14:textId="77777777" w:rsidR="00DA594E" w:rsidRPr="00DA594E" w:rsidRDefault="00DA594E" w:rsidP="003119AD">
      <w:pPr>
        <w:pStyle w:val="minutesdotpoint"/>
        <w:spacing w:after="0"/>
        <w:jc w:val="left"/>
        <w:rPr>
          <w:sz w:val="24"/>
          <w:szCs w:val="24"/>
        </w:rPr>
      </w:pPr>
      <w:r w:rsidRPr="00DA594E">
        <w:rPr>
          <w:sz w:val="24"/>
          <w:szCs w:val="24"/>
        </w:rPr>
        <w:t>combination therapy;</w:t>
      </w:r>
    </w:p>
    <w:p w14:paraId="4F20A20C" w14:textId="77777777" w:rsidR="00DA594E" w:rsidRPr="00DA594E" w:rsidRDefault="00DA594E" w:rsidP="003119AD">
      <w:pPr>
        <w:pStyle w:val="minutesdotpoint"/>
        <w:spacing w:after="0"/>
        <w:jc w:val="left"/>
        <w:rPr>
          <w:sz w:val="24"/>
          <w:szCs w:val="24"/>
        </w:rPr>
      </w:pPr>
      <w:r w:rsidRPr="00DA594E">
        <w:rPr>
          <w:sz w:val="24"/>
          <w:szCs w:val="24"/>
        </w:rPr>
        <w:t>treatment of WHO Functional Class II patients; and /or</w:t>
      </w:r>
    </w:p>
    <w:p w14:paraId="3D25307D" w14:textId="77777777" w:rsidR="007143F4" w:rsidRDefault="00DA594E" w:rsidP="007143F4">
      <w:pPr>
        <w:pStyle w:val="minutesdotpoint"/>
        <w:spacing w:after="0"/>
        <w:jc w:val="left"/>
        <w:rPr>
          <w:sz w:val="24"/>
          <w:szCs w:val="24"/>
        </w:rPr>
      </w:pPr>
      <w:r w:rsidRPr="00DA594E">
        <w:rPr>
          <w:sz w:val="24"/>
          <w:szCs w:val="24"/>
        </w:rPr>
        <w:t>changes to the discontinuation and switching of medications criteria</w:t>
      </w:r>
      <w:r w:rsidR="007143F4">
        <w:rPr>
          <w:sz w:val="24"/>
          <w:szCs w:val="24"/>
        </w:rPr>
        <w:t>;</w:t>
      </w:r>
    </w:p>
    <w:p w14:paraId="31F57A5B" w14:textId="67290CBA" w:rsidR="00DA594E" w:rsidRPr="00DA594E" w:rsidRDefault="00DA594E" w:rsidP="007143F4">
      <w:pPr>
        <w:pStyle w:val="minutesdotpoint"/>
        <w:numPr>
          <w:ilvl w:val="0"/>
          <w:numId w:val="0"/>
        </w:numPr>
        <w:spacing w:after="0"/>
        <w:ind w:left="360"/>
        <w:jc w:val="left"/>
        <w:rPr>
          <w:sz w:val="24"/>
          <w:szCs w:val="24"/>
        </w:rPr>
      </w:pPr>
      <w:r w:rsidRPr="00DA594E">
        <w:rPr>
          <w:sz w:val="24"/>
          <w:szCs w:val="24"/>
        </w:rPr>
        <w:t xml:space="preserve">will require a submission consistent with the requirements outlines in the Guidelines for preparing submissions to PBAC. </w:t>
      </w:r>
      <w:r w:rsidR="00C53B69">
        <w:rPr>
          <w:sz w:val="24"/>
          <w:szCs w:val="24"/>
        </w:rPr>
        <w:t xml:space="preserve">The </w:t>
      </w:r>
      <w:r w:rsidRPr="00DA594E">
        <w:rPr>
          <w:sz w:val="24"/>
          <w:szCs w:val="24"/>
        </w:rPr>
        <w:t xml:space="preserve">DUSC considered that registry data could be an informative part of a submission. </w:t>
      </w:r>
      <w:r w:rsidR="00C53B69">
        <w:rPr>
          <w:sz w:val="24"/>
          <w:szCs w:val="24"/>
        </w:rPr>
        <w:t xml:space="preserve">The </w:t>
      </w:r>
      <w:r w:rsidRPr="00DA594E">
        <w:rPr>
          <w:sz w:val="24"/>
          <w:szCs w:val="24"/>
        </w:rPr>
        <w:t>DUSC considered that high quality registry data, if available, may be informative</w:t>
      </w:r>
    </w:p>
    <w:p w14:paraId="3163C04A" w14:textId="29E9D40B" w:rsidR="00DA594E" w:rsidRPr="00DA594E" w:rsidRDefault="00FE00FF" w:rsidP="00DA594E">
      <w:pPr>
        <w:pStyle w:val="PBACBullets"/>
        <w:rPr>
          <w:sz w:val="24"/>
          <w:szCs w:val="24"/>
        </w:rPr>
      </w:pPr>
      <w:r>
        <w:rPr>
          <w:sz w:val="24"/>
          <w:szCs w:val="24"/>
        </w:rPr>
        <w:t xml:space="preserve">The </w:t>
      </w:r>
      <w:r w:rsidR="00DA594E" w:rsidRPr="00DA594E">
        <w:rPr>
          <w:sz w:val="24"/>
          <w:szCs w:val="24"/>
        </w:rPr>
        <w:t xml:space="preserve">DUSC noted that in practice, combination therapy is achieved by adding low cost private </w:t>
      </w:r>
      <w:r w:rsidR="003F70D3">
        <w:rPr>
          <w:sz w:val="24"/>
          <w:szCs w:val="24"/>
        </w:rPr>
        <w:t>prescription</w:t>
      </w:r>
      <w:r w:rsidR="00DA594E" w:rsidRPr="00DA594E">
        <w:rPr>
          <w:sz w:val="24"/>
          <w:szCs w:val="24"/>
        </w:rPr>
        <w:t xml:space="preserve"> sildenafil to another of the PBS subsidised drugs.</w:t>
      </w:r>
    </w:p>
    <w:p w14:paraId="5AD49872" w14:textId="77777777" w:rsidR="00DA594E" w:rsidRPr="00DA594E" w:rsidRDefault="00DA594E" w:rsidP="00DA594E">
      <w:pPr>
        <w:pStyle w:val="PBACBullets"/>
        <w:rPr>
          <w:sz w:val="24"/>
          <w:szCs w:val="24"/>
        </w:rPr>
      </w:pPr>
      <w:r w:rsidRPr="00DA594E">
        <w:rPr>
          <w:sz w:val="24"/>
          <w:szCs w:val="24"/>
        </w:rPr>
        <w:t xml:space="preserve">The reason for the gradual increase in the age of incident patients is not known, but may reflect that with increased real world experience, physicians are more comfortable treating older patients. </w:t>
      </w:r>
    </w:p>
    <w:p w14:paraId="28E924C8" w14:textId="77777777" w:rsidR="00DA594E" w:rsidRPr="00510B15" w:rsidRDefault="00DA594E" w:rsidP="00DA594E">
      <w:pPr>
        <w:spacing w:before="240" w:after="60"/>
        <w:rPr>
          <w:bCs/>
          <w:u w:val="single"/>
        </w:rPr>
      </w:pPr>
      <w:r w:rsidRPr="00510B15">
        <w:rPr>
          <w:bCs/>
          <w:u w:val="single"/>
        </w:rPr>
        <w:t>Modification of PBS restriction</w:t>
      </w:r>
    </w:p>
    <w:p w14:paraId="1334DE8E" w14:textId="77777777" w:rsidR="00DA594E" w:rsidRDefault="00DA594E" w:rsidP="00DA594E">
      <w:pPr>
        <w:spacing w:before="240" w:after="60"/>
        <w:rPr>
          <w:bCs/>
        </w:rPr>
      </w:pPr>
      <w:r>
        <w:rPr>
          <w:bCs/>
        </w:rPr>
        <w:t xml:space="preserve">The PHSANZ had previously requested the removal of the PBS requirement for </w:t>
      </w:r>
      <w:r w:rsidRPr="00342EB3">
        <w:rPr>
          <w:bCs/>
        </w:rPr>
        <w:t>WHO Functional Class III patients with a mean right atrial pressure of 8 mmHg or less</w:t>
      </w:r>
      <w:r>
        <w:rPr>
          <w:bCs/>
        </w:rPr>
        <w:t xml:space="preserve"> to trial calcium channel blockers as it is not evidence based.</w:t>
      </w:r>
    </w:p>
    <w:p w14:paraId="6E4AB584" w14:textId="77777777" w:rsidR="00DA594E" w:rsidRDefault="00DA594E" w:rsidP="00DA594E">
      <w:pPr>
        <w:spacing w:before="240" w:after="60"/>
        <w:rPr>
          <w:bCs/>
        </w:rPr>
      </w:pPr>
      <w:r w:rsidRPr="00DA594E">
        <w:rPr>
          <w:bCs/>
        </w:rPr>
        <w:t>The DUSC considered that the PBAC could now reconsider whether this requirement remains appropriate. The DUSC did not consider that this minor change would increase the use or costs of PAH medicines.</w:t>
      </w:r>
    </w:p>
    <w:p w14:paraId="10BEC470" w14:textId="77777777" w:rsidR="00DA594E" w:rsidRDefault="00DA594E" w:rsidP="00DA594E">
      <w:pPr>
        <w:spacing w:before="240" w:after="60"/>
        <w:rPr>
          <w:bCs/>
          <w:u w:val="single"/>
        </w:rPr>
      </w:pPr>
      <w:r>
        <w:rPr>
          <w:bCs/>
          <w:u w:val="single"/>
        </w:rPr>
        <w:t>Estimated prescribed dose of epoprostenol</w:t>
      </w:r>
    </w:p>
    <w:p w14:paraId="536A4DDC" w14:textId="465F450D" w:rsidR="00662B99" w:rsidRDefault="00C823D0" w:rsidP="00662B99">
      <w:pPr>
        <w:rPr>
          <w:highlight w:val="yellow"/>
        </w:rPr>
      </w:pPr>
      <w:r>
        <w:rPr>
          <w:color w:val="000000" w:themeColor="text1"/>
        </w:rPr>
        <w:t>The sponsor of</w:t>
      </w:r>
      <w:r w:rsidR="00662B99">
        <w:rPr>
          <w:color w:val="000000" w:themeColor="text1"/>
        </w:rPr>
        <w:t xml:space="preserve"> epoprostenol commented on the analysis of average prescribed dose of epoprostenol and the issues raised are dealt with in the DUSC minutes. They also pointed that e</w:t>
      </w:r>
      <w:r w:rsidR="00662B99" w:rsidRPr="0099524E">
        <w:rPr>
          <w:color w:val="000000" w:themeColor="text1"/>
        </w:rPr>
        <w:t>poprostenol is PBS listed for WHO functional class III patients who have failed to respond to a 2nd-line option</w:t>
      </w:r>
      <w:r w:rsidR="00662B99">
        <w:rPr>
          <w:color w:val="000000" w:themeColor="text1"/>
        </w:rPr>
        <w:t>. The report had incorrectly stated that “</w:t>
      </w:r>
      <w:r w:rsidR="00662B99" w:rsidRPr="0086758B">
        <w:rPr>
          <w:iCs/>
        </w:rPr>
        <w:t>‘On 1/8/2009 the listing was limited to WHO Functional Class IV patients”</w:t>
      </w:r>
      <w:r w:rsidR="00662B99">
        <w:rPr>
          <w:iCs/>
        </w:rPr>
        <w:t>. However this statement is only true in regard to initiating patients. This error has been corrected in this Public Release document.</w:t>
      </w:r>
    </w:p>
    <w:p w14:paraId="6E7D94AF" w14:textId="21EC4BCB" w:rsidR="00662B99" w:rsidRPr="00DA594E" w:rsidRDefault="00662B99" w:rsidP="00662B99">
      <w:pPr>
        <w:spacing w:before="240" w:after="60"/>
        <w:rPr>
          <w:bCs/>
        </w:rPr>
      </w:pPr>
      <w:r>
        <w:rPr>
          <w:bCs/>
        </w:rPr>
        <w:t xml:space="preserve">The </w:t>
      </w:r>
      <w:r w:rsidRPr="00DA594E">
        <w:rPr>
          <w:bCs/>
        </w:rPr>
        <w:t>DUSC considered that, even though the report found that the actual dose of epoprostenol is greater than that assumed by the PBAC at the time of listing, this is not a large issue as the utilisation of epoprostenol is re</w:t>
      </w:r>
      <w:r w:rsidR="00CC3A31">
        <w:rPr>
          <w:bCs/>
        </w:rPr>
        <w:t xml:space="preserve">latively small (see </w:t>
      </w:r>
      <w:r w:rsidRPr="00DA594E">
        <w:rPr>
          <w:bCs/>
        </w:rPr>
        <w:t xml:space="preserve">Figures 5 </w:t>
      </w:r>
      <w:r w:rsidR="00CC3A31">
        <w:rPr>
          <w:bCs/>
        </w:rPr>
        <w:t xml:space="preserve">and </w:t>
      </w:r>
      <w:r w:rsidRPr="00DA594E">
        <w:rPr>
          <w:bCs/>
        </w:rPr>
        <w:t>7).</w:t>
      </w:r>
    </w:p>
    <w:p w14:paraId="3A74B465" w14:textId="5C201DBF" w:rsidR="007346C7" w:rsidRDefault="00957837" w:rsidP="00FD13CD">
      <w:pPr>
        <w:pStyle w:val="Heading3"/>
      </w:pPr>
      <w:r>
        <w:lastRenderedPageBreak/>
        <w:t>DUSC actions</w:t>
      </w:r>
    </w:p>
    <w:p w14:paraId="37451E31" w14:textId="77777777" w:rsidR="0088020D" w:rsidRPr="0088020D" w:rsidRDefault="0088020D" w:rsidP="0088020D">
      <w:pPr>
        <w:pStyle w:val="PBACBullets"/>
        <w:rPr>
          <w:sz w:val="24"/>
        </w:rPr>
      </w:pPr>
      <w:r w:rsidRPr="0088020D">
        <w:rPr>
          <w:sz w:val="24"/>
        </w:rPr>
        <w:t xml:space="preserve">The DUSC requested that the report be provided to the PBAC. </w:t>
      </w:r>
    </w:p>
    <w:p w14:paraId="71A41371" w14:textId="6F9EAAE1" w:rsidR="0088020D" w:rsidRPr="0088020D" w:rsidRDefault="0088020D" w:rsidP="0088020D">
      <w:pPr>
        <w:pStyle w:val="PBACBullets"/>
        <w:rPr>
          <w:bCs/>
          <w:sz w:val="24"/>
        </w:rPr>
      </w:pPr>
      <w:r w:rsidRPr="0088020D">
        <w:rPr>
          <w:bCs/>
          <w:sz w:val="24"/>
        </w:rPr>
        <w:t>The DUSC recommend</w:t>
      </w:r>
      <w:r w:rsidR="00586D2D">
        <w:rPr>
          <w:bCs/>
          <w:sz w:val="24"/>
        </w:rPr>
        <w:t>ed</w:t>
      </w:r>
      <w:r w:rsidRPr="0088020D">
        <w:rPr>
          <w:bCs/>
          <w:sz w:val="24"/>
        </w:rPr>
        <w:t xml:space="preserve"> that the PBAC consider removing the requirement for a “patient to have failed to respond to 6 or more weeks of appropriate vasodilator treatment unless intolerance or a contraindication to such treatment exists” from the PBS restriction.</w:t>
      </w:r>
    </w:p>
    <w:p w14:paraId="75A03124" w14:textId="77777777" w:rsidR="001B50CA" w:rsidRPr="0092516A" w:rsidRDefault="001B50CA" w:rsidP="00FD13CD">
      <w:pPr>
        <w:pStyle w:val="Heading3"/>
      </w:pPr>
      <w:r w:rsidRPr="0092516A">
        <w:t>Context for analysis</w:t>
      </w:r>
    </w:p>
    <w:p w14:paraId="1D8A2B2A" w14:textId="77777777" w:rsidR="001B50CA" w:rsidRPr="00241E48" w:rsidRDefault="001B50CA" w:rsidP="001B50CA">
      <w:pPr>
        <w:spacing w:after="24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d financial cost of medicines.</w:t>
      </w:r>
    </w:p>
    <w:p w14:paraId="58A6B21D" w14:textId="77777777" w:rsidR="001B50CA" w:rsidRPr="00241E48" w:rsidRDefault="001B50CA" w:rsidP="001B50CA">
      <w:pPr>
        <w:spacing w:after="24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0E0BE3CC" w14:textId="77777777" w:rsidR="001B50CA" w:rsidRDefault="001B50CA" w:rsidP="001B50CA">
      <w:pPr>
        <w:spacing w:after="240"/>
        <w:rPr>
          <w:rFonts w:eastAsiaTheme="majorEastAsia" w:cstheme="majorBidi"/>
          <w:bCs/>
        </w:rPr>
      </w:pPr>
      <w:r w:rsidRPr="00241E48">
        <w:rPr>
          <w:rFonts w:eastAsiaTheme="majorEastAsia" w:cstheme="majorBidi"/>
          <w:bCs/>
        </w:rP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32A85FF2" w14:textId="77777777" w:rsidR="00C75822" w:rsidRDefault="00C75822" w:rsidP="00C75822">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14:paraId="44EFDCE9" w14:textId="77777777" w:rsidR="003529E0" w:rsidRDefault="003529E0" w:rsidP="00FD13CD">
      <w:pPr>
        <w:pStyle w:val="Heading3"/>
      </w:pPr>
      <w:r>
        <w:t>Sponsor</w:t>
      </w:r>
      <w:r w:rsidRPr="0092516A">
        <w:t>s</w:t>
      </w:r>
      <w:r>
        <w:t>’</w:t>
      </w:r>
      <w:r w:rsidRPr="0092516A">
        <w:t xml:space="preserve"> comments</w:t>
      </w:r>
    </w:p>
    <w:p w14:paraId="08BF4967" w14:textId="771A7C88" w:rsidR="00703DF8" w:rsidRDefault="00703DF8" w:rsidP="0083656B">
      <w:pPr>
        <w:pStyle w:val="ListParagraph"/>
        <w:numPr>
          <w:ilvl w:val="0"/>
          <w:numId w:val="45"/>
        </w:numPr>
        <w:spacing w:line="276" w:lineRule="auto"/>
      </w:pPr>
      <w:r w:rsidRPr="00703DF8">
        <w:t xml:space="preserve">Actelion Pharmaceuticals Australia Pty Ltd </w:t>
      </w:r>
      <w:r>
        <w:t xml:space="preserve"> - bosentan, epoprostenol</w:t>
      </w:r>
      <w:r w:rsidR="00D20DBB">
        <w:t>, macitentan</w:t>
      </w:r>
    </w:p>
    <w:p w14:paraId="552FC614" w14:textId="77777777" w:rsidR="00703DF8" w:rsidRDefault="00703DF8" w:rsidP="0083656B">
      <w:pPr>
        <w:pStyle w:val="ListParagraph"/>
        <w:numPr>
          <w:ilvl w:val="0"/>
          <w:numId w:val="45"/>
        </w:numPr>
        <w:spacing w:line="276" w:lineRule="auto"/>
      </w:pPr>
      <w:r w:rsidRPr="00703DF8">
        <w:t xml:space="preserve">Bayer Australia Ltd </w:t>
      </w:r>
      <w:r>
        <w:t xml:space="preserve"> - iloprost</w:t>
      </w:r>
    </w:p>
    <w:p w14:paraId="5930F78E" w14:textId="4E224D4A" w:rsidR="00703DF8" w:rsidRDefault="00703DF8" w:rsidP="0083656B">
      <w:pPr>
        <w:pStyle w:val="ListParagraph"/>
        <w:numPr>
          <w:ilvl w:val="0"/>
          <w:numId w:val="45"/>
        </w:numPr>
        <w:spacing w:line="276" w:lineRule="auto"/>
      </w:pPr>
      <w:r w:rsidRPr="00703DF8">
        <w:t>GlaxoSmithKline Australia Pty Ltd</w:t>
      </w:r>
      <w:r>
        <w:t xml:space="preserve"> – </w:t>
      </w:r>
      <w:r w:rsidR="00D20DBB">
        <w:t xml:space="preserve">ambrisentan, </w:t>
      </w:r>
      <w:r>
        <w:t>epoprostenol</w:t>
      </w:r>
    </w:p>
    <w:p w14:paraId="358C5D05" w14:textId="3CDBE671" w:rsidR="00703DF8" w:rsidRDefault="00703DF8" w:rsidP="0083656B">
      <w:pPr>
        <w:pStyle w:val="ListParagraph"/>
        <w:numPr>
          <w:ilvl w:val="0"/>
          <w:numId w:val="45"/>
        </w:numPr>
        <w:spacing w:line="276" w:lineRule="auto"/>
      </w:pPr>
      <w:r w:rsidRPr="00703DF8">
        <w:t>Apotex Pty Ltd</w:t>
      </w:r>
      <w:r>
        <w:t xml:space="preserve"> – sildenafil</w:t>
      </w:r>
    </w:p>
    <w:p w14:paraId="37A66A91" w14:textId="7DF7E329" w:rsidR="00703DF8" w:rsidRDefault="00703DF8" w:rsidP="0083656B">
      <w:pPr>
        <w:pStyle w:val="ListParagraph"/>
        <w:numPr>
          <w:ilvl w:val="0"/>
          <w:numId w:val="45"/>
        </w:numPr>
        <w:spacing w:line="276" w:lineRule="auto"/>
      </w:pPr>
      <w:r w:rsidRPr="00703DF8">
        <w:t>Pfizer Australia Pty Ltd</w:t>
      </w:r>
      <w:r>
        <w:t xml:space="preserve"> – sildenafil</w:t>
      </w:r>
    </w:p>
    <w:p w14:paraId="7E687BB4" w14:textId="60534F6A" w:rsidR="00D20DBB" w:rsidRDefault="00D20DBB" w:rsidP="0083656B">
      <w:pPr>
        <w:pStyle w:val="ListParagraph"/>
        <w:numPr>
          <w:ilvl w:val="0"/>
          <w:numId w:val="45"/>
        </w:numPr>
        <w:spacing w:line="276" w:lineRule="auto"/>
      </w:pPr>
      <w:r w:rsidRPr="00D20DBB">
        <w:t>Eli Lilly Australia Pty Ltd</w:t>
      </w:r>
      <w:r>
        <w:t xml:space="preserve"> – tadalafil</w:t>
      </w:r>
    </w:p>
    <w:p w14:paraId="7D51A26B" w14:textId="6483A02D" w:rsidR="00D20DBB" w:rsidRDefault="00D20DBB">
      <w:pPr>
        <w:spacing w:line="276" w:lineRule="auto"/>
      </w:pPr>
      <w:r>
        <w:t>There were no comments from the sponsors.</w:t>
      </w:r>
    </w:p>
    <w:p w14:paraId="15435543" w14:textId="24CEE022" w:rsidR="00402BE2" w:rsidRDefault="00402BE2">
      <w:pPr>
        <w:spacing w:line="276" w:lineRule="auto"/>
        <w:rPr>
          <w:rFonts w:eastAsiaTheme="majorEastAsia" w:cstheme="majorBidi"/>
          <w:b/>
          <w:bCs/>
          <w:sz w:val="32"/>
          <w:szCs w:val="32"/>
        </w:rPr>
      </w:pPr>
      <w:r>
        <w:br w:type="page"/>
      </w:r>
    </w:p>
    <w:p w14:paraId="016AE134" w14:textId="041E30D0" w:rsidR="002C6E0C" w:rsidRDefault="002C6E0C" w:rsidP="001B4788">
      <w:pPr>
        <w:pStyle w:val="Heading3"/>
      </w:pPr>
      <w:r>
        <w:lastRenderedPageBreak/>
        <w:t>Appendices</w:t>
      </w:r>
    </w:p>
    <w:p w14:paraId="1E49681D" w14:textId="77777777" w:rsidR="00262CEB" w:rsidRPr="00AE2703" w:rsidRDefault="00262CEB" w:rsidP="00262CEB">
      <w:pPr>
        <w:spacing w:line="276" w:lineRule="auto"/>
        <w:rPr>
          <w:b/>
          <w:sz w:val="28"/>
          <w:szCs w:val="32"/>
        </w:rPr>
      </w:pPr>
      <w:r w:rsidRPr="00AE2703">
        <w:rPr>
          <w:b/>
          <w:sz w:val="28"/>
          <w:szCs w:val="32"/>
        </w:rPr>
        <w:t>Appendix A: TGA indications</w:t>
      </w:r>
    </w:p>
    <w:tbl>
      <w:tblPr>
        <w:tblStyle w:val="TableGrid"/>
        <w:tblW w:w="0" w:type="auto"/>
        <w:tblLook w:val="04A0" w:firstRow="1" w:lastRow="0" w:firstColumn="1" w:lastColumn="0" w:noHBand="0" w:noVBand="1"/>
        <w:tblCaption w:val="Appendix A: TGA indications"/>
      </w:tblPr>
      <w:tblGrid>
        <w:gridCol w:w="1517"/>
        <w:gridCol w:w="7656"/>
      </w:tblGrid>
      <w:tr w:rsidR="00262CEB" w14:paraId="69B4CF2B" w14:textId="77777777" w:rsidTr="00096FB3">
        <w:trPr>
          <w:tblHeader/>
        </w:trPr>
        <w:tc>
          <w:tcPr>
            <w:tcW w:w="1546" w:type="dxa"/>
            <w:shd w:val="clear" w:color="auto" w:fill="BFBFBF" w:themeFill="background1" w:themeFillShade="BF"/>
          </w:tcPr>
          <w:p w14:paraId="012BD61D" w14:textId="77777777" w:rsidR="00262CEB" w:rsidRPr="00BC756B" w:rsidRDefault="00262CEB" w:rsidP="0099524E">
            <w:pPr>
              <w:keepLines/>
              <w:outlineLvl w:val="1"/>
              <w:rPr>
                <w:rFonts w:eastAsiaTheme="majorEastAsia" w:cstheme="majorBidi"/>
                <w:b/>
                <w:bCs/>
                <w:sz w:val="20"/>
                <w:szCs w:val="20"/>
              </w:rPr>
            </w:pPr>
            <w:r w:rsidRPr="00BC756B">
              <w:rPr>
                <w:rFonts w:eastAsiaTheme="majorEastAsia" w:cstheme="majorBidi"/>
                <w:b/>
                <w:bCs/>
                <w:sz w:val="20"/>
                <w:szCs w:val="20"/>
              </w:rPr>
              <w:t>PAH drug</w:t>
            </w:r>
          </w:p>
        </w:tc>
        <w:tc>
          <w:tcPr>
            <w:tcW w:w="8470" w:type="dxa"/>
            <w:shd w:val="clear" w:color="auto" w:fill="BFBFBF" w:themeFill="background1" w:themeFillShade="BF"/>
          </w:tcPr>
          <w:p w14:paraId="09C1C525" w14:textId="77777777" w:rsidR="00262CEB" w:rsidRPr="00BC756B" w:rsidRDefault="00262CEB" w:rsidP="0099524E">
            <w:pPr>
              <w:rPr>
                <w:b/>
                <w:sz w:val="20"/>
                <w:szCs w:val="20"/>
              </w:rPr>
            </w:pPr>
            <w:r w:rsidRPr="00BC756B">
              <w:rPr>
                <w:b/>
                <w:sz w:val="20"/>
                <w:szCs w:val="20"/>
              </w:rPr>
              <w:t>TGA approved indications</w:t>
            </w:r>
          </w:p>
        </w:tc>
      </w:tr>
      <w:tr w:rsidR="00262CEB" w14:paraId="6CF6589D" w14:textId="77777777" w:rsidTr="0099524E">
        <w:tc>
          <w:tcPr>
            <w:tcW w:w="1546" w:type="dxa"/>
          </w:tcPr>
          <w:p w14:paraId="587C88D6"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bosentan </w:t>
            </w:r>
          </w:p>
        </w:tc>
        <w:tc>
          <w:tcPr>
            <w:tcW w:w="8470" w:type="dxa"/>
          </w:tcPr>
          <w:p w14:paraId="3C9A64AA" w14:textId="77777777" w:rsidR="00262CEB" w:rsidRPr="00BC756B" w:rsidRDefault="00262CEB" w:rsidP="00262CEB">
            <w:pPr>
              <w:pStyle w:val="ListParagraph"/>
              <w:numPr>
                <w:ilvl w:val="0"/>
                <w:numId w:val="24"/>
              </w:numPr>
              <w:rPr>
                <w:sz w:val="20"/>
                <w:szCs w:val="20"/>
              </w:rPr>
            </w:pPr>
            <w:r w:rsidRPr="00BC756B">
              <w:rPr>
                <w:sz w:val="20"/>
                <w:szCs w:val="20"/>
              </w:rPr>
              <w:t xml:space="preserve">idiopathic pulmonary arterial hypertension </w:t>
            </w:r>
          </w:p>
          <w:p w14:paraId="0A14AF51" w14:textId="77777777" w:rsidR="00262CEB" w:rsidRPr="00BC756B" w:rsidRDefault="00262CEB" w:rsidP="00262CEB">
            <w:pPr>
              <w:pStyle w:val="ListParagraph"/>
              <w:numPr>
                <w:ilvl w:val="0"/>
                <w:numId w:val="24"/>
              </w:numPr>
              <w:rPr>
                <w:sz w:val="20"/>
                <w:szCs w:val="20"/>
              </w:rPr>
            </w:pPr>
            <w:r w:rsidRPr="00BC756B">
              <w:rPr>
                <w:sz w:val="20"/>
                <w:szCs w:val="20"/>
              </w:rPr>
              <w:t xml:space="preserve">familial pulmonary arterial hypertension </w:t>
            </w:r>
          </w:p>
          <w:p w14:paraId="56967CEF" w14:textId="77777777" w:rsidR="00262CEB" w:rsidRPr="00BC756B" w:rsidRDefault="00262CEB" w:rsidP="00262CEB">
            <w:pPr>
              <w:pStyle w:val="ListParagraph"/>
              <w:numPr>
                <w:ilvl w:val="0"/>
                <w:numId w:val="24"/>
              </w:numPr>
              <w:rPr>
                <w:sz w:val="20"/>
                <w:szCs w:val="20"/>
              </w:rPr>
            </w:pPr>
            <w:r w:rsidRPr="00BC756B">
              <w:rPr>
                <w:sz w:val="20"/>
                <w:szCs w:val="20"/>
              </w:rPr>
              <w:t xml:space="preserve">pulmonary arterial hypertension associated with scleroderma or </w:t>
            </w:r>
          </w:p>
          <w:p w14:paraId="6643B3BD" w14:textId="77777777" w:rsidR="00262CEB" w:rsidRPr="00BC756B" w:rsidRDefault="00262CEB" w:rsidP="00262CEB">
            <w:pPr>
              <w:pStyle w:val="ListParagraph"/>
              <w:numPr>
                <w:ilvl w:val="0"/>
                <w:numId w:val="24"/>
              </w:numPr>
              <w:rPr>
                <w:sz w:val="20"/>
                <w:szCs w:val="20"/>
              </w:rPr>
            </w:pPr>
            <w:r w:rsidRPr="00BC756B">
              <w:rPr>
                <w:sz w:val="20"/>
                <w:szCs w:val="20"/>
              </w:rPr>
              <w:t xml:space="preserve">pulmonary arterial hypertension associated with congenital systemic to pulmonary shunts including Eisenmenger’s physiology </w:t>
            </w:r>
          </w:p>
          <w:p w14:paraId="4E534E79" w14:textId="77777777" w:rsidR="00262CEB" w:rsidRPr="00BC756B" w:rsidRDefault="00262CEB" w:rsidP="0099524E">
            <w:pPr>
              <w:rPr>
                <w:sz w:val="20"/>
                <w:szCs w:val="20"/>
              </w:rPr>
            </w:pPr>
            <w:r w:rsidRPr="00BC756B">
              <w:rPr>
                <w:sz w:val="20"/>
                <w:szCs w:val="20"/>
              </w:rPr>
              <w:t xml:space="preserve"> in patients with WHO functional Class II, III or IV symptoms </w:t>
            </w:r>
          </w:p>
        </w:tc>
      </w:tr>
      <w:tr w:rsidR="00262CEB" w14:paraId="0E2B96E9" w14:textId="77777777" w:rsidTr="0099524E">
        <w:tc>
          <w:tcPr>
            <w:tcW w:w="1546" w:type="dxa"/>
          </w:tcPr>
          <w:p w14:paraId="41B26503"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iloprost </w:t>
            </w:r>
          </w:p>
        </w:tc>
        <w:tc>
          <w:tcPr>
            <w:tcW w:w="8470" w:type="dxa"/>
          </w:tcPr>
          <w:p w14:paraId="73DA062B" w14:textId="77777777" w:rsidR="00262CEB" w:rsidRPr="00BC756B" w:rsidRDefault="00262CEB" w:rsidP="0099524E">
            <w:pPr>
              <w:rPr>
                <w:sz w:val="20"/>
                <w:szCs w:val="20"/>
              </w:rPr>
            </w:pPr>
            <w:r w:rsidRPr="00BC756B">
              <w:rPr>
                <w:sz w:val="20"/>
                <w:szCs w:val="20"/>
              </w:rPr>
              <w:t xml:space="preserve">Treatment of patients with primary pulmonary hypertension or secondary pulmonary hypertension due to connective tissue disease or drug-induced, in moderate or severe stages of the disease. In addition, treatment of moderate or severe secondary pulmonary hypertension due to chronic pulmonary thromboembolism, where surgery is not possible. </w:t>
            </w:r>
          </w:p>
        </w:tc>
      </w:tr>
      <w:tr w:rsidR="00262CEB" w14:paraId="4A0D04DD" w14:textId="77777777" w:rsidTr="0099524E">
        <w:tc>
          <w:tcPr>
            <w:tcW w:w="1546" w:type="dxa"/>
          </w:tcPr>
          <w:p w14:paraId="394922B7"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epoprostenol </w:t>
            </w:r>
          </w:p>
        </w:tc>
        <w:tc>
          <w:tcPr>
            <w:tcW w:w="8470" w:type="dxa"/>
          </w:tcPr>
          <w:p w14:paraId="45C5978E" w14:textId="77777777" w:rsidR="00262CEB" w:rsidRPr="00BC756B" w:rsidRDefault="00262CEB" w:rsidP="0099524E">
            <w:pPr>
              <w:rPr>
                <w:sz w:val="20"/>
                <w:szCs w:val="20"/>
              </w:rPr>
            </w:pPr>
            <w:r w:rsidRPr="00BC756B">
              <w:rPr>
                <w:sz w:val="20"/>
                <w:szCs w:val="20"/>
              </w:rPr>
              <w:t xml:space="preserve">long-term treatment, via continuous intravenous infusion, in WHO functional class III or class IV patients with: </w:t>
            </w:r>
          </w:p>
          <w:p w14:paraId="4853EA98" w14:textId="77777777" w:rsidR="00262CEB" w:rsidRPr="00BC756B" w:rsidRDefault="00262CEB" w:rsidP="00262CEB">
            <w:pPr>
              <w:pStyle w:val="ListParagraph"/>
              <w:numPr>
                <w:ilvl w:val="0"/>
                <w:numId w:val="25"/>
              </w:numPr>
              <w:rPr>
                <w:sz w:val="20"/>
                <w:szCs w:val="20"/>
              </w:rPr>
            </w:pPr>
            <w:r w:rsidRPr="00BC756B">
              <w:rPr>
                <w:sz w:val="20"/>
                <w:szCs w:val="20"/>
              </w:rPr>
              <w:t xml:space="preserve">Idiopathic pulmonary arterial hypertension </w:t>
            </w:r>
          </w:p>
          <w:p w14:paraId="565B920C" w14:textId="77777777" w:rsidR="00262CEB" w:rsidRPr="00BC756B" w:rsidRDefault="00262CEB" w:rsidP="00262CEB">
            <w:pPr>
              <w:pStyle w:val="ListParagraph"/>
              <w:numPr>
                <w:ilvl w:val="0"/>
                <w:numId w:val="25"/>
              </w:numPr>
              <w:rPr>
                <w:sz w:val="20"/>
                <w:szCs w:val="20"/>
              </w:rPr>
            </w:pPr>
            <w:r w:rsidRPr="00BC756B">
              <w:rPr>
                <w:sz w:val="20"/>
                <w:szCs w:val="20"/>
              </w:rPr>
              <w:t xml:space="preserve">Familial pulmonary arterial hypertension </w:t>
            </w:r>
          </w:p>
          <w:p w14:paraId="11FEC57B" w14:textId="77777777" w:rsidR="00262CEB" w:rsidRPr="00BC756B" w:rsidRDefault="00262CEB" w:rsidP="00262CEB">
            <w:pPr>
              <w:pStyle w:val="ListParagraph"/>
              <w:numPr>
                <w:ilvl w:val="0"/>
                <w:numId w:val="25"/>
              </w:numPr>
              <w:rPr>
                <w:sz w:val="20"/>
                <w:szCs w:val="20"/>
              </w:rPr>
            </w:pPr>
            <w:r w:rsidRPr="00BC756B">
              <w:rPr>
                <w:sz w:val="20"/>
                <w:szCs w:val="20"/>
              </w:rPr>
              <w:t xml:space="preserve">Pulmonary arterial hypertension associated with the scleroderma spectrum of </w:t>
            </w:r>
          </w:p>
          <w:p w14:paraId="75EAC178" w14:textId="77777777" w:rsidR="00262CEB" w:rsidRPr="00BC756B" w:rsidRDefault="00262CEB" w:rsidP="0099524E">
            <w:pPr>
              <w:rPr>
                <w:sz w:val="20"/>
                <w:szCs w:val="20"/>
              </w:rPr>
            </w:pPr>
            <w:r w:rsidRPr="00BC756B">
              <w:rPr>
                <w:sz w:val="20"/>
                <w:szCs w:val="20"/>
              </w:rPr>
              <w:t xml:space="preserve">diseases </w:t>
            </w:r>
            <w:r w:rsidRPr="00BC756B">
              <w:rPr>
                <w:sz w:val="20"/>
                <w:szCs w:val="20"/>
              </w:rPr>
              <w:cr/>
            </w:r>
            <w:r w:rsidRPr="00BC756B">
              <w:rPr>
                <w:sz w:val="20"/>
                <w:szCs w:val="20"/>
              </w:rPr>
              <w:br/>
              <w:t xml:space="preserve">Note: This information is from the FLOLAN® for Injection </w:t>
            </w:r>
            <w:r w:rsidRPr="00BC756B">
              <w:rPr>
                <w:sz w:val="20"/>
                <w:szCs w:val="20"/>
              </w:rPr>
              <w:cr/>
              <w:t>PI, there was a second brand (Veletri®) listed on the PBS on 1/8/2014. It is indicated for the same conditions.</w:t>
            </w:r>
          </w:p>
        </w:tc>
      </w:tr>
      <w:tr w:rsidR="00262CEB" w14:paraId="19AC294C" w14:textId="77777777" w:rsidTr="0099524E">
        <w:tc>
          <w:tcPr>
            <w:tcW w:w="1546" w:type="dxa"/>
          </w:tcPr>
          <w:p w14:paraId="70807E41"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sildenafil </w:t>
            </w:r>
          </w:p>
        </w:tc>
        <w:tc>
          <w:tcPr>
            <w:tcW w:w="8470" w:type="dxa"/>
          </w:tcPr>
          <w:p w14:paraId="0C787A01" w14:textId="77777777" w:rsidR="00262CEB" w:rsidRPr="00BC756B" w:rsidRDefault="00262CEB" w:rsidP="0099524E">
            <w:pPr>
              <w:rPr>
                <w:sz w:val="20"/>
                <w:szCs w:val="20"/>
              </w:rPr>
            </w:pPr>
            <w:r w:rsidRPr="00BC756B">
              <w:rPr>
                <w:sz w:val="20"/>
                <w:szCs w:val="20"/>
              </w:rPr>
              <w:t xml:space="preserve">treatment of patients with pulmonary arterial hypertension classified as WHO functional classes II and III, to improve exercise capacity. Efficacy has been shown in primary pulmonary hypertension and pulmonary hypertension associated with connective tissue disease. </w:t>
            </w:r>
          </w:p>
          <w:p w14:paraId="04ED2B8B" w14:textId="77777777" w:rsidR="00262CEB" w:rsidRPr="00BC756B" w:rsidRDefault="00262CEB" w:rsidP="0099524E">
            <w:pPr>
              <w:rPr>
                <w:sz w:val="20"/>
                <w:szCs w:val="20"/>
              </w:rPr>
            </w:pPr>
            <w:r w:rsidRPr="00BC756B">
              <w:rPr>
                <w:sz w:val="20"/>
                <w:szCs w:val="20"/>
              </w:rPr>
              <w:t xml:space="preserve">The efficacy has not been established in patients currently on bosentan therapy. </w:t>
            </w:r>
          </w:p>
        </w:tc>
      </w:tr>
      <w:tr w:rsidR="00262CEB" w14:paraId="06753CC1" w14:textId="77777777" w:rsidTr="0099524E">
        <w:tc>
          <w:tcPr>
            <w:tcW w:w="1546" w:type="dxa"/>
          </w:tcPr>
          <w:p w14:paraId="7CB90C1E"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sitaxentan </w:t>
            </w:r>
          </w:p>
        </w:tc>
        <w:tc>
          <w:tcPr>
            <w:tcW w:w="8470" w:type="dxa"/>
          </w:tcPr>
          <w:p w14:paraId="6212CDFD" w14:textId="77777777" w:rsidR="00262CEB" w:rsidRPr="00BC756B" w:rsidRDefault="00262CEB" w:rsidP="0099524E">
            <w:pPr>
              <w:rPr>
                <w:sz w:val="20"/>
                <w:szCs w:val="20"/>
              </w:rPr>
            </w:pPr>
            <w:r w:rsidRPr="00BC756B">
              <w:rPr>
                <w:sz w:val="20"/>
                <w:szCs w:val="20"/>
              </w:rPr>
              <w:t>Delisted and no PI available.</w:t>
            </w:r>
          </w:p>
        </w:tc>
      </w:tr>
      <w:tr w:rsidR="00262CEB" w14:paraId="1E61F6FF" w14:textId="77777777" w:rsidTr="0099524E">
        <w:tc>
          <w:tcPr>
            <w:tcW w:w="1546" w:type="dxa"/>
          </w:tcPr>
          <w:p w14:paraId="5AA8636C"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ambrisentan </w:t>
            </w:r>
          </w:p>
        </w:tc>
        <w:tc>
          <w:tcPr>
            <w:tcW w:w="8470" w:type="dxa"/>
          </w:tcPr>
          <w:p w14:paraId="08FAFFA1" w14:textId="77777777" w:rsidR="00262CEB" w:rsidRPr="00BC756B" w:rsidRDefault="00262CEB" w:rsidP="0099524E">
            <w:pPr>
              <w:rPr>
                <w:sz w:val="20"/>
                <w:szCs w:val="20"/>
              </w:rPr>
            </w:pPr>
            <w:r w:rsidRPr="00BC756B">
              <w:rPr>
                <w:sz w:val="20"/>
                <w:szCs w:val="20"/>
              </w:rPr>
              <w:t xml:space="preserve">treatment of: </w:t>
            </w:r>
          </w:p>
          <w:p w14:paraId="202D6B5A" w14:textId="77777777" w:rsidR="00262CEB" w:rsidRPr="00BC756B" w:rsidRDefault="00262CEB" w:rsidP="00262CEB">
            <w:pPr>
              <w:pStyle w:val="ListParagraph"/>
              <w:numPr>
                <w:ilvl w:val="0"/>
                <w:numId w:val="26"/>
              </w:numPr>
              <w:rPr>
                <w:sz w:val="20"/>
                <w:szCs w:val="20"/>
              </w:rPr>
            </w:pPr>
            <w:r w:rsidRPr="00BC756B">
              <w:rPr>
                <w:sz w:val="20"/>
                <w:szCs w:val="20"/>
              </w:rPr>
              <w:t xml:space="preserve">idiopathic pulmonary arterial hypertension (PAH), </w:t>
            </w:r>
          </w:p>
          <w:p w14:paraId="7B0232C0" w14:textId="1DE5DC28" w:rsidR="00262CEB" w:rsidRPr="00BC756B" w:rsidRDefault="00262CEB" w:rsidP="00687EBC">
            <w:pPr>
              <w:pStyle w:val="ListParagraph"/>
              <w:numPr>
                <w:ilvl w:val="0"/>
                <w:numId w:val="26"/>
              </w:numPr>
              <w:rPr>
                <w:sz w:val="20"/>
                <w:szCs w:val="20"/>
              </w:rPr>
            </w:pPr>
            <w:r w:rsidRPr="00BC756B">
              <w:rPr>
                <w:sz w:val="20"/>
                <w:szCs w:val="20"/>
              </w:rPr>
              <w:t>pulmonary arterial hypertension associated with connective tissue disease (PAH-CTD), in patients with WHO functional class II, III or IV symptoms.</w:t>
            </w:r>
          </w:p>
        </w:tc>
      </w:tr>
      <w:tr w:rsidR="00262CEB" w14:paraId="4BF56851" w14:textId="77777777" w:rsidTr="0099524E">
        <w:tc>
          <w:tcPr>
            <w:tcW w:w="1546" w:type="dxa"/>
          </w:tcPr>
          <w:p w14:paraId="2F4D693B"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tadalafil </w:t>
            </w:r>
          </w:p>
        </w:tc>
        <w:tc>
          <w:tcPr>
            <w:tcW w:w="8470" w:type="dxa"/>
          </w:tcPr>
          <w:p w14:paraId="47CAD90B" w14:textId="77777777" w:rsidR="00262CEB" w:rsidRPr="00BC756B" w:rsidRDefault="00262CEB" w:rsidP="0099524E">
            <w:pPr>
              <w:rPr>
                <w:sz w:val="20"/>
                <w:szCs w:val="20"/>
              </w:rPr>
            </w:pPr>
            <w:r w:rsidRPr="00BC756B">
              <w:rPr>
                <w:sz w:val="20"/>
                <w:szCs w:val="20"/>
              </w:rPr>
              <w:t xml:space="preserve">in adults for the treatment of pulmonary arterial hypertension (PAH) classified as WHO functional class II and III, to improve exercise capacity. Efficacy has been shown in idiopathic PAH (IPAH) and in PAH related to collagen vascular disease. </w:t>
            </w:r>
          </w:p>
        </w:tc>
      </w:tr>
      <w:tr w:rsidR="00262CEB" w14:paraId="59A91272" w14:textId="77777777" w:rsidTr="0099524E">
        <w:tc>
          <w:tcPr>
            <w:tcW w:w="1546" w:type="dxa"/>
          </w:tcPr>
          <w:p w14:paraId="20AFC5CB" w14:textId="77777777" w:rsidR="00262CEB" w:rsidRPr="00BC756B" w:rsidRDefault="00262CEB" w:rsidP="0099524E">
            <w:pPr>
              <w:keepLines/>
              <w:outlineLvl w:val="1"/>
              <w:rPr>
                <w:rFonts w:eastAsiaTheme="majorEastAsia" w:cstheme="majorBidi"/>
                <w:bCs/>
                <w:sz w:val="20"/>
                <w:szCs w:val="20"/>
              </w:rPr>
            </w:pPr>
            <w:r w:rsidRPr="00BC756B">
              <w:rPr>
                <w:rFonts w:eastAsiaTheme="majorEastAsia" w:cstheme="majorBidi"/>
                <w:bCs/>
                <w:sz w:val="20"/>
                <w:szCs w:val="20"/>
              </w:rPr>
              <w:t xml:space="preserve">macitentan </w:t>
            </w:r>
          </w:p>
        </w:tc>
        <w:tc>
          <w:tcPr>
            <w:tcW w:w="8470" w:type="dxa"/>
          </w:tcPr>
          <w:p w14:paraId="1243B279" w14:textId="77777777" w:rsidR="00262CEB" w:rsidRPr="00BC756B" w:rsidRDefault="00262CEB" w:rsidP="0099524E">
            <w:pPr>
              <w:rPr>
                <w:sz w:val="20"/>
                <w:szCs w:val="20"/>
              </w:rPr>
            </w:pPr>
            <w:r w:rsidRPr="00BC756B">
              <w:rPr>
                <w:sz w:val="20"/>
                <w:szCs w:val="20"/>
              </w:rPr>
              <w:t xml:space="preserve">as monotherapy or in combination with approved PAH treatments (phosphodiesterase-5 inhibitors or inhaled prostanoids), is indicated for the treatment of: </w:t>
            </w:r>
          </w:p>
          <w:p w14:paraId="4A228880" w14:textId="77777777" w:rsidR="00262CEB" w:rsidRPr="00BC756B" w:rsidRDefault="00262CEB" w:rsidP="00262CEB">
            <w:pPr>
              <w:pStyle w:val="ListParagraph"/>
              <w:numPr>
                <w:ilvl w:val="0"/>
                <w:numId w:val="27"/>
              </w:numPr>
              <w:rPr>
                <w:sz w:val="20"/>
                <w:szCs w:val="20"/>
              </w:rPr>
            </w:pPr>
            <w:r w:rsidRPr="00BC756B">
              <w:rPr>
                <w:sz w:val="20"/>
                <w:szCs w:val="20"/>
              </w:rPr>
              <w:t xml:space="preserve">idiopathic pulmonary arterial hypertension </w:t>
            </w:r>
          </w:p>
          <w:p w14:paraId="29DB6759" w14:textId="77777777" w:rsidR="00262CEB" w:rsidRPr="00BC756B" w:rsidRDefault="00262CEB" w:rsidP="00262CEB">
            <w:pPr>
              <w:pStyle w:val="ListParagraph"/>
              <w:numPr>
                <w:ilvl w:val="0"/>
                <w:numId w:val="27"/>
              </w:numPr>
              <w:rPr>
                <w:sz w:val="20"/>
                <w:szCs w:val="20"/>
              </w:rPr>
            </w:pPr>
            <w:r w:rsidRPr="00BC756B">
              <w:rPr>
                <w:sz w:val="20"/>
                <w:szCs w:val="20"/>
              </w:rPr>
              <w:t xml:space="preserve">heritable pulmonary arterial hypertension </w:t>
            </w:r>
          </w:p>
          <w:p w14:paraId="61189ACB" w14:textId="77777777" w:rsidR="00262CEB" w:rsidRPr="00BC756B" w:rsidRDefault="00262CEB" w:rsidP="00262CEB">
            <w:pPr>
              <w:pStyle w:val="ListParagraph"/>
              <w:numPr>
                <w:ilvl w:val="0"/>
                <w:numId w:val="27"/>
              </w:numPr>
              <w:rPr>
                <w:sz w:val="20"/>
                <w:szCs w:val="20"/>
              </w:rPr>
            </w:pPr>
            <w:r w:rsidRPr="00BC756B">
              <w:rPr>
                <w:sz w:val="20"/>
                <w:szCs w:val="20"/>
              </w:rPr>
              <w:t xml:space="preserve">pulmonary arterial hypertension associated with connective tissue disease </w:t>
            </w:r>
          </w:p>
          <w:p w14:paraId="3729CCF8" w14:textId="419CDFBE" w:rsidR="00262CEB" w:rsidRPr="00BC756B" w:rsidRDefault="00262CEB" w:rsidP="00687EBC">
            <w:pPr>
              <w:pStyle w:val="ListParagraph"/>
              <w:numPr>
                <w:ilvl w:val="0"/>
                <w:numId w:val="27"/>
              </w:numPr>
              <w:rPr>
                <w:sz w:val="20"/>
                <w:szCs w:val="20"/>
              </w:rPr>
            </w:pPr>
            <w:r w:rsidRPr="00BC756B">
              <w:rPr>
                <w:sz w:val="20"/>
                <w:szCs w:val="20"/>
              </w:rPr>
              <w:t xml:space="preserve">pulmonary arterial hypertension associated with congenital heart disease with repaired shunts </w:t>
            </w:r>
            <w:r w:rsidR="00687EBC">
              <w:rPr>
                <w:sz w:val="20"/>
                <w:szCs w:val="20"/>
              </w:rPr>
              <w:t>i</w:t>
            </w:r>
            <w:r w:rsidRPr="00BC756B">
              <w:rPr>
                <w:sz w:val="20"/>
                <w:szCs w:val="20"/>
              </w:rPr>
              <w:t xml:space="preserve">n patients with WHO Functional class II, III or IV symptoms. </w:t>
            </w:r>
          </w:p>
        </w:tc>
      </w:tr>
    </w:tbl>
    <w:p w14:paraId="46357CC6" w14:textId="77777777" w:rsidR="00262CEB" w:rsidRDefault="00262CEB" w:rsidP="00262CEB">
      <w:pPr>
        <w:spacing w:line="276" w:lineRule="auto"/>
        <w:rPr>
          <w:rFonts w:eastAsiaTheme="majorEastAsia" w:cstheme="majorBidi"/>
          <w:b/>
          <w:bCs/>
          <w:sz w:val="32"/>
          <w:szCs w:val="26"/>
        </w:rPr>
      </w:pPr>
      <w:r>
        <w:br w:type="page"/>
      </w:r>
    </w:p>
    <w:p w14:paraId="5D1DE6F9" w14:textId="1CA2C5BF" w:rsidR="00262CEB" w:rsidRPr="00AE2703" w:rsidRDefault="004402EE" w:rsidP="00262CEB">
      <w:pPr>
        <w:pStyle w:val="Heading2"/>
        <w:rPr>
          <w:i w:val="0"/>
          <w:sz w:val="32"/>
        </w:rPr>
      </w:pPr>
      <w:r>
        <w:rPr>
          <w:i w:val="0"/>
          <w:sz w:val="28"/>
        </w:rPr>
        <w:lastRenderedPageBreak/>
        <w:t>Appendix B</w:t>
      </w:r>
      <w:r w:rsidR="00262CEB" w:rsidRPr="00AE2703">
        <w:rPr>
          <w:i w:val="0"/>
          <w:sz w:val="28"/>
        </w:rPr>
        <w:t>: Further details on methodology</w:t>
      </w:r>
    </w:p>
    <w:p w14:paraId="5F32B66C" w14:textId="77777777" w:rsidR="00262CEB" w:rsidRPr="00AE2703" w:rsidRDefault="00262CEB" w:rsidP="00262CEB">
      <w:pPr>
        <w:pStyle w:val="Heading2"/>
        <w:rPr>
          <w:i w:val="0"/>
        </w:rPr>
      </w:pPr>
      <w:r w:rsidRPr="00AE2703">
        <w:t>Processing methods for PAH medicine supplies</w:t>
      </w:r>
    </w:p>
    <w:p w14:paraId="378D3084" w14:textId="77777777" w:rsidR="00262CEB" w:rsidRDefault="00262CEB" w:rsidP="00262CEB">
      <w:pPr>
        <w:spacing w:line="276" w:lineRule="auto"/>
      </w:pPr>
      <w:r>
        <w:rPr>
          <w:noProof/>
        </w:rPr>
        <w:drawing>
          <wp:inline distT="0" distB="0" distL="0" distR="0" wp14:anchorId="48BB69C4" wp14:editId="5356631C">
            <wp:extent cx="5895975" cy="3924300"/>
            <wp:effectExtent l="0" t="0" r="0" b="0"/>
            <wp:docPr id="7" name="Chart 7" title="Figure D.1: Packs supplied for PAH drugs by processing method"/>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E8B0548" w14:textId="77777777" w:rsidR="00262CEB" w:rsidRPr="004C618A" w:rsidRDefault="00262CEB" w:rsidP="00262CEB">
      <w:pPr>
        <w:rPr>
          <w:rFonts w:cs="Arial"/>
          <w:b/>
          <w:szCs w:val="20"/>
        </w:rPr>
      </w:pPr>
      <w:r>
        <w:rPr>
          <w:rFonts w:cs="Arial"/>
          <w:b/>
          <w:szCs w:val="20"/>
        </w:rPr>
        <w:t>Figure D.1</w:t>
      </w:r>
      <w:r w:rsidRPr="00094D87">
        <w:rPr>
          <w:rFonts w:cs="Arial"/>
          <w:b/>
          <w:szCs w:val="20"/>
        </w:rPr>
        <w:t xml:space="preserve">: </w:t>
      </w:r>
      <w:r>
        <w:rPr>
          <w:rFonts w:cs="Arial"/>
          <w:b/>
          <w:szCs w:val="20"/>
        </w:rPr>
        <w:t>Packs supplied for PAH drugs by processing method</w:t>
      </w:r>
      <w:r>
        <w:rPr>
          <w:rFonts w:cs="Arial"/>
          <w:b/>
          <w:szCs w:val="20"/>
        </w:rPr>
        <w:br/>
      </w:r>
      <w:r>
        <w:rPr>
          <w:rFonts w:cs="Arial"/>
          <w:sz w:val="20"/>
          <w:szCs w:val="20"/>
        </w:rPr>
        <w:t>Source</w:t>
      </w:r>
      <w:r w:rsidRPr="004A11F0">
        <w:rPr>
          <w:rFonts w:cs="Arial"/>
          <w:sz w:val="20"/>
          <w:szCs w:val="20"/>
        </w:rPr>
        <w:t xml:space="preserve">: </w:t>
      </w:r>
      <w:r>
        <w:rPr>
          <w:rFonts w:cs="Arial"/>
          <w:sz w:val="20"/>
          <w:szCs w:val="20"/>
        </w:rPr>
        <w:t>DUSC HSD database</w:t>
      </w:r>
    </w:p>
    <w:p w14:paraId="76566003" w14:textId="38BA956C" w:rsidR="00262CEB" w:rsidRDefault="00262CEB" w:rsidP="00262CEB">
      <w:pPr>
        <w:spacing w:line="276" w:lineRule="auto"/>
      </w:pPr>
      <w:r>
        <w:t xml:space="preserve">Packs processed via the “Online” method are also reported as </w:t>
      </w:r>
      <w:r w:rsidR="003F70D3">
        <w:t>prescription</w:t>
      </w:r>
      <w:r w:rsidR="008D4595">
        <w:t>s</w:t>
      </w:r>
      <w:r>
        <w:t xml:space="preserve"> and each </w:t>
      </w:r>
      <w:r w:rsidR="003F70D3">
        <w:t>prescription</w:t>
      </w:r>
      <w:r>
        <w:t xml:space="preserve"> has a patient specific number which enables patient level analysis (e</w:t>
      </w:r>
      <w:r w:rsidR="004E70C4">
        <w:t>.</w:t>
      </w:r>
      <w:r>
        <w:t>g. length of treatment).</w:t>
      </w:r>
    </w:p>
    <w:p w14:paraId="6AAE5084" w14:textId="6B7BA9F1" w:rsidR="00262CEB" w:rsidRDefault="00262CEB" w:rsidP="00262CEB">
      <w:pPr>
        <w:spacing w:line="276" w:lineRule="auto"/>
      </w:pPr>
      <w:r>
        <w:t xml:space="preserve">Figure D.2 shows the data in Figure D.1 as a percentage of packs by processing method. It can be seen that the “Online” by DHS method reaches 100% in 2013 Q3 also Offline process was phased out in June 2013. Also the percentage of “Online” processed packs is around 90% from 2007 Q2. This means that length of treatment analysis can for performed from this date, but the result will be a slight underestimate as it is possible that a patient’s </w:t>
      </w:r>
      <w:r w:rsidR="003F70D3">
        <w:t>prescription</w:t>
      </w:r>
      <w:r>
        <w:t xml:space="preserve"> would be missing (i</w:t>
      </w:r>
      <w:r w:rsidR="00B37F0B">
        <w:t>.</w:t>
      </w:r>
      <w:r>
        <w:t xml:space="preserve">e. processed via the Offline system) from the patient level </w:t>
      </w:r>
      <w:r w:rsidR="003F70D3">
        <w:t>prescription</w:t>
      </w:r>
      <w:r>
        <w:t xml:space="preserve"> data. The likelihood of a missing </w:t>
      </w:r>
      <w:r w:rsidR="003F70D3">
        <w:t>prescription</w:t>
      </w:r>
      <w:r>
        <w:t xml:space="preserve"> would be less than 10% however because a patient who has some </w:t>
      </w:r>
      <w:r w:rsidR="003F70D3">
        <w:t>prescription</w:t>
      </w:r>
      <w:r>
        <w:t xml:space="preserve">s in an environment that has </w:t>
      </w:r>
      <w:r w:rsidR="003F70D3">
        <w:t>prescription</w:t>
      </w:r>
      <w:r>
        <w:t xml:space="preserve">s processed “Online” (ie. private hospitals and some public hospitals) is relatively unlikely to switch to an environment that processes </w:t>
      </w:r>
      <w:r w:rsidR="003F70D3">
        <w:t>prescription</w:t>
      </w:r>
      <w:r>
        <w:t xml:space="preserve"> offline (i</w:t>
      </w:r>
      <w:r w:rsidR="00A954BC">
        <w:t>.</w:t>
      </w:r>
      <w:r>
        <w:t>e. the remaining public hospitals).</w:t>
      </w:r>
    </w:p>
    <w:p w14:paraId="3C53DAB4" w14:textId="77777777" w:rsidR="00262CEB" w:rsidRDefault="00262CEB" w:rsidP="00262CEB">
      <w:pPr>
        <w:spacing w:line="276" w:lineRule="auto"/>
      </w:pPr>
      <w:r>
        <w:rPr>
          <w:noProof/>
        </w:rPr>
        <w:lastRenderedPageBreak/>
        <w:drawing>
          <wp:inline distT="0" distB="0" distL="0" distR="0" wp14:anchorId="0C40A0C6" wp14:editId="58C87C40">
            <wp:extent cx="5687695" cy="3703686"/>
            <wp:effectExtent l="0" t="0" r="8255" b="0"/>
            <wp:docPr id="16" name="Chart 16" title="Figure D.2: % Packs supplied for PAH drugs by processing method"/>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77FA03CE" w14:textId="77777777" w:rsidR="00262CEB" w:rsidRPr="004C618A" w:rsidRDefault="00262CEB" w:rsidP="00262CEB">
      <w:pPr>
        <w:rPr>
          <w:rFonts w:cs="Arial"/>
          <w:b/>
          <w:szCs w:val="20"/>
        </w:rPr>
      </w:pPr>
      <w:r>
        <w:rPr>
          <w:rFonts w:cs="Arial"/>
          <w:b/>
          <w:szCs w:val="20"/>
        </w:rPr>
        <w:t>Figure D.2</w:t>
      </w:r>
      <w:r w:rsidRPr="00094D87">
        <w:rPr>
          <w:rFonts w:cs="Arial"/>
          <w:b/>
          <w:szCs w:val="20"/>
        </w:rPr>
        <w:t xml:space="preserve">: </w:t>
      </w:r>
      <w:r>
        <w:rPr>
          <w:rFonts w:cs="Arial"/>
          <w:b/>
          <w:szCs w:val="20"/>
        </w:rPr>
        <w:t>% Packs supplied for PAH drugs by processing method</w:t>
      </w:r>
      <w:r>
        <w:rPr>
          <w:rFonts w:cs="Arial"/>
          <w:b/>
          <w:szCs w:val="20"/>
        </w:rPr>
        <w:br/>
      </w:r>
      <w:r>
        <w:rPr>
          <w:rFonts w:cs="Arial"/>
          <w:sz w:val="20"/>
          <w:szCs w:val="20"/>
        </w:rPr>
        <w:t>Source</w:t>
      </w:r>
      <w:r w:rsidRPr="004A11F0">
        <w:rPr>
          <w:rFonts w:cs="Arial"/>
          <w:sz w:val="20"/>
          <w:szCs w:val="20"/>
        </w:rPr>
        <w:t xml:space="preserve">: </w:t>
      </w:r>
      <w:r>
        <w:rPr>
          <w:rFonts w:cs="Arial"/>
          <w:sz w:val="20"/>
          <w:szCs w:val="20"/>
        </w:rPr>
        <w:t>DUSC HSD database</w:t>
      </w:r>
    </w:p>
    <w:p w14:paraId="4D70DC90" w14:textId="023382E8" w:rsidR="00262CEB" w:rsidRPr="00AF60C0" w:rsidRDefault="00262CEB" w:rsidP="00262CEB">
      <w:pPr>
        <w:rPr>
          <w:rFonts w:eastAsia="Calibri" w:cs="Times New Roman"/>
        </w:rPr>
      </w:pPr>
      <w:r w:rsidRPr="00AF60C0">
        <w:rPr>
          <w:rFonts w:eastAsia="Calibri" w:cs="Times New Roman"/>
        </w:rPr>
        <w:t xml:space="preserve">Alternatively, length of treatment analysis could be done for patients in the state of Victoria only as 100% of packs processed for patients in Victoria have been processed via the “Online” system since 2004 Q1. This means the </w:t>
      </w:r>
      <w:r w:rsidR="003F70D3">
        <w:rPr>
          <w:rFonts w:eastAsia="Calibri" w:cs="Times New Roman"/>
        </w:rPr>
        <w:t>prescription</w:t>
      </w:r>
      <w:r w:rsidRPr="00AF60C0">
        <w:rPr>
          <w:rFonts w:eastAsia="Calibri" w:cs="Times New Roman"/>
        </w:rPr>
        <w:t xml:space="preserve"> history for these patients would be complete (unless the patient moved state).</w:t>
      </w:r>
    </w:p>
    <w:p w14:paraId="7DCA5B59" w14:textId="475D6710" w:rsidR="00262CEB" w:rsidRPr="00AF60C0" w:rsidRDefault="00262CEB" w:rsidP="00262CEB">
      <w:pPr>
        <w:rPr>
          <w:rFonts w:eastAsia="Calibri" w:cs="Times New Roman"/>
        </w:rPr>
      </w:pPr>
      <w:r w:rsidRPr="00AF60C0">
        <w:rPr>
          <w:rFonts w:eastAsia="Calibri" w:cs="Times New Roman"/>
        </w:rPr>
        <w:t xml:space="preserve">A further alternative for estimating length of treatment would be to use authority approval data as this also contains the patient specific number required for patient level analysis. However this would be less accurate than using </w:t>
      </w:r>
      <w:r w:rsidR="003F70D3">
        <w:rPr>
          <w:rFonts w:eastAsia="Calibri" w:cs="Times New Roman"/>
        </w:rPr>
        <w:t>prescription</w:t>
      </w:r>
      <w:r w:rsidRPr="00AF60C0">
        <w:rPr>
          <w:rFonts w:eastAsia="Calibri" w:cs="Times New Roman"/>
        </w:rPr>
        <w:t xml:space="preserve"> data as there is a longer time between authorities than </w:t>
      </w:r>
      <w:r w:rsidR="003F70D3">
        <w:rPr>
          <w:rFonts w:eastAsia="Calibri" w:cs="Times New Roman"/>
        </w:rPr>
        <w:t>prescription</w:t>
      </w:r>
      <w:r w:rsidRPr="00AF60C0">
        <w:rPr>
          <w:rFonts w:eastAsia="Calibri" w:cs="Times New Roman"/>
        </w:rPr>
        <w:t>s. The advantage of using authority approval data would be that is it complete for patients in all states and across the entire time period.</w:t>
      </w:r>
    </w:p>
    <w:p w14:paraId="571F59C5" w14:textId="77777777" w:rsidR="00262CEB" w:rsidRDefault="00262CEB" w:rsidP="00262CEB">
      <w:pPr>
        <w:spacing w:line="276" w:lineRule="auto"/>
      </w:pPr>
      <w:r>
        <w:br w:type="page"/>
      </w:r>
    </w:p>
    <w:p w14:paraId="68C3BEBE" w14:textId="77777777" w:rsidR="00262CEB" w:rsidRPr="00AE2703" w:rsidRDefault="00262CEB" w:rsidP="00262CEB">
      <w:pPr>
        <w:pStyle w:val="Heading2"/>
        <w:rPr>
          <w:i w:val="0"/>
        </w:rPr>
      </w:pPr>
      <w:r w:rsidRPr="00AE2703">
        <w:lastRenderedPageBreak/>
        <w:t>Method for counting the number of patients treated</w:t>
      </w:r>
    </w:p>
    <w:p w14:paraId="3879799B" w14:textId="77777777" w:rsidR="00262CEB" w:rsidRDefault="00262CEB" w:rsidP="00262CEB">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patients was determined by counting the number of person</w:t>
      </w:r>
      <w:r>
        <w:rPr>
          <w:rFonts w:eastAsia="Calibri" w:cs="Times New Roman"/>
        </w:rPr>
        <w:t xml:space="preserve"> specific</w:t>
      </w:r>
      <w:r w:rsidRPr="00AF6ACC">
        <w:rPr>
          <w:rFonts w:eastAsia="Calibri" w:cs="Times New Roman"/>
        </w:rPr>
        <w:t xml:space="preserve"> numbers</w:t>
      </w:r>
      <w:r>
        <w:rPr>
          <w:rFonts w:eastAsia="Calibri" w:cs="Times New Roman"/>
        </w:rPr>
        <w:t xml:space="preserve"> (non</w:t>
      </w:r>
      <w:r w:rsidRPr="00AF6ACC">
        <w:rPr>
          <w:rFonts w:eastAsia="Calibri" w:cs="Times New Roman"/>
        </w:rPr>
        <w:t>-identif</w:t>
      </w:r>
      <w:r>
        <w:rPr>
          <w:rFonts w:eastAsia="Calibri" w:cs="Times New Roman"/>
        </w:rPr>
        <w:t>ying)</w:t>
      </w:r>
      <w:r w:rsidRPr="00AF6ACC">
        <w:rPr>
          <w:rFonts w:eastAsia="Calibri" w:cs="Times New Roman"/>
        </w:rPr>
        <w:t xml:space="preserve"> in the </w:t>
      </w:r>
      <w:r>
        <w:rPr>
          <w:rFonts w:eastAsia="Calibri" w:cs="Times New Roman"/>
        </w:rPr>
        <w:t>authority approval data</w:t>
      </w:r>
      <w:r w:rsidRPr="00AF6ACC">
        <w:rPr>
          <w:rFonts w:eastAsia="Calibri" w:cs="Times New Roman"/>
        </w:rPr>
        <w:t xml:space="preserve"> for the specified time period. New (initiating) patients were defined as those with no prior PBS or RPBS </w:t>
      </w:r>
      <w:r>
        <w:rPr>
          <w:rFonts w:eastAsia="Calibri" w:cs="Times New Roman"/>
        </w:rPr>
        <w:t xml:space="preserve">authority approval for </w:t>
      </w:r>
      <w:r w:rsidRPr="00AF6ACC">
        <w:rPr>
          <w:rFonts w:eastAsia="Calibri" w:cs="Times New Roman"/>
        </w:rPr>
        <w:t xml:space="preserve">the </w:t>
      </w:r>
      <w:r>
        <w:rPr>
          <w:rFonts w:eastAsia="Calibri" w:cs="Times New Roman"/>
        </w:rPr>
        <w:t>drug or drug group of interest.</w:t>
      </w:r>
    </w:p>
    <w:p w14:paraId="273B0F72" w14:textId="219F1F60" w:rsidR="00262CEB" w:rsidRDefault="00262CEB" w:rsidP="00262CEB">
      <w:pPr>
        <w:rPr>
          <w:rFonts w:eastAsia="Calibri" w:cs="Times New Roman"/>
        </w:rPr>
      </w:pPr>
      <w:r>
        <w:rPr>
          <w:rFonts w:eastAsia="Calibri" w:cs="Times New Roman"/>
        </w:rPr>
        <w:t>The patients were counted from the authority ap</w:t>
      </w:r>
      <w:r w:rsidR="008D4595">
        <w:rPr>
          <w:rFonts w:eastAsia="Calibri" w:cs="Times New Roman"/>
        </w:rPr>
        <w:t xml:space="preserve">provals data and not the DHS </w:t>
      </w:r>
      <w:r w:rsidR="003F70D3">
        <w:rPr>
          <w:rFonts w:eastAsia="Calibri" w:cs="Times New Roman"/>
        </w:rPr>
        <w:t>prescription</w:t>
      </w:r>
      <w:r>
        <w:rPr>
          <w:rFonts w:eastAsia="Calibri" w:cs="Times New Roman"/>
        </w:rPr>
        <w:t xml:space="preserve"> claim data as the latter is incomplete with respect to patient level supply history for highly specialised drugs prior to July 2013 (see Appendix A for an analysis of the completeness of this data). This is because some HSD </w:t>
      </w:r>
      <w:r w:rsidR="003F70D3">
        <w:rPr>
          <w:rFonts w:eastAsia="Calibri" w:cs="Times New Roman"/>
        </w:rPr>
        <w:t>prescription</w:t>
      </w:r>
      <w:r>
        <w:rPr>
          <w:rFonts w:eastAsia="Calibri" w:cs="Times New Roman"/>
        </w:rPr>
        <w:t xml:space="preserve">s were processed via the DHS Offline processing system which does not provide a person specific number. A disadvantage of using authority approval data compared to supplied </w:t>
      </w:r>
      <w:r w:rsidR="003F70D3">
        <w:rPr>
          <w:rFonts w:eastAsia="Calibri" w:cs="Times New Roman"/>
        </w:rPr>
        <w:t>prescription</w:t>
      </w:r>
      <w:r>
        <w:rPr>
          <w:rFonts w:eastAsia="Calibri" w:cs="Times New Roman"/>
        </w:rPr>
        <w:t xml:space="preserve"> data for counting prevalent patients is that approvals are less frequent than </w:t>
      </w:r>
      <w:r w:rsidR="003F70D3">
        <w:rPr>
          <w:rFonts w:eastAsia="Calibri" w:cs="Times New Roman"/>
        </w:rPr>
        <w:t>prescription</w:t>
      </w:r>
      <w:r w:rsidR="004057D1">
        <w:rPr>
          <w:rFonts w:eastAsia="Calibri" w:cs="Times New Roman"/>
        </w:rPr>
        <w:t>s</w:t>
      </w:r>
      <w:r>
        <w:rPr>
          <w:rFonts w:eastAsia="Calibri" w:cs="Times New Roman"/>
        </w:rPr>
        <w:t xml:space="preserve">. This means that whilst the supplied </w:t>
      </w:r>
      <w:r w:rsidR="003F70D3">
        <w:rPr>
          <w:rFonts w:eastAsia="Calibri" w:cs="Times New Roman"/>
        </w:rPr>
        <w:t>prescription</w:t>
      </w:r>
      <w:r>
        <w:rPr>
          <w:rFonts w:eastAsia="Calibri" w:cs="Times New Roman"/>
        </w:rPr>
        <w:t xml:space="preserve"> data would be expected to capture nearly all prevalent patients in a 3 month period from </w:t>
      </w:r>
      <w:r w:rsidR="003F70D3">
        <w:rPr>
          <w:rFonts w:eastAsia="Calibri" w:cs="Times New Roman"/>
        </w:rPr>
        <w:t>prescription</w:t>
      </w:r>
      <w:r w:rsidR="004057D1">
        <w:rPr>
          <w:rFonts w:eastAsia="Calibri" w:cs="Times New Roman"/>
        </w:rPr>
        <w:t>s</w:t>
      </w:r>
      <w:r>
        <w:rPr>
          <w:rFonts w:eastAsia="Calibri" w:cs="Times New Roman"/>
        </w:rPr>
        <w:t xml:space="preserve"> that are normal supplied monthly, this would not be the case for approvals that are only required every 6 months (i</w:t>
      </w:r>
      <w:r w:rsidR="00B37F0B">
        <w:rPr>
          <w:rFonts w:eastAsia="Calibri" w:cs="Times New Roman"/>
        </w:rPr>
        <w:t>.</w:t>
      </w:r>
      <w:r>
        <w:rPr>
          <w:rFonts w:eastAsia="Calibri" w:cs="Times New Roman"/>
        </w:rPr>
        <w:t>e. the 3 month prevalence estimated from approvals would be a large underestimate of the true prevalence).</w:t>
      </w:r>
    </w:p>
    <w:p w14:paraId="1FCC3D9E" w14:textId="04B51B88" w:rsidR="00262CEB" w:rsidRDefault="00262CEB" w:rsidP="00262CEB">
      <w:pPr>
        <w:rPr>
          <w:rFonts w:eastAsia="Calibri" w:cs="Times New Roman"/>
        </w:rPr>
      </w:pPr>
      <w:r>
        <w:rPr>
          <w:rFonts w:eastAsia="Calibri" w:cs="Times New Roman"/>
        </w:rPr>
        <w:t xml:space="preserve">In </w:t>
      </w:r>
      <w:r w:rsidR="004402EE">
        <w:rPr>
          <w:rFonts w:eastAsia="Calibri" w:cs="Times New Roman"/>
        </w:rPr>
        <w:t xml:space="preserve">Appendix </w:t>
      </w:r>
      <w:r w:rsidR="00054ECE">
        <w:rPr>
          <w:rFonts w:eastAsia="Calibri" w:cs="Times New Roman"/>
        </w:rPr>
        <w:t>C</w:t>
      </w:r>
      <w:r>
        <w:rPr>
          <w:rFonts w:eastAsia="Calibri" w:cs="Times New Roman"/>
        </w:rPr>
        <w:t xml:space="preserve"> the Number of Repeats is 0 for all the PAH item listings. This means that the prescriber has to specify the Number of Repeats when requesting the approval. Analysis of the approval data for this group of drugs shows that the most common number of repeats approved is five. The median time to re-supply of </w:t>
      </w:r>
      <w:r w:rsidR="003F70D3">
        <w:rPr>
          <w:rFonts w:eastAsia="Calibri" w:cs="Times New Roman"/>
        </w:rPr>
        <w:t>prescription</w:t>
      </w:r>
      <w:r>
        <w:rPr>
          <w:rFonts w:eastAsia="Calibri" w:cs="Times New Roman"/>
        </w:rPr>
        <w:t xml:space="preserve"> was calculated as part of the length of treatment analysis in this report. The median times to re-supply by drug are reported in </w:t>
      </w:r>
      <w:r w:rsidR="00054ECE">
        <w:rPr>
          <w:rFonts w:eastAsia="Calibri" w:cs="Times New Roman"/>
        </w:rPr>
        <w:t xml:space="preserve">this </w:t>
      </w:r>
      <w:r>
        <w:rPr>
          <w:rFonts w:eastAsia="Calibri" w:cs="Times New Roman"/>
        </w:rPr>
        <w:t>Appendix (</w:t>
      </w:r>
      <w:r w:rsidR="00054ECE">
        <w:rPr>
          <w:rFonts w:eastAsia="Calibri" w:cs="Times New Roman"/>
        </w:rPr>
        <w:t>See next section “</w:t>
      </w:r>
      <w:r w:rsidRPr="006E3CDF">
        <w:rPr>
          <w:rFonts w:eastAsia="Calibri" w:cs="Times New Roman"/>
        </w:rPr>
        <w:t>Detailed methodology for Kaplan Meier length of treatment analyses</w:t>
      </w:r>
      <w:r w:rsidR="00054ECE">
        <w:rPr>
          <w:rFonts w:eastAsia="Calibri" w:cs="Times New Roman"/>
        </w:rPr>
        <w:t>”</w:t>
      </w:r>
      <w:r>
        <w:rPr>
          <w:rFonts w:eastAsia="Calibri" w:cs="Times New Roman"/>
        </w:rPr>
        <w:t>). The longest median time to resupply is 37 days for iloprost. This means that to capture all prevalent patients in the data, given that most have one original and five repeats, the period over which prevalence needs to be calculated is greater than 6 months. Thus in this report prevalence is calculated over a period of a year to avoid underestimation.  Incidence however is not affected by the above problem (i</w:t>
      </w:r>
      <w:r w:rsidR="007531F8">
        <w:rPr>
          <w:rFonts w:eastAsia="Calibri" w:cs="Times New Roman"/>
        </w:rPr>
        <w:t>.</w:t>
      </w:r>
      <w:r>
        <w:rPr>
          <w:rFonts w:eastAsia="Calibri" w:cs="Times New Roman"/>
        </w:rPr>
        <w:t>e. it can be calculated accurately for any period length) and so is calculated quarterly for the initiating patients by drug analysis (see Figure 3 &amp; 4) to show the temporal effects of listing changes on initiations.</w:t>
      </w:r>
    </w:p>
    <w:p w14:paraId="79648886" w14:textId="77777777" w:rsidR="00262CEB" w:rsidRDefault="00262CEB" w:rsidP="00262CEB">
      <w:pPr>
        <w:spacing w:line="276" w:lineRule="auto"/>
        <w:rPr>
          <w:rFonts w:eastAsiaTheme="majorEastAsia" w:cstheme="majorBidi"/>
          <w:b/>
          <w:bCs/>
          <w:sz w:val="32"/>
          <w:szCs w:val="26"/>
        </w:rPr>
      </w:pPr>
      <w:r>
        <w:br w:type="page"/>
      </w:r>
    </w:p>
    <w:p w14:paraId="20D66A60" w14:textId="77777777" w:rsidR="00262CEB" w:rsidRDefault="00262CEB" w:rsidP="00262CEB">
      <w:pPr>
        <w:spacing w:line="276" w:lineRule="auto"/>
      </w:pPr>
    </w:p>
    <w:p w14:paraId="5CBBBBB7" w14:textId="77777777" w:rsidR="00262CEB" w:rsidRPr="00AE2703" w:rsidRDefault="00262CEB" w:rsidP="00262CEB">
      <w:pPr>
        <w:pStyle w:val="Heading2"/>
        <w:rPr>
          <w:rFonts w:cs="Times New Roman"/>
          <w:i w:val="0"/>
        </w:rPr>
      </w:pPr>
      <w:r w:rsidRPr="00AE2703">
        <w:t>Detailed methodology for Kaplan Meier length of treatment analyses</w:t>
      </w:r>
    </w:p>
    <w:p w14:paraId="291D4954" w14:textId="151B3CF8" w:rsidR="00262CEB" w:rsidRDefault="00262CEB" w:rsidP="00262CEB">
      <w:pPr>
        <w:tabs>
          <w:tab w:val="left" w:pos="4058"/>
        </w:tabs>
        <w:rPr>
          <w:rFonts w:eastAsia="Calibri" w:cs="Times New Roman"/>
        </w:rPr>
      </w:pPr>
      <w:r>
        <w:rPr>
          <w:rFonts w:eastAsia="Calibri" w:cs="Times New Roman"/>
        </w:rPr>
        <w:t xml:space="preserve">A break in treatment is defined as a gap of 2 x Standard Coverage Days (SCD) in drug coverage which is equivalent to 3 x SCDs between </w:t>
      </w:r>
      <w:r w:rsidR="003F70D3">
        <w:rPr>
          <w:rFonts w:eastAsia="Calibri" w:cs="Times New Roman"/>
        </w:rPr>
        <w:t>prescription</w:t>
      </w:r>
      <w:r>
        <w:rPr>
          <w:rFonts w:eastAsia="Calibri" w:cs="Times New Roman"/>
        </w:rPr>
        <w:t xml:space="preserve"> supply. An episode is defined as the time from the first </w:t>
      </w:r>
      <w:r w:rsidR="003F70D3">
        <w:rPr>
          <w:rFonts w:eastAsia="Calibri" w:cs="Times New Roman"/>
        </w:rPr>
        <w:t>prescription</w:t>
      </w:r>
      <w:r>
        <w:rPr>
          <w:rFonts w:eastAsia="Calibri" w:cs="Times New Roman"/>
        </w:rPr>
        <w:t xml:space="preserve"> to the last </w:t>
      </w:r>
      <w:r w:rsidR="003F70D3">
        <w:rPr>
          <w:rFonts w:eastAsia="Calibri" w:cs="Times New Roman"/>
        </w:rPr>
        <w:t>prescription</w:t>
      </w:r>
      <w:r>
        <w:rPr>
          <w:rFonts w:eastAsia="Calibri" w:cs="Times New Roman"/>
        </w:rPr>
        <w:t xml:space="preserve"> before a break plus one SCD (ie. the coverage of the last </w:t>
      </w:r>
      <w:r w:rsidR="003F70D3">
        <w:rPr>
          <w:rFonts w:eastAsia="Calibri" w:cs="Times New Roman"/>
        </w:rPr>
        <w:t>prescription</w:t>
      </w:r>
      <w:r>
        <w:rPr>
          <w:rFonts w:eastAsia="Calibri" w:cs="Times New Roman"/>
        </w:rPr>
        <w:t xml:space="preserve">). The </w:t>
      </w:r>
      <w:r w:rsidR="003F70D3">
        <w:rPr>
          <w:rFonts w:eastAsia="Calibri" w:cs="Times New Roman"/>
        </w:rPr>
        <w:t>prescription</w:t>
      </w:r>
      <w:r>
        <w:rPr>
          <w:rFonts w:eastAsia="Calibri" w:cs="Times New Roman"/>
        </w:rPr>
        <w:t xml:space="preserve"> after a break in treatment is defined as the first </w:t>
      </w:r>
      <w:r w:rsidR="003F70D3">
        <w:rPr>
          <w:rFonts w:eastAsia="Calibri" w:cs="Times New Roman"/>
        </w:rPr>
        <w:t>prescription</w:t>
      </w:r>
      <w:r>
        <w:rPr>
          <w:rFonts w:eastAsia="Calibri" w:cs="Times New Roman"/>
        </w:rPr>
        <w:t xml:space="preserve"> of the next episode. The SCDs are equal to the median time to re-supply of </w:t>
      </w:r>
      <w:r w:rsidR="003F70D3">
        <w:rPr>
          <w:rFonts w:eastAsia="Calibri" w:cs="Times New Roman"/>
        </w:rPr>
        <w:t>prescription</w:t>
      </w:r>
      <w:r>
        <w:rPr>
          <w:rFonts w:eastAsia="Calibri" w:cs="Times New Roman"/>
        </w:rPr>
        <w:t>s calculated at the drug level. The table below shows the SCDs used in this analysis.</w:t>
      </w:r>
    </w:p>
    <w:tbl>
      <w:tblPr>
        <w:tblStyle w:val="TableGrid"/>
        <w:tblW w:w="0" w:type="auto"/>
        <w:tblLook w:val="04A0" w:firstRow="1" w:lastRow="0" w:firstColumn="1" w:lastColumn="0" w:noHBand="0" w:noVBand="1"/>
        <w:tblCaption w:val="Median time to re-supply by any item of the specified drug "/>
      </w:tblPr>
      <w:tblGrid>
        <w:gridCol w:w="1526"/>
        <w:gridCol w:w="3572"/>
      </w:tblGrid>
      <w:tr w:rsidR="00262CEB" w14:paraId="5EA1742A" w14:textId="77777777" w:rsidTr="00096FB3">
        <w:trPr>
          <w:tblHeader/>
        </w:trPr>
        <w:tc>
          <w:tcPr>
            <w:tcW w:w="1526" w:type="dxa"/>
            <w:shd w:val="clear" w:color="auto" w:fill="BFBFBF" w:themeFill="background1" w:themeFillShade="BF"/>
          </w:tcPr>
          <w:p w14:paraId="6392D9EE" w14:textId="77777777" w:rsidR="00262CEB" w:rsidRPr="00AF60C0" w:rsidRDefault="00262CEB" w:rsidP="0099524E">
            <w:pPr>
              <w:rPr>
                <w:b/>
                <w:sz w:val="20"/>
                <w:szCs w:val="20"/>
              </w:rPr>
            </w:pPr>
            <w:r w:rsidRPr="00AF60C0">
              <w:rPr>
                <w:b/>
                <w:sz w:val="20"/>
                <w:szCs w:val="20"/>
              </w:rPr>
              <w:t>Drug</w:t>
            </w:r>
          </w:p>
          <w:p w14:paraId="13BF6511" w14:textId="77777777" w:rsidR="00262CEB" w:rsidRPr="00AF60C0" w:rsidRDefault="00262CEB" w:rsidP="0099524E">
            <w:pPr>
              <w:rPr>
                <w:b/>
                <w:sz w:val="20"/>
                <w:szCs w:val="20"/>
              </w:rPr>
            </w:pPr>
          </w:p>
        </w:tc>
        <w:tc>
          <w:tcPr>
            <w:tcW w:w="3572" w:type="dxa"/>
            <w:shd w:val="clear" w:color="auto" w:fill="BFBFBF" w:themeFill="background1" w:themeFillShade="BF"/>
          </w:tcPr>
          <w:p w14:paraId="3094FC57" w14:textId="77777777" w:rsidR="00262CEB" w:rsidRPr="00AF60C0" w:rsidRDefault="00262CEB" w:rsidP="0099524E">
            <w:pPr>
              <w:tabs>
                <w:tab w:val="left" w:pos="4058"/>
              </w:tabs>
              <w:jc w:val="center"/>
              <w:rPr>
                <w:rFonts w:eastAsia="Calibri"/>
                <w:b/>
                <w:sz w:val="20"/>
                <w:szCs w:val="20"/>
              </w:rPr>
            </w:pPr>
            <w:r w:rsidRPr="00AF60C0">
              <w:rPr>
                <w:rFonts w:eastAsia="Calibri"/>
                <w:b/>
                <w:sz w:val="20"/>
                <w:szCs w:val="20"/>
              </w:rPr>
              <w:t>Median time to re-supply by any item of the specified drug = SCD (days)</w:t>
            </w:r>
          </w:p>
        </w:tc>
      </w:tr>
      <w:tr w:rsidR="00262CEB" w14:paraId="5123359A" w14:textId="77777777" w:rsidTr="0099524E">
        <w:tc>
          <w:tcPr>
            <w:tcW w:w="1526" w:type="dxa"/>
          </w:tcPr>
          <w:p w14:paraId="72F251F0"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bosentan </w:t>
            </w:r>
          </w:p>
        </w:tc>
        <w:tc>
          <w:tcPr>
            <w:tcW w:w="3572" w:type="dxa"/>
          </w:tcPr>
          <w:p w14:paraId="553E467E" w14:textId="77777777" w:rsidR="00262CEB" w:rsidRPr="00AF60C0" w:rsidRDefault="00262CEB" w:rsidP="0099524E">
            <w:pPr>
              <w:jc w:val="center"/>
              <w:rPr>
                <w:sz w:val="20"/>
                <w:szCs w:val="20"/>
              </w:rPr>
            </w:pPr>
            <w:r w:rsidRPr="00AF60C0">
              <w:rPr>
                <w:sz w:val="20"/>
                <w:szCs w:val="20"/>
              </w:rPr>
              <w:t>30</w:t>
            </w:r>
          </w:p>
        </w:tc>
      </w:tr>
      <w:tr w:rsidR="00262CEB" w14:paraId="1C78D41D" w14:textId="77777777" w:rsidTr="0099524E">
        <w:tc>
          <w:tcPr>
            <w:tcW w:w="1526" w:type="dxa"/>
          </w:tcPr>
          <w:p w14:paraId="4ECC2904"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iloprost </w:t>
            </w:r>
          </w:p>
        </w:tc>
        <w:tc>
          <w:tcPr>
            <w:tcW w:w="3572" w:type="dxa"/>
          </w:tcPr>
          <w:p w14:paraId="094E50A7" w14:textId="77777777" w:rsidR="00262CEB" w:rsidRPr="00AF60C0" w:rsidRDefault="00262CEB" w:rsidP="0099524E">
            <w:pPr>
              <w:jc w:val="center"/>
              <w:rPr>
                <w:sz w:val="20"/>
                <w:szCs w:val="20"/>
              </w:rPr>
            </w:pPr>
            <w:r w:rsidRPr="00AF60C0">
              <w:rPr>
                <w:sz w:val="20"/>
                <w:szCs w:val="20"/>
              </w:rPr>
              <w:t>30</w:t>
            </w:r>
          </w:p>
        </w:tc>
      </w:tr>
      <w:tr w:rsidR="00262CEB" w14:paraId="519AC14A" w14:textId="77777777" w:rsidTr="0099524E">
        <w:tc>
          <w:tcPr>
            <w:tcW w:w="1526" w:type="dxa"/>
          </w:tcPr>
          <w:p w14:paraId="626E0DE9"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epoprostenol </w:t>
            </w:r>
          </w:p>
        </w:tc>
        <w:tc>
          <w:tcPr>
            <w:tcW w:w="3572" w:type="dxa"/>
          </w:tcPr>
          <w:p w14:paraId="33189862" w14:textId="77777777" w:rsidR="00262CEB" w:rsidRPr="00AF60C0" w:rsidRDefault="00262CEB" w:rsidP="0099524E">
            <w:pPr>
              <w:jc w:val="center"/>
              <w:rPr>
                <w:sz w:val="20"/>
                <w:szCs w:val="20"/>
              </w:rPr>
            </w:pPr>
            <w:r w:rsidRPr="00AF60C0">
              <w:rPr>
                <w:sz w:val="20"/>
                <w:szCs w:val="20"/>
              </w:rPr>
              <w:t>29</w:t>
            </w:r>
          </w:p>
        </w:tc>
      </w:tr>
      <w:tr w:rsidR="00262CEB" w14:paraId="0ADDAA68" w14:textId="77777777" w:rsidTr="0099524E">
        <w:tc>
          <w:tcPr>
            <w:tcW w:w="1526" w:type="dxa"/>
          </w:tcPr>
          <w:p w14:paraId="38F61DFB"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sildenafil </w:t>
            </w:r>
          </w:p>
        </w:tc>
        <w:tc>
          <w:tcPr>
            <w:tcW w:w="3572" w:type="dxa"/>
          </w:tcPr>
          <w:p w14:paraId="54E907D0" w14:textId="77777777" w:rsidR="00262CEB" w:rsidRPr="00AF60C0" w:rsidRDefault="00262CEB" w:rsidP="0099524E">
            <w:pPr>
              <w:jc w:val="center"/>
              <w:rPr>
                <w:sz w:val="20"/>
                <w:szCs w:val="20"/>
              </w:rPr>
            </w:pPr>
            <w:r w:rsidRPr="00AF60C0">
              <w:rPr>
                <w:sz w:val="20"/>
                <w:szCs w:val="20"/>
              </w:rPr>
              <w:t>37</w:t>
            </w:r>
          </w:p>
        </w:tc>
      </w:tr>
      <w:tr w:rsidR="00262CEB" w14:paraId="76A73BF8" w14:textId="77777777" w:rsidTr="0099524E">
        <w:tc>
          <w:tcPr>
            <w:tcW w:w="1526" w:type="dxa"/>
          </w:tcPr>
          <w:p w14:paraId="74DF0436"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sitaxentan </w:t>
            </w:r>
          </w:p>
        </w:tc>
        <w:tc>
          <w:tcPr>
            <w:tcW w:w="3572" w:type="dxa"/>
          </w:tcPr>
          <w:p w14:paraId="2AB180CF" w14:textId="77777777" w:rsidR="00262CEB" w:rsidRPr="00AF60C0" w:rsidRDefault="00262CEB" w:rsidP="0099524E">
            <w:pPr>
              <w:jc w:val="center"/>
              <w:rPr>
                <w:sz w:val="20"/>
                <w:szCs w:val="20"/>
              </w:rPr>
            </w:pPr>
            <w:r w:rsidRPr="00AF60C0">
              <w:rPr>
                <w:sz w:val="20"/>
                <w:szCs w:val="20"/>
              </w:rPr>
              <w:t>31</w:t>
            </w:r>
          </w:p>
        </w:tc>
      </w:tr>
      <w:tr w:rsidR="00262CEB" w14:paraId="2F6D47E7" w14:textId="77777777" w:rsidTr="0099524E">
        <w:tc>
          <w:tcPr>
            <w:tcW w:w="1526" w:type="dxa"/>
          </w:tcPr>
          <w:p w14:paraId="08B490D5"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ambrisentan </w:t>
            </w:r>
          </w:p>
        </w:tc>
        <w:tc>
          <w:tcPr>
            <w:tcW w:w="3572" w:type="dxa"/>
          </w:tcPr>
          <w:p w14:paraId="1224F8E6" w14:textId="77777777" w:rsidR="00262CEB" w:rsidRPr="00AF60C0" w:rsidRDefault="00262CEB" w:rsidP="0099524E">
            <w:pPr>
              <w:jc w:val="center"/>
              <w:rPr>
                <w:sz w:val="20"/>
                <w:szCs w:val="20"/>
              </w:rPr>
            </w:pPr>
            <w:r w:rsidRPr="00AF60C0">
              <w:rPr>
                <w:sz w:val="20"/>
                <w:szCs w:val="20"/>
              </w:rPr>
              <w:t>30</w:t>
            </w:r>
          </w:p>
        </w:tc>
      </w:tr>
      <w:tr w:rsidR="00262CEB" w14:paraId="15A627F0" w14:textId="77777777" w:rsidTr="0099524E">
        <w:tc>
          <w:tcPr>
            <w:tcW w:w="1526" w:type="dxa"/>
          </w:tcPr>
          <w:p w14:paraId="0E6C332D"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tadalafil </w:t>
            </w:r>
          </w:p>
        </w:tc>
        <w:tc>
          <w:tcPr>
            <w:tcW w:w="3572" w:type="dxa"/>
          </w:tcPr>
          <w:p w14:paraId="67F3F90C" w14:textId="77777777" w:rsidR="00262CEB" w:rsidRPr="00AF60C0" w:rsidRDefault="00262CEB" w:rsidP="0099524E">
            <w:pPr>
              <w:jc w:val="center"/>
              <w:rPr>
                <w:sz w:val="20"/>
                <w:szCs w:val="20"/>
              </w:rPr>
            </w:pPr>
            <w:r w:rsidRPr="00AF60C0">
              <w:rPr>
                <w:sz w:val="20"/>
                <w:szCs w:val="20"/>
              </w:rPr>
              <w:t>28</w:t>
            </w:r>
          </w:p>
        </w:tc>
      </w:tr>
      <w:tr w:rsidR="00262CEB" w14:paraId="0761DE12" w14:textId="77777777" w:rsidTr="0099524E">
        <w:tc>
          <w:tcPr>
            <w:tcW w:w="1526" w:type="dxa"/>
          </w:tcPr>
          <w:p w14:paraId="2256EF37" w14:textId="77777777" w:rsidR="00262CEB" w:rsidRPr="00AF60C0" w:rsidRDefault="00262CEB" w:rsidP="0099524E">
            <w:pPr>
              <w:keepNext/>
              <w:keepLines/>
              <w:outlineLvl w:val="1"/>
              <w:rPr>
                <w:rFonts w:eastAsiaTheme="majorEastAsia" w:cstheme="majorBidi"/>
                <w:bCs/>
                <w:sz w:val="20"/>
                <w:szCs w:val="20"/>
              </w:rPr>
            </w:pPr>
            <w:r w:rsidRPr="00AF60C0">
              <w:rPr>
                <w:rFonts w:eastAsiaTheme="majorEastAsia" w:cstheme="majorBidi"/>
                <w:bCs/>
                <w:sz w:val="20"/>
                <w:szCs w:val="20"/>
              </w:rPr>
              <w:t xml:space="preserve">macitentan </w:t>
            </w:r>
          </w:p>
        </w:tc>
        <w:tc>
          <w:tcPr>
            <w:tcW w:w="3572" w:type="dxa"/>
          </w:tcPr>
          <w:p w14:paraId="7C23E054" w14:textId="77777777" w:rsidR="00262CEB" w:rsidRPr="00AF60C0" w:rsidRDefault="00262CEB" w:rsidP="0099524E">
            <w:pPr>
              <w:jc w:val="center"/>
              <w:rPr>
                <w:sz w:val="20"/>
                <w:szCs w:val="20"/>
              </w:rPr>
            </w:pPr>
            <w:r w:rsidRPr="00AF60C0">
              <w:rPr>
                <w:sz w:val="20"/>
                <w:szCs w:val="20"/>
              </w:rPr>
              <w:t>NA</w:t>
            </w:r>
          </w:p>
        </w:tc>
      </w:tr>
    </w:tbl>
    <w:p w14:paraId="50910D10" w14:textId="77777777" w:rsidR="00262CEB" w:rsidRDefault="00262CEB" w:rsidP="00262CEB">
      <w:pPr>
        <w:tabs>
          <w:tab w:val="left" w:pos="4058"/>
        </w:tabs>
        <w:rPr>
          <w:rFonts w:eastAsia="Calibri" w:cs="Times New Roman"/>
        </w:rPr>
      </w:pPr>
    </w:p>
    <w:p w14:paraId="67AF0550" w14:textId="50FEB99A" w:rsidR="00262CEB" w:rsidRDefault="00262CEB" w:rsidP="00262CEB">
      <w:pPr>
        <w:tabs>
          <w:tab w:val="left" w:pos="4058"/>
        </w:tabs>
        <w:rPr>
          <w:rFonts w:eastAsia="Calibri" w:cs="Times New Roman"/>
        </w:rPr>
      </w:pPr>
      <w:r>
        <w:rPr>
          <w:rFonts w:eastAsia="Calibri" w:cs="Times New Roman"/>
        </w:rPr>
        <w:t xml:space="preserve">The data period used in the length of treatment analysis was from March 2004 (the listing of bosentan for PAH) and July 2014 inclusive. A patient was deemed to be continuing treatment (ie. censored for the purposes of the KM analysis) at the end of the data period if the supply of their last </w:t>
      </w:r>
      <w:r w:rsidR="003F70D3">
        <w:rPr>
          <w:rFonts w:eastAsia="Calibri" w:cs="Times New Roman"/>
        </w:rPr>
        <w:t>prescription</w:t>
      </w:r>
      <w:r>
        <w:rPr>
          <w:rFonts w:eastAsia="Calibri" w:cs="Times New Roman"/>
        </w:rPr>
        <w:t xml:space="preserve"> was within 3 x SCDs (which is equivalent to the item coverage end date being within 2 x SCDs) of the end of the data period (ie. 31 July 2014). Patients initiating between January and July 2014 inclusive are excluded as they have minimal follow-up time. Three lengths of treatment were calculated, ie. the length of;</w:t>
      </w:r>
    </w:p>
    <w:p w14:paraId="406BBA7C" w14:textId="77777777" w:rsidR="00262CEB" w:rsidRDefault="00262CEB" w:rsidP="00262CEB">
      <w:pPr>
        <w:pStyle w:val="ListParagraph"/>
        <w:numPr>
          <w:ilvl w:val="0"/>
          <w:numId w:val="18"/>
        </w:numPr>
        <w:tabs>
          <w:tab w:val="left" w:pos="4058"/>
        </w:tabs>
        <w:rPr>
          <w:rFonts w:eastAsia="Calibri" w:cs="Times New Roman"/>
        </w:rPr>
      </w:pPr>
      <w:r>
        <w:rPr>
          <w:rFonts w:eastAsia="Calibri" w:cs="Times New Roman"/>
        </w:rPr>
        <w:t xml:space="preserve">the </w:t>
      </w:r>
      <w:r w:rsidRPr="00DB07D2">
        <w:rPr>
          <w:rFonts w:eastAsia="Calibri" w:cs="Times New Roman"/>
        </w:rPr>
        <w:t>first episode of treatment (ie. up t</w:t>
      </w:r>
      <w:r>
        <w:rPr>
          <w:rFonts w:eastAsia="Calibri" w:cs="Times New Roman"/>
        </w:rPr>
        <w:t>o the first break in treatment);</w:t>
      </w:r>
    </w:p>
    <w:p w14:paraId="7FDDFA83" w14:textId="77777777" w:rsidR="00262CEB" w:rsidRDefault="00262CEB" w:rsidP="00262CEB">
      <w:pPr>
        <w:pStyle w:val="ListParagraph"/>
        <w:numPr>
          <w:ilvl w:val="0"/>
          <w:numId w:val="18"/>
        </w:numPr>
        <w:tabs>
          <w:tab w:val="left" w:pos="4058"/>
        </w:tabs>
        <w:rPr>
          <w:rFonts w:eastAsia="Calibri" w:cs="Times New Roman"/>
        </w:rPr>
      </w:pPr>
      <w:r>
        <w:rPr>
          <w:rFonts w:eastAsia="Calibri" w:cs="Times New Roman"/>
        </w:rPr>
        <w:t>all treatment excluding breaks (ie. the sum of all episodes); and</w:t>
      </w:r>
    </w:p>
    <w:p w14:paraId="01E08122" w14:textId="3CC1A6D8" w:rsidR="00262CEB" w:rsidRPr="00DB07D2" w:rsidRDefault="00262CEB" w:rsidP="00262CEB">
      <w:pPr>
        <w:pStyle w:val="ListParagraph"/>
        <w:numPr>
          <w:ilvl w:val="0"/>
          <w:numId w:val="18"/>
        </w:numPr>
        <w:tabs>
          <w:tab w:val="left" w:pos="4058"/>
        </w:tabs>
        <w:rPr>
          <w:rFonts w:eastAsia="Calibri" w:cs="Times New Roman"/>
        </w:rPr>
      </w:pPr>
      <w:r>
        <w:rPr>
          <w:rFonts w:eastAsia="Calibri" w:cs="Times New Roman"/>
        </w:rPr>
        <w:t xml:space="preserve">all treatment including breaks (ie. the time from the first </w:t>
      </w:r>
      <w:r w:rsidR="003F70D3">
        <w:rPr>
          <w:rFonts w:eastAsia="Calibri" w:cs="Times New Roman"/>
        </w:rPr>
        <w:t>prescription</w:t>
      </w:r>
      <w:r>
        <w:rPr>
          <w:rFonts w:eastAsia="Calibri" w:cs="Times New Roman"/>
        </w:rPr>
        <w:t xml:space="preserve"> of the first episode to the last </w:t>
      </w:r>
      <w:r w:rsidR="003F70D3">
        <w:rPr>
          <w:rFonts w:eastAsia="Calibri" w:cs="Times New Roman"/>
        </w:rPr>
        <w:t>prescription</w:t>
      </w:r>
      <w:r>
        <w:rPr>
          <w:rFonts w:eastAsia="Calibri" w:cs="Times New Roman"/>
        </w:rPr>
        <w:t xml:space="preserve"> of the last episode plus one SCD (ie. the coverage of the last </w:t>
      </w:r>
      <w:r w:rsidR="003F70D3">
        <w:rPr>
          <w:rFonts w:eastAsia="Calibri" w:cs="Times New Roman"/>
        </w:rPr>
        <w:t>prescription</w:t>
      </w:r>
      <w:r>
        <w:rPr>
          <w:rFonts w:eastAsia="Calibri" w:cs="Times New Roman"/>
        </w:rPr>
        <w:t>).</w:t>
      </w:r>
    </w:p>
    <w:p w14:paraId="1CC6AD7A" w14:textId="77777777" w:rsidR="00262CEB" w:rsidRDefault="00262CEB" w:rsidP="00262CEB">
      <w:pPr>
        <w:rPr>
          <w:rFonts w:eastAsia="Calibri" w:cs="Times New Roman"/>
        </w:rPr>
      </w:pPr>
      <w:r>
        <w:rPr>
          <w:rFonts w:eastAsia="Calibri" w:cs="Times New Roman"/>
        </w:rPr>
        <w:t>When two</w:t>
      </w:r>
      <w:r w:rsidRPr="005525B5">
        <w:rPr>
          <w:rFonts w:eastAsia="Calibri" w:cs="Times New Roman"/>
        </w:rPr>
        <w:t xml:space="preserve"> different strengths</w:t>
      </w:r>
      <w:r>
        <w:rPr>
          <w:rFonts w:eastAsia="Calibri" w:cs="Times New Roman"/>
        </w:rPr>
        <w:t xml:space="preserve"> (ie. PBS items)</w:t>
      </w:r>
      <w:r w:rsidRPr="005525B5">
        <w:rPr>
          <w:rFonts w:eastAsia="Calibri" w:cs="Times New Roman"/>
        </w:rPr>
        <w:t xml:space="preserve"> </w:t>
      </w:r>
      <w:r>
        <w:rPr>
          <w:rFonts w:eastAsia="Calibri" w:cs="Times New Roman"/>
        </w:rPr>
        <w:t>of the same drug were</w:t>
      </w:r>
      <w:r w:rsidRPr="005525B5">
        <w:rPr>
          <w:rFonts w:eastAsia="Calibri" w:cs="Times New Roman"/>
        </w:rPr>
        <w:t xml:space="preserve"> supplied on the same day </w:t>
      </w:r>
      <w:r>
        <w:rPr>
          <w:rFonts w:eastAsia="Calibri" w:cs="Times New Roman"/>
        </w:rPr>
        <w:t>it wa</w:t>
      </w:r>
      <w:r w:rsidRPr="005525B5">
        <w:rPr>
          <w:rFonts w:eastAsia="Calibri" w:cs="Times New Roman"/>
        </w:rPr>
        <w:t>s assumed that these strength</w:t>
      </w:r>
      <w:r>
        <w:rPr>
          <w:rFonts w:eastAsia="Calibri" w:cs="Times New Roman"/>
        </w:rPr>
        <w:t>s</w:t>
      </w:r>
      <w:r w:rsidRPr="005525B5">
        <w:rPr>
          <w:rFonts w:eastAsia="Calibri" w:cs="Times New Roman"/>
        </w:rPr>
        <w:t xml:space="preserve"> </w:t>
      </w:r>
      <w:r>
        <w:rPr>
          <w:rFonts w:eastAsia="Calibri" w:cs="Times New Roman"/>
        </w:rPr>
        <w:t>were</w:t>
      </w:r>
      <w:r w:rsidRPr="005525B5">
        <w:rPr>
          <w:rFonts w:eastAsia="Calibri" w:cs="Times New Roman"/>
        </w:rPr>
        <w:t xml:space="preserve"> taken concurrently</w:t>
      </w:r>
      <w:r>
        <w:rPr>
          <w:rFonts w:eastAsia="Calibri" w:cs="Times New Roman"/>
        </w:rPr>
        <w:t xml:space="preserve"> (ie. were necessary to achieve the prescribed dose). This is not considered stockpiling.</w:t>
      </w:r>
    </w:p>
    <w:p w14:paraId="0CF9D6AD" w14:textId="77777777" w:rsidR="00262CEB" w:rsidRPr="00AE2703" w:rsidRDefault="00262CEB" w:rsidP="00262CEB">
      <w:pPr>
        <w:pStyle w:val="Heading3"/>
        <w:rPr>
          <w:sz w:val="24"/>
        </w:rPr>
      </w:pPr>
      <w:r w:rsidRPr="00AE2703">
        <w:rPr>
          <w:sz w:val="24"/>
        </w:rPr>
        <w:t>Stockpiling</w:t>
      </w:r>
    </w:p>
    <w:p w14:paraId="67AD5B8D" w14:textId="77777777" w:rsidR="00262CEB" w:rsidRPr="005525B5" w:rsidRDefault="00262CEB" w:rsidP="00262CEB">
      <w:pPr>
        <w:rPr>
          <w:rFonts w:eastAsia="Calibri" w:cs="Times New Roman"/>
        </w:rPr>
      </w:pPr>
      <w:r w:rsidRPr="005525B5">
        <w:rPr>
          <w:rFonts w:eastAsia="Calibri" w:cs="Times New Roman"/>
        </w:rPr>
        <w:t xml:space="preserve">In previous KM analyses performed by DUSC the issues of </w:t>
      </w:r>
      <w:r>
        <w:rPr>
          <w:rFonts w:eastAsia="Calibri" w:cs="Times New Roman"/>
        </w:rPr>
        <w:t xml:space="preserve">both </w:t>
      </w:r>
      <w:r w:rsidRPr="005525B5">
        <w:rPr>
          <w:rFonts w:eastAsia="Calibri" w:cs="Times New Roman"/>
        </w:rPr>
        <w:t xml:space="preserve">same-day and non-same-day stockpiling of supplies has been addressed. Non-same-day stockpiling is when a patient gets the next supply of a drug earlier than expected (ie. before the median time to re-supply). This most commonly occurs late in the calendar year when a patient is on the PBS </w:t>
      </w:r>
      <w:r w:rsidRPr="005525B5">
        <w:rPr>
          <w:rFonts w:eastAsia="Calibri" w:cs="Times New Roman"/>
        </w:rPr>
        <w:lastRenderedPageBreak/>
        <w:t>Safety Net. The risk of not allowing for this is that a break in treatment may be imputed for a patient early in the calendar year, where in fact the patient is simply consuming the stockpiled drug. The trade-off risk of allowing for non-same-day stockpiling is that a patient may consistently have a less than median time to re-supply (eg. because they have a high prescribed dose) and so the imputed coverage end date gets to be significant further than the real coverage end date. This means a break in treatment may be missed.  In this KM analysis non-same-day stockpiling was not allowed for because the risk of stockpiling of these drugs was considered low.</w:t>
      </w:r>
    </w:p>
    <w:p w14:paraId="009E0C9D" w14:textId="77777777" w:rsidR="00262CEB" w:rsidRPr="005525B5" w:rsidRDefault="00262CEB" w:rsidP="00262CEB">
      <w:pPr>
        <w:rPr>
          <w:rFonts w:eastAsia="Calibri" w:cs="Times New Roman"/>
        </w:rPr>
      </w:pPr>
      <w:r w:rsidRPr="005525B5">
        <w:rPr>
          <w:rFonts w:eastAsia="Calibri" w:cs="Times New Roman"/>
        </w:rPr>
        <w:t>Same-day stockpiling is deemed to have occurred when there are multiple supplies of the same PBS item on the same day. Supplies of different strengths on the same day is deemed to be necessary for the supply of the prescribed dose and so not considered to be stockpiling. Multiple supplies of the same strength on the same day are most likely due to stockpiling (ie. if such a quantity were required for the prescribed dose then the prescriber should have requested an increased maximum quantity). Thus same-day stockpiling is taken into account in this analysis.</w:t>
      </w:r>
    </w:p>
    <w:p w14:paraId="4A569516" w14:textId="77777777" w:rsidR="00262CEB" w:rsidRDefault="00262CEB" w:rsidP="00262CEB">
      <w:pPr>
        <w:spacing w:line="276" w:lineRule="auto"/>
      </w:pPr>
    </w:p>
    <w:p w14:paraId="76A253B8" w14:textId="77777777" w:rsidR="00262CEB" w:rsidRDefault="00262CEB" w:rsidP="00262CEB">
      <w:pPr>
        <w:sectPr w:rsidR="00262CEB" w:rsidSect="004E1C05">
          <w:pgSz w:w="11906" w:h="16838" w:code="9"/>
          <w:pgMar w:top="1644" w:right="1361" w:bottom="1644" w:left="1588" w:header="709" w:footer="709" w:gutter="0"/>
          <w:cols w:space="708"/>
          <w:docGrid w:linePitch="360"/>
        </w:sectPr>
      </w:pPr>
    </w:p>
    <w:p w14:paraId="4C72A045" w14:textId="5D6DB5A5" w:rsidR="00262CEB" w:rsidRPr="00AE2703" w:rsidRDefault="004402EE" w:rsidP="00262CEB">
      <w:pPr>
        <w:rPr>
          <w:b/>
          <w:sz w:val="28"/>
          <w:szCs w:val="32"/>
        </w:rPr>
      </w:pPr>
      <w:r>
        <w:rPr>
          <w:b/>
          <w:sz w:val="28"/>
          <w:szCs w:val="32"/>
        </w:rPr>
        <w:lastRenderedPageBreak/>
        <w:t>Appendix C</w:t>
      </w:r>
      <w:r w:rsidR="00262CEB" w:rsidRPr="00AE2703">
        <w:rPr>
          <w:b/>
          <w:sz w:val="28"/>
          <w:szCs w:val="32"/>
        </w:rPr>
        <w:t>: Listing history of PBS items for PAH medicines</w:t>
      </w:r>
    </w:p>
    <w:tbl>
      <w:tblPr>
        <w:tblW w:w="14661" w:type="dxa"/>
        <w:tblInd w:w="93" w:type="dxa"/>
        <w:tblLayout w:type="fixed"/>
        <w:tblLook w:val="04A0" w:firstRow="1" w:lastRow="0" w:firstColumn="1" w:lastColumn="0" w:noHBand="0" w:noVBand="1"/>
      </w:tblPr>
      <w:tblGrid>
        <w:gridCol w:w="1433"/>
        <w:gridCol w:w="992"/>
        <w:gridCol w:w="851"/>
        <w:gridCol w:w="850"/>
        <w:gridCol w:w="5669"/>
        <w:gridCol w:w="850"/>
        <w:gridCol w:w="851"/>
        <w:gridCol w:w="1020"/>
        <w:gridCol w:w="1077"/>
        <w:gridCol w:w="1068"/>
      </w:tblGrid>
      <w:tr w:rsidR="00262CEB" w:rsidRPr="0013601B" w14:paraId="6E0072FB" w14:textId="77777777" w:rsidTr="0099524E">
        <w:trPr>
          <w:tblHeader/>
        </w:trPr>
        <w:tc>
          <w:tcPr>
            <w:tcW w:w="1433" w:type="dxa"/>
            <w:tcBorders>
              <w:top w:val="nil"/>
              <w:left w:val="nil"/>
              <w:bottom w:val="single" w:sz="4" w:space="0" w:color="95B3D7"/>
              <w:right w:val="nil"/>
            </w:tcBorders>
            <w:shd w:val="clear" w:color="DCE6F1" w:fill="DCE6F1"/>
            <w:noWrap/>
            <w:hideMark/>
          </w:tcPr>
          <w:p w14:paraId="647B5C98"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Drug Name</w:t>
            </w:r>
          </w:p>
        </w:tc>
        <w:tc>
          <w:tcPr>
            <w:tcW w:w="992" w:type="dxa"/>
            <w:tcBorders>
              <w:top w:val="nil"/>
              <w:left w:val="nil"/>
              <w:bottom w:val="single" w:sz="4" w:space="0" w:color="95B3D7"/>
              <w:right w:val="nil"/>
            </w:tcBorders>
            <w:shd w:val="clear" w:color="DCE6F1" w:fill="DCE6F1"/>
            <w:noWrap/>
            <w:hideMark/>
          </w:tcPr>
          <w:p w14:paraId="6B9C11C7"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Brand Name</w:t>
            </w:r>
          </w:p>
        </w:tc>
        <w:tc>
          <w:tcPr>
            <w:tcW w:w="851" w:type="dxa"/>
            <w:tcBorders>
              <w:top w:val="nil"/>
              <w:left w:val="nil"/>
              <w:bottom w:val="single" w:sz="4" w:space="0" w:color="95B3D7"/>
              <w:right w:val="nil"/>
            </w:tcBorders>
            <w:shd w:val="clear" w:color="DCE6F1" w:fill="DCE6F1"/>
            <w:noWrap/>
            <w:hideMark/>
          </w:tcPr>
          <w:p w14:paraId="5D62E1F9"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Hospital Type</w:t>
            </w:r>
          </w:p>
        </w:tc>
        <w:tc>
          <w:tcPr>
            <w:tcW w:w="850" w:type="dxa"/>
            <w:tcBorders>
              <w:top w:val="nil"/>
              <w:left w:val="nil"/>
              <w:bottom w:val="single" w:sz="4" w:space="0" w:color="95B3D7"/>
              <w:right w:val="nil"/>
            </w:tcBorders>
            <w:shd w:val="clear" w:color="DCE6F1" w:fill="DCE6F1"/>
            <w:noWrap/>
            <w:hideMark/>
          </w:tcPr>
          <w:p w14:paraId="3583EFD7"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PBS</w:t>
            </w:r>
          </w:p>
          <w:p w14:paraId="2194D18A"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Code</w:t>
            </w:r>
          </w:p>
        </w:tc>
        <w:tc>
          <w:tcPr>
            <w:tcW w:w="5669" w:type="dxa"/>
            <w:tcBorders>
              <w:top w:val="nil"/>
              <w:left w:val="nil"/>
              <w:bottom w:val="single" w:sz="4" w:space="0" w:color="95B3D7"/>
              <w:right w:val="nil"/>
            </w:tcBorders>
            <w:shd w:val="clear" w:color="DCE6F1" w:fill="DCE6F1"/>
            <w:hideMark/>
          </w:tcPr>
          <w:p w14:paraId="65376B14"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Form</w:t>
            </w:r>
            <w:r>
              <w:rPr>
                <w:rFonts w:eastAsia="Times New Roman" w:cs="Times New Roman"/>
                <w:b/>
                <w:bCs/>
                <w:color w:val="000000"/>
                <w:sz w:val="18"/>
                <w:szCs w:val="18"/>
              </w:rPr>
              <w:t xml:space="preserve"> and Strength</w:t>
            </w:r>
          </w:p>
        </w:tc>
        <w:tc>
          <w:tcPr>
            <w:tcW w:w="850" w:type="dxa"/>
            <w:tcBorders>
              <w:top w:val="nil"/>
              <w:left w:val="nil"/>
              <w:bottom w:val="single" w:sz="4" w:space="0" w:color="95B3D7"/>
              <w:right w:val="nil"/>
            </w:tcBorders>
            <w:shd w:val="clear" w:color="DCE6F1" w:fill="DCE6F1"/>
            <w:noWrap/>
            <w:hideMark/>
          </w:tcPr>
          <w:p w14:paraId="1A13D734" w14:textId="77777777" w:rsidR="00262CEB" w:rsidRPr="0013601B" w:rsidRDefault="00262CEB" w:rsidP="0099524E">
            <w:pPr>
              <w:spacing w:after="0"/>
              <w:jc w:val="center"/>
              <w:rPr>
                <w:rFonts w:eastAsia="Times New Roman" w:cs="Times New Roman"/>
                <w:b/>
                <w:bCs/>
                <w:color w:val="000000"/>
                <w:sz w:val="18"/>
                <w:szCs w:val="18"/>
              </w:rPr>
            </w:pPr>
            <w:r>
              <w:rPr>
                <w:rFonts w:eastAsia="Times New Roman" w:cs="Times New Roman"/>
                <w:b/>
                <w:bCs/>
                <w:color w:val="000000"/>
                <w:sz w:val="18"/>
                <w:szCs w:val="18"/>
              </w:rPr>
              <w:t xml:space="preserve">Pack </w:t>
            </w:r>
            <w:r w:rsidRPr="0013601B">
              <w:rPr>
                <w:rFonts w:eastAsia="Times New Roman" w:cs="Times New Roman"/>
                <w:b/>
                <w:bCs/>
                <w:color w:val="000000"/>
                <w:sz w:val="18"/>
                <w:szCs w:val="18"/>
              </w:rPr>
              <w:t>Size</w:t>
            </w:r>
          </w:p>
        </w:tc>
        <w:tc>
          <w:tcPr>
            <w:tcW w:w="851" w:type="dxa"/>
            <w:tcBorders>
              <w:top w:val="nil"/>
              <w:left w:val="nil"/>
              <w:bottom w:val="single" w:sz="4" w:space="0" w:color="95B3D7"/>
              <w:right w:val="nil"/>
            </w:tcBorders>
            <w:shd w:val="clear" w:color="DCE6F1" w:fill="DCE6F1"/>
            <w:noWrap/>
            <w:hideMark/>
          </w:tcPr>
          <w:p w14:paraId="06339FD0" w14:textId="77777777" w:rsidR="00262CEB" w:rsidRPr="0013601B" w:rsidRDefault="00262CEB" w:rsidP="0099524E">
            <w:pPr>
              <w:spacing w:after="0"/>
              <w:jc w:val="center"/>
              <w:rPr>
                <w:rFonts w:eastAsia="Times New Roman" w:cs="Times New Roman"/>
                <w:b/>
                <w:bCs/>
                <w:color w:val="000000"/>
                <w:sz w:val="18"/>
                <w:szCs w:val="18"/>
              </w:rPr>
            </w:pPr>
            <w:r>
              <w:rPr>
                <w:rFonts w:eastAsia="Times New Roman" w:cs="Times New Roman"/>
                <w:b/>
                <w:bCs/>
                <w:color w:val="000000"/>
                <w:sz w:val="18"/>
                <w:szCs w:val="18"/>
              </w:rPr>
              <w:t xml:space="preserve">Max </w:t>
            </w:r>
            <w:r w:rsidRPr="0013601B">
              <w:rPr>
                <w:rFonts w:eastAsia="Times New Roman" w:cs="Times New Roman"/>
                <w:b/>
                <w:bCs/>
                <w:color w:val="000000"/>
                <w:sz w:val="18"/>
                <w:szCs w:val="18"/>
              </w:rPr>
              <w:t>Qty</w:t>
            </w:r>
          </w:p>
        </w:tc>
        <w:tc>
          <w:tcPr>
            <w:tcW w:w="1020" w:type="dxa"/>
            <w:tcBorders>
              <w:top w:val="nil"/>
              <w:left w:val="nil"/>
              <w:bottom w:val="single" w:sz="4" w:space="0" w:color="95B3D7"/>
              <w:right w:val="nil"/>
            </w:tcBorders>
            <w:shd w:val="clear" w:color="DCE6F1" w:fill="DCE6F1"/>
            <w:noWrap/>
            <w:hideMark/>
          </w:tcPr>
          <w:p w14:paraId="0586B1B4" w14:textId="77777777" w:rsidR="00262CEB" w:rsidRPr="0013601B" w:rsidRDefault="00262CEB" w:rsidP="0099524E">
            <w:pPr>
              <w:spacing w:after="0"/>
              <w:jc w:val="center"/>
              <w:rPr>
                <w:rFonts w:eastAsia="Times New Roman" w:cs="Times New Roman"/>
                <w:b/>
                <w:bCs/>
                <w:color w:val="000000"/>
                <w:sz w:val="18"/>
                <w:szCs w:val="18"/>
              </w:rPr>
            </w:pPr>
            <w:r w:rsidRPr="0013601B">
              <w:rPr>
                <w:rFonts w:eastAsia="Times New Roman" w:cs="Times New Roman"/>
                <w:b/>
                <w:bCs/>
                <w:color w:val="000000"/>
                <w:sz w:val="18"/>
                <w:szCs w:val="18"/>
              </w:rPr>
              <w:t>Number</w:t>
            </w:r>
            <w:r>
              <w:rPr>
                <w:rFonts w:eastAsia="Times New Roman" w:cs="Times New Roman"/>
                <w:b/>
                <w:bCs/>
                <w:color w:val="000000"/>
                <w:sz w:val="18"/>
                <w:szCs w:val="18"/>
              </w:rPr>
              <w:t xml:space="preserve"> </w:t>
            </w:r>
            <w:r w:rsidRPr="0013601B">
              <w:rPr>
                <w:rFonts w:eastAsia="Times New Roman" w:cs="Times New Roman"/>
                <w:b/>
                <w:bCs/>
                <w:color w:val="000000"/>
                <w:sz w:val="18"/>
                <w:szCs w:val="18"/>
              </w:rPr>
              <w:t>of</w:t>
            </w:r>
            <w:r>
              <w:rPr>
                <w:rFonts w:eastAsia="Times New Roman" w:cs="Times New Roman"/>
                <w:b/>
                <w:bCs/>
                <w:color w:val="000000"/>
                <w:sz w:val="18"/>
                <w:szCs w:val="18"/>
              </w:rPr>
              <w:t xml:space="preserve"> </w:t>
            </w:r>
            <w:r w:rsidRPr="0013601B">
              <w:rPr>
                <w:rFonts w:eastAsia="Times New Roman" w:cs="Times New Roman"/>
                <w:b/>
                <w:bCs/>
                <w:color w:val="000000"/>
                <w:sz w:val="18"/>
                <w:szCs w:val="18"/>
              </w:rPr>
              <w:t>Repeats</w:t>
            </w:r>
          </w:p>
        </w:tc>
        <w:tc>
          <w:tcPr>
            <w:tcW w:w="1077" w:type="dxa"/>
            <w:tcBorders>
              <w:top w:val="nil"/>
              <w:left w:val="nil"/>
              <w:bottom w:val="single" w:sz="4" w:space="0" w:color="95B3D7"/>
              <w:right w:val="nil"/>
            </w:tcBorders>
            <w:shd w:val="clear" w:color="DCE6F1" w:fill="DCE6F1"/>
            <w:noWrap/>
            <w:hideMark/>
          </w:tcPr>
          <w:p w14:paraId="1B5BF047" w14:textId="77777777" w:rsidR="00262CEB" w:rsidRPr="0013601B" w:rsidRDefault="00262CEB" w:rsidP="0099524E">
            <w:pPr>
              <w:spacing w:after="0"/>
              <w:jc w:val="center"/>
              <w:rPr>
                <w:rFonts w:eastAsia="Times New Roman" w:cs="Times New Roman"/>
                <w:b/>
                <w:bCs/>
                <w:color w:val="000000"/>
                <w:sz w:val="18"/>
                <w:szCs w:val="18"/>
              </w:rPr>
            </w:pPr>
            <w:r w:rsidRPr="0013601B">
              <w:rPr>
                <w:rFonts w:eastAsia="Times New Roman" w:cs="Times New Roman"/>
                <w:b/>
                <w:bCs/>
                <w:color w:val="000000"/>
                <w:sz w:val="18"/>
                <w:szCs w:val="18"/>
              </w:rPr>
              <w:t>DPMQ</w:t>
            </w:r>
          </w:p>
          <w:p w14:paraId="311D9BE0" w14:textId="77777777" w:rsidR="00262CEB" w:rsidRPr="0013601B" w:rsidRDefault="00262CEB" w:rsidP="0099524E">
            <w:pPr>
              <w:spacing w:after="0"/>
              <w:jc w:val="center"/>
              <w:rPr>
                <w:rFonts w:eastAsia="Times New Roman" w:cs="Times New Roman"/>
                <w:b/>
                <w:bCs/>
                <w:color w:val="000000"/>
                <w:sz w:val="18"/>
                <w:szCs w:val="18"/>
              </w:rPr>
            </w:pPr>
            <w:r w:rsidRPr="0013601B">
              <w:rPr>
                <w:rFonts w:eastAsia="Times New Roman" w:cs="Times New Roman"/>
                <w:b/>
                <w:bCs/>
                <w:color w:val="000000"/>
                <w:sz w:val="18"/>
                <w:szCs w:val="18"/>
              </w:rPr>
              <w:t>(Published)</w:t>
            </w:r>
          </w:p>
        </w:tc>
        <w:tc>
          <w:tcPr>
            <w:tcW w:w="1068" w:type="dxa"/>
            <w:tcBorders>
              <w:top w:val="nil"/>
              <w:left w:val="nil"/>
              <w:bottom w:val="single" w:sz="4" w:space="0" w:color="95B3D7"/>
              <w:right w:val="nil"/>
            </w:tcBorders>
            <w:shd w:val="clear" w:color="DCE6F1" w:fill="DCE6F1"/>
            <w:noWrap/>
            <w:hideMark/>
          </w:tcPr>
          <w:p w14:paraId="57F1B02C" w14:textId="77777777" w:rsidR="00262CEB" w:rsidRPr="0013601B" w:rsidRDefault="00262CEB" w:rsidP="0099524E">
            <w:pPr>
              <w:spacing w:after="0"/>
              <w:jc w:val="center"/>
              <w:rPr>
                <w:rFonts w:eastAsia="Times New Roman" w:cs="Times New Roman"/>
                <w:b/>
                <w:bCs/>
                <w:color w:val="000000"/>
                <w:sz w:val="18"/>
                <w:szCs w:val="18"/>
              </w:rPr>
            </w:pPr>
            <w:r w:rsidRPr="0013601B">
              <w:rPr>
                <w:rFonts w:eastAsia="Times New Roman" w:cs="Times New Roman"/>
                <w:b/>
                <w:bCs/>
                <w:color w:val="000000"/>
                <w:sz w:val="18"/>
                <w:szCs w:val="18"/>
              </w:rPr>
              <w:t>Change Date</w:t>
            </w:r>
          </w:p>
        </w:tc>
      </w:tr>
      <w:tr w:rsidR="00262CEB" w:rsidRPr="0013601B" w14:paraId="337339FA" w14:textId="77777777" w:rsidTr="0099524E">
        <w:tc>
          <w:tcPr>
            <w:tcW w:w="1433" w:type="dxa"/>
            <w:tcBorders>
              <w:top w:val="nil"/>
              <w:left w:val="nil"/>
              <w:bottom w:val="nil"/>
              <w:right w:val="nil"/>
            </w:tcBorders>
            <w:shd w:val="clear" w:color="auto" w:fill="auto"/>
            <w:noWrap/>
          </w:tcPr>
          <w:p w14:paraId="2247EFB6"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BOSENTAN</w:t>
            </w:r>
          </w:p>
        </w:tc>
        <w:tc>
          <w:tcPr>
            <w:tcW w:w="992" w:type="dxa"/>
            <w:tcBorders>
              <w:top w:val="nil"/>
              <w:left w:val="nil"/>
              <w:bottom w:val="nil"/>
              <w:right w:val="nil"/>
            </w:tcBorders>
            <w:shd w:val="clear" w:color="auto" w:fill="auto"/>
            <w:noWrap/>
          </w:tcPr>
          <w:p w14:paraId="3CC3DB94"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Tracleer</w:t>
            </w:r>
          </w:p>
        </w:tc>
        <w:tc>
          <w:tcPr>
            <w:tcW w:w="851" w:type="dxa"/>
            <w:tcBorders>
              <w:top w:val="nil"/>
              <w:left w:val="nil"/>
              <w:bottom w:val="nil"/>
              <w:right w:val="nil"/>
            </w:tcBorders>
            <w:shd w:val="clear" w:color="auto" w:fill="auto"/>
            <w:noWrap/>
          </w:tcPr>
          <w:p w14:paraId="40CB9B07"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tcPr>
          <w:p w14:paraId="5E072259"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06429J</w:t>
            </w:r>
          </w:p>
        </w:tc>
        <w:tc>
          <w:tcPr>
            <w:tcW w:w="5669" w:type="dxa"/>
            <w:tcBorders>
              <w:top w:val="nil"/>
              <w:left w:val="nil"/>
              <w:bottom w:val="nil"/>
              <w:right w:val="nil"/>
            </w:tcBorders>
            <w:shd w:val="clear" w:color="auto" w:fill="auto"/>
            <w:noWrap/>
          </w:tcPr>
          <w:p w14:paraId="52BDA31F" w14:textId="77777777" w:rsidR="00262CEB" w:rsidRPr="00201710" w:rsidRDefault="00262CEB" w:rsidP="0099524E">
            <w:pPr>
              <w:spacing w:after="0"/>
              <w:rPr>
                <w:rFonts w:eastAsia="Times New Roman" w:cs="Times New Roman"/>
                <w:sz w:val="18"/>
                <w:szCs w:val="18"/>
              </w:rPr>
            </w:pPr>
            <w:r w:rsidRPr="00201710">
              <w:rPr>
                <w:rFonts w:eastAsia="Times New Roman" w:cs="Times New Roman"/>
                <w:sz w:val="18"/>
                <w:szCs w:val="18"/>
              </w:rPr>
              <w:t>Tablet equivalent to 62.5 mg bosentan</w:t>
            </w:r>
          </w:p>
        </w:tc>
        <w:tc>
          <w:tcPr>
            <w:tcW w:w="850" w:type="dxa"/>
            <w:tcBorders>
              <w:top w:val="nil"/>
              <w:left w:val="nil"/>
              <w:bottom w:val="nil"/>
              <w:right w:val="nil"/>
            </w:tcBorders>
            <w:shd w:val="clear" w:color="auto" w:fill="auto"/>
            <w:noWrap/>
          </w:tcPr>
          <w:p w14:paraId="5027C097"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tcPr>
          <w:p w14:paraId="2014430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1020" w:type="dxa"/>
            <w:tcBorders>
              <w:top w:val="nil"/>
              <w:left w:val="nil"/>
              <w:bottom w:val="nil"/>
              <w:right w:val="nil"/>
            </w:tcBorders>
            <w:shd w:val="clear" w:color="auto" w:fill="auto"/>
            <w:noWrap/>
          </w:tcPr>
          <w:p w14:paraId="445BA1F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0A61F680" w14:textId="77777777" w:rsidR="00262CEB" w:rsidRPr="00201710" w:rsidRDefault="00262CEB" w:rsidP="0099524E">
            <w:pPr>
              <w:spacing w:after="0"/>
              <w:jc w:val="right"/>
              <w:rPr>
                <w:rFonts w:eastAsia="Times New Roman" w:cs="Times New Roman"/>
                <w:bCs/>
                <w:color w:val="000000"/>
                <w:sz w:val="18"/>
                <w:szCs w:val="18"/>
              </w:rPr>
            </w:pPr>
            <w:r w:rsidRPr="00201710">
              <w:rPr>
                <w:rFonts w:eastAsia="Times New Roman" w:cs="Times New Roman"/>
                <w:bCs/>
                <w:color w:val="000000"/>
                <w:sz w:val="18"/>
                <w:szCs w:val="18"/>
              </w:rPr>
              <w:t>$4,035.00</w:t>
            </w:r>
          </w:p>
        </w:tc>
        <w:tc>
          <w:tcPr>
            <w:tcW w:w="1068" w:type="dxa"/>
            <w:tcBorders>
              <w:top w:val="nil"/>
              <w:left w:val="nil"/>
              <w:bottom w:val="nil"/>
              <w:right w:val="nil"/>
            </w:tcBorders>
            <w:shd w:val="clear" w:color="auto" w:fill="auto"/>
            <w:noWrap/>
          </w:tcPr>
          <w:p w14:paraId="6B3A3795"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1/03/2004</w:t>
            </w:r>
          </w:p>
        </w:tc>
      </w:tr>
      <w:tr w:rsidR="00262CEB" w:rsidRPr="0013601B" w14:paraId="38922F37" w14:textId="77777777" w:rsidTr="0099524E">
        <w:tc>
          <w:tcPr>
            <w:tcW w:w="1433" w:type="dxa"/>
            <w:tcBorders>
              <w:top w:val="nil"/>
              <w:left w:val="nil"/>
              <w:bottom w:val="nil"/>
              <w:right w:val="nil"/>
            </w:tcBorders>
            <w:shd w:val="clear" w:color="auto" w:fill="auto"/>
            <w:noWrap/>
          </w:tcPr>
          <w:p w14:paraId="6684066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tcPr>
          <w:p w14:paraId="71F6B4C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tcPr>
          <w:p w14:paraId="2081E67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32738201"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44F363C"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62.5 mg (as monohydrate)</w:t>
            </w:r>
          </w:p>
        </w:tc>
        <w:tc>
          <w:tcPr>
            <w:tcW w:w="850" w:type="dxa"/>
            <w:tcBorders>
              <w:top w:val="nil"/>
              <w:left w:val="nil"/>
              <w:bottom w:val="nil"/>
              <w:right w:val="nil"/>
            </w:tcBorders>
            <w:shd w:val="clear" w:color="auto" w:fill="auto"/>
            <w:noWrap/>
            <w:hideMark/>
          </w:tcPr>
          <w:p w14:paraId="3DE0556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hideMark/>
          </w:tcPr>
          <w:p w14:paraId="6239B77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60</w:t>
            </w:r>
          </w:p>
        </w:tc>
        <w:tc>
          <w:tcPr>
            <w:tcW w:w="1020" w:type="dxa"/>
            <w:tcBorders>
              <w:top w:val="nil"/>
              <w:left w:val="nil"/>
              <w:bottom w:val="nil"/>
              <w:right w:val="nil"/>
            </w:tcBorders>
            <w:shd w:val="clear" w:color="auto" w:fill="auto"/>
            <w:noWrap/>
            <w:hideMark/>
          </w:tcPr>
          <w:p w14:paraId="5B4163D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76A1289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1F9F2D1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578FA424" w14:textId="77777777" w:rsidTr="0099524E">
        <w:tc>
          <w:tcPr>
            <w:tcW w:w="1433" w:type="dxa"/>
            <w:tcBorders>
              <w:top w:val="nil"/>
              <w:left w:val="nil"/>
              <w:bottom w:val="nil"/>
              <w:right w:val="nil"/>
            </w:tcBorders>
            <w:shd w:val="clear" w:color="auto" w:fill="auto"/>
            <w:noWrap/>
            <w:hideMark/>
          </w:tcPr>
          <w:p w14:paraId="5B2A129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81915B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5639B1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940F036"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B4C060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E904682"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FEDCEC2"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121A0A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21DC92A"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$4,081.42</w:t>
            </w:r>
          </w:p>
        </w:tc>
        <w:tc>
          <w:tcPr>
            <w:tcW w:w="1068" w:type="dxa"/>
            <w:tcBorders>
              <w:top w:val="nil"/>
              <w:left w:val="nil"/>
              <w:bottom w:val="nil"/>
              <w:right w:val="nil"/>
            </w:tcBorders>
            <w:shd w:val="clear" w:color="auto" w:fill="auto"/>
            <w:noWrap/>
            <w:hideMark/>
          </w:tcPr>
          <w:p w14:paraId="7BBB328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5CD071C1" w14:textId="77777777" w:rsidTr="0099524E">
        <w:tc>
          <w:tcPr>
            <w:tcW w:w="1433" w:type="dxa"/>
            <w:tcBorders>
              <w:top w:val="nil"/>
              <w:left w:val="nil"/>
              <w:bottom w:val="nil"/>
              <w:right w:val="nil"/>
            </w:tcBorders>
            <w:shd w:val="clear" w:color="auto" w:fill="auto"/>
            <w:noWrap/>
            <w:hideMark/>
          </w:tcPr>
          <w:p w14:paraId="3C98CD39"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D05DCD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4F736B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AFA22C8"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79151D8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A19EFAD"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00C8576"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B68A987"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93C799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$4,081.52</w:t>
            </w:r>
          </w:p>
        </w:tc>
        <w:tc>
          <w:tcPr>
            <w:tcW w:w="1068" w:type="dxa"/>
            <w:tcBorders>
              <w:top w:val="nil"/>
              <w:left w:val="nil"/>
              <w:bottom w:val="nil"/>
              <w:right w:val="nil"/>
            </w:tcBorders>
            <w:shd w:val="clear" w:color="auto" w:fill="auto"/>
            <w:noWrap/>
            <w:hideMark/>
          </w:tcPr>
          <w:p w14:paraId="7011254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4BCAF0FD" w14:textId="77777777" w:rsidTr="0099524E">
        <w:tc>
          <w:tcPr>
            <w:tcW w:w="1433" w:type="dxa"/>
            <w:tcBorders>
              <w:top w:val="nil"/>
              <w:left w:val="nil"/>
              <w:bottom w:val="nil"/>
              <w:right w:val="nil"/>
            </w:tcBorders>
            <w:shd w:val="clear" w:color="auto" w:fill="auto"/>
            <w:noWrap/>
            <w:hideMark/>
          </w:tcPr>
          <w:p w14:paraId="43A8EC47"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27D409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A24217F"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725DEE7"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42E50E9F"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86EC745"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CDF9647"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895176F"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AB0B78A"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$4,081.63</w:t>
            </w:r>
          </w:p>
        </w:tc>
        <w:tc>
          <w:tcPr>
            <w:tcW w:w="1068" w:type="dxa"/>
            <w:tcBorders>
              <w:top w:val="nil"/>
              <w:left w:val="nil"/>
              <w:bottom w:val="nil"/>
              <w:right w:val="nil"/>
            </w:tcBorders>
            <w:shd w:val="clear" w:color="auto" w:fill="auto"/>
            <w:noWrap/>
            <w:hideMark/>
          </w:tcPr>
          <w:p w14:paraId="687E2E8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7DDB7F49" w14:textId="77777777" w:rsidTr="0099524E">
        <w:tc>
          <w:tcPr>
            <w:tcW w:w="1433" w:type="dxa"/>
            <w:tcBorders>
              <w:top w:val="nil"/>
              <w:left w:val="nil"/>
              <w:bottom w:val="nil"/>
              <w:right w:val="nil"/>
            </w:tcBorders>
            <w:shd w:val="clear" w:color="auto" w:fill="auto"/>
            <w:noWrap/>
            <w:hideMark/>
          </w:tcPr>
          <w:p w14:paraId="438C09DA"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E62D84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10FB45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2876A2B"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000BC4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744B729"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233438F"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3B3B07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F85DE9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$2,923.10</w:t>
            </w:r>
          </w:p>
        </w:tc>
        <w:tc>
          <w:tcPr>
            <w:tcW w:w="1068" w:type="dxa"/>
            <w:tcBorders>
              <w:top w:val="nil"/>
              <w:left w:val="nil"/>
              <w:bottom w:val="nil"/>
              <w:right w:val="nil"/>
            </w:tcBorders>
            <w:shd w:val="clear" w:color="auto" w:fill="auto"/>
            <w:noWrap/>
            <w:hideMark/>
          </w:tcPr>
          <w:p w14:paraId="1DB9D98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486F0104" w14:textId="77777777" w:rsidTr="0099524E">
        <w:tc>
          <w:tcPr>
            <w:tcW w:w="1433" w:type="dxa"/>
            <w:tcBorders>
              <w:top w:val="nil"/>
              <w:left w:val="nil"/>
              <w:bottom w:val="nil"/>
              <w:right w:val="nil"/>
            </w:tcBorders>
            <w:shd w:val="clear" w:color="auto" w:fill="auto"/>
            <w:noWrap/>
            <w:hideMark/>
          </w:tcPr>
          <w:p w14:paraId="68AF12E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F74D34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FDB115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234B3FB"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AE996A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E46334E"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62B03B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B39544C"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2163CDE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$2,923.23</w:t>
            </w:r>
          </w:p>
        </w:tc>
        <w:tc>
          <w:tcPr>
            <w:tcW w:w="1068" w:type="dxa"/>
            <w:tcBorders>
              <w:top w:val="nil"/>
              <w:left w:val="nil"/>
              <w:bottom w:val="nil"/>
              <w:right w:val="nil"/>
            </w:tcBorders>
            <w:shd w:val="clear" w:color="auto" w:fill="auto"/>
            <w:noWrap/>
            <w:hideMark/>
          </w:tcPr>
          <w:p w14:paraId="0CDE54F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1A284900" w14:textId="77777777" w:rsidTr="0099524E">
        <w:tc>
          <w:tcPr>
            <w:tcW w:w="1433" w:type="dxa"/>
            <w:tcBorders>
              <w:top w:val="nil"/>
              <w:left w:val="nil"/>
              <w:bottom w:val="nil"/>
              <w:right w:val="nil"/>
            </w:tcBorders>
            <w:shd w:val="clear" w:color="auto" w:fill="auto"/>
            <w:noWrap/>
          </w:tcPr>
          <w:p w14:paraId="6586DC81"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tcPr>
          <w:p w14:paraId="01C629D8"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tcPr>
          <w:p w14:paraId="2A3FE2F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6FF1F61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06430K</w:t>
            </w:r>
          </w:p>
        </w:tc>
        <w:tc>
          <w:tcPr>
            <w:tcW w:w="5669" w:type="dxa"/>
            <w:tcBorders>
              <w:top w:val="nil"/>
              <w:left w:val="nil"/>
              <w:bottom w:val="nil"/>
              <w:right w:val="nil"/>
            </w:tcBorders>
            <w:shd w:val="clear" w:color="auto" w:fill="auto"/>
            <w:noWrap/>
          </w:tcPr>
          <w:p w14:paraId="307BC114" w14:textId="77777777" w:rsidR="00262CEB" w:rsidRPr="00AA5900" w:rsidRDefault="00262CEB" w:rsidP="0099524E">
            <w:pPr>
              <w:spacing w:after="0"/>
              <w:rPr>
                <w:rFonts w:eastAsia="Times New Roman" w:cs="Times New Roman"/>
                <w:sz w:val="18"/>
                <w:szCs w:val="18"/>
              </w:rPr>
            </w:pPr>
            <w:r w:rsidRPr="00AA5900">
              <w:rPr>
                <w:rFonts w:eastAsia="Times New Roman" w:cs="Times New Roman"/>
                <w:sz w:val="18"/>
                <w:szCs w:val="18"/>
              </w:rPr>
              <w:t>Tablet equivalent to 125 mg bosentan</w:t>
            </w:r>
          </w:p>
        </w:tc>
        <w:tc>
          <w:tcPr>
            <w:tcW w:w="850" w:type="dxa"/>
            <w:tcBorders>
              <w:top w:val="nil"/>
              <w:left w:val="nil"/>
              <w:bottom w:val="nil"/>
              <w:right w:val="nil"/>
            </w:tcBorders>
            <w:shd w:val="clear" w:color="auto" w:fill="auto"/>
            <w:noWrap/>
          </w:tcPr>
          <w:p w14:paraId="16AAF090" w14:textId="77777777" w:rsidR="00262CEB" w:rsidRPr="00AA5900" w:rsidRDefault="00262CEB" w:rsidP="0099524E">
            <w:pPr>
              <w:spacing w:after="0"/>
              <w:jc w:val="center"/>
              <w:rPr>
                <w:rFonts w:eastAsia="Times New Roman" w:cs="Times New Roman"/>
                <w:bCs/>
                <w:color w:val="000000"/>
                <w:sz w:val="18"/>
                <w:szCs w:val="18"/>
              </w:rPr>
            </w:pPr>
            <w:r w:rsidRPr="00AA590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tcPr>
          <w:p w14:paraId="36DB850D" w14:textId="77777777" w:rsidR="00262CEB" w:rsidRPr="00AA5900" w:rsidRDefault="00262CEB" w:rsidP="0099524E">
            <w:pPr>
              <w:spacing w:after="0"/>
              <w:jc w:val="center"/>
              <w:rPr>
                <w:rFonts w:eastAsia="Times New Roman" w:cs="Times New Roman"/>
                <w:bCs/>
                <w:color w:val="000000"/>
                <w:sz w:val="18"/>
                <w:szCs w:val="18"/>
              </w:rPr>
            </w:pPr>
            <w:r w:rsidRPr="00AA5900">
              <w:rPr>
                <w:rFonts w:eastAsia="Times New Roman" w:cs="Times New Roman"/>
                <w:bCs/>
                <w:color w:val="000000"/>
                <w:sz w:val="18"/>
                <w:szCs w:val="18"/>
              </w:rPr>
              <w:t>60</w:t>
            </w:r>
          </w:p>
        </w:tc>
        <w:tc>
          <w:tcPr>
            <w:tcW w:w="1020" w:type="dxa"/>
            <w:tcBorders>
              <w:top w:val="nil"/>
              <w:left w:val="nil"/>
              <w:bottom w:val="nil"/>
              <w:right w:val="nil"/>
            </w:tcBorders>
            <w:shd w:val="clear" w:color="auto" w:fill="auto"/>
            <w:noWrap/>
          </w:tcPr>
          <w:p w14:paraId="1E8C1B2B" w14:textId="77777777" w:rsidR="00262CEB" w:rsidRPr="00AA5900" w:rsidRDefault="00262CEB" w:rsidP="0099524E">
            <w:pPr>
              <w:spacing w:after="0"/>
              <w:jc w:val="center"/>
              <w:rPr>
                <w:rFonts w:eastAsia="Times New Roman" w:cs="Times New Roman"/>
                <w:bCs/>
                <w:color w:val="000000"/>
                <w:sz w:val="18"/>
                <w:szCs w:val="18"/>
              </w:rPr>
            </w:pPr>
            <w:r w:rsidRPr="00AA590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7FFAF31F" w14:textId="77777777" w:rsidR="00262CEB" w:rsidRPr="00AA5900" w:rsidRDefault="00262CEB" w:rsidP="0099524E">
            <w:pPr>
              <w:spacing w:after="0"/>
              <w:jc w:val="right"/>
              <w:rPr>
                <w:rFonts w:eastAsia="Times New Roman" w:cs="Times New Roman"/>
                <w:bCs/>
                <w:color w:val="000000"/>
                <w:sz w:val="18"/>
                <w:szCs w:val="18"/>
              </w:rPr>
            </w:pPr>
            <w:r w:rsidRPr="00AA5900">
              <w:rPr>
                <w:rFonts w:eastAsia="Times New Roman" w:cs="Times New Roman"/>
                <w:bCs/>
                <w:color w:val="000000"/>
                <w:sz w:val="18"/>
                <w:szCs w:val="18"/>
              </w:rPr>
              <w:t>$4,035.00</w:t>
            </w:r>
          </w:p>
        </w:tc>
        <w:tc>
          <w:tcPr>
            <w:tcW w:w="1068" w:type="dxa"/>
            <w:tcBorders>
              <w:top w:val="nil"/>
              <w:left w:val="nil"/>
              <w:bottom w:val="nil"/>
              <w:right w:val="nil"/>
            </w:tcBorders>
            <w:shd w:val="clear" w:color="auto" w:fill="auto"/>
            <w:noWrap/>
          </w:tcPr>
          <w:p w14:paraId="594DD66F" w14:textId="77777777" w:rsidR="00262CEB" w:rsidRPr="00AA5900" w:rsidRDefault="00262CEB" w:rsidP="0099524E">
            <w:pPr>
              <w:spacing w:after="0"/>
              <w:jc w:val="center"/>
              <w:rPr>
                <w:rFonts w:eastAsia="Times New Roman" w:cs="Times New Roman"/>
                <w:bCs/>
                <w:color w:val="000000"/>
                <w:sz w:val="18"/>
                <w:szCs w:val="18"/>
              </w:rPr>
            </w:pPr>
            <w:r w:rsidRPr="00AA5900">
              <w:rPr>
                <w:rFonts w:eastAsia="Times New Roman" w:cs="Times New Roman"/>
                <w:bCs/>
                <w:color w:val="000000"/>
                <w:sz w:val="18"/>
                <w:szCs w:val="18"/>
              </w:rPr>
              <w:t>1/03/2004</w:t>
            </w:r>
          </w:p>
        </w:tc>
      </w:tr>
      <w:tr w:rsidR="00262CEB" w:rsidRPr="0013601B" w14:paraId="408C1E3E" w14:textId="77777777" w:rsidTr="0099524E">
        <w:tc>
          <w:tcPr>
            <w:tcW w:w="1433" w:type="dxa"/>
            <w:tcBorders>
              <w:top w:val="nil"/>
              <w:left w:val="nil"/>
              <w:bottom w:val="nil"/>
              <w:right w:val="nil"/>
            </w:tcBorders>
            <w:shd w:val="clear" w:color="auto" w:fill="auto"/>
            <w:noWrap/>
            <w:hideMark/>
          </w:tcPr>
          <w:p w14:paraId="16855553"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4272034"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C0B369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539440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0F4655D"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125 mg (as monohydrate)</w:t>
            </w:r>
          </w:p>
        </w:tc>
        <w:tc>
          <w:tcPr>
            <w:tcW w:w="850" w:type="dxa"/>
            <w:tcBorders>
              <w:top w:val="nil"/>
              <w:left w:val="nil"/>
              <w:bottom w:val="nil"/>
              <w:right w:val="nil"/>
            </w:tcBorders>
            <w:shd w:val="clear" w:color="auto" w:fill="auto"/>
            <w:noWrap/>
            <w:hideMark/>
          </w:tcPr>
          <w:p w14:paraId="4AE174E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hideMark/>
          </w:tcPr>
          <w:p w14:paraId="464FA7A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60</w:t>
            </w:r>
          </w:p>
        </w:tc>
        <w:tc>
          <w:tcPr>
            <w:tcW w:w="1020" w:type="dxa"/>
            <w:tcBorders>
              <w:top w:val="nil"/>
              <w:left w:val="nil"/>
              <w:bottom w:val="nil"/>
              <w:right w:val="nil"/>
            </w:tcBorders>
            <w:shd w:val="clear" w:color="auto" w:fill="auto"/>
            <w:noWrap/>
            <w:hideMark/>
          </w:tcPr>
          <w:p w14:paraId="78DE84C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B99D15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26FFDB4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0BE6F254" w14:textId="77777777" w:rsidTr="0099524E">
        <w:tc>
          <w:tcPr>
            <w:tcW w:w="1433" w:type="dxa"/>
            <w:tcBorders>
              <w:top w:val="nil"/>
              <w:left w:val="nil"/>
              <w:bottom w:val="nil"/>
              <w:right w:val="nil"/>
            </w:tcBorders>
            <w:shd w:val="clear" w:color="auto" w:fill="auto"/>
            <w:noWrap/>
            <w:hideMark/>
          </w:tcPr>
          <w:p w14:paraId="5A70F621"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A9F466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B5BAA6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6A580AB"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264609FF"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7FA485C"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7B6F1A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06058C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5B3B637F"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$4,081.42</w:t>
            </w:r>
          </w:p>
        </w:tc>
        <w:tc>
          <w:tcPr>
            <w:tcW w:w="1068" w:type="dxa"/>
            <w:tcBorders>
              <w:top w:val="nil"/>
              <w:left w:val="nil"/>
              <w:bottom w:val="nil"/>
              <w:right w:val="nil"/>
            </w:tcBorders>
            <w:shd w:val="clear" w:color="auto" w:fill="auto"/>
            <w:noWrap/>
            <w:hideMark/>
          </w:tcPr>
          <w:p w14:paraId="1064F3B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5C9CDE2D" w14:textId="77777777" w:rsidTr="0099524E">
        <w:tc>
          <w:tcPr>
            <w:tcW w:w="1433" w:type="dxa"/>
            <w:tcBorders>
              <w:top w:val="nil"/>
              <w:left w:val="nil"/>
              <w:bottom w:val="nil"/>
              <w:right w:val="nil"/>
            </w:tcBorders>
            <w:shd w:val="clear" w:color="auto" w:fill="auto"/>
            <w:noWrap/>
            <w:hideMark/>
          </w:tcPr>
          <w:p w14:paraId="35EB2621"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922A0E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0825F8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497BA0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4BC94FC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5074577"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3009F7B"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9F2DC78"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500B693"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$4,081.52</w:t>
            </w:r>
          </w:p>
        </w:tc>
        <w:tc>
          <w:tcPr>
            <w:tcW w:w="1068" w:type="dxa"/>
            <w:tcBorders>
              <w:top w:val="nil"/>
              <w:left w:val="nil"/>
              <w:bottom w:val="nil"/>
              <w:right w:val="nil"/>
            </w:tcBorders>
            <w:shd w:val="clear" w:color="auto" w:fill="auto"/>
            <w:noWrap/>
            <w:hideMark/>
          </w:tcPr>
          <w:p w14:paraId="0768DAC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0EFF407B" w14:textId="77777777" w:rsidTr="0099524E">
        <w:trPr>
          <w:trHeight w:val="78"/>
        </w:trPr>
        <w:tc>
          <w:tcPr>
            <w:tcW w:w="1433" w:type="dxa"/>
            <w:tcBorders>
              <w:top w:val="nil"/>
              <w:left w:val="nil"/>
              <w:bottom w:val="nil"/>
              <w:right w:val="nil"/>
            </w:tcBorders>
            <w:shd w:val="clear" w:color="auto" w:fill="auto"/>
            <w:noWrap/>
            <w:hideMark/>
          </w:tcPr>
          <w:p w14:paraId="090449C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4901511"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684ED9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49C81F7"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332CA1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E7F49F1"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44472E0"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0F7CA6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5D1D834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$4,081.63</w:t>
            </w:r>
          </w:p>
        </w:tc>
        <w:tc>
          <w:tcPr>
            <w:tcW w:w="1068" w:type="dxa"/>
            <w:tcBorders>
              <w:top w:val="nil"/>
              <w:left w:val="nil"/>
              <w:bottom w:val="nil"/>
              <w:right w:val="nil"/>
            </w:tcBorders>
            <w:shd w:val="clear" w:color="auto" w:fill="auto"/>
            <w:noWrap/>
            <w:hideMark/>
          </w:tcPr>
          <w:p w14:paraId="5041FFC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26930C30" w14:textId="77777777" w:rsidTr="0099524E">
        <w:tc>
          <w:tcPr>
            <w:tcW w:w="1433" w:type="dxa"/>
            <w:tcBorders>
              <w:top w:val="nil"/>
              <w:left w:val="nil"/>
              <w:bottom w:val="nil"/>
              <w:right w:val="nil"/>
            </w:tcBorders>
            <w:shd w:val="clear" w:color="auto" w:fill="auto"/>
            <w:noWrap/>
            <w:hideMark/>
          </w:tcPr>
          <w:p w14:paraId="71595C76"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C3D1A66"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F2A746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ABF5EF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AAC012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3B41413"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E72E282"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8688B9E"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DC0DF9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$2,923.10</w:t>
            </w:r>
          </w:p>
        </w:tc>
        <w:tc>
          <w:tcPr>
            <w:tcW w:w="1068" w:type="dxa"/>
            <w:tcBorders>
              <w:top w:val="nil"/>
              <w:left w:val="nil"/>
              <w:bottom w:val="nil"/>
              <w:right w:val="nil"/>
            </w:tcBorders>
            <w:shd w:val="clear" w:color="auto" w:fill="auto"/>
            <w:noWrap/>
            <w:hideMark/>
          </w:tcPr>
          <w:p w14:paraId="6B4DE69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71368CE3" w14:textId="77777777" w:rsidTr="0099524E">
        <w:tc>
          <w:tcPr>
            <w:tcW w:w="1433" w:type="dxa"/>
            <w:tcBorders>
              <w:top w:val="nil"/>
              <w:left w:val="nil"/>
              <w:bottom w:val="nil"/>
              <w:right w:val="nil"/>
            </w:tcBorders>
            <w:shd w:val="clear" w:color="auto" w:fill="auto"/>
            <w:noWrap/>
            <w:hideMark/>
          </w:tcPr>
          <w:p w14:paraId="72475A3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65DB6F8"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44115A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FE834B5"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A3ACE7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D0F3C04"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6C7E334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083069C"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DA16F40"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$2,923.23</w:t>
            </w:r>
          </w:p>
        </w:tc>
        <w:tc>
          <w:tcPr>
            <w:tcW w:w="1068" w:type="dxa"/>
            <w:tcBorders>
              <w:top w:val="nil"/>
              <w:left w:val="nil"/>
              <w:bottom w:val="nil"/>
              <w:right w:val="nil"/>
            </w:tcBorders>
            <w:shd w:val="clear" w:color="auto" w:fill="auto"/>
            <w:noWrap/>
            <w:hideMark/>
          </w:tcPr>
          <w:p w14:paraId="3535EFA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3FF70FCC" w14:textId="77777777" w:rsidTr="0099524E">
        <w:tc>
          <w:tcPr>
            <w:tcW w:w="1433" w:type="dxa"/>
            <w:tcBorders>
              <w:top w:val="nil"/>
              <w:left w:val="nil"/>
              <w:bottom w:val="nil"/>
              <w:right w:val="nil"/>
            </w:tcBorders>
            <w:shd w:val="clear" w:color="auto" w:fill="auto"/>
            <w:noWrap/>
            <w:hideMark/>
          </w:tcPr>
          <w:p w14:paraId="54C7D06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0930DDC"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4876FDC"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0ADB3AF1"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05618Q</w:t>
            </w:r>
          </w:p>
        </w:tc>
        <w:tc>
          <w:tcPr>
            <w:tcW w:w="5669" w:type="dxa"/>
            <w:tcBorders>
              <w:top w:val="nil"/>
              <w:left w:val="nil"/>
              <w:bottom w:val="nil"/>
              <w:right w:val="nil"/>
            </w:tcBorders>
            <w:shd w:val="clear" w:color="auto" w:fill="auto"/>
            <w:noWrap/>
            <w:hideMark/>
          </w:tcPr>
          <w:p w14:paraId="1770F84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62.5 mg (as monohydrate)</w:t>
            </w:r>
          </w:p>
        </w:tc>
        <w:tc>
          <w:tcPr>
            <w:tcW w:w="850" w:type="dxa"/>
            <w:tcBorders>
              <w:top w:val="nil"/>
              <w:left w:val="nil"/>
              <w:bottom w:val="nil"/>
              <w:right w:val="nil"/>
            </w:tcBorders>
            <w:shd w:val="clear" w:color="auto" w:fill="auto"/>
            <w:noWrap/>
            <w:hideMark/>
          </w:tcPr>
          <w:p w14:paraId="63F2B07C"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hideMark/>
          </w:tcPr>
          <w:p w14:paraId="7069715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60</w:t>
            </w:r>
          </w:p>
        </w:tc>
        <w:tc>
          <w:tcPr>
            <w:tcW w:w="1020" w:type="dxa"/>
            <w:tcBorders>
              <w:top w:val="nil"/>
              <w:left w:val="nil"/>
              <w:bottom w:val="nil"/>
              <w:right w:val="nil"/>
            </w:tcBorders>
            <w:shd w:val="clear" w:color="auto" w:fill="auto"/>
            <w:noWrap/>
            <w:hideMark/>
          </w:tcPr>
          <w:p w14:paraId="182D1C5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15A4653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5ECB7FE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8BC20F7" w14:textId="77777777" w:rsidTr="0099524E">
        <w:tc>
          <w:tcPr>
            <w:tcW w:w="1433" w:type="dxa"/>
            <w:tcBorders>
              <w:top w:val="nil"/>
              <w:left w:val="nil"/>
              <w:bottom w:val="nil"/>
              <w:right w:val="nil"/>
            </w:tcBorders>
            <w:shd w:val="clear" w:color="auto" w:fill="auto"/>
            <w:noWrap/>
            <w:hideMark/>
          </w:tcPr>
          <w:p w14:paraId="0425CC2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9156269"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46D2E1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B8ECB7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01FEE7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40C3674"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2391D736"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CF9E8A4"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A5EB3FF"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$2,876.47</w:t>
            </w:r>
          </w:p>
        </w:tc>
        <w:tc>
          <w:tcPr>
            <w:tcW w:w="1068" w:type="dxa"/>
            <w:tcBorders>
              <w:top w:val="nil"/>
              <w:left w:val="nil"/>
              <w:bottom w:val="nil"/>
              <w:right w:val="nil"/>
            </w:tcBorders>
            <w:shd w:val="clear" w:color="auto" w:fill="auto"/>
            <w:noWrap/>
            <w:hideMark/>
          </w:tcPr>
          <w:p w14:paraId="6E2BFDF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5584762F" w14:textId="77777777" w:rsidTr="0099524E">
        <w:tc>
          <w:tcPr>
            <w:tcW w:w="1433" w:type="dxa"/>
            <w:tcBorders>
              <w:top w:val="nil"/>
              <w:left w:val="nil"/>
              <w:bottom w:val="nil"/>
              <w:right w:val="nil"/>
            </w:tcBorders>
            <w:shd w:val="clear" w:color="auto" w:fill="auto"/>
            <w:noWrap/>
            <w:hideMark/>
          </w:tcPr>
          <w:p w14:paraId="54496AD6"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F947C0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E6785D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4866CC4"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05619R</w:t>
            </w:r>
          </w:p>
        </w:tc>
        <w:tc>
          <w:tcPr>
            <w:tcW w:w="5669" w:type="dxa"/>
            <w:tcBorders>
              <w:top w:val="nil"/>
              <w:left w:val="nil"/>
              <w:bottom w:val="nil"/>
              <w:right w:val="nil"/>
            </w:tcBorders>
            <w:shd w:val="clear" w:color="auto" w:fill="auto"/>
            <w:noWrap/>
            <w:hideMark/>
          </w:tcPr>
          <w:p w14:paraId="34073EA5"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125 mg (as monohydrate)</w:t>
            </w:r>
          </w:p>
        </w:tc>
        <w:tc>
          <w:tcPr>
            <w:tcW w:w="850" w:type="dxa"/>
            <w:tcBorders>
              <w:top w:val="nil"/>
              <w:left w:val="nil"/>
              <w:bottom w:val="nil"/>
              <w:right w:val="nil"/>
            </w:tcBorders>
            <w:shd w:val="clear" w:color="auto" w:fill="auto"/>
            <w:noWrap/>
            <w:hideMark/>
          </w:tcPr>
          <w:p w14:paraId="14FB169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60</w:t>
            </w:r>
          </w:p>
        </w:tc>
        <w:tc>
          <w:tcPr>
            <w:tcW w:w="851" w:type="dxa"/>
            <w:tcBorders>
              <w:top w:val="nil"/>
              <w:left w:val="nil"/>
              <w:bottom w:val="nil"/>
              <w:right w:val="nil"/>
            </w:tcBorders>
            <w:shd w:val="clear" w:color="auto" w:fill="auto"/>
            <w:noWrap/>
            <w:hideMark/>
          </w:tcPr>
          <w:p w14:paraId="7F9D44E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60</w:t>
            </w:r>
          </w:p>
        </w:tc>
        <w:tc>
          <w:tcPr>
            <w:tcW w:w="1020" w:type="dxa"/>
            <w:tcBorders>
              <w:top w:val="nil"/>
              <w:left w:val="nil"/>
              <w:bottom w:val="nil"/>
              <w:right w:val="nil"/>
            </w:tcBorders>
            <w:shd w:val="clear" w:color="auto" w:fill="auto"/>
            <w:noWrap/>
            <w:hideMark/>
          </w:tcPr>
          <w:p w14:paraId="4F68A99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7D3F83C9"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08AFA61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75AB9603" w14:textId="77777777" w:rsidTr="0099524E">
        <w:tc>
          <w:tcPr>
            <w:tcW w:w="1433" w:type="dxa"/>
            <w:tcBorders>
              <w:top w:val="nil"/>
              <w:left w:val="nil"/>
              <w:bottom w:val="single" w:sz="4" w:space="0" w:color="95B3D7"/>
              <w:right w:val="nil"/>
            </w:tcBorders>
            <w:shd w:val="clear" w:color="auto" w:fill="auto"/>
            <w:noWrap/>
            <w:hideMark/>
          </w:tcPr>
          <w:p w14:paraId="55B6C62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FDBF71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4A421E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7B552E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239C29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CEB7C9C"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11877B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52B6833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ED4FB6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$2,876.47</w:t>
            </w:r>
          </w:p>
        </w:tc>
        <w:tc>
          <w:tcPr>
            <w:tcW w:w="1068" w:type="dxa"/>
            <w:tcBorders>
              <w:top w:val="nil"/>
              <w:left w:val="nil"/>
              <w:bottom w:val="nil"/>
              <w:right w:val="nil"/>
            </w:tcBorders>
            <w:shd w:val="clear" w:color="auto" w:fill="auto"/>
            <w:noWrap/>
            <w:hideMark/>
          </w:tcPr>
          <w:p w14:paraId="0BBD3BC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57961595" w14:textId="77777777" w:rsidTr="0099524E">
        <w:tc>
          <w:tcPr>
            <w:tcW w:w="1433" w:type="dxa"/>
            <w:tcBorders>
              <w:top w:val="nil"/>
              <w:left w:val="nil"/>
              <w:bottom w:val="nil"/>
              <w:right w:val="nil"/>
            </w:tcBorders>
            <w:shd w:val="clear" w:color="auto" w:fill="auto"/>
            <w:noWrap/>
            <w:hideMark/>
          </w:tcPr>
          <w:p w14:paraId="52A6E4E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ILOPROST</w:t>
            </w:r>
          </w:p>
        </w:tc>
        <w:tc>
          <w:tcPr>
            <w:tcW w:w="992" w:type="dxa"/>
            <w:tcBorders>
              <w:top w:val="nil"/>
              <w:left w:val="nil"/>
              <w:bottom w:val="nil"/>
              <w:right w:val="nil"/>
            </w:tcBorders>
            <w:shd w:val="clear" w:color="auto" w:fill="auto"/>
            <w:noWrap/>
            <w:hideMark/>
          </w:tcPr>
          <w:p w14:paraId="67A95141"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Ventavis</w:t>
            </w:r>
          </w:p>
        </w:tc>
        <w:tc>
          <w:tcPr>
            <w:tcW w:w="851" w:type="dxa"/>
            <w:tcBorders>
              <w:top w:val="nil"/>
              <w:left w:val="nil"/>
              <w:bottom w:val="nil"/>
              <w:right w:val="nil"/>
            </w:tcBorders>
            <w:shd w:val="clear" w:color="auto" w:fill="auto"/>
            <w:noWrap/>
            <w:hideMark/>
          </w:tcPr>
          <w:p w14:paraId="659F1FCD"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2493D89C"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06456T</w:t>
            </w:r>
          </w:p>
        </w:tc>
        <w:tc>
          <w:tcPr>
            <w:tcW w:w="5669" w:type="dxa"/>
            <w:tcBorders>
              <w:top w:val="nil"/>
              <w:left w:val="nil"/>
              <w:bottom w:val="nil"/>
              <w:right w:val="nil"/>
            </w:tcBorders>
            <w:shd w:val="clear" w:color="auto" w:fill="auto"/>
            <w:noWrap/>
          </w:tcPr>
          <w:p w14:paraId="56E9AA0B"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Solution for inhalation equivalent to 20 micrograms iloprost in 2 mL ampoule</w:t>
            </w:r>
          </w:p>
        </w:tc>
        <w:tc>
          <w:tcPr>
            <w:tcW w:w="850" w:type="dxa"/>
            <w:tcBorders>
              <w:top w:val="nil"/>
              <w:left w:val="nil"/>
              <w:bottom w:val="nil"/>
              <w:right w:val="nil"/>
            </w:tcBorders>
            <w:shd w:val="clear" w:color="auto" w:fill="auto"/>
            <w:noWrap/>
          </w:tcPr>
          <w:p w14:paraId="5D2D4BE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tcPr>
          <w:p w14:paraId="2DC4AF1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tcPr>
          <w:p w14:paraId="6D7DA93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08D2AFF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$1,076.00</w:t>
            </w:r>
          </w:p>
        </w:tc>
        <w:tc>
          <w:tcPr>
            <w:tcW w:w="1068" w:type="dxa"/>
            <w:tcBorders>
              <w:top w:val="nil"/>
              <w:left w:val="nil"/>
              <w:bottom w:val="nil"/>
              <w:right w:val="nil"/>
            </w:tcBorders>
            <w:shd w:val="clear" w:color="auto" w:fill="auto"/>
            <w:noWrap/>
          </w:tcPr>
          <w:p w14:paraId="15B4E3D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w:t>
            </w:r>
            <w:r>
              <w:rPr>
                <w:rFonts w:eastAsia="Times New Roman" w:cs="Times New Roman"/>
                <w:sz w:val="18"/>
                <w:szCs w:val="18"/>
              </w:rPr>
              <w:t>4</w:t>
            </w:r>
            <w:r w:rsidRPr="00201710">
              <w:rPr>
                <w:rFonts w:eastAsia="Times New Roman" w:cs="Times New Roman"/>
                <w:sz w:val="18"/>
                <w:szCs w:val="18"/>
              </w:rPr>
              <w:t>/200</w:t>
            </w:r>
            <w:r>
              <w:rPr>
                <w:rFonts w:eastAsia="Times New Roman" w:cs="Times New Roman"/>
                <w:sz w:val="18"/>
                <w:szCs w:val="18"/>
              </w:rPr>
              <w:t>5</w:t>
            </w:r>
          </w:p>
        </w:tc>
      </w:tr>
      <w:tr w:rsidR="00262CEB" w:rsidRPr="0013601B" w14:paraId="3C9099C3" w14:textId="77777777" w:rsidTr="0099524E">
        <w:tc>
          <w:tcPr>
            <w:tcW w:w="1433" w:type="dxa"/>
            <w:tcBorders>
              <w:top w:val="nil"/>
              <w:left w:val="nil"/>
              <w:bottom w:val="nil"/>
              <w:right w:val="nil"/>
            </w:tcBorders>
            <w:shd w:val="clear" w:color="auto" w:fill="auto"/>
            <w:noWrap/>
            <w:hideMark/>
          </w:tcPr>
          <w:p w14:paraId="33C6EAD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12C21A7"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51404E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C0D91F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1FA4E44E"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Solution for inhalation 20 micrograms (as trometamol) in 2 mL</w:t>
            </w:r>
          </w:p>
        </w:tc>
        <w:tc>
          <w:tcPr>
            <w:tcW w:w="850" w:type="dxa"/>
            <w:tcBorders>
              <w:top w:val="nil"/>
              <w:left w:val="nil"/>
              <w:bottom w:val="nil"/>
              <w:right w:val="nil"/>
            </w:tcBorders>
            <w:shd w:val="clear" w:color="auto" w:fill="auto"/>
            <w:noWrap/>
          </w:tcPr>
          <w:p w14:paraId="13D753B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tcPr>
          <w:p w14:paraId="46B2482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tcPr>
          <w:p w14:paraId="4085CE8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68505E1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$1,076.00</w:t>
            </w:r>
          </w:p>
        </w:tc>
        <w:tc>
          <w:tcPr>
            <w:tcW w:w="1068" w:type="dxa"/>
            <w:tcBorders>
              <w:top w:val="nil"/>
              <w:left w:val="nil"/>
              <w:bottom w:val="nil"/>
              <w:right w:val="nil"/>
            </w:tcBorders>
            <w:shd w:val="clear" w:color="auto" w:fill="auto"/>
            <w:noWrap/>
          </w:tcPr>
          <w:p w14:paraId="6E3684C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00551E4D" w14:textId="77777777" w:rsidTr="0099524E">
        <w:tc>
          <w:tcPr>
            <w:tcW w:w="1433" w:type="dxa"/>
            <w:tcBorders>
              <w:top w:val="nil"/>
              <w:left w:val="nil"/>
              <w:bottom w:val="nil"/>
              <w:right w:val="nil"/>
            </w:tcBorders>
            <w:shd w:val="clear" w:color="auto" w:fill="auto"/>
            <w:noWrap/>
            <w:hideMark/>
          </w:tcPr>
          <w:p w14:paraId="1267B50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F9838D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DCA4B0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4AD3617"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1400F57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03D47E71"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0A0363BC"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3F15DCFE"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44CBD0D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$1,122.42</w:t>
            </w:r>
          </w:p>
        </w:tc>
        <w:tc>
          <w:tcPr>
            <w:tcW w:w="1068" w:type="dxa"/>
            <w:tcBorders>
              <w:top w:val="nil"/>
              <w:left w:val="nil"/>
              <w:bottom w:val="nil"/>
              <w:right w:val="nil"/>
            </w:tcBorders>
            <w:shd w:val="clear" w:color="auto" w:fill="auto"/>
            <w:noWrap/>
          </w:tcPr>
          <w:p w14:paraId="5A18B14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6CEBD1BB" w14:textId="77777777" w:rsidTr="0099524E">
        <w:tc>
          <w:tcPr>
            <w:tcW w:w="1433" w:type="dxa"/>
            <w:tcBorders>
              <w:top w:val="nil"/>
              <w:left w:val="nil"/>
              <w:bottom w:val="nil"/>
              <w:right w:val="nil"/>
            </w:tcBorders>
            <w:shd w:val="clear" w:color="auto" w:fill="auto"/>
            <w:noWrap/>
            <w:hideMark/>
          </w:tcPr>
          <w:p w14:paraId="5C7823F9"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808E38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80E3CC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53EDD70"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47C1D32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71CF35BE"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354DB668"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015B7B58"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2D977DF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$1,122.52</w:t>
            </w:r>
          </w:p>
        </w:tc>
        <w:tc>
          <w:tcPr>
            <w:tcW w:w="1068" w:type="dxa"/>
            <w:tcBorders>
              <w:top w:val="nil"/>
              <w:left w:val="nil"/>
              <w:bottom w:val="nil"/>
              <w:right w:val="nil"/>
            </w:tcBorders>
            <w:shd w:val="clear" w:color="auto" w:fill="auto"/>
            <w:noWrap/>
          </w:tcPr>
          <w:p w14:paraId="27C93465"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1F8A13DA" w14:textId="77777777" w:rsidTr="0099524E">
        <w:tc>
          <w:tcPr>
            <w:tcW w:w="1433" w:type="dxa"/>
            <w:tcBorders>
              <w:top w:val="nil"/>
              <w:left w:val="nil"/>
              <w:bottom w:val="nil"/>
              <w:right w:val="nil"/>
            </w:tcBorders>
            <w:shd w:val="clear" w:color="auto" w:fill="auto"/>
            <w:noWrap/>
            <w:hideMark/>
          </w:tcPr>
          <w:p w14:paraId="2DD9DC9F"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9F18E37"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2E98E46"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503F968"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7483ECC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041FCB57"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52C886DF"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71EAF0A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5D200A9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$1,122.63</w:t>
            </w:r>
          </w:p>
        </w:tc>
        <w:tc>
          <w:tcPr>
            <w:tcW w:w="1068" w:type="dxa"/>
            <w:tcBorders>
              <w:top w:val="nil"/>
              <w:left w:val="nil"/>
              <w:bottom w:val="nil"/>
              <w:right w:val="nil"/>
            </w:tcBorders>
            <w:shd w:val="clear" w:color="auto" w:fill="auto"/>
            <w:noWrap/>
          </w:tcPr>
          <w:p w14:paraId="31442D49"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53AB82F9" w14:textId="77777777" w:rsidTr="0099524E">
        <w:tc>
          <w:tcPr>
            <w:tcW w:w="1433" w:type="dxa"/>
            <w:tcBorders>
              <w:top w:val="nil"/>
              <w:left w:val="nil"/>
              <w:bottom w:val="nil"/>
              <w:right w:val="nil"/>
            </w:tcBorders>
            <w:shd w:val="clear" w:color="auto" w:fill="auto"/>
            <w:noWrap/>
            <w:hideMark/>
          </w:tcPr>
          <w:p w14:paraId="0F284CD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8199CB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99EF26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1C70B6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5C0E278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260FDC42"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4981A4DF"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0D9ED123"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20C9E231"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$1,122.76</w:t>
            </w:r>
          </w:p>
        </w:tc>
        <w:tc>
          <w:tcPr>
            <w:tcW w:w="1068" w:type="dxa"/>
            <w:tcBorders>
              <w:top w:val="nil"/>
              <w:left w:val="nil"/>
              <w:bottom w:val="nil"/>
              <w:right w:val="nil"/>
            </w:tcBorders>
            <w:shd w:val="clear" w:color="auto" w:fill="auto"/>
            <w:noWrap/>
          </w:tcPr>
          <w:p w14:paraId="7BF7274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2052E092" w14:textId="77777777" w:rsidTr="0099524E">
        <w:tc>
          <w:tcPr>
            <w:tcW w:w="1433" w:type="dxa"/>
            <w:tcBorders>
              <w:top w:val="nil"/>
              <w:left w:val="nil"/>
              <w:bottom w:val="single" w:sz="4" w:space="0" w:color="95B3D7"/>
              <w:right w:val="nil"/>
            </w:tcBorders>
            <w:shd w:val="clear" w:color="auto" w:fill="auto"/>
            <w:noWrap/>
            <w:hideMark/>
          </w:tcPr>
          <w:p w14:paraId="75CC67B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DB4C35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AB66F84"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23E0FA6A"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05751Q</w:t>
            </w:r>
          </w:p>
        </w:tc>
        <w:tc>
          <w:tcPr>
            <w:tcW w:w="5669" w:type="dxa"/>
            <w:tcBorders>
              <w:top w:val="nil"/>
              <w:left w:val="nil"/>
              <w:bottom w:val="nil"/>
              <w:right w:val="nil"/>
            </w:tcBorders>
            <w:shd w:val="clear" w:color="auto" w:fill="auto"/>
            <w:noWrap/>
            <w:hideMark/>
          </w:tcPr>
          <w:p w14:paraId="08F377B9"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Solution for inhalation 20 micrograms (as trometamol) in 2 mL</w:t>
            </w:r>
          </w:p>
        </w:tc>
        <w:tc>
          <w:tcPr>
            <w:tcW w:w="850" w:type="dxa"/>
            <w:tcBorders>
              <w:top w:val="nil"/>
              <w:left w:val="nil"/>
              <w:bottom w:val="nil"/>
              <w:right w:val="nil"/>
            </w:tcBorders>
            <w:shd w:val="clear" w:color="auto" w:fill="auto"/>
            <w:noWrap/>
            <w:hideMark/>
          </w:tcPr>
          <w:p w14:paraId="7F44A50F"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077D1AC7"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6578EE2D"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6B5622CA"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$1,076.00</w:t>
            </w:r>
          </w:p>
        </w:tc>
        <w:tc>
          <w:tcPr>
            <w:tcW w:w="1068" w:type="dxa"/>
            <w:tcBorders>
              <w:top w:val="nil"/>
              <w:left w:val="nil"/>
              <w:bottom w:val="nil"/>
              <w:right w:val="nil"/>
            </w:tcBorders>
            <w:shd w:val="clear" w:color="auto" w:fill="auto"/>
            <w:noWrap/>
            <w:hideMark/>
          </w:tcPr>
          <w:p w14:paraId="6281958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6F03C5A4" w14:textId="77777777" w:rsidTr="0099524E">
        <w:tc>
          <w:tcPr>
            <w:tcW w:w="1433" w:type="dxa"/>
            <w:tcBorders>
              <w:top w:val="nil"/>
              <w:left w:val="nil"/>
              <w:bottom w:val="nil"/>
              <w:right w:val="nil"/>
            </w:tcBorders>
            <w:shd w:val="clear" w:color="auto" w:fill="auto"/>
            <w:noWrap/>
            <w:hideMark/>
          </w:tcPr>
          <w:p w14:paraId="267E0A2C"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EPOPROSTENOL</w:t>
            </w:r>
          </w:p>
        </w:tc>
        <w:tc>
          <w:tcPr>
            <w:tcW w:w="992" w:type="dxa"/>
            <w:tcBorders>
              <w:top w:val="nil"/>
              <w:left w:val="nil"/>
              <w:bottom w:val="nil"/>
              <w:right w:val="nil"/>
            </w:tcBorders>
            <w:shd w:val="clear" w:color="auto" w:fill="auto"/>
            <w:noWrap/>
            <w:hideMark/>
          </w:tcPr>
          <w:p w14:paraId="4C58F84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Flolan</w:t>
            </w:r>
          </w:p>
        </w:tc>
        <w:tc>
          <w:tcPr>
            <w:tcW w:w="851" w:type="dxa"/>
            <w:tcBorders>
              <w:top w:val="nil"/>
              <w:left w:val="nil"/>
              <w:bottom w:val="nil"/>
              <w:right w:val="nil"/>
            </w:tcBorders>
            <w:shd w:val="clear" w:color="auto" w:fill="auto"/>
            <w:noWrap/>
            <w:hideMark/>
          </w:tcPr>
          <w:p w14:paraId="0C3886EB"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6F9CACC6"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06477X</w:t>
            </w:r>
          </w:p>
        </w:tc>
        <w:tc>
          <w:tcPr>
            <w:tcW w:w="5669" w:type="dxa"/>
            <w:tcBorders>
              <w:top w:val="nil"/>
              <w:left w:val="nil"/>
              <w:bottom w:val="nil"/>
              <w:right w:val="nil"/>
            </w:tcBorders>
            <w:shd w:val="clear" w:color="auto" w:fill="auto"/>
            <w:noWrap/>
          </w:tcPr>
          <w:p w14:paraId="689D2C1A"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equivalent to 500 micrograms epoprostenol with 1 vial diluent 50 mL</w:t>
            </w:r>
          </w:p>
        </w:tc>
        <w:tc>
          <w:tcPr>
            <w:tcW w:w="850" w:type="dxa"/>
            <w:tcBorders>
              <w:top w:val="nil"/>
              <w:left w:val="nil"/>
              <w:bottom w:val="nil"/>
              <w:right w:val="nil"/>
            </w:tcBorders>
            <w:shd w:val="clear" w:color="auto" w:fill="auto"/>
            <w:noWrap/>
          </w:tcPr>
          <w:p w14:paraId="70B1CB2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6FCC15C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036C2F0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6854571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$41.69</w:t>
            </w:r>
          </w:p>
        </w:tc>
        <w:tc>
          <w:tcPr>
            <w:tcW w:w="1068" w:type="dxa"/>
            <w:tcBorders>
              <w:top w:val="nil"/>
              <w:left w:val="nil"/>
              <w:bottom w:val="nil"/>
              <w:right w:val="nil"/>
            </w:tcBorders>
            <w:shd w:val="clear" w:color="auto" w:fill="auto"/>
            <w:noWrap/>
          </w:tcPr>
          <w:p w14:paraId="069DCE6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1/08/2006</w:t>
            </w:r>
          </w:p>
        </w:tc>
      </w:tr>
      <w:tr w:rsidR="00262CEB" w:rsidRPr="0013601B" w14:paraId="279EC929" w14:textId="77777777" w:rsidTr="0099524E">
        <w:tc>
          <w:tcPr>
            <w:tcW w:w="1433" w:type="dxa"/>
            <w:tcBorders>
              <w:top w:val="nil"/>
              <w:left w:val="nil"/>
              <w:bottom w:val="nil"/>
              <w:right w:val="nil"/>
            </w:tcBorders>
            <w:shd w:val="clear" w:color="auto" w:fill="auto"/>
            <w:noWrap/>
            <w:hideMark/>
          </w:tcPr>
          <w:p w14:paraId="7EC2135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66C1C7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C8CB57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D1A1435"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5C8612C3"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 with 1 vial diluent 50 mL</w:t>
            </w:r>
          </w:p>
        </w:tc>
        <w:tc>
          <w:tcPr>
            <w:tcW w:w="850" w:type="dxa"/>
            <w:tcBorders>
              <w:top w:val="nil"/>
              <w:left w:val="nil"/>
              <w:bottom w:val="nil"/>
              <w:right w:val="nil"/>
            </w:tcBorders>
            <w:shd w:val="clear" w:color="auto" w:fill="auto"/>
            <w:noWrap/>
          </w:tcPr>
          <w:p w14:paraId="1E8AB70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4A9D635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12F9A102"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0DA28260"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$41.69</w:t>
            </w:r>
          </w:p>
        </w:tc>
        <w:tc>
          <w:tcPr>
            <w:tcW w:w="1068" w:type="dxa"/>
            <w:tcBorders>
              <w:top w:val="nil"/>
              <w:left w:val="nil"/>
              <w:bottom w:val="nil"/>
              <w:right w:val="nil"/>
            </w:tcBorders>
            <w:shd w:val="clear" w:color="auto" w:fill="auto"/>
            <w:noWrap/>
          </w:tcPr>
          <w:p w14:paraId="2E705CA4"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2FDEA32C" w14:textId="77777777" w:rsidTr="0099524E">
        <w:tc>
          <w:tcPr>
            <w:tcW w:w="1433" w:type="dxa"/>
            <w:tcBorders>
              <w:top w:val="nil"/>
              <w:left w:val="nil"/>
              <w:bottom w:val="nil"/>
              <w:right w:val="nil"/>
            </w:tcBorders>
            <w:shd w:val="clear" w:color="auto" w:fill="auto"/>
            <w:noWrap/>
            <w:hideMark/>
          </w:tcPr>
          <w:p w14:paraId="1197EB9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C367E9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1A416B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F074CFC"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46211A5E"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 with diluent</w:t>
            </w:r>
          </w:p>
        </w:tc>
        <w:tc>
          <w:tcPr>
            <w:tcW w:w="850" w:type="dxa"/>
            <w:tcBorders>
              <w:top w:val="nil"/>
              <w:left w:val="nil"/>
              <w:bottom w:val="nil"/>
              <w:right w:val="nil"/>
            </w:tcBorders>
            <w:shd w:val="clear" w:color="auto" w:fill="auto"/>
            <w:noWrap/>
          </w:tcPr>
          <w:p w14:paraId="7EFD522D"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574673D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44D7FEAA"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2D5192A1"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$41.69</w:t>
            </w:r>
          </w:p>
        </w:tc>
        <w:tc>
          <w:tcPr>
            <w:tcW w:w="1068" w:type="dxa"/>
            <w:tcBorders>
              <w:top w:val="nil"/>
              <w:left w:val="nil"/>
              <w:bottom w:val="nil"/>
              <w:right w:val="nil"/>
            </w:tcBorders>
            <w:shd w:val="clear" w:color="auto" w:fill="auto"/>
            <w:noWrap/>
          </w:tcPr>
          <w:p w14:paraId="2D73004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1/09/2008</w:t>
            </w:r>
          </w:p>
        </w:tc>
      </w:tr>
      <w:tr w:rsidR="00262CEB" w:rsidRPr="0013601B" w14:paraId="2A5D45B8" w14:textId="77777777" w:rsidTr="0099524E">
        <w:tc>
          <w:tcPr>
            <w:tcW w:w="1433" w:type="dxa"/>
            <w:tcBorders>
              <w:top w:val="nil"/>
              <w:left w:val="nil"/>
              <w:bottom w:val="nil"/>
              <w:right w:val="nil"/>
            </w:tcBorders>
            <w:shd w:val="clear" w:color="auto" w:fill="auto"/>
            <w:noWrap/>
            <w:hideMark/>
          </w:tcPr>
          <w:p w14:paraId="0B26A0B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3F1064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08B355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78A89D2"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48D62C1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5B66FA73"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18A2E42C"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3C183005"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06F706F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$52.11</w:t>
            </w:r>
          </w:p>
        </w:tc>
        <w:tc>
          <w:tcPr>
            <w:tcW w:w="1068" w:type="dxa"/>
            <w:tcBorders>
              <w:top w:val="nil"/>
              <w:left w:val="nil"/>
              <w:bottom w:val="nil"/>
              <w:right w:val="nil"/>
            </w:tcBorders>
            <w:shd w:val="clear" w:color="auto" w:fill="auto"/>
            <w:noWrap/>
          </w:tcPr>
          <w:p w14:paraId="4DD2C85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65627BA1" w14:textId="77777777" w:rsidTr="0099524E">
        <w:tc>
          <w:tcPr>
            <w:tcW w:w="1433" w:type="dxa"/>
            <w:tcBorders>
              <w:top w:val="nil"/>
              <w:left w:val="nil"/>
              <w:bottom w:val="nil"/>
              <w:right w:val="nil"/>
            </w:tcBorders>
            <w:shd w:val="clear" w:color="auto" w:fill="auto"/>
            <w:noWrap/>
            <w:hideMark/>
          </w:tcPr>
          <w:p w14:paraId="5748649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F477F93"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4F5DCE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7287418"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06478Y</w:t>
            </w:r>
          </w:p>
        </w:tc>
        <w:tc>
          <w:tcPr>
            <w:tcW w:w="5669" w:type="dxa"/>
            <w:tcBorders>
              <w:top w:val="nil"/>
              <w:left w:val="nil"/>
              <w:bottom w:val="nil"/>
              <w:right w:val="nil"/>
            </w:tcBorders>
            <w:shd w:val="clear" w:color="auto" w:fill="auto"/>
            <w:noWrap/>
          </w:tcPr>
          <w:p w14:paraId="55FA7EF4"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equivalent to 1.5 mg epoprostenol with 2 vials diluent 50 mL</w:t>
            </w:r>
          </w:p>
        </w:tc>
        <w:tc>
          <w:tcPr>
            <w:tcW w:w="850" w:type="dxa"/>
            <w:tcBorders>
              <w:top w:val="nil"/>
              <w:left w:val="nil"/>
              <w:bottom w:val="nil"/>
              <w:right w:val="nil"/>
            </w:tcBorders>
            <w:shd w:val="clear" w:color="auto" w:fill="auto"/>
            <w:noWrap/>
          </w:tcPr>
          <w:p w14:paraId="05E5465D"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47C90A9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06A83487"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7DF3C135" w14:textId="77777777" w:rsidR="00262CEB" w:rsidRPr="00201710" w:rsidRDefault="00262CEB" w:rsidP="0099524E">
            <w:pPr>
              <w:spacing w:after="0"/>
              <w:jc w:val="right"/>
              <w:rPr>
                <w:rFonts w:eastAsia="Times New Roman" w:cs="Times New Roman"/>
                <w:sz w:val="18"/>
                <w:szCs w:val="18"/>
              </w:rPr>
            </w:pPr>
            <w:r>
              <w:rPr>
                <w:rFonts w:eastAsia="Times New Roman" w:cs="Times New Roman"/>
                <w:sz w:val="18"/>
                <w:szCs w:val="18"/>
              </w:rPr>
              <w:t>$</w:t>
            </w:r>
            <w:r w:rsidRPr="00201710">
              <w:rPr>
                <w:rFonts w:eastAsia="Times New Roman" w:cs="Times New Roman"/>
                <w:sz w:val="18"/>
                <w:szCs w:val="18"/>
              </w:rPr>
              <w:t>83.37</w:t>
            </w:r>
          </w:p>
        </w:tc>
        <w:tc>
          <w:tcPr>
            <w:tcW w:w="1068" w:type="dxa"/>
            <w:tcBorders>
              <w:top w:val="nil"/>
              <w:left w:val="nil"/>
              <w:bottom w:val="nil"/>
              <w:right w:val="nil"/>
            </w:tcBorders>
            <w:shd w:val="clear" w:color="auto" w:fill="auto"/>
            <w:noWrap/>
          </w:tcPr>
          <w:p w14:paraId="0B4807D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1/08/2006</w:t>
            </w:r>
          </w:p>
        </w:tc>
      </w:tr>
      <w:tr w:rsidR="00262CEB" w:rsidRPr="0013601B" w14:paraId="623ACD23" w14:textId="77777777" w:rsidTr="0099524E">
        <w:tc>
          <w:tcPr>
            <w:tcW w:w="1433" w:type="dxa"/>
            <w:tcBorders>
              <w:top w:val="nil"/>
              <w:left w:val="nil"/>
              <w:bottom w:val="nil"/>
              <w:right w:val="nil"/>
            </w:tcBorders>
            <w:shd w:val="clear" w:color="auto" w:fill="auto"/>
            <w:noWrap/>
            <w:hideMark/>
          </w:tcPr>
          <w:p w14:paraId="0E2DC13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C5AC3F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11B76F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5AF1AEC"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09A8B6FD"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 with 2 vials diluent 50 mL</w:t>
            </w:r>
          </w:p>
        </w:tc>
        <w:tc>
          <w:tcPr>
            <w:tcW w:w="850" w:type="dxa"/>
            <w:tcBorders>
              <w:top w:val="nil"/>
              <w:left w:val="nil"/>
              <w:bottom w:val="nil"/>
              <w:right w:val="nil"/>
            </w:tcBorders>
            <w:shd w:val="clear" w:color="auto" w:fill="auto"/>
            <w:noWrap/>
          </w:tcPr>
          <w:p w14:paraId="2880C6ED"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6F5C42B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417877C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45977BD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$83.37</w:t>
            </w:r>
          </w:p>
        </w:tc>
        <w:tc>
          <w:tcPr>
            <w:tcW w:w="1068" w:type="dxa"/>
            <w:tcBorders>
              <w:top w:val="nil"/>
              <w:left w:val="nil"/>
              <w:bottom w:val="nil"/>
              <w:right w:val="nil"/>
            </w:tcBorders>
            <w:shd w:val="clear" w:color="auto" w:fill="auto"/>
            <w:noWrap/>
          </w:tcPr>
          <w:p w14:paraId="5F768E37"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0BCAAF53" w14:textId="77777777" w:rsidTr="0099524E">
        <w:tc>
          <w:tcPr>
            <w:tcW w:w="1433" w:type="dxa"/>
            <w:tcBorders>
              <w:top w:val="nil"/>
              <w:left w:val="nil"/>
              <w:bottom w:val="nil"/>
              <w:right w:val="nil"/>
            </w:tcBorders>
            <w:shd w:val="clear" w:color="auto" w:fill="auto"/>
            <w:noWrap/>
            <w:hideMark/>
          </w:tcPr>
          <w:p w14:paraId="04DCACE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0E1F70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7CFA576"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40B5D6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130A575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 with diluent</w:t>
            </w:r>
          </w:p>
        </w:tc>
        <w:tc>
          <w:tcPr>
            <w:tcW w:w="850" w:type="dxa"/>
            <w:tcBorders>
              <w:top w:val="nil"/>
              <w:left w:val="nil"/>
              <w:bottom w:val="nil"/>
              <w:right w:val="nil"/>
            </w:tcBorders>
            <w:shd w:val="clear" w:color="auto" w:fill="auto"/>
            <w:noWrap/>
          </w:tcPr>
          <w:p w14:paraId="0EC46252"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tcPr>
          <w:p w14:paraId="1EFC977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tcPr>
          <w:p w14:paraId="5B4C7CFC"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2063C2F0"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$83.37</w:t>
            </w:r>
          </w:p>
        </w:tc>
        <w:tc>
          <w:tcPr>
            <w:tcW w:w="1068" w:type="dxa"/>
            <w:tcBorders>
              <w:top w:val="nil"/>
              <w:left w:val="nil"/>
              <w:bottom w:val="nil"/>
              <w:right w:val="nil"/>
            </w:tcBorders>
            <w:shd w:val="clear" w:color="auto" w:fill="auto"/>
            <w:noWrap/>
          </w:tcPr>
          <w:p w14:paraId="2E3A408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1/09/2008</w:t>
            </w:r>
          </w:p>
        </w:tc>
      </w:tr>
      <w:tr w:rsidR="00262CEB" w:rsidRPr="0013601B" w14:paraId="7C83E3F4" w14:textId="77777777" w:rsidTr="0099524E">
        <w:tc>
          <w:tcPr>
            <w:tcW w:w="1433" w:type="dxa"/>
            <w:tcBorders>
              <w:top w:val="nil"/>
              <w:left w:val="nil"/>
              <w:bottom w:val="nil"/>
              <w:right w:val="nil"/>
            </w:tcBorders>
            <w:shd w:val="clear" w:color="auto" w:fill="auto"/>
            <w:noWrap/>
            <w:hideMark/>
          </w:tcPr>
          <w:p w14:paraId="79B4B7A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4F74E5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E8598C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641F796"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4BC3F64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37CCECBF"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4BA3302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4E7A4C8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44D708D9"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$93.79</w:t>
            </w:r>
          </w:p>
        </w:tc>
        <w:tc>
          <w:tcPr>
            <w:tcW w:w="1068" w:type="dxa"/>
            <w:tcBorders>
              <w:top w:val="nil"/>
              <w:left w:val="nil"/>
              <w:bottom w:val="nil"/>
              <w:right w:val="nil"/>
            </w:tcBorders>
            <w:shd w:val="clear" w:color="auto" w:fill="auto"/>
            <w:noWrap/>
          </w:tcPr>
          <w:p w14:paraId="087B47F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ABC9BF1" w14:textId="77777777" w:rsidTr="0099524E">
        <w:tc>
          <w:tcPr>
            <w:tcW w:w="1433" w:type="dxa"/>
            <w:tcBorders>
              <w:top w:val="nil"/>
              <w:left w:val="nil"/>
              <w:bottom w:val="nil"/>
              <w:right w:val="nil"/>
            </w:tcBorders>
            <w:shd w:val="clear" w:color="auto" w:fill="auto"/>
            <w:noWrap/>
            <w:hideMark/>
          </w:tcPr>
          <w:p w14:paraId="6ACD0E0F"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7A15068"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2968277"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43180385"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05731P</w:t>
            </w:r>
          </w:p>
        </w:tc>
        <w:tc>
          <w:tcPr>
            <w:tcW w:w="5669" w:type="dxa"/>
            <w:tcBorders>
              <w:top w:val="nil"/>
              <w:left w:val="nil"/>
              <w:bottom w:val="nil"/>
              <w:right w:val="nil"/>
            </w:tcBorders>
            <w:shd w:val="clear" w:color="auto" w:fill="auto"/>
            <w:noWrap/>
            <w:hideMark/>
          </w:tcPr>
          <w:p w14:paraId="0B4BDB9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 with diluent</w:t>
            </w:r>
          </w:p>
        </w:tc>
        <w:tc>
          <w:tcPr>
            <w:tcW w:w="850" w:type="dxa"/>
            <w:tcBorders>
              <w:top w:val="nil"/>
              <w:left w:val="nil"/>
              <w:bottom w:val="nil"/>
              <w:right w:val="nil"/>
            </w:tcBorders>
            <w:shd w:val="clear" w:color="auto" w:fill="auto"/>
            <w:noWrap/>
            <w:hideMark/>
          </w:tcPr>
          <w:p w14:paraId="7832D968"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51CB7087"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04A8CDBA"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5AE91483"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$41.69</w:t>
            </w:r>
          </w:p>
        </w:tc>
        <w:tc>
          <w:tcPr>
            <w:tcW w:w="1068" w:type="dxa"/>
            <w:tcBorders>
              <w:top w:val="nil"/>
              <w:left w:val="nil"/>
              <w:bottom w:val="nil"/>
              <w:right w:val="nil"/>
            </w:tcBorders>
            <w:shd w:val="clear" w:color="auto" w:fill="auto"/>
            <w:noWrap/>
            <w:hideMark/>
          </w:tcPr>
          <w:p w14:paraId="3AC4CB6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688A9F39" w14:textId="77777777" w:rsidTr="0099524E">
        <w:tc>
          <w:tcPr>
            <w:tcW w:w="1433" w:type="dxa"/>
            <w:tcBorders>
              <w:top w:val="nil"/>
              <w:left w:val="nil"/>
              <w:bottom w:val="nil"/>
              <w:right w:val="nil"/>
            </w:tcBorders>
            <w:shd w:val="clear" w:color="auto" w:fill="auto"/>
            <w:noWrap/>
            <w:hideMark/>
          </w:tcPr>
          <w:p w14:paraId="20B73EC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0EF0931"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D40748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CC3C6E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05732Q</w:t>
            </w:r>
          </w:p>
        </w:tc>
        <w:tc>
          <w:tcPr>
            <w:tcW w:w="5669" w:type="dxa"/>
            <w:tcBorders>
              <w:top w:val="nil"/>
              <w:left w:val="nil"/>
              <w:bottom w:val="nil"/>
              <w:right w:val="nil"/>
            </w:tcBorders>
            <w:shd w:val="clear" w:color="auto" w:fill="auto"/>
            <w:noWrap/>
            <w:hideMark/>
          </w:tcPr>
          <w:p w14:paraId="4DB132B3"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 with diluent</w:t>
            </w:r>
          </w:p>
        </w:tc>
        <w:tc>
          <w:tcPr>
            <w:tcW w:w="850" w:type="dxa"/>
            <w:tcBorders>
              <w:top w:val="nil"/>
              <w:left w:val="nil"/>
              <w:bottom w:val="nil"/>
              <w:right w:val="nil"/>
            </w:tcBorders>
            <w:shd w:val="clear" w:color="auto" w:fill="auto"/>
            <w:noWrap/>
            <w:hideMark/>
          </w:tcPr>
          <w:p w14:paraId="21F2E721"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7E99984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6572E97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472D9F1"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$83.37</w:t>
            </w:r>
          </w:p>
        </w:tc>
        <w:tc>
          <w:tcPr>
            <w:tcW w:w="1068" w:type="dxa"/>
            <w:tcBorders>
              <w:top w:val="nil"/>
              <w:left w:val="nil"/>
              <w:bottom w:val="nil"/>
              <w:right w:val="nil"/>
            </w:tcBorders>
            <w:shd w:val="clear" w:color="auto" w:fill="auto"/>
            <w:noWrap/>
            <w:hideMark/>
          </w:tcPr>
          <w:p w14:paraId="451F9B0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70E820B5" w14:textId="77777777" w:rsidTr="0099524E">
        <w:tc>
          <w:tcPr>
            <w:tcW w:w="1433" w:type="dxa"/>
            <w:tcBorders>
              <w:top w:val="nil"/>
              <w:left w:val="nil"/>
              <w:bottom w:val="nil"/>
              <w:right w:val="nil"/>
            </w:tcBorders>
            <w:shd w:val="clear" w:color="auto" w:fill="auto"/>
            <w:noWrap/>
            <w:hideMark/>
          </w:tcPr>
          <w:p w14:paraId="290B457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073E3E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Flolan Kit</w:t>
            </w:r>
          </w:p>
        </w:tc>
        <w:tc>
          <w:tcPr>
            <w:tcW w:w="851" w:type="dxa"/>
            <w:tcBorders>
              <w:top w:val="nil"/>
              <w:left w:val="nil"/>
              <w:bottom w:val="nil"/>
              <w:right w:val="nil"/>
            </w:tcBorders>
            <w:shd w:val="clear" w:color="auto" w:fill="auto"/>
            <w:noWrap/>
            <w:hideMark/>
          </w:tcPr>
          <w:p w14:paraId="68FC002B"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269F623D"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05036C</w:t>
            </w:r>
          </w:p>
        </w:tc>
        <w:tc>
          <w:tcPr>
            <w:tcW w:w="5669" w:type="dxa"/>
            <w:tcBorders>
              <w:top w:val="nil"/>
              <w:left w:val="nil"/>
              <w:bottom w:val="nil"/>
              <w:right w:val="nil"/>
            </w:tcBorders>
            <w:shd w:val="clear" w:color="auto" w:fill="auto"/>
            <w:noWrap/>
            <w:hideMark/>
          </w:tcPr>
          <w:p w14:paraId="4B889839"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 infusion administration set</w:t>
            </w:r>
          </w:p>
        </w:tc>
        <w:tc>
          <w:tcPr>
            <w:tcW w:w="850" w:type="dxa"/>
            <w:tcBorders>
              <w:top w:val="nil"/>
              <w:left w:val="nil"/>
              <w:bottom w:val="nil"/>
              <w:right w:val="nil"/>
            </w:tcBorders>
            <w:shd w:val="clear" w:color="auto" w:fill="auto"/>
            <w:noWrap/>
            <w:hideMark/>
          </w:tcPr>
          <w:p w14:paraId="5244A948"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2F1F228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587D2435"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53E2ECC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$52.11</w:t>
            </w:r>
          </w:p>
        </w:tc>
        <w:tc>
          <w:tcPr>
            <w:tcW w:w="1068" w:type="dxa"/>
            <w:tcBorders>
              <w:top w:val="nil"/>
              <w:left w:val="nil"/>
              <w:bottom w:val="nil"/>
              <w:right w:val="nil"/>
            </w:tcBorders>
            <w:shd w:val="clear" w:color="auto" w:fill="auto"/>
            <w:noWrap/>
            <w:hideMark/>
          </w:tcPr>
          <w:p w14:paraId="43A375B9"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1/01/2012</w:t>
            </w:r>
          </w:p>
        </w:tc>
      </w:tr>
      <w:tr w:rsidR="00262CEB" w:rsidRPr="0013601B" w14:paraId="372D107A" w14:textId="77777777" w:rsidTr="0099524E">
        <w:tc>
          <w:tcPr>
            <w:tcW w:w="1433" w:type="dxa"/>
            <w:tcBorders>
              <w:top w:val="nil"/>
              <w:left w:val="nil"/>
              <w:bottom w:val="nil"/>
              <w:right w:val="nil"/>
            </w:tcBorders>
            <w:shd w:val="clear" w:color="auto" w:fill="auto"/>
            <w:noWrap/>
            <w:hideMark/>
          </w:tcPr>
          <w:p w14:paraId="143BAC2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0490DE4"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DA6D1F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3D217BF"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4DE5CF8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4566EE5" w14:textId="77777777" w:rsidR="00262CEB" w:rsidRPr="0013601B" w:rsidRDefault="00262CEB" w:rsidP="0099524E">
            <w:pPr>
              <w:spacing w:after="0"/>
              <w:jc w:val="center"/>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2E8F14E" w14:textId="77777777" w:rsidR="00262CEB" w:rsidRPr="0013601B"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D7DF3F6" w14:textId="77777777" w:rsidR="00262CEB" w:rsidRPr="0013601B" w:rsidRDefault="00262CEB" w:rsidP="0099524E">
            <w:pPr>
              <w:spacing w:after="0"/>
              <w:jc w:val="center"/>
              <w:rPr>
                <w:rFonts w:eastAsia="Times New Roman" w:cs="Times New Roman"/>
                <w:b/>
                <w:bCs/>
                <w:color w:val="000000"/>
                <w:sz w:val="18"/>
                <w:szCs w:val="18"/>
              </w:rPr>
            </w:pPr>
          </w:p>
        </w:tc>
        <w:tc>
          <w:tcPr>
            <w:tcW w:w="1077" w:type="dxa"/>
            <w:tcBorders>
              <w:top w:val="nil"/>
              <w:left w:val="nil"/>
              <w:bottom w:val="nil"/>
              <w:right w:val="nil"/>
            </w:tcBorders>
            <w:shd w:val="clear" w:color="auto" w:fill="auto"/>
            <w:noWrap/>
            <w:hideMark/>
          </w:tcPr>
          <w:p w14:paraId="2404E7CF" w14:textId="77777777" w:rsidR="00262CEB" w:rsidRPr="0013601B" w:rsidRDefault="00262CEB" w:rsidP="0099524E">
            <w:pPr>
              <w:spacing w:after="0"/>
              <w:jc w:val="right"/>
              <w:rPr>
                <w:rFonts w:eastAsia="Times New Roman" w:cs="Times New Roman"/>
                <w:sz w:val="18"/>
                <w:szCs w:val="18"/>
              </w:rPr>
            </w:pPr>
            <w:r w:rsidRPr="0013601B">
              <w:rPr>
                <w:rFonts w:eastAsia="Times New Roman" w:cs="Times New Roman"/>
                <w:sz w:val="18"/>
                <w:szCs w:val="18"/>
              </w:rPr>
              <w:t>$50.00</w:t>
            </w:r>
          </w:p>
        </w:tc>
        <w:tc>
          <w:tcPr>
            <w:tcW w:w="1068" w:type="dxa"/>
            <w:tcBorders>
              <w:top w:val="nil"/>
              <w:left w:val="nil"/>
              <w:bottom w:val="nil"/>
              <w:right w:val="nil"/>
            </w:tcBorders>
            <w:shd w:val="clear" w:color="auto" w:fill="auto"/>
            <w:noWrap/>
            <w:hideMark/>
          </w:tcPr>
          <w:p w14:paraId="6B3DA698" w14:textId="77777777" w:rsidR="00262CEB" w:rsidRPr="0013601B" w:rsidRDefault="00262CEB" w:rsidP="0099524E">
            <w:pPr>
              <w:spacing w:after="0"/>
              <w:jc w:val="center"/>
              <w:rPr>
                <w:rFonts w:eastAsia="Times New Roman" w:cs="Times New Roman"/>
                <w:sz w:val="18"/>
                <w:szCs w:val="18"/>
              </w:rPr>
            </w:pPr>
            <w:r w:rsidRPr="0013601B">
              <w:rPr>
                <w:rFonts w:eastAsia="Times New Roman" w:cs="Times New Roman"/>
                <w:sz w:val="18"/>
                <w:szCs w:val="18"/>
              </w:rPr>
              <w:t>1/04/2012</w:t>
            </w:r>
          </w:p>
        </w:tc>
      </w:tr>
      <w:tr w:rsidR="00262CEB" w:rsidRPr="0013601B" w14:paraId="14FDCC1F" w14:textId="77777777" w:rsidTr="0099524E">
        <w:tc>
          <w:tcPr>
            <w:tcW w:w="1433" w:type="dxa"/>
            <w:tcBorders>
              <w:top w:val="nil"/>
              <w:left w:val="nil"/>
              <w:bottom w:val="nil"/>
              <w:right w:val="nil"/>
            </w:tcBorders>
            <w:shd w:val="clear" w:color="auto" w:fill="auto"/>
            <w:noWrap/>
            <w:hideMark/>
          </w:tcPr>
          <w:p w14:paraId="56DDEA84"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A7AADC3"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F68C33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1609B9"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57FB18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ECA9881" w14:textId="77777777" w:rsidR="00262CEB" w:rsidRPr="0013601B" w:rsidRDefault="00262CEB" w:rsidP="0099524E">
            <w:pPr>
              <w:spacing w:after="0"/>
              <w:jc w:val="center"/>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D496E7E" w14:textId="77777777" w:rsidR="00262CEB" w:rsidRPr="0013601B"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520CBB0" w14:textId="77777777" w:rsidR="00262CEB" w:rsidRPr="0013601B" w:rsidRDefault="00262CEB" w:rsidP="0099524E">
            <w:pPr>
              <w:spacing w:after="0"/>
              <w:jc w:val="center"/>
              <w:rPr>
                <w:rFonts w:eastAsia="Times New Roman" w:cs="Times New Roman"/>
                <w:b/>
                <w:bCs/>
                <w:color w:val="000000"/>
                <w:sz w:val="18"/>
                <w:szCs w:val="18"/>
              </w:rPr>
            </w:pPr>
          </w:p>
        </w:tc>
        <w:tc>
          <w:tcPr>
            <w:tcW w:w="1077" w:type="dxa"/>
            <w:tcBorders>
              <w:top w:val="nil"/>
              <w:left w:val="nil"/>
              <w:bottom w:val="nil"/>
              <w:right w:val="nil"/>
            </w:tcBorders>
            <w:shd w:val="clear" w:color="auto" w:fill="auto"/>
            <w:noWrap/>
            <w:hideMark/>
          </w:tcPr>
          <w:p w14:paraId="4632F8C7" w14:textId="77777777" w:rsidR="00262CEB" w:rsidRPr="0013601B" w:rsidRDefault="00262CEB" w:rsidP="0099524E">
            <w:pPr>
              <w:spacing w:after="0"/>
              <w:jc w:val="right"/>
              <w:rPr>
                <w:rFonts w:eastAsia="Times New Roman" w:cs="Times New Roman"/>
                <w:sz w:val="18"/>
                <w:szCs w:val="18"/>
              </w:rPr>
            </w:pPr>
            <w:r w:rsidRPr="0013601B">
              <w:rPr>
                <w:rFonts w:eastAsia="Times New Roman" w:cs="Times New Roman"/>
                <w:sz w:val="18"/>
                <w:szCs w:val="18"/>
              </w:rPr>
              <w:t>$50.10</w:t>
            </w:r>
          </w:p>
        </w:tc>
        <w:tc>
          <w:tcPr>
            <w:tcW w:w="1068" w:type="dxa"/>
            <w:tcBorders>
              <w:top w:val="nil"/>
              <w:left w:val="nil"/>
              <w:bottom w:val="nil"/>
              <w:right w:val="nil"/>
            </w:tcBorders>
            <w:shd w:val="clear" w:color="auto" w:fill="auto"/>
            <w:noWrap/>
            <w:hideMark/>
          </w:tcPr>
          <w:p w14:paraId="2C7EBBF7" w14:textId="77777777" w:rsidR="00262CEB" w:rsidRPr="0013601B" w:rsidRDefault="00262CEB" w:rsidP="0099524E">
            <w:pPr>
              <w:spacing w:after="0"/>
              <w:jc w:val="center"/>
              <w:rPr>
                <w:rFonts w:eastAsia="Times New Roman" w:cs="Times New Roman"/>
                <w:sz w:val="18"/>
                <w:szCs w:val="18"/>
              </w:rPr>
            </w:pPr>
            <w:r w:rsidRPr="0013601B">
              <w:rPr>
                <w:rFonts w:eastAsia="Times New Roman" w:cs="Times New Roman"/>
                <w:sz w:val="18"/>
                <w:szCs w:val="18"/>
              </w:rPr>
              <w:t>1/07/2012</w:t>
            </w:r>
          </w:p>
        </w:tc>
      </w:tr>
      <w:tr w:rsidR="00262CEB" w:rsidRPr="0013601B" w14:paraId="3DE1BE0C" w14:textId="77777777" w:rsidTr="0099524E">
        <w:tc>
          <w:tcPr>
            <w:tcW w:w="1433" w:type="dxa"/>
            <w:tcBorders>
              <w:top w:val="nil"/>
              <w:left w:val="nil"/>
              <w:bottom w:val="nil"/>
              <w:right w:val="nil"/>
            </w:tcBorders>
            <w:shd w:val="clear" w:color="auto" w:fill="auto"/>
            <w:noWrap/>
            <w:hideMark/>
          </w:tcPr>
          <w:p w14:paraId="678C8F7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6697A2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780693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45203A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963FEB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C302194" w14:textId="77777777" w:rsidR="00262CEB" w:rsidRPr="0013601B" w:rsidRDefault="00262CEB" w:rsidP="0099524E">
            <w:pPr>
              <w:spacing w:after="0"/>
              <w:jc w:val="center"/>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D84F5D8" w14:textId="77777777" w:rsidR="00262CEB" w:rsidRPr="0013601B"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0D83976" w14:textId="77777777" w:rsidR="00262CEB" w:rsidRPr="0013601B" w:rsidRDefault="00262CEB" w:rsidP="0099524E">
            <w:pPr>
              <w:spacing w:after="0"/>
              <w:jc w:val="center"/>
              <w:rPr>
                <w:rFonts w:eastAsia="Times New Roman" w:cs="Times New Roman"/>
                <w:b/>
                <w:bCs/>
                <w:color w:val="000000"/>
                <w:sz w:val="18"/>
                <w:szCs w:val="18"/>
              </w:rPr>
            </w:pPr>
          </w:p>
        </w:tc>
        <w:tc>
          <w:tcPr>
            <w:tcW w:w="1077" w:type="dxa"/>
            <w:tcBorders>
              <w:top w:val="nil"/>
              <w:left w:val="nil"/>
              <w:bottom w:val="nil"/>
              <w:right w:val="nil"/>
            </w:tcBorders>
            <w:shd w:val="clear" w:color="auto" w:fill="auto"/>
            <w:noWrap/>
            <w:hideMark/>
          </w:tcPr>
          <w:p w14:paraId="02211D1E" w14:textId="77777777" w:rsidR="00262CEB" w:rsidRPr="0013601B" w:rsidRDefault="00262CEB" w:rsidP="0099524E">
            <w:pPr>
              <w:spacing w:after="0"/>
              <w:jc w:val="right"/>
              <w:rPr>
                <w:rFonts w:eastAsia="Times New Roman" w:cs="Times New Roman"/>
                <w:sz w:val="18"/>
                <w:szCs w:val="18"/>
              </w:rPr>
            </w:pPr>
            <w:r w:rsidRPr="0013601B">
              <w:rPr>
                <w:rFonts w:eastAsia="Times New Roman" w:cs="Times New Roman"/>
                <w:sz w:val="18"/>
                <w:szCs w:val="18"/>
              </w:rPr>
              <w:t>$50.21</w:t>
            </w:r>
          </w:p>
        </w:tc>
        <w:tc>
          <w:tcPr>
            <w:tcW w:w="1068" w:type="dxa"/>
            <w:tcBorders>
              <w:top w:val="nil"/>
              <w:left w:val="nil"/>
              <w:bottom w:val="nil"/>
              <w:right w:val="nil"/>
            </w:tcBorders>
            <w:shd w:val="clear" w:color="auto" w:fill="auto"/>
            <w:noWrap/>
            <w:hideMark/>
          </w:tcPr>
          <w:p w14:paraId="4B66B2AF" w14:textId="77777777" w:rsidR="00262CEB" w:rsidRPr="0013601B" w:rsidRDefault="00262CEB" w:rsidP="0099524E">
            <w:pPr>
              <w:spacing w:after="0"/>
              <w:jc w:val="center"/>
              <w:rPr>
                <w:rFonts w:eastAsia="Times New Roman" w:cs="Times New Roman"/>
                <w:sz w:val="18"/>
                <w:szCs w:val="18"/>
              </w:rPr>
            </w:pPr>
            <w:r w:rsidRPr="0013601B">
              <w:rPr>
                <w:rFonts w:eastAsia="Times New Roman" w:cs="Times New Roman"/>
                <w:sz w:val="18"/>
                <w:szCs w:val="18"/>
              </w:rPr>
              <w:t>1/07/2013</w:t>
            </w:r>
          </w:p>
        </w:tc>
      </w:tr>
      <w:tr w:rsidR="00262CEB" w:rsidRPr="0013601B" w14:paraId="6C68B47C" w14:textId="77777777" w:rsidTr="0099524E">
        <w:tc>
          <w:tcPr>
            <w:tcW w:w="1433" w:type="dxa"/>
            <w:tcBorders>
              <w:top w:val="nil"/>
              <w:left w:val="nil"/>
              <w:bottom w:val="nil"/>
              <w:right w:val="nil"/>
            </w:tcBorders>
            <w:shd w:val="clear" w:color="auto" w:fill="auto"/>
            <w:noWrap/>
            <w:hideMark/>
          </w:tcPr>
          <w:p w14:paraId="1844B51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EE502D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2A9A0E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08EB8BA"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E51864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897EE15" w14:textId="77777777" w:rsidR="00262CEB" w:rsidRPr="0013601B" w:rsidRDefault="00262CEB" w:rsidP="0099524E">
            <w:pPr>
              <w:spacing w:after="0"/>
              <w:jc w:val="center"/>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7959B9C" w14:textId="77777777" w:rsidR="00262CEB" w:rsidRPr="0013601B"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317F6C71" w14:textId="77777777" w:rsidR="00262CEB" w:rsidRPr="0013601B" w:rsidRDefault="00262CEB" w:rsidP="0099524E">
            <w:pPr>
              <w:spacing w:after="0"/>
              <w:jc w:val="center"/>
              <w:rPr>
                <w:rFonts w:eastAsia="Times New Roman" w:cs="Times New Roman"/>
                <w:b/>
                <w:bCs/>
                <w:color w:val="000000"/>
                <w:sz w:val="18"/>
                <w:szCs w:val="18"/>
              </w:rPr>
            </w:pPr>
          </w:p>
        </w:tc>
        <w:tc>
          <w:tcPr>
            <w:tcW w:w="1077" w:type="dxa"/>
            <w:tcBorders>
              <w:top w:val="nil"/>
              <w:left w:val="nil"/>
              <w:bottom w:val="nil"/>
              <w:right w:val="nil"/>
            </w:tcBorders>
            <w:shd w:val="clear" w:color="auto" w:fill="auto"/>
            <w:noWrap/>
            <w:hideMark/>
          </w:tcPr>
          <w:p w14:paraId="006FEA72" w14:textId="77777777" w:rsidR="00262CEB" w:rsidRPr="0013601B" w:rsidRDefault="00262CEB" w:rsidP="0099524E">
            <w:pPr>
              <w:spacing w:after="0"/>
              <w:jc w:val="right"/>
              <w:rPr>
                <w:rFonts w:eastAsia="Times New Roman" w:cs="Times New Roman"/>
                <w:sz w:val="18"/>
                <w:szCs w:val="18"/>
              </w:rPr>
            </w:pPr>
            <w:r w:rsidRPr="0013601B">
              <w:rPr>
                <w:rFonts w:eastAsia="Times New Roman" w:cs="Times New Roman"/>
                <w:sz w:val="18"/>
                <w:szCs w:val="18"/>
              </w:rPr>
              <w:t>$50.34</w:t>
            </w:r>
          </w:p>
        </w:tc>
        <w:tc>
          <w:tcPr>
            <w:tcW w:w="1068" w:type="dxa"/>
            <w:tcBorders>
              <w:top w:val="nil"/>
              <w:left w:val="nil"/>
              <w:bottom w:val="nil"/>
              <w:right w:val="nil"/>
            </w:tcBorders>
            <w:shd w:val="clear" w:color="auto" w:fill="auto"/>
            <w:noWrap/>
            <w:hideMark/>
          </w:tcPr>
          <w:p w14:paraId="6081BE26" w14:textId="77777777" w:rsidR="00262CEB" w:rsidRPr="0013601B" w:rsidRDefault="00262CEB" w:rsidP="0099524E">
            <w:pPr>
              <w:spacing w:after="0"/>
              <w:jc w:val="center"/>
              <w:rPr>
                <w:rFonts w:eastAsia="Times New Roman" w:cs="Times New Roman"/>
                <w:sz w:val="18"/>
                <w:szCs w:val="18"/>
              </w:rPr>
            </w:pPr>
            <w:r w:rsidRPr="0013601B">
              <w:rPr>
                <w:rFonts w:eastAsia="Times New Roman" w:cs="Times New Roman"/>
                <w:sz w:val="18"/>
                <w:szCs w:val="18"/>
              </w:rPr>
              <w:t>1/07/2014</w:t>
            </w:r>
          </w:p>
        </w:tc>
      </w:tr>
      <w:tr w:rsidR="00262CEB" w:rsidRPr="0013601B" w14:paraId="032BF5AC" w14:textId="77777777" w:rsidTr="0099524E">
        <w:tc>
          <w:tcPr>
            <w:tcW w:w="1433" w:type="dxa"/>
            <w:tcBorders>
              <w:top w:val="nil"/>
              <w:left w:val="nil"/>
              <w:bottom w:val="nil"/>
              <w:right w:val="nil"/>
            </w:tcBorders>
            <w:shd w:val="clear" w:color="auto" w:fill="auto"/>
            <w:noWrap/>
            <w:hideMark/>
          </w:tcPr>
          <w:p w14:paraId="07E0E7F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A2EDBC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2B2F36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62FBB0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02635B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4E755DE" w14:textId="77777777" w:rsidR="00262CEB" w:rsidRPr="0013601B" w:rsidRDefault="00262CEB" w:rsidP="0099524E">
            <w:pPr>
              <w:spacing w:after="0"/>
              <w:jc w:val="center"/>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9D5FBD1" w14:textId="77777777" w:rsidR="00262CEB" w:rsidRPr="0013601B"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12A566C" w14:textId="77777777" w:rsidR="00262CEB" w:rsidRPr="0013601B" w:rsidRDefault="00262CEB" w:rsidP="0099524E">
            <w:pPr>
              <w:spacing w:after="0"/>
              <w:jc w:val="center"/>
              <w:rPr>
                <w:rFonts w:eastAsia="Times New Roman" w:cs="Times New Roman"/>
                <w:b/>
                <w:bCs/>
                <w:color w:val="000000"/>
                <w:sz w:val="18"/>
                <w:szCs w:val="18"/>
              </w:rPr>
            </w:pPr>
          </w:p>
        </w:tc>
        <w:tc>
          <w:tcPr>
            <w:tcW w:w="1077" w:type="dxa"/>
            <w:tcBorders>
              <w:top w:val="nil"/>
              <w:left w:val="nil"/>
              <w:bottom w:val="nil"/>
              <w:right w:val="nil"/>
            </w:tcBorders>
            <w:shd w:val="clear" w:color="auto" w:fill="auto"/>
            <w:noWrap/>
            <w:hideMark/>
          </w:tcPr>
          <w:p w14:paraId="20422A61" w14:textId="77777777" w:rsidR="00262CEB" w:rsidRPr="0013601B" w:rsidRDefault="00262CEB" w:rsidP="0099524E">
            <w:pPr>
              <w:spacing w:after="0"/>
              <w:jc w:val="right"/>
              <w:rPr>
                <w:rFonts w:eastAsia="Times New Roman" w:cs="Times New Roman"/>
                <w:sz w:val="18"/>
                <w:szCs w:val="18"/>
              </w:rPr>
            </w:pPr>
            <w:r w:rsidRPr="0013601B">
              <w:rPr>
                <w:rFonts w:eastAsia="Times New Roman" w:cs="Times New Roman"/>
                <w:sz w:val="18"/>
                <w:szCs w:val="18"/>
              </w:rPr>
              <w:t>$43.37</w:t>
            </w:r>
          </w:p>
        </w:tc>
        <w:tc>
          <w:tcPr>
            <w:tcW w:w="1068" w:type="dxa"/>
            <w:tcBorders>
              <w:top w:val="nil"/>
              <w:left w:val="nil"/>
              <w:bottom w:val="nil"/>
              <w:right w:val="nil"/>
            </w:tcBorders>
            <w:shd w:val="clear" w:color="auto" w:fill="auto"/>
            <w:noWrap/>
            <w:hideMark/>
          </w:tcPr>
          <w:p w14:paraId="2560871C" w14:textId="77777777" w:rsidR="00262CEB" w:rsidRPr="0013601B" w:rsidRDefault="00262CEB" w:rsidP="0099524E">
            <w:pPr>
              <w:spacing w:after="0"/>
              <w:jc w:val="center"/>
              <w:rPr>
                <w:rFonts w:eastAsia="Times New Roman" w:cs="Times New Roman"/>
                <w:sz w:val="18"/>
                <w:szCs w:val="18"/>
              </w:rPr>
            </w:pPr>
            <w:r w:rsidRPr="0013601B">
              <w:rPr>
                <w:rFonts w:eastAsia="Times New Roman" w:cs="Times New Roman"/>
                <w:sz w:val="18"/>
                <w:szCs w:val="18"/>
              </w:rPr>
              <w:t>1/08/2014</w:t>
            </w:r>
          </w:p>
        </w:tc>
      </w:tr>
      <w:tr w:rsidR="00262CEB" w:rsidRPr="0013601B" w14:paraId="7C1AE0C5" w14:textId="77777777" w:rsidTr="0099524E">
        <w:tc>
          <w:tcPr>
            <w:tcW w:w="1433" w:type="dxa"/>
            <w:tcBorders>
              <w:top w:val="nil"/>
              <w:left w:val="nil"/>
              <w:bottom w:val="nil"/>
              <w:right w:val="nil"/>
            </w:tcBorders>
            <w:shd w:val="clear" w:color="auto" w:fill="auto"/>
            <w:noWrap/>
            <w:hideMark/>
          </w:tcPr>
          <w:p w14:paraId="487C795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A46C3E2"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7D5B36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C51663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05042J</w:t>
            </w:r>
          </w:p>
        </w:tc>
        <w:tc>
          <w:tcPr>
            <w:tcW w:w="5669" w:type="dxa"/>
            <w:tcBorders>
              <w:top w:val="nil"/>
              <w:left w:val="nil"/>
              <w:bottom w:val="nil"/>
              <w:right w:val="nil"/>
            </w:tcBorders>
            <w:shd w:val="clear" w:color="auto" w:fill="auto"/>
            <w:noWrap/>
            <w:hideMark/>
          </w:tcPr>
          <w:p w14:paraId="79CC25D9"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 infusion administration set</w:t>
            </w:r>
          </w:p>
        </w:tc>
        <w:tc>
          <w:tcPr>
            <w:tcW w:w="850" w:type="dxa"/>
            <w:tcBorders>
              <w:top w:val="nil"/>
              <w:left w:val="nil"/>
              <w:bottom w:val="nil"/>
              <w:right w:val="nil"/>
            </w:tcBorders>
            <w:shd w:val="clear" w:color="auto" w:fill="auto"/>
            <w:noWrap/>
            <w:hideMark/>
          </w:tcPr>
          <w:p w14:paraId="27D4E10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2CCAAD3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76646D6C"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5C6C2E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$93.79</w:t>
            </w:r>
          </w:p>
        </w:tc>
        <w:tc>
          <w:tcPr>
            <w:tcW w:w="1068" w:type="dxa"/>
            <w:tcBorders>
              <w:top w:val="nil"/>
              <w:left w:val="nil"/>
              <w:bottom w:val="nil"/>
              <w:right w:val="nil"/>
            </w:tcBorders>
            <w:shd w:val="clear" w:color="auto" w:fill="auto"/>
            <w:noWrap/>
            <w:hideMark/>
          </w:tcPr>
          <w:p w14:paraId="352F8C0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1/01/2012</w:t>
            </w:r>
          </w:p>
        </w:tc>
      </w:tr>
      <w:tr w:rsidR="00262CEB" w:rsidRPr="0013601B" w14:paraId="53D56FD9" w14:textId="77777777" w:rsidTr="0099524E">
        <w:tc>
          <w:tcPr>
            <w:tcW w:w="1433" w:type="dxa"/>
            <w:tcBorders>
              <w:top w:val="nil"/>
              <w:left w:val="nil"/>
              <w:bottom w:val="nil"/>
              <w:right w:val="nil"/>
            </w:tcBorders>
            <w:shd w:val="clear" w:color="auto" w:fill="auto"/>
            <w:noWrap/>
            <w:hideMark/>
          </w:tcPr>
          <w:p w14:paraId="2E2DE0A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111111C"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6CA24D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3F4BC8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EF242B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EF649FC"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9812AC7"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B52F327"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846F75C"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$89.65</w:t>
            </w:r>
          </w:p>
        </w:tc>
        <w:tc>
          <w:tcPr>
            <w:tcW w:w="1068" w:type="dxa"/>
            <w:tcBorders>
              <w:top w:val="nil"/>
              <w:left w:val="nil"/>
              <w:bottom w:val="nil"/>
              <w:right w:val="nil"/>
            </w:tcBorders>
            <w:shd w:val="clear" w:color="auto" w:fill="auto"/>
            <w:noWrap/>
            <w:hideMark/>
          </w:tcPr>
          <w:p w14:paraId="658C563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1/04/2012</w:t>
            </w:r>
          </w:p>
        </w:tc>
      </w:tr>
      <w:tr w:rsidR="00262CEB" w:rsidRPr="0013601B" w14:paraId="5A4E5F42" w14:textId="77777777" w:rsidTr="0099524E">
        <w:tc>
          <w:tcPr>
            <w:tcW w:w="1433" w:type="dxa"/>
            <w:tcBorders>
              <w:top w:val="nil"/>
              <w:left w:val="nil"/>
              <w:bottom w:val="nil"/>
              <w:right w:val="nil"/>
            </w:tcBorders>
            <w:shd w:val="clear" w:color="auto" w:fill="auto"/>
            <w:noWrap/>
            <w:hideMark/>
          </w:tcPr>
          <w:p w14:paraId="3E30C42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FE2E536"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E8033E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754760B"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E415C5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C802EFF"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C97F215"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C2EFCC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1A510E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$89.75</w:t>
            </w:r>
          </w:p>
        </w:tc>
        <w:tc>
          <w:tcPr>
            <w:tcW w:w="1068" w:type="dxa"/>
            <w:tcBorders>
              <w:top w:val="nil"/>
              <w:left w:val="nil"/>
              <w:bottom w:val="nil"/>
              <w:right w:val="nil"/>
            </w:tcBorders>
            <w:shd w:val="clear" w:color="auto" w:fill="auto"/>
            <w:noWrap/>
            <w:hideMark/>
          </w:tcPr>
          <w:p w14:paraId="74862BE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0085E654" w14:textId="77777777" w:rsidTr="0099524E">
        <w:tc>
          <w:tcPr>
            <w:tcW w:w="1433" w:type="dxa"/>
            <w:tcBorders>
              <w:top w:val="nil"/>
              <w:left w:val="nil"/>
              <w:bottom w:val="nil"/>
              <w:right w:val="nil"/>
            </w:tcBorders>
            <w:shd w:val="clear" w:color="auto" w:fill="auto"/>
            <w:noWrap/>
            <w:hideMark/>
          </w:tcPr>
          <w:p w14:paraId="0BA93EDF"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6DDA6F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05AFCD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DA1A27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2CE3509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79810D1"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FC9F8D9"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525C44EB"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8CCCC08"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$89.86</w:t>
            </w:r>
          </w:p>
        </w:tc>
        <w:tc>
          <w:tcPr>
            <w:tcW w:w="1068" w:type="dxa"/>
            <w:tcBorders>
              <w:top w:val="nil"/>
              <w:left w:val="nil"/>
              <w:bottom w:val="nil"/>
              <w:right w:val="nil"/>
            </w:tcBorders>
            <w:shd w:val="clear" w:color="auto" w:fill="auto"/>
            <w:noWrap/>
            <w:hideMark/>
          </w:tcPr>
          <w:p w14:paraId="23BC0E8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6FD370C1" w14:textId="77777777" w:rsidTr="0099524E">
        <w:tc>
          <w:tcPr>
            <w:tcW w:w="1433" w:type="dxa"/>
            <w:tcBorders>
              <w:top w:val="nil"/>
              <w:left w:val="nil"/>
              <w:bottom w:val="nil"/>
              <w:right w:val="nil"/>
            </w:tcBorders>
            <w:shd w:val="clear" w:color="auto" w:fill="auto"/>
            <w:noWrap/>
            <w:hideMark/>
          </w:tcPr>
          <w:p w14:paraId="2BE1C81C"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FC6985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0D003F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735B4B9"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4262FB1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A47920C"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6BAB764"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541A59C8"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11F3416C"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$89.99</w:t>
            </w:r>
          </w:p>
        </w:tc>
        <w:tc>
          <w:tcPr>
            <w:tcW w:w="1068" w:type="dxa"/>
            <w:tcBorders>
              <w:top w:val="nil"/>
              <w:left w:val="nil"/>
              <w:bottom w:val="nil"/>
              <w:right w:val="nil"/>
            </w:tcBorders>
            <w:shd w:val="clear" w:color="auto" w:fill="auto"/>
            <w:noWrap/>
            <w:hideMark/>
          </w:tcPr>
          <w:p w14:paraId="3C21981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7E50EAA7" w14:textId="77777777" w:rsidTr="0099524E">
        <w:tc>
          <w:tcPr>
            <w:tcW w:w="1433" w:type="dxa"/>
            <w:tcBorders>
              <w:top w:val="nil"/>
              <w:left w:val="nil"/>
              <w:bottom w:val="nil"/>
              <w:right w:val="nil"/>
            </w:tcBorders>
            <w:shd w:val="clear" w:color="auto" w:fill="auto"/>
            <w:noWrap/>
            <w:hideMark/>
          </w:tcPr>
          <w:p w14:paraId="1D999F3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97EBC0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E01373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FAFC918"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5C2534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B023936"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4F59CC12"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2F6A754"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B7E24B9"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$77.31</w:t>
            </w:r>
          </w:p>
        </w:tc>
        <w:tc>
          <w:tcPr>
            <w:tcW w:w="1068" w:type="dxa"/>
            <w:tcBorders>
              <w:top w:val="nil"/>
              <w:left w:val="nil"/>
              <w:bottom w:val="nil"/>
              <w:right w:val="nil"/>
            </w:tcBorders>
            <w:shd w:val="clear" w:color="auto" w:fill="auto"/>
            <w:noWrap/>
            <w:hideMark/>
          </w:tcPr>
          <w:p w14:paraId="0153939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63A386EE" w14:textId="77777777" w:rsidTr="0099524E">
        <w:tc>
          <w:tcPr>
            <w:tcW w:w="1433" w:type="dxa"/>
            <w:tcBorders>
              <w:top w:val="nil"/>
              <w:left w:val="nil"/>
              <w:bottom w:val="nil"/>
              <w:right w:val="nil"/>
            </w:tcBorders>
            <w:shd w:val="clear" w:color="auto" w:fill="auto"/>
            <w:noWrap/>
            <w:hideMark/>
          </w:tcPr>
          <w:p w14:paraId="014705BB"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CB3759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BB293C6"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7CDBCC35"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05030R</w:t>
            </w:r>
          </w:p>
        </w:tc>
        <w:tc>
          <w:tcPr>
            <w:tcW w:w="5669" w:type="dxa"/>
            <w:tcBorders>
              <w:top w:val="nil"/>
              <w:left w:val="nil"/>
              <w:bottom w:val="nil"/>
              <w:right w:val="nil"/>
            </w:tcBorders>
            <w:shd w:val="clear" w:color="auto" w:fill="auto"/>
            <w:noWrap/>
            <w:hideMark/>
          </w:tcPr>
          <w:p w14:paraId="17361B6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 infusion administration set</w:t>
            </w:r>
          </w:p>
        </w:tc>
        <w:tc>
          <w:tcPr>
            <w:tcW w:w="850" w:type="dxa"/>
            <w:tcBorders>
              <w:top w:val="nil"/>
              <w:left w:val="nil"/>
              <w:bottom w:val="nil"/>
              <w:right w:val="nil"/>
            </w:tcBorders>
            <w:shd w:val="clear" w:color="auto" w:fill="auto"/>
            <w:noWrap/>
            <w:hideMark/>
          </w:tcPr>
          <w:p w14:paraId="11C72B19"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20CD1349"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766989A5"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49D26CA3"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$41.69</w:t>
            </w:r>
          </w:p>
        </w:tc>
        <w:tc>
          <w:tcPr>
            <w:tcW w:w="1068" w:type="dxa"/>
            <w:tcBorders>
              <w:top w:val="nil"/>
              <w:left w:val="nil"/>
              <w:bottom w:val="nil"/>
              <w:right w:val="nil"/>
            </w:tcBorders>
            <w:shd w:val="clear" w:color="auto" w:fill="auto"/>
            <w:noWrap/>
            <w:hideMark/>
          </w:tcPr>
          <w:p w14:paraId="289E800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1/01/2012</w:t>
            </w:r>
          </w:p>
        </w:tc>
      </w:tr>
      <w:tr w:rsidR="00262CEB" w:rsidRPr="0013601B" w14:paraId="0253C652" w14:textId="77777777" w:rsidTr="0099524E">
        <w:tc>
          <w:tcPr>
            <w:tcW w:w="1433" w:type="dxa"/>
            <w:tcBorders>
              <w:top w:val="nil"/>
              <w:left w:val="nil"/>
              <w:bottom w:val="nil"/>
              <w:right w:val="nil"/>
            </w:tcBorders>
            <w:shd w:val="clear" w:color="auto" w:fill="auto"/>
            <w:noWrap/>
            <w:hideMark/>
          </w:tcPr>
          <w:p w14:paraId="137C3D3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04632C4"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016485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1E31CB6"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70D12E6F"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3EF3AA2"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2BA9185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116AF80"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2E576D5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$39.62</w:t>
            </w:r>
          </w:p>
        </w:tc>
        <w:tc>
          <w:tcPr>
            <w:tcW w:w="1068" w:type="dxa"/>
            <w:tcBorders>
              <w:top w:val="nil"/>
              <w:left w:val="nil"/>
              <w:bottom w:val="nil"/>
              <w:right w:val="nil"/>
            </w:tcBorders>
            <w:shd w:val="clear" w:color="auto" w:fill="auto"/>
            <w:noWrap/>
            <w:hideMark/>
          </w:tcPr>
          <w:p w14:paraId="6B0A39A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1/04/2012</w:t>
            </w:r>
          </w:p>
        </w:tc>
      </w:tr>
      <w:tr w:rsidR="00262CEB" w:rsidRPr="0013601B" w14:paraId="1D0310BB" w14:textId="77777777" w:rsidTr="0099524E">
        <w:tc>
          <w:tcPr>
            <w:tcW w:w="1433" w:type="dxa"/>
            <w:tcBorders>
              <w:top w:val="nil"/>
              <w:left w:val="nil"/>
              <w:bottom w:val="nil"/>
              <w:right w:val="nil"/>
            </w:tcBorders>
            <w:shd w:val="clear" w:color="auto" w:fill="auto"/>
            <w:noWrap/>
            <w:hideMark/>
          </w:tcPr>
          <w:p w14:paraId="62EBDFE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DF8750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FAEB0E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BC4CD68"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808D99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68F276D"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4CE870B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C3805F4"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5C49185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$33.28</w:t>
            </w:r>
          </w:p>
        </w:tc>
        <w:tc>
          <w:tcPr>
            <w:tcW w:w="1068" w:type="dxa"/>
            <w:tcBorders>
              <w:top w:val="nil"/>
              <w:left w:val="nil"/>
              <w:bottom w:val="nil"/>
              <w:right w:val="nil"/>
            </w:tcBorders>
            <w:shd w:val="clear" w:color="auto" w:fill="auto"/>
            <w:noWrap/>
            <w:hideMark/>
          </w:tcPr>
          <w:p w14:paraId="7B378C0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2A08B291" w14:textId="77777777" w:rsidTr="0099524E">
        <w:tc>
          <w:tcPr>
            <w:tcW w:w="1433" w:type="dxa"/>
            <w:tcBorders>
              <w:top w:val="nil"/>
              <w:left w:val="nil"/>
              <w:bottom w:val="nil"/>
              <w:right w:val="nil"/>
            </w:tcBorders>
            <w:shd w:val="clear" w:color="auto" w:fill="auto"/>
            <w:noWrap/>
            <w:hideMark/>
          </w:tcPr>
          <w:p w14:paraId="19A58DE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F41CB0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A17C6C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D30BEE5"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05035B</w:t>
            </w:r>
          </w:p>
        </w:tc>
        <w:tc>
          <w:tcPr>
            <w:tcW w:w="5669" w:type="dxa"/>
            <w:tcBorders>
              <w:top w:val="nil"/>
              <w:left w:val="nil"/>
              <w:bottom w:val="nil"/>
              <w:right w:val="nil"/>
            </w:tcBorders>
            <w:shd w:val="clear" w:color="auto" w:fill="auto"/>
            <w:noWrap/>
            <w:hideMark/>
          </w:tcPr>
          <w:p w14:paraId="7218166E"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 infusion administration set</w:t>
            </w:r>
          </w:p>
        </w:tc>
        <w:tc>
          <w:tcPr>
            <w:tcW w:w="850" w:type="dxa"/>
            <w:tcBorders>
              <w:top w:val="nil"/>
              <w:left w:val="nil"/>
              <w:bottom w:val="nil"/>
              <w:right w:val="nil"/>
            </w:tcBorders>
            <w:shd w:val="clear" w:color="auto" w:fill="auto"/>
            <w:noWrap/>
            <w:hideMark/>
          </w:tcPr>
          <w:p w14:paraId="21215F7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18591D0C"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2DBC18A5"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240A5021"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$83.37</w:t>
            </w:r>
          </w:p>
        </w:tc>
        <w:tc>
          <w:tcPr>
            <w:tcW w:w="1068" w:type="dxa"/>
            <w:tcBorders>
              <w:top w:val="nil"/>
              <w:left w:val="nil"/>
              <w:bottom w:val="nil"/>
              <w:right w:val="nil"/>
            </w:tcBorders>
            <w:shd w:val="clear" w:color="auto" w:fill="auto"/>
            <w:noWrap/>
            <w:hideMark/>
          </w:tcPr>
          <w:p w14:paraId="3AB0C1D4"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1/01/2012</w:t>
            </w:r>
          </w:p>
        </w:tc>
      </w:tr>
      <w:tr w:rsidR="00262CEB" w:rsidRPr="0013601B" w14:paraId="0CF9E7D2" w14:textId="77777777" w:rsidTr="0099524E">
        <w:tc>
          <w:tcPr>
            <w:tcW w:w="1433" w:type="dxa"/>
            <w:tcBorders>
              <w:top w:val="nil"/>
              <w:left w:val="nil"/>
              <w:bottom w:val="nil"/>
              <w:right w:val="nil"/>
            </w:tcBorders>
            <w:shd w:val="clear" w:color="auto" w:fill="auto"/>
            <w:noWrap/>
            <w:hideMark/>
          </w:tcPr>
          <w:p w14:paraId="2AB7224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EAA7061"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BA625B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00277B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9B84A6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E0C1D59"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1CED2C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4679B26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5BEE30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$79.23</w:t>
            </w:r>
          </w:p>
        </w:tc>
        <w:tc>
          <w:tcPr>
            <w:tcW w:w="1068" w:type="dxa"/>
            <w:tcBorders>
              <w:top w:val="nil"/>
              <w:left w:val="nil"/>
              <w:bottom w:val="nil"/>
              <w:right w:val="nil"/>
            </w:tcBorders>
            <w:shd w:val="clear" w:color="auto" w:fill="auto"/>
            <w:noWrap/>
            <w:hideMark/>
          </w:tcPr>
          <w:p w14:paraId="47185EC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1/04/2012</w:t>
            </w:r>
          </w:p>
        </w:tc>
      </w:tr>
      <w:tr w:rsidR="00262CEB" w:rsidRPr="0013601B" w14:paraId="51154A10" w14:textId="77777777" w:rsidTr="0099524E">
        <w:tc>
          <w:tcPr>
            <w:tcW w:w="1433" w:type="dxa"/>
            <w:tcBorders>
              <w:top w:val="nil"/>
              <w:left w:val="nil"/>
              <w:bottom w:val="nil"/>
              <w:right w:val="nil"/>
            </w:tcBorders>
            <w:shd w:val="clear" w:color="auto" w:fill="auto"/>
            <w:noWrap/>
            <w:hideMark/>
          </w:tcPr>
          <w:p w14:paraId="6A3F14B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10B925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3FAF5B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4DB157F4"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278809C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8EAE9FC"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71F3D37"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647C4A8F"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F45392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$66.55</w:t>
            </w:r>
          </w:p>
        </w:tc>
        <w:tc>
          <w:tcPr>
            <w:tcW w:w="1068" w:type="dxa"/>
            <w:tcBorders>
              <w:top w:val="nil"/>
              <w:left w:val="nil"/>
              <w:bottom w:val="nil"/>
              <w:right w:val="nil"/>
            </w:tcBorders>
            <w:shd w:val="clear" w:color="auto" w:fill="auto"/>
            <w:noWrap/>
            <w:hideMark/>
          </w:tcPr>
          <w:p w14:paraId="6DAE418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72861262" w14:textId="77777777" w:rsidTr="0099524E">
        <w:tc>
          <w:tcPr>
            <w:tcW w:w="1433" w:type="dxa"/>
            <w:tcBorders>
              <w:top w:val="nil"/>
              <w:left w:val="nil"/>
              <w:bottom w:val="nil"/>
              <w:right w:val="nil"/>
            </w:tcBorders>
            <w:shd w:val="clear" w:color="auto" w:fill="auto"/>
            <w:noWrap/>
            <w:hideMark/>
          </w:tcPr>
          <w:p w14:paraId="38C7161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8A82941"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Veletri</w:t>
            </w:r>
          </w:p>
        </w:tc>
        <w:tc>
          <w:tcPr>
            <w:tcW w:w="851" w:type="dxa"/>
            <w:tcBorders>
              <w:top w:val="nil"/>
              <w:left w:val="nil"/>
              <w:bottom w:val="nil"/>
              <w:right w:val="nil"/>
            </w:tcBorders>
            <w:shd w:val="clear" w:color="auto" w:fill="auto"/>
            <w:noWrap/>
            <w:hideMark/>
          </w:tcPr>
          <w:p w14:paraId="764390D4"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19181CA3"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10111E</w:t>
            </w:r>
          </w:p>
        </w:tc>
        <w:tc>
          <w:tcPr>
            <w:tcW w:w="5669" w:type="dxa"/>
            <w:tcBorders>
              <w:top w:val="nil"/>
              <w:left w:val="nil"/>
              <w:bottom w:val="nil"/>
              <w:right w:val="nil"/>
            </w:tcBorders>
            <w:shd w:val="clear" w:color="auto" w:fill="auto"/>
            <w:noWrap/>
            <w:hideMark/>
          </w:tcPr>
          <w:p w14:paraId="4D0F6A36"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w:t>
            </w:r>
          </w:p>
        </w:tc>
        <w:tc>
          <w:tcPr>
            <w:tcW w:w="850" w:type="dxa"/>
            <w:tcBorders>
              <w:top w:val="nil"/>
              <w:left w:val="nil"/>
              <w:bottom w:val="nil"/>
              <w:right w:val="nil"/>
            </w:tcBorders>
            <w:shd w:val="clear" w:color="auto" w:fill="auto"/>
            <w:noWrap/>
            <w:hideMark/>
          </w:tcPr>
          <w:p w14:paraId="636A810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07E469C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60BA72F2"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6BD8999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$43.37</w:t>
            </w:r>
          </w:p>
        </w:tc>
        <w:tc>
          <w:tcPr>
            <w:tcW w:w="1068" w:type="dxa"/>
            <w:tcBorders>
              <w:top w:val="nil"/>
              <w:left w:val="nil"/>
              <w:bottom w:val="nil"/>
              <w:right w:val="nil"/>
            </w:tcBorders>
            <w:shd w:val="clear" w:color="auto" w:fill="auto"/>
            <w:noWrap/>
            <w:hideMark/>
          </w:tcPr>
          <w:p w14:paraId="6F88EA0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050982E2" w14:textId="77777777" w:rsidTr="0099524E">
        <w:tc>
          <w:tcPr>
            <w:tcW w:w="1433" w:type="dxa"/>
            <w:tcBorders>
              <w:top w:val="nil"/>
              <w:left w:val="nil"/>
              <w:bottom w:val="nil"/>
              <w:right w:val="nil"/>
            </w:tcBorders>
            <w:shd w:val="clear" w:color="auto" w:fill="auto"/>
            <w:noWrap/>
            <w:hideMark/>
          </w:tcPr>
          <w:p w14:paraId="1C7C3AB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4E4E407"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C0CDC2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46778F2"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10129D</w:t>
            </w:r>
          </w:p>
        </w:tc>
        <w:tc>
          <w:tcPr>
            <w:tcW w:w="5669" w:type="dxa"/>
            <w:tcBorders>
              <w:top w:val="nil"/>
              <w:left w:val="nil"/>
              <w:bottom w:val="nil"/>
              <w:right w:val="nil"/>
            </w:tcBorders>
            <w:shd w:val="clear" w:color="auto" w:fill="auto"/>
            <w:noWrap/>
            <w:hideMark/>
          </w:tcPr>
          <w:p w14:paraId="2097CA83"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w:t>
            </w:r>
          </w:p>
        </w:tc>
        <w:tc>
          <w:tcPr>
            <w:tcW w:w="850" w:type="dxa"/>
            <w:tcBorders>
              <w:top w:val="nil"/>
              <w:left w:val="nil"/>
              <w:bottom w:val="nil"/>
              <w:right w:val="nil"/>
            </w:tcBorders>
            <w:shd w:val="clear" w:color="auto" w:fill="auto"/>
            <w:noWrap/>
            <w:hideMark/>
          </w:tcPr>
          <w:p w14:paraId="7A40BAF5"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2051522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6AC85889"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22F9617A"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$77.31</w:t>
            </w:r>
          </w:p>
        </w:tc>
        <w:tc>
          <w:tcPr>
            <w:tcW w:w="1068" w:type="dxa"/>
            <w:tcBorders>
              <w:top w:val="nil"/>
              <w:left w:val="nil"/>
              <w:bottom w:val="nil"/>
              <w:right w:val="nil"/>
            </w:tcBorders>
            <w:shd w:val="clear" w:color="auto" w:fill="auto"/>
            <w:noWrap/>
            <w:hideMark/>
          </w:tcPr>
          <w:p w14:paraId="541D59C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6F36E7AA" w14:textId="77777777" w:rsidTr="0099524E">
        <w:tc>
          <w:tcPr>
            <w:tcW w:w="1433" w:type="dxa"/>
            <w:tcBorders>
              <w:top w:val="nil"/>
              <w:left w:val="nil"/>
              <w:bottom w:val="nil"/>
              <w:right w:val="nil"/>
            </w:tcBorders>
            <w:shd w:val="clear" w:color="auto" w:fill="auto"/>
            <w:noWrap/>
            <w:hideMark/>
          </w:tcPr>
          <w:p w14:paraId="58EEC0F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A6C90C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1FBEB9B"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088A58B4"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10117L</w:t>
            </w:r>
          </w:p>
        </w:tc>
        <w:tc>
          <w:tcPr>
            <w:tcW w:w="5669" w:type="dxa"/>
            <w:tcBorders>
              <w:top w:val="nil"/>
              <w:left w:val="nil"/>
              <w:bottom w:val="nil"/>
              <w:right w:val="nil"/>
            </w:tcBorders>
            <w:shd w:val="clear" w:color="auto" w:fill="auto"/>
            <w:noWrap/>
            <w:hideMark/>
          </w:tcPr>
          <w:p w14:paraId="3E799821"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1.5 mg (as sodium)</w:t>
            </w:r>
          </w:p>
        </w:tc>
        <w:tc>
          <w:tcPr>
            <w:tcW w:w="850" w:type="dxa"/>
            <w:tcBorders>
              <w:top w:val="nil"/>
              <w:left w:val="nil"/>
              <w:bottom w:val="nil"/>
              <w:right w:val="nil"/>
            </w:tcBorders>
            <w:shd w:val="clear" w:color="auto" w:fill="auto"/>
            <w:noWrap/>
            <w:hideMark/>
          </w:tcPr>
          <w:p w14:paraId="59CE004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4EEE93C4"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31A7A178"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6EA353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$66.55</w:t>
            </w:r>
          </w:p>
        </w:tc>
        <w:tc>
          <w:tcPr>
            <w:tcW w:w="1068" w:type="dxa"/>
            <w:tcBorders>
              <w:top w:val="nil"/>
              <w:left w:val="nil"/>
              <w:bottom w:val="nil"/>
              <w:right w:val="nil"/>
            </w:tcBorders>
            <w:shd w:val="clear" w:color="auto" w:fill="auto"/>
            <w:noWrap/>
            <w:hideMark/>
          </w:tcPr>
          <w:p w14:paraId="6208306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5AA3FADE" w14:textId="77777777" w:rsidTr="0099524E">
        <w:tc>
          <w:tcPr>
            <w:tcW w:w="1433" w:type="dxa"/>
            <w:tcBorders>
              <w:top w:val="nil"/>
              <w:left w:val="nil"/>
              <w:bottom w:val="single" w:sz="4" w:space="0" w:color="95B3D7"/>
              <w:right w:val="nil"/>
            </w:tcBorders>
            <w:shd w:val="clear" w:color="auto" w:fill="auto"/>
            <w:noWrap/>
            <w:hideMark/>
          </w:tcPr>
          <w:p w14:paraId="286260B1"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1242A69"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37BDC41"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1BD88DA"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10130E</w:t>
            </w:r>
          </w:p>
        </w:tc>
        <w:tc>
          <w:tcPr>
            <w:tcW w:w="5669" w:type="dxa"/>
            <w:tcBorders>
              <w:top w:val="nil"/>
              <w:left w:val="nil"/>
              <w:bottom w:val="nil"/>
              <w:right w:val="nil"/>
            </w:tcBorders>
            <w:shd w:val="clear" w:color="auto" w:fill="auto"/>
            <w:noWrap/>
            <w:hideMark/>
          </w:tcPr>
          <w:p w14:paraId="5F37C18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Powder for I.V. infusion 500 micrograms (as sodium)</w:t>
            </w:r>
          </w:p>
        </w:tc>
        <w:tc>
          <w:tcPr>
            <w:tcW w:w="850" w:type="dxa"/>
            <w:tcBorders>
              <w:top w:val="nil"/>
              <w:left w:val="nil"/>
              <w:bottom w:val="nil"/>
              <w:right w:val="nil"/>
            </w:tcBorders>
            <w:shd w:val="clear" w:color="auto" w:fill="auto"/>
            <w:noWrap/>
            <w:hideMark/>
          </w:tcPr>
          <w:p w14:paraId="79072F1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1</w:t>
            </w:r>
          </w:p>
        </w:tc>
        <w:tc>
          <w:tcPr>
            <w:tcW w:w="851" w:type="dxa"/>
            <w:tcBorders>
              <w:top w:val="nil"/>
              <w:left w:val="nil"/>
              <w:bottom w:val="nil"/>
              <w:right w:val="nil"/>
            </w:tcBorders>
            <w:shd w:val="clear" w:color="auto" w:fill="auto"/>
            <w:noWrap/>
            <w:hideMark/>
          </w:tcPr>
          <w:p w14:paraId="23A6127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w:t>
            </w:r>
          </w:p>
        </w:tc>
        <w:tc>
          <w:tcPr>
            <w:tcW w:w="1020" w:type="dxa"/>
            <w:tcBorders>
              <w:top w:val="nil"/>
              <w:left w:val="nil"/>
              <w:bottom w:val="nil"/>
              <w:right w:val="nil"/>
            </w:tcBorders>
            <w:shd w:val="clear" w:color="auto" w:fill="auto"/>
            <w:noWrap/>
            <w:hideMark/>
          </w:tcPr>
          <w:p w14:paraId="351F5757"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E6684F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$33.28</w:t>
            </w:r>
          </w:p>
        </w:tc>
        <w:tc>
          <w:tcPr>
            <w:tcW w:w="1068" w:type="dxa"/>
            <w:tcBorders>
              <w:top w:val="nil"/>
              <w:left w:val="nil"/>
              <w:bottom w:val="nil"/>
              <w:right w:val="nil"/>
            </w:tcBorders>
            <w:shd w:val="clear" w:color="auto" w:fill="auto"/>
            <w:noWrap/>
            <w:hideMark/>
          </w:tcPr>
          <w:p w14:paraId="0E07C1D7"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36F1EB43" w14:textId="77777777" w:rsidTr="0099524E">
        <w:tc>
          <w:tcPr>
            <w:tcW w:w="1433" w:type="dxa"/>
            <w:tcBorders>
              <w:top w:val="nil"/>
              <w:left w:val="nil"/>
              <w:bottom w:val="nil"/>
              <w:right w:val="nil"/>
            </w:tcBorders>
            <w:shd w:val="clear" w:color="auto" w:fill="auto"/>
            <w:noWrap/>
            <w:hideMark/>
          </w:tcPr>
          <w:p w14:paraId="5FDC0577"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SILDENAFIL</w:t>
            </w:r>
          </w:p>
        </w:tc>
        <w:tc>
          <w:tcPr>
            <w:tcW w:w="992" w:type="dxa"/>
            <w:tcBorders>
              <w:top w:val="nil"/>
              <w:left w:val="nil"/>
              <w:bottom w:val="nil"/>
              <w:right w:val="nil"/>
            </w:tcBorders>
            <w:shd w:val="clear" w:color="auto" w:fill="auto"/>
            <w:noWrap/>
            <w:hideMark/>
          </w:tcPr>
          <w:p w14:paraId="16CA98E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Revatio</w:t>
            </w:r>
          </w:p>
        </w:tc>
        <w:tc>
          <w:tcPr>
            <w:tcW w:w="851" w:type="dxa"/>
            <w:tcBorders>
              <w:top w:val="nil"/>
              <w:left w:val="nil"/>
              <w:bottom w:val="nil"/>
              <w:right w:val="nil"/>
            </w:tcBorders>
            <w:shd w:val="clear" w:color="auto" w:fill="auto"/>
            <w:noWrap/>
            <w:hideMark/>
          </w:tcPr>
          <w:p w14:paraId="75577967"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37D94ED1"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09605M</w:t>
            </w:r>
          </w:p>
        </w:tc>
        <w:tc>
          <w:tcPr>
            <w:tcW w:w="5669" w:type="dxa"/>
            <w:tcBorders>
              <w:top w:val="nil"/>
              <w:left w:val="nil"/>
              <w:bottom w:val="nil"/>
              <w:right w:val="nil"/>
            </w:tcBorders>
            <w:shd w:val="clear" w:color="auto" w:fill="auto"/>
            <w:noWrap/>
          </w:tcPr>
          <w:p w14:paraId="26B17F12"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equivalent to 20 mg sildenafil</w:t>
            </w:r>
          </w:p>
        </w:tc>
        <w:tc>
          <w:tcPr>
            <w:tcW w:w="850" w:type="dxa"/>
            <w:tcBorders>
              <w:top w:val="nil"/>
              <w:left w:val="nil"/>
              <w:bottom w:val="nil"/>
              <w:right w:val="nil"/>
            </w:tcBorders>
            <w:shd w:val="clear" w:color="auto" w:fill="auto"/>
            <w:noWrap/>
          </w:tcPr>
          <w:p w14:paraId="02649289"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90</w:t>
            </w:r>
          </w:p>
        </w:tc>
        <w:tc>
          <w:tcPr>
            <w:tcW w:w="851" w:type="dxa"/>
            <w:tcBorders>
              <w:top w:val="nil"/>
              <w:left w:val="nil"/>
              <w:bottom w:val="nil"/>
              <w:right w:val="nil"/>
            </w:tcBorders>
            <w:shd w:val="clear" w:color="auto" w:fill="auto"/>
            <w:noWrap/>
          </w:tcPr>
          <w:p w14:paraId="67563FB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90</w:t>
            </w:r>
          </w:p>
        </w:tc>
        <w:tc>
          <w:tcPr>
            <w:tcW w:w="1020" w:type="dxa"/>
            <w:tcBorders>
              <w:top w:val="nil"/>
              <w:left w:val="nil"/>
              <w:bottom w:val="nil"/>
              <w:right w:val="nil"/>
            </w:tcBorders>
            <w:shd w:val="clear" w:color="auto" w:fill="auto"/>
            <w:noWrap/>
          </w:tcPr>
          <w:p w14:paraId="72D69D21"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2E56E96F"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$898.43</w:t>
            </w:r>
          </w:p>
        </w:tc>
        <w:tc>
          <w:tcPr>
            <w:tcW w:w="1068" w:type="dxa"/>
            <w:tcBorders>
              <w:top w:val="nil"/>
              <w:left w:val="nil"/>
              <w:bottom w:val="nil"/>
              <w:right w:val="nil"/>
            </w:tcBorders>
            <w:shd w:val="clear" w:color="auto" w:fill="auto"/>
            <w:noWrap/>
          </w:tcPr>
          <w:p w14:paraId="5746171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1/03/2007</w:t>
            </w:r>
          </w:p>
        </w:tc>
      </w:tr>
      <w:tr w:rsidR="00262CEB" w:rsidRPr="0013601B" w14:paraId="294BBF0A" w14:textId="77777777" w:rsidTr="0099524E">
        <w:tc>
          <w:tcPr>
            <w:tcW w:w="1433" w:type="dxa"/>
            <w:tcBorders>
              <w:top w:val="nil"/>
              <w:left w:val="nil"/>
              <w:bottom w:val="nil"/>
              <w:right w:val="nil"/>
            </w:tcBorders>
            <w:shd w:val="clear" w:color="auto" w:fill="auto"/>
            <w:noWrap/>
            <w:hideMark/>
          </w:tcPr>
          <w:p w14:paraId="79DB2B8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820B63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9FC8C8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8A87B6C"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7293D0A6"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 (as citrate)</w:t>
            </w:r>
          </w:p>
        </w:tc>
        <w:tc>
          <w:tcPr>
            <w:tcW w:w="850" w:type="dxa"/>
            <w:tcBorders>
              <w:top w:val="nil"/>
              <w:left w:val="nil"/>
              <w:bottom w:val="nil"/>
              <w:right w:val="nil"/>
            </w:tcBorders>
            <w:shd w:val="clear" w:color="auto" w:fill="auto"/>
            <w:noWrap/>
          </w:tcPr>
          <w:p w14:paraId="2BB8583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90</w:t>
            </w:r>
          </w:p>
        </w:tc>
        <w:tc>
          <w:tcPr>
            <w:tcW w:w="851" w:type="dxa"/>
            <w:tcBorders>
              <w:top w:val="nil"/>
              <w:left w:val="nil"/>
              <w:bottom w:val="nil"/>
              <w:right w:val="nil"/>
            </w:tcBorders>
            <w:shd w:val="clear" w:color="auto" w:fill="auto"/>
            <w:noWrap/>
          </w:tcPr>
          <w:p w14:paraId="5A1DA6E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90</w:t>
            </w:r>
          </w:p>
        </w:tc>
        <w:tc>
          <w:tcPr>
            <w:tcW w:w="1020" w:type="dxa"/>
            <w:tcBorders>
              <w:top w:val="nil"/>
              <w:left w:val="nil"/>
              <w:bottom w:val="nil"/>
              <w:right w:val="nil"/>
            </w:tcBorders>
            <w:shd w:val="clear" w:color="auto" w:fill="auto"/>
            <w:noWrap/>
          </w:tcPr>
          <w:p w14:paraId="3E97B83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tcPr>
          <w:p w14:paraId="5D83E65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$898.43</w:t>
            </w:r>
          </w:p>
        </w:tc>
        <w:tc>
          <w:tcPr>
            <w:tcW w:w="1068" w:type="dxa"/>
            <w:tcBorders>
              <w:top w:val="nil"/>
              <w:left w:val="nil"/>
              <w:bottom w:val="nil"/>
              <w:right w:val="nil"/>
            </w:tcBorders>
            <w:shd w:val="clear" w:color="auto" w:fill="auto"/>
            <w:noWrap/>
          </w:tcPr>
          <w:p w14:paraId="2828337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1/08/2007</w:t>
            </w:r>
          </w:p>
        </w:tc>
      </w:tr>
      <w:tr w:rsidR="00262CEB" w:rsidRPr="0013601B" w14:paraId="3BA181FF" w14:textId="77777777" w:rsidTr="0099524E">
        <w:tc>
          <w:tcPr>
            <w:tcW w:w="1433" w:type="dxa"/>
            <w:tcBorders>
              <w:top w:val="nil"/>
              <w:left w:val="nil"/>
              <w:bottom w:val="nil"/>
              <w:right w:val="nil"/>
            </w:tcBorders>
            <w:shd w:val="clear" w:color="auto" w:fill="auto"/>
            <w:noWrap/>
            <w:hideMark/>
          </w:tcPr>
          <w:p w14:paraId="59ECB5C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9076B23"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CA60C9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93E8FEA"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2023FCA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1FA00A5A"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59B9F250"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4D91DC2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6FB88083"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$940.79</w:t>
            </w:r>
          </w:p>
        </w:tc>
        <w:tc>
          <w:tcPr>
            <w:tcW w:w="1068" w:type="dxa"/>
            <w:tcBorders>
              <w:top w:val="nil"/>
              <w:left w:val="nil"/>
              <w:bottom w:val="nil"/>
              <w:right w:val="nil"/>
            </w:tcBorders>
            <w:shd w:val="clear" w:color="auto" w:fill="auto"/>
            <w:noWrap/>
          </w:tcPr>
          <w:p w14:paraId="14271D7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C50D359" w14:textId="77777777" w:rsidTr="0099524E">
        <w:tc>
          <w:tcPr>
            <w:tcW w:w="1433" w:type="dxa"/>
            <w:tcBorders>
              <w:top w:val="nil"/>
              <w:left w:val="nil"/>
              <w:bottom w:val="nil"/>
              <w:right w:val="nil"/>
            </w:tcBorders>
            <w:shd w:val="clear" w:color="auto" w:fill="auto"/>
            <w:noWrap/>
            <w:hideMark/>
          </w:tcPr>
          <w:p w14:paraId="3E04D679"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AA4BAB2"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C9B173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4D700BB"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2743FF1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769E0A8A"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280753A2"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3C203F4D"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3C29317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$940.89</w:t>
            </w:r>
          </w:p>
        </w:tc>
        <w:tc>
          <w:tcPr>
            <w:tcW w:w="1068" w:type="dxa"/>
            <w:tcBorders>
              <w:top w:val="nil"/>
              <w:left w:val="nil"/>
              <w:bottom w:val="nil"/>
              <w:right w:val="nil"/>
            </w:tcBorders>
            <w:shd w:val="clear" w:color="auto" w:fill="auto"/>
            <w:noWrap/>
          </w:tcPr>
          <w:p w14:paraId="135B301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378F039D" w14:textId="77777777" w:rsidTr="0099524E">
        <w:tc>
          <w:tcPr>
            <w:tcW w:w="1433" w:type="dxa"/>
            <w:tcBorders>
              <w:top w:val="nil"/>
              <w:left w:val="nil"/>
              <w:bottom w:val="nil"/>
              <w:right w:val="nil"/>
            </w:tcBorders>
            <w:shd w:val="clear" w:color="auto" w:fill="auto"/>
            <w:noWrap/>
            <w:hideMark/>
          </w:tcPr>
          <w:p w14:paraId="33C8D3E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A750A59"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71AC73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95A068A"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2DB9A963"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46A3F8DB"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1B8EC4C0"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4F1EAF66"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673BB7F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$941.00</w:t>
            </w:r>
          </w:p>
        </w:tc>
        <w:tc>
          <w:tcPr>
            <w:tcW w:w="1068" w:type="dxa"/>
            <w:tcBorders>
              <w:top w:val="nil"/>
              <w:left w:val="nil"/>
              <w:bottom w:val="nil"/>
              <w:right w:val="nil"/>
            </w:tcBorders>
            <w:shd w:val="clear" w:color="auto" w:fill="auto"/>
            <w:noWrap/>
          </w:tcPr>
          <w:p w14:paraId="790E603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516937A0" w14:textId="77777777" w:rsidTr="0099524E">
        <w:tc>
          <w:tcPr>
            <w:tcW w:w="1433" w:type="dxa"/>
            <w:tcBorders>
              <w:top w:val="nil"/>
              <w:left w:val="nil"/>
              <w:bottom w:val="nil"/>
              <w:right w:val="nil"/>
            </w:tcBorders>
            <w:shd w:val="clear" w:color="auto" w:fill="auto"/>
            <w:noWrap/>
            <w:hideMark/>
          </w:tcPr>
          <w:p w14:paraId="048A76D4"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EFD5FD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9534147"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9FC302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1ACF856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263DC6B1"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2AFC3AF6"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296EADDC"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1610972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$941.13</w:t>
            </w:r>
          </w:p>
        </w:tc>
        <w:tc>
          <w:tcPr>
            <w:tcW w:w="1068" w:type="dxa"/>
            <w:tcBorders>
              <w:top w:val="nil"/>
              <w:left w:val="nil"/>
              <w:bottom w:val="nil"/>
              <w:right w:val="nil"/>
            </w:tcBorders>
            <w:shd w:val="clear" w:color="auto" w:fill="auto"/>
            <w:noWrap/>
          </w:tcPr>
          <w:p w14:paraId="1582AE6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78AA8DF9" w14:textId="77777777" w:rsidTr="0099524E">
        <w:tc>
          <w:tcPr>
            <w:tcW w:w="1433" w:type="dxa"/>
            <w:tcBorders>
              <w:top w:val="nil"/>
              <w:left w:val="nil"/>
              <w:bottom w:val="nil"/>
              <w:right w:val="nil"/>
            </w:tcBorders>
            <w:shd w:val="clear" w:color="auto" w:fill="auto"/>
            <w:noWrap/>
            <w:hideMark/>
          </w:tcPr>
          <w:p w14:paraId="4C87D449"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1E7C239"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312C60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2447CD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1875628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6A529907"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7DC583A4"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1D581A00"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57EA295F"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$791.63</w:t>
            </w:r>
          </w:p>
        </w:tc>
        <w:tc>
          <w:tcPr>
            <w:tcW w:w="1068" w:type="dxa"/>
            <w:tcBorders>
              <w:top w:val="nil"/>
              <w:left w:val="nil"/>
              <w:bottom w:val="nil"/>
              <w:right w:val="nil"/>
            </w:tcBorders>
            <w:shd w:val="clear" w:color="auto" w:fill="auto"/>
            <w:noWrap/>
          </w:tcPr>
          <w:p w14:paraId="4D420444"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088BADE0" w14:textId="77777777" w:rsidTr="0099524E">
        <w:tc>
          <w:tcPr>
            <w:tcW w:w="1433" w:type="dxa"/>
            <w:tcBorders>
              <w:top w:val="nil"/>
              <w:left w:val="nil"/>
              <w:bottom w:val="nil"/>
              <w:right w:val="nil"/>
            </w:tcBorders>
            <w:shd w:val="clear" w:color="auto" w:fill="auto"/>
            <w:noWrap/>
            <w:hideMark/>
          </w:tcPr>
          <w:p w14:paraId="42159187"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07CBC7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C57D615"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30BCD931"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09547L</w:t>
            </w:r>
          </w:p>
        </w:tc>
        <w:tc>
          <w:tcPr>
            <w:tcW w:w="5669" w:type="dxa"/>
            <w:tcBorders>
              <w:top w:val="nil"/>
              <w:left w:val="nil"/>
              <w:bottom w:val="nil"/>
              <w:right w:val="nil"/>
            </w:tcBorders>
            <w:shd w:val="clear" w:color="auto" w:fill="auto"/>
            <w:noWrap/>
            <w:hideMark/>
          </w:tcPr>
          <w:p w14:paraId="57E5066A"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 (as citrate)</w:t>
            </w:r>
          </w:p>
        </w:tc>
        <w:tc>
          <w:tcPr>
            <w:tcW w:w="850" w:type="dxa"/>
            <w:tcBorders>
              <w:top w:val="nil"/>
              <w:left w:val="nil"/>
              <w:bottom w:val="nil"/>
              <w:right w:val="nil"/>
            </w:tcBorders>
            <w:shd w:val="clear" w:color="auto" w:fill="auto"/>
            <w:noWrap/>
            <w:hideMark/>
          </w:tcPr>
          <w:p w14:paraId="0833F3A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90</w:t>
            </w:r>
          </w:p>
        </w:tc>
        <w:tc>
          <w:tcPr>
            <w:tcW w:w="851" w:type="dxa"/>
            <w:tcBorders>
              <w:top w:val="nil"/>
              <w:left w:val="nil"/>
              <w:bottom w:val="nil"/>
              <w:right w:val="nil"/>
            </w:tcBorders>
            <w:shd w:val="clear" w:color="auto" w:fill="auto"/>
            <w:noWrap/>
            <w:hideMark/>
          </w:tcPr>
          <w:p w14:paraId="4C1699F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90</w:t>
            </w:r>
          </w:p>
        </w:tc>
        <w:tc>
          <w:tcPr>
            <w:tcW w:w="1020" w:type="dxa"/>
            <w:tcBorders>
              <w:top w:val="nil"/>
              <w:left w:val="nil"/>
              <w:bottom w:val="nil"/>
              <w:right w:val="nil"/>
            </w:tcBorders>
            <w:shd w:val="clear" w:color="auto" w:fill="auto"/>
            <w:noWrap/>
            <w:hideMark/>
          </w:tcPr>
          <w:p w14:paraId="1A1D8C3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7A98307A"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$898.43</w:t>
            </w:r>
          </w:p>
        </w:tc>
        <w:tc>
          <w:tcPr>
            <w:tcW w:w="1068" w:type="dxa"/>
            <w:tcBorders>
              <w:top w:val="nil"/>
              <w:left w:val="nil"/>
              <w:bottom w:val="nil"/>
              <w:right w:val="nil"/>
            </w:tcBorders>
            <w:shd w:val="clear" w:color="auto" w:fill="auto"/>
            <w:noWrap/>
            <w:hideMark/>
          </w:tcPr>
          <w:p w14:paraId="3B88C21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531C1D5E" w14:textId="77777777" w:rsidTr="0099524E">
        <w:tc>
          <w:tcPr>
            <w:tcW w:w="1433" w:type="dxa"/>
            <w:tcBorders>
              <w:top w:val="nil"/>
              <w:left w:val="nil"/>
              <w:bottom w:val="nil"/>
              <w:right w:val="nil"/>
            </w:tcBorders>
            <w:shd w:val="clear" w:color="auto" w:fill="auto"/>
            <w:noWrap/>
            <w:hideMark/>
          </w:tcPr>
          <w:p w14:paraId="719A2DF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42E20A1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4A8DD9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D4A5C54"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78C4ADE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C5030EA"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B714B1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645B63A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210B3937"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$754.68</w:t>
            </w:r>
          </w:p>
        </w:tc>
        <w:tc>
          <w:tcPr>
            <w:tcW w:w="1068" w:type="dxa"/>
            <w:tcBorders>
              <w:top w:val="nil"/>
              <w:left w:val="nil"/>
              <w:bottom w:val="nil"/>
              <w:right w:val="nil"/>
            </w:tcBorders>
            <w:shd w:val="clear" w:color="auto" w:fill="auto"/>
            <w:noWrap/>
            <w:hideMark/>
          </w:tcPr>
          <w:p w14:paraId="469EBF4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56CCCDC3" w14:textId="77777777" w:rsidTr="0099524E">
        <w:tc>
          <w:tcPr>
            <w:tcW w:w="1433" w:type="dxa"/>
            <w:tcBorders>
              <w:top w:val="nil"/>
              <w:left w:val="nil"/>
              <w:bottom w:val="nil"/>
              <w:right w:val="nil"/>
            </w:tcBorders>
            <w:shd w:val="clear" w:color="auto" w:fill="auto"/>
            <w:noWrap/>
            <w:hideMark/>
          </w:tcPr>
          <w:p w14:paraId="789F898B"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B6C9701" w14:textId="593AF2F0" w:rsidR="00262CEB" w:rsidRPr="0013601B" w:rsidRDefault="00AD3F30" w:rsidP="0099524E">
            <w:pPr>
              <w:spacing w:after="0"/>
              <w:rPr>
                <w:rFonts w:eastAsia="Times New Roman" w:cs="Times New Roman"/>
                <w:b/>
                <w:bCs/>
                <w:color w:val="000000"/>
                <w:sz w:val="18"/>
                <w:szCs w:val="18"/>
              </w:rPr>
            </w:pPr>
            <w:r w:rsidRPr="00AD3F30">
              <w:rPr>
                <w:rFonts w:eastAsia="Times New Roman" w:cs="Times New Roman"/>
                <w:b/>
                <w:bCs/>
                <w:color w:val="000000"/>
                <w:sz w:val="18"/>
                <w:szCs w:val="18"/>
              </w:rPr>
              <w:t>APO-Sildenafil PHT</w:t>
            </w:r>
          </w:p>
        </w:tc>
        <w:tc>
          <w:tcPr>
            <w:tcW w:w="851" w:type="dxa"/>
            <w:tcBorders>
              <w:top w:val="nil"/>
              <w:left w:val="nil"/>
              <w:bottom w:val="nil"/>
              <w:right w:val="nil"/>
            </w:tcBorders>
            <w:shd w:val="clear" w:color="auto" w:fill="auto"/>
            <w:noWrap/>
            <w:hideMark/>
          </w:tcPr>
          <w:p w14:paraId="2FE9BE6E"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353B5D39"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09605M</w:t>
            </w:r>
          </w:p>
        </w:tc>
        <w:tc>
          <w:tcPr>
            <w:tcW w:w="5669" w:type="dxa"/>
            <w:tcBorders>
              <w:top w:val="nil"/>
              <w:left w:val="nil"/>
              <w:bottom w:val="nil"/>
              <w:right w:val="nil"/>
            </w:tcBorders>
            <w:shd w:val="clear" w:color="auto" w:fill="auto"/>
            <w:noWrap/>
            <w:hideMark/>
          </w:tcPr>
          <w:p w14:paraId="417436B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 (as citrate)</w:t>
            </w:r>
          </w:p>
        </w:tc>
        <w:tc>
          <w:tcPr>
            <w:tcW w:w="850" w:type="dxa"/>
            <w:tcBorders>
              <w:top w:val="nil"/>
              <w:left w:val="nil"/>
              <w:bottom w:val="nil"/>
              <w:right w:val="nil"/>
            </w:tcBorders>
            <w:shd w:val="clear" w:color="auto" w:fill="auto"/>
            <w:noWrap/>
            <w:hideMark/>
          </w:tcPr>
          <w:p w14:paraId="2262D5C1"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90</w:t>
            </w:r>
          </w:p>
        </w:tc>
        <w:tc>
          <w:tcPr>
            <w:tcW w:w="851" w:type="dxa"/>
            <w:tcBorders>
              <w:top w:val="nil"/>
              <w:left w:val="nil"/>
              <w:bottom w:val="nil"/>
              <w:right w:val="nil"/>
            </w:tcBorders>
            <w:shd w:val="clear" w:color="auto" w:fill="auto"/>
            <w:noWrap/>
            <w:hideMark/>
          </w:tcPr>
          <w:p w14:paraId="44AF2275"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90</w:t>
            </w:r>
          </w:p>
        </w:tc>
        <w:tc>
          <w:tcPr>
            <w:tcW w:w="1020" w:type="dxa"/>
            <w:tcBorders>
              <w:top w:val="nil"/>
              <w:left w:val="nil"/>
              <w:bottom w:val="nil"/>
              <w:right w:val="nil"/>
            </w:tcBorders>
            <w:shd w:val="clear" w:color="auto" w:fill="auto"/>
            <w:noWrap/>
            <w:hideMark/>
          </w:tcPr>
          <w:p w14:paraId="0DC9B81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EA7750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$791.63</w:t>
            </w:r>
          </w:p>
        </w:tc>
        <w:tc>
          <w:tcPr>
            <w:tcW w:w="1068" w:type="dxa"/>
            <w:tcBorders>
              <w:top w:val="nil"/>
              <w:left w:val="nil"/>
              <w:bottom w:val="nil"/>
              <w:right w:val="nil"/>
            </w:tcBorders>
            <w:shd w:val="clear" w:color="auto" w:fill="auto"/>
            <w:noWrap/>
            <w:hideMark/>
          </w:tcPr>
          <w:p w14:paraId="4940D23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502E81EF" w14:textId="77777777" w:rsidTr="0099524E">
        <w:tc>
          <w:tcPr>
            <w:tcW w:w="1433" w:type="dxa"/>
            <w:tcBorders>
              <w:top w:val="nil"/>
              <w:left w:val="nil"/>
              <w:bottom w:val="single" w:sz="4" w:space="0" w:color="95B3D7"/>
              <w:right w:val="nil"/>
            </w:tcBorders>
            <w:shd w:val="clear" w:color="auto" w:fill="auto"/>
            <w:noWrap/>
            <w:hideMark/>
          </w:tcPr>
          <w:p w14:paraId="09FE8683"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47B0CC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FA72408"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4A1E4802"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09547L</w:t>
            </w:r>
          </w:p>
        </w:tc>
        <w:tc>
          <w:tcPr>
            <w:tcW w:w="5669" w:type="dxa"/>
            <w:tcBorders>
              <w:top w:val="nil"/>
              <w:left w:val="nil"/>
              <w:bottom w:val="nil"/>
              <w:right w:val="nil"/>
            </w:tcBorders>
            <w:shd w:val="clear" w:color="auto" w:fill="auto"/>
            <w:noWrap/>
            <w:hideMark/>
          </w:tcPr>
          <w:p w14:paraId="06BD4D5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 (as citrate)</w:t>
            </w:r>
          </w:p>
        </w:tc>
        <w:tc>
          <w:tcPr>
            <w:tcW w:w="850" w:type="dxa"/>
            <w:tcBorders>
              <w:top w:val="nil"/>
              <w:left w:val="nil"/>
              <w:bottom w:val="nil"/>
              <w:right w:val="nil"/>
            </w:tcBorders>
            <w:shd w:val="clear" w:color="auto" w:fill="auto"/>
            <w:noWrap/>
            <w:hideMark/>
          </w:tcPr>
          <w:p w14:paraId="274DE46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90</w:t>
            </w:r>
          </w:p>
        </w:tc>
        <w:tc>
          <w:tcPr>
            <w:tcW w:w="851" w:type="dxa"/>
            <w:tcBorders>
              <w:top w:val="nil"/>
              <w:left w:val="nil"/>
              <w:bottom w:val="nil"/>
              <w:right w:val="nil"/>
            </w:tcBorders>
            <w:shd w:val="clear" w:color="auto" w:fill="auto"/>
            <w:noWrap/>
            <w:hideMark/>
          </w:tcPr>
          <w:p w14:paraId="7240AB7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90</w:t>
            </w:r>
          </w:p>
        </w:tc>
        <w:tc>
          <w:tcPr>
            <w:tcW w:w="1020" w:type="dxa"/>
            <w:tcBorders>
              <w:top w:val="nil"/>
              <w:left w:val="nil"/>
              <w:bottom w:val="nil"/>
              <w:right w:val="nil"/>
            </w:tcBorders>
            <w:shd w:val="clear" w:color="auto" w:fill="auto"/>
            <w:noWrap/>
            <w:hideMark/>
          </w:tcPr>
          <w:p w14:paraId="35FF093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1410542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$754.68</w:t>
            </w:r>
          </w:p>
        </w:tc>
        <w:tc>
          <w:tcPr>
            <w:tcW w:w="1068" w:type="dxa"/>
            <w:tcBorders>
              <w:top w:val="nil"/>
              <w:left w:val="nil"/>
              <w:bottom w:val="nil"/>
              <w:right w:val="nil"/>
            </w:tcBorders>
            <w:shd w:val="clear" w:color="auto" w:fill="auto"/>
            <w:noWrap/>
            <w:hideMark/>
          </w:tcPr>
          <w:p w14:paraId="5179FEB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1/08/2014</w:t>
            </w:r>
          </w:p>
        </w:tc>
      </w:tr>
      <w:tr w:rsidR="00262CEB" w:rsidRPr="0013601B" w14:paraId="78D3CF34" w14:textId="77777777" w:rsidTr="0099524E">
        <w:tc>
          <w:tcPr>
            <w:tcW w:w="1433" w:type="dxa"/>
            <w:tcBorders>
              <w:top w:val="nil"/>
              <w:left w:val="nil"/>
              <w:bottom w:val="nil"/>
              <w:right w:val="nil"/>
            </w:tcBorders>
            <w:shd w:val="clear" w:color="auto" w:fill="auto"/>
            <w:noWrap/>
            <w:hideMark/>
          </w:tcPr>
          <w:p w14:paraId="233B8F88"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SITAXENTAN</w:t>
            </w:r>
          </w:p>
        </w:tc>
        <w:tc>
          <w:tcPr>
            <w:tcW w:w="992" w:type="dxa"/>
            <w:tcBorders>
              <w:top w:val="nil"/>
              <w:left w:val="nil"/>
              <w:bottom w:val="nil"/>
              <w:right w:val="nil"/>
            </w:tcBorders>
            <w:shd w:val="clear" w:color="auto" w:fill="auto"/>
            <w:noWrap/>
            <w:hideMark/>
          </w:tcPr>
          <w:p w14:paraId="3EFE28DA"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Thelin</w:t>
            </w:r>
          </w:p>
        </w:tc>
        <w:tc>
          <w:tcPr>
            <w:tcW w:w="851" w:type="dxa"/>
            <w:tcBorders>
              <w:top w:val="nil"/>
              <w:left w:val="nil"/>
              <w:bottom w:val="nil"/>
              <w:right w:val="nil"/>
            </w:tcBorders>
            <w:shd w:val="clear" w:color="auto" w:fill="auto"/>
            <w:noWrap/>
            <w:hideMark/>
          </w:tcPr>
          <w:p w14:paraId="377201D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2BBE9736"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09622K</w:t>
            </w:r>
          </w:p>
        </w:tc>
        <w:tc>
          <w:tcPr>
            <w:tcW w:w="5669" w:type="dxa"/>
            <w:tcBorders>
              <w:top w:val="nil"/>
              <w:left w:val="nil"/>
              <w:bottom w:val="nil"/>
              <w:right w:val="nil"/>
            </w:tcBorders>
            <w:shd w:val="clear" w:color="auto" w:fill="auto"/>
            <w:noWrap/>
            <w:hideMark/>
          </w:tcPr>
          <w:p w14:paraId="49BBCC3B"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containing sitaxentan sodium 100 mg</w:t>
            </w:r>
          </w:p>
        </w:tc>
        <w:tc>
          <w:tcPr>
            <w:tcW w:w="850" w:type="dxa"/>
            <w:tcBorders>
              <w:top w:val="nil"/>
              <w:left w:val="nil"/>
              <w:bottom w:val="nil"/>
              <w:right w:val="nil"/>
            </w:tcBorders>
            <w:shd w:val="clear" w:color="auto" w:fill="auto"/>
            <w:noWrap/>
            <w:hideMark/>
          </w:tcPr>
          <w:p w14:paraId="4496D69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69B2381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751DB146"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F26C71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$2,743.80</w:t>
            </w:r>
          </w:p>
        </w:tc>
        <w:tc>
          <w:tcPr>
            <w:tcW w:w="1068" w:type="dxa"/>
            <w:tcBorders>
              <w:top w:val="nil"/>
              <w:left w:val="nil"/>
              <w:bottom w:val="nil"/>
              <w:right w:val="nil"/>
            </w:tcBorders>
            <w:shd w:val="clear" w:color="auto" w:fill="auto"/>
            <w:noWrap/>
            <w:hideMark/>
          </w:tcPr>
          <w:p w14:paraId="5DB1609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1/04/2008</w:t>
            </w:r>
          </w:p>
        </w:tc>
      </w:tr>
      <w:tr w:rsidR="00262CEB" w:rsidRPr="0013601B" w14:paraId="3DED67B4" w14:textId="77777777" w:rsidTr="0099524E">
        <w:tc>
          <w:tcPr>
            <w:tcW w:w="1433" w:type="dxa"/>
            <w:tcBorders>
              <w:top w:val="nil"/>
              <w:left w:val="nil"/>
              <w:bottom w:val="nil"/>
              <w:right w:val="nil"/>
            </w:tcBorders>
            <w:shd w:val="clear" w:color="auto" w:fill="auto"/>
            <w:noWrap/>
            <w:hideMark/>
          </w:tcPr>
          <w:p w14:paraId="70C1073B"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83F60B0"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26D1C5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EE47491"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7D58C566"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199DB61"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68205B6"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521D90F"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E90C1E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$2,790.22</w:t>
            </w:r>
          </w:p>
        </w:tc>
        <w:tc>
          <w:tcPr>
            <w:tcW w:w="1068" w:type="dxa"/>
            <w:tcBorders>
              <w:top w:val="nil"/>
              <w:left w:val="nil"/>
              <w:bottom w:val="nil"/>
              <w:right w:val="nil"/>
            </w:tcBorders>
            <w:shd w:val="clear" w:color="auto" w:fill="auto"/>
            <w:noWrap/>
            <w:hideMark/>
          </w:tcPr>
          <w:p w14:paraId="226CAB1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3007B624" w14:textId="77777777" w:rsidTr="0099524E">
        <w:tc>
          <w:tcPr>
            <w:tcW w:w="1433" w:type="dxa"/>
            <w:tcBorders>
              <w:top w:val="nil"/>
              <w:left w:val="nil"/>
              <w:bottom w:val="single" w:sz="4" w:space="0" w:color="95B3D7"/>
              <w:right w:val="nil"/>
            </w:tcBorders>
            <w:shd w:val="clear" w:color="auto" w:fill="auto"/>
            <w:noWrap/>
            <w:hideMark/>
          </w:tcPr>
          <w:p w14:paraId="57B03B0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ED494A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C582EE6"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3E0C1209"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09551Q</w:t>
            </w:r>
          </w:p>
        </w:tc>
        <w:tc>
          <w:tcPr>
            <w:tcW w:w="5669" w:type="dxa"/>
            <w:tcBorders>
              <w:top w:val="nil"/>
              <w:left w:val="nil"/>
              <w:bottom w:val="nil"/>
              <w:right w:val="nil"/>
            </w:tcBorders>
            <w:shd w:val="clear" w:color="auto" w:fill="auto"/>
            <w:noWrap/>
            <w:hideMark/>
          </w:tcPr>
          <w:p w14:paraId="701CACF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containing sitaxentan sodium 100 mg</w:t>
            </w:r>
          </w:p>
        </w:tc>
        <w:tc>
          <w:tcPr>
            <w:tcW w:w="850" w:type="dxa"/>
            <w:tcBorders>
              <w:top w:val="nil"/>
              <w:left w:val="nil"/>
              <w:bottom w:val="nil"/>
              <w:right w:val="nil"/>
            </w:tcBorders>
            <w:shd w:val="clear" w:color="auto" w:fill="auto"/>
            <w:noWrap/>
            <w:hideMark/>
          </w:tcPr>
          <w:p w14:paraId="1725A8A7"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1AC3C57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637A516C"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6692801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$2,743.80</w:t>
            </w:r>
          </w:p>
        </w:tc>
        <w:tc>
          <w:tcPr>
            <w:tcW w:w="1068" w:type="dxa"/>
            <w:tcBorders>
              <w:top w:val="nil"/>
              <w:left w:val="nil"/>
              <w:bottom w:val="nil"/>
              <w:right w:val="nil"/>
            </w:tcBorders>
            <w:shd w:val="clear" w:color="auto" w:fill="auto"/>
            <w:noWrap/>
            <w:hideMark/>
          </w:tcPr>
          <w:p w14:paraId="1D49B73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B39833E" w14:textId="77777777" w:rsidTr="0099524E">
        <w:tc>
          <w:tcPr>
            <w:tcW w:w="1433" w:type="dxa"/>
            <w:tcBorders>
              <w:top w:val="nil"/>
              <w:left w:val="nil"/>
              <w:bottom w:val="nil"/>
              <w:right w:val="nil"/>
            </w:tcBorders>
            <w:shd w:val="clear" w:color="auto" w:fill="auto"/>
            <w:noWrap/>
          </w:tcPr>
          <w:p w14:paraId="32E35D25"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tcPr>
          <w:p w14:paraId="577914A7"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tcPr>
          <w:p w14:paraId="5B1A3E0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tcPr>
          <w:p w14:paraId="18CB94CD"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tcPr>
          <w:p w14:paraId="55183DA9" w14:textId="77777777" w:rsidR="00262CEB" w:rsidRPr="0013601B" w:rsidRDefault="00262CEB" w:rsidP="0099524E">
            <w:pPr>
              <w:spacing w:after="0"/>
              <w:rPr>
                <w:rFonts w:eastAsia="Times New Roman" w:cs="Times New Roman"/>
                <w:sz w:val="18"/>
                <w:szCs w:val="18"/>
              </w:rPr>
            </w:pPr>
            <w:r>
              <w:rPr>
                <w:rFonts w:eastAsia="Times New Roman" w:cs="Times New Roman"/>
                <w:sz w:val="18"/>
                <w:szCs w:val="18"/>
              </w:rPr>
              <w:t>Both SITAXENTAN items delisted</w:t>
            </w:r>
          </w:p>
        </w:tc>
        <w:tc>
          <w:tcPr>
            <w:tcW w:w="850" w:type="dxa"/>
            <w:tcBorders>
              <w:top w:val="nil"/>
              <w:left w:val="nil"/>
              <w:bottom w:val="nil"/>
              <w:right w:val="nil"/>
            </w:tcBorders>
            <w:shd w:val="clear" w:color="auto" w:fill="auto"/>
            <w:noWrap/>
          </w:tcPr>
          <w:p w14:paraId="1E025749"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tcPr>
          <w:p w14:paraId="5ADB4BA8"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tcPr>
          <w:p w14:paraId="29F25874"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tcPr>
          <w:p w14:paraId="51382D9C" w14:textId="77777777" w:rsidR="00262CEB" w:rsidRPr="00201710" w:rsidRDefault="00262CEB" w:rsidP="0099524E">
            <w:pPr>
              <w:spacing w:after="0"/>
              <w:jc w:val="right"/>
              <w:rPr>
                <w:rFonts w:eastAsia="Times New Roman" w:cs="Times New Roman"/>
                <w:sz w:val="18"/>
                <w:szCs w:val="18"/>
              </w:rPr>
            </w:pPr>
          </w:p>
        </w:tc>
        <w:tc>
          <w:tcPr>
            <w:tcW w:w="1068" w:type="dxa"/>
            <w:tcBorders>
              <w:top w:val="nil"/>
              <w:left w:val="nil"/>
              <w:bottom w:val="nil"/>
              <w:right w:val="nil"/>
            </w:tcBorders>
            <w:shd w:val="clear" w:color="auto" w:fill="auto"/>
            <w:noWrap/>
          </w:tcPr>
          <w:p w14:paraId="733AA0D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31/3/2011</w:t>
            </w:r>
          </w:p>
        </w:tc>
      </w:tr>
      <w:tr w:rsidR="00262CEB" w:rsidRPr="0013601B" w14:paraId="70100978" w14:textId="77777777" w:rsidTr="0099524E">
        <w:tc>
          <w:tcPr>
            <w:tcW w:w="1433" w:type="dxa"/>
            <w:tcBorders>
              <w:top w:val="nil"/>
              <w:left w:val="nil"/>
              <w:bottom w:val="nil"/>
              <w:right w:val="nil"/>
            </w:tcBorders>
            <w:shd w:val="clear" w:color="auto" w:fill="auto"/>
            <w:noWrap/>
            <w:hideMark/>
          </w:tcPr>
          <w:p w14:paraId="586CB644"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AMBRISENTAN</w:t>
            </w:r>
          </w:p>
        </w:tc>
        <w:tc>
          <w:tcPr>
            <w:tcW w:w="992" w:type="dxa"/>
            <w:tcBorders>
              <w:top w:val="nil"/>
              <w:left w:val="nil"/>
              <w:bottom w:val="nil"/>
              <w:right w:val="nil"/>
            </w:tcBorders>
            <w:shd w:val="clear" w:color="auto" w:fill="auto"/>
            <w:noWrap/>
            <w:hideMark/>
          </w:tcPr>
          <w:p w14:paraId="5D99394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Volibris</w:t>
            </w:r>
          </w:p>
        </w:tc>
        <w:tc>
          <w:tcPr>
            <w:tcW w:w="851" w:type="dxa"/>
            <w:tcBorders>
              <w:top w:val="nil"/>
              <w:left w:val="nil"/>
              <w:bottom w:val="nil"/>
              <w:right w:val="nil"/>
            </w:tcBorders>
            <w:shd w:val="clear" w:color="auto" w:fill="auto"/>
            <w:noWrap/>
            <w:hideMark/>
          </w:tcPr>
          <w:p w14:paraId="5A363154"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6C0F3EA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09648T</w:t>
            </w:r>
          </w:p>
        </w:tc>
        <w:tc>
          <w:tcPr>
            <w:tcW w:w="5669" w:type="dxa"/>
            <w:tcBorders>
              <w:top w:val="nil"/>
              <w:left w:val="nil"/>
              <w:bottom w:val="nil"/>
              <w:right w:val="nil"/>
            </w:tcBorders>
            <w:shd w:val="clear" w:color="auto" w:fill="auto"/>
            <w:noWrap/>
            <w:hideMark/>
          </w:tcPr>
          <w:p w14:paraId="1FE27B89"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5 mg</w:t>
            </w:r>
          </w:p>
        </w:tc>
        <w:tc>
          <w:tcPr>
            <w:tcW w:w="850" w:type="dxa"/>
            <w:tcBorders>
              <w:top w:val="nil"/>
              <w:left w:val="nil"/>
              <w:bottom w:val="nil"/>
              <w:right w:val="nil"/>
            </w:tcBorders>
            <w:shd w:val="clear" w:color="auto" w:fill="auto"/>
            <w:noWrap/>
            <w:hideMark/>
          </w:tcPr>
          <w:p w14:paraId="4EA9F08A"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687DB9B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3A49BA28"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397757D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32729021"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1/12/2009</w:t>
            </w:r>
          </w:p>
        </w:tc>
      </w:tr>
      <w:tr w:rsidR="00262CEB" w:rsidRPr="0013601B" w14:paraId="775A25BC" w14:textId="77777777" w:rsidTr="0099524E">
        <w:tc>
          <w:tcPr>
            <w:tcW w:w="1433" w:type="dxa"/>
            <w:tcBorders>
              <w:top w:val="nil"/>
              <w:left w:val="nil"/>
              <w:bottom w:val="nil"/>
              <w:right w:val="nil"/>
            </w:tcBorders>
            <w:shd w:val="clear" w:color="auto" w:fill="auto"/>
            <w:noWrap/>
            <w:hideMark/>
          </w:tcPr>
          <w:p w14:paraId="3248256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4CE9331"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3F184EF"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3859F4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83BB06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4EAF17A"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43EA68B"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287F871"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552C7A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$4,081.42</w:t>
            </w:r>
          </w:p>
        </w:tc>
        <w:tc>
          <w:tcPr>
            <w:tcW w:w="1068" w:type="dxa"/>
            <w:tcBorders>
              <w:top w:val="nil"/>
              <w:left w:val="nil"/>
              <w:bottom w:val="nil"/>
              <w:right w:val="nil"/>
            </w:tcBorders>
            <w:shd w:val="clear" w:color="auto" w:fill="auto"/>
            <w:noWrap/>
            <w:hideMark/>
          </w:tcPr>
          <w:p w14:paraId="43C1A816"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57C26406" w14:textId="77777777" w:rsidTr="0099524E">
        <w:tc>
          <w:tcPr>
            <w:tcW w:w="1433" w:type="dxa"/>
            <w:tcBorders>
              <w:top w:val="nil"/>
              <w:left w:val="nil"/>
              <w:bottom w:val="nil"/>
              <w:right w:val="nil"/>
            </w:tcBorders>
            <w:shd w:val="clear" w:color="auto" w:fill="auto"/>
            <w:noWrap/>
            <w:hideMark/>
          </w:tcPr>
          <w:p w14:paraId="5866A404"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4AF1DE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D1BB2DC"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AA990B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4622956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7C9613D"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43A42113"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A95AD6C"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2B2AC1B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$4,081.52</w:t>
            </w:r>
          </w:p>
        </w:tc>
        <w:tc>
          <w:tcPr>
            <w:tcW w:w="1068" w:type="dxa"/>
            <w:tcBorders>
              <w:top w:val="nil"/>
              <w:left w:val="nil"/>
              <w:bottom w:val="nil"/>
              <w:right w:val="nil"/>
            </w:tcBorders>
            <w:shd w:val="clear" w:color="auto" w:fill="auto"/>
            <w:noWrap/>
            <w:hideMark/>
          </w:tcPr>
          <w:p w14:paraId="2255FC7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1AEC6E65" w14:textId="77777777" w:rsidTr="0099524E">
        <w:tc>
          <w:tcPr>
            <w:tcW w:w="1433" w:type="dxa"/>
            <w:tcBorders>
              <w:top w:val="nil"/>
              <w:left w:val="nil"/>
              <w:bottom w:val="nil"/>
              <w:right w:val="nil"/>
            </w:tcBorders>
            <w:shd w:val="clear" w:color="auto" w:fill="auto"/>
            <w:noWrap/>
            <w:hideMark/>
          </w:tcPr>
          <w:p w14:paraId="5784266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3C115C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16E4D0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F8D4961"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A44C730"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B9A31B7"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3571F294"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6F73DAF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AA48009"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$4,081.63</w:t>
            </w:r>
          </w:p>
        </w:tc>
        <w:tc>
          <w:tcPr>
            <w:tcW w:w="1068" w:type="dxa"/>
            <w:tcBorders>
              <w:top w:val="nil"/>
              <w:left w:val="nil"/>
              <w:bottom w:val="nil"/>
              <w:right w:val="nil"/>
            </w:tcBorders>
            <w:shd w:val="clear" w:color="auto" w:fill="auto"/>
            <w:noWrap/>
            <w:hideMark/>
          </w:tcPr>
          <w:p w14:paraId="23D0C39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51D82097" w14:textId="77777777" w:rsidTr="0099524E">
        <w:tc>
          <w:tcPr>
            <w:tcW w:w="1433" w:type="dxa"/>
            <w:tcBorders>
              <w:top w:val="nil"/>
              <w:left w:val="nil"/>
              <w:bottom w:val="nil"/>
              <w:right w:val="nil"/>
            </w:tcBorders>
            <w:shd w:val="clear" w:color="auto" w:fill="auto"/>
            <w:noWrap/>
            <w:hideMark/>
          </w:tcPr>
          <w:p w14:paraId="7B53D9CD"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AD787C1"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97FE1B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A03D558"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601C67F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CCD1DC9"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23FC848F"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97621F1"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400D2AC"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$2,923.10</w:t>
            </w:r>
          </w:p>
        </w:tc>
        <w:tc>
          <w:tcPr>
            <w:tcW w:w="1068" w:type="dxa"/>
            <w:tcBorders>
              <w:top w:val="nil"/>
              <w:left w:val="nil"/>
              <w:bottom w:val="nil"/>
              <w:right w:val="nil"/>
            </w:tcBorders>
            <w:shd w:val="clear" w:color="auto" w:fill="auto"/>
            <w:noWrap/>
            <w:hideMark/>
          </w:tcPr>
          <w:p w14:paraId="1E9EEC3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7A8C6AAB" w14:textId="77777777" w:rsidTr="0099524E">
        <w:tc>
          <w:tcPr>
            <w:tcW w:w="1433" w:type="dxa"/>
            <w:tcBorders>
              <w:top w:val="nil"/>
              <w:left w:val="nil"/>
              <w:bottom w:val="nil"/>
              <w:right w:val="nil"/>
            </w:tcBorders>
            <w:shd w:val="clear" w:color="auto" w:fill="auto"/>
            <w:noWrap/>
            <w:hideMark/>
          </w:tcPr>
          <w:p w14:paraId="6B67264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F357C4A"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1EE09C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3F9407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C2A680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E68042"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22D32D09"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1A736992"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58A5BB7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$2,923.23</w:t>
            </w:r>
          </w:p>
        </w:tc>
        <w:tc>
          <w:tcPr>
            <w:tcW w:w="1068" w:type="dxa"/>
            <w:tcBorders>
              <w:top w:val="nil"/>
              <w:left w:val="nil"/>
              <w:bottom w:val="nil"/>
              <w:right w:val="nil"/>
            </w:tcBorders>
            <w:shd w:val="clear" w:color="auto" w:fill="auto"/>
            <w:noWrap/>
            <w:hideMark/>
          </w:tcPr>
          <w:p w14:paraId="69158B4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0720ACBB" w14:textId="77777777" w:rsidTr="0099524E">
        <w:tc>
          <w:tcPr>
            <w:tcW w:w="1433" w:type="dxa"/>
            <w:tcBorders>
              <w:top w:val="nil"/>
              <w:left w:val="nil"/>
              <w:bottom w:val="nil"/>
              <w:right w:val="nil"/>
            </w:tcBorders>
            <w:shd w:val="clear" w:color="auto" w:fill="auto"/>
            <w:noWrap/>
            <w:hideMark/>
          </w:tcPr>
          <w:p w14:paraId="77E5207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C1ABF0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19206FD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C6FCA07"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09649W</w:t>
            </w:r>
          </w:p>
        </w:tc>
        <w:tc>
          <w:tcPr>
            <w:tcW w:w="5669" w:type="dxa"/>
            <w:tcBorders>
              <w:top w:val="nil"/>
              <w:left w:val="nil"/>
              <w:bottom w:val="nil"/>
              <w:right w:val="nil"/>
            </w:tcBorders>
            <w:shd w:val="clear" w:color="auto" w:fill="auto"/>
            <w:noWrap/>
            <w:hideMark/>
          </w:tcPr>
          <w:p w14:paraId="37A61B2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10 mg</w:t>
            </w:r>
          </w:p>
        </w:tc>
        <w:tc>
          <w:tcPr>
            <w:tcW w:w="850" w:type="dxa"/>
            <w:tcBorders>
              <w:top w:val="nil"/>
              <w:left w:val="nil"/>
              <w:bottom w:val="nil"/>
              <w:right w:val="nil"/>
            </w:tcBorders>
            <w:shd w:val="clear" w:color="auto" w:fill="auto"/>
            <w:noWrap/>
            <w:hideMark/>
          </w:tcPr>
          <w:p w14:paraId="7A6B7762"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07CFE5D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4DB1FB1E"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3FFB91B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31117E2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1/12/2009</w:t>
            </w:r>
          </w:p>
        </w:tc>
      </w:tr>
      <w:tr w:rsidR="00262CEB" w:rsidRPr="0013601B" w14:paraId="01070BC4" w14:textId="77777777" w:rsidTr="0099524E">
        <w:tc>
          <w:tcPr>
            <w:tcW w:w="1433" w:type="dxa"/>
            <w:tcBorders>
              <w:top w:val="nil"/>
              <w:left w:val="nil"/>
              <w:bottom w:val="nil"/>
              <w:right w:val="nil"/>
            </w:tcBorders>
            <w:shd w:val="clear" w:color="auto" w:fill="auto"/>
            <w:noWrap/>
            <w:hideMark/>
          </w:tcPr>
          <w:p w14:paraId="0B8F3543"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FFB0F14"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D7E2D8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5CA5AE3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B1A79A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BAFD67"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1D980F31"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6D8B9C2C"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1FF327D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$4,081.42</w:t>
            </w:r>
          </w:p>
        </w:tc>
        <w:tc>
          <w:tcPr>
            <w:tcW w:w="1068" w:type="dxa"/>
            <w:tcBorders>
              <w:top w:val="nil"/>
              <w:left w:val="nil"/>
              <w:bottom w:val="nil"/>
              <w:right w:val="nil"/>
            </w:tcBorders>
            <w:shd w:val="clear" w:color="auto" w:fill="auto"/>
            <w:noWrap/>
            <w:hideMark/>
          </w:tcPr>
          <w:p w14:paraId="4E4D281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0AD39465" w14:textId="77777777" w:rsidTr="0099524E">
        <w:tc>
          <w:tcPr>
            <w:tcW w:w="1433" w:type="dxa"/>
            <w:tcBorders>
              <w:top w:val="nil"/>
              <w:left w:val="nil"/>
              <w:bottom w:val="nil"/>
              <w:right w:val="nil"/>
            </w:tcBorders>
            <w:shd w:val="clear" w:color="auto" w:fill="auto"/>
            <w:noWrap/>
            <w:hideMark/>
          </w:tcPr>
          <w:p w14:paraId="065B0DC9"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E2C989B"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FE76DA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C677591"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8160ED9"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446623"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80F153F"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55AEE522"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1991BA0"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$4,081.52</w:t>
            </w:r>
          </w:p>
        </w:tc>
        <w:tc>
          <w:tcPr>
            <w:tcW w:w="1068" w:type="dxa"/>
            <w:tcBorders>
              <w:top w:val="nil"/>
              <w:left w:val="nil"/>
              <w:bottom w:val="nil"/>
              <w:right w:val="nil"/>
            </w:tcBorders>
            <w:shd w:val="clear" w:color="auto" w:fill="auto"/>
            <w:noWrap/>
            <w:hideMark/>
          </w:tcPr>
          <w:p w14:paraId="59C58D89"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7A4C7AB3" w14:textId="77777777" w:rsidTr="0099524E">
        <w:tc>
          <w:tcPr>
            <w:tcW w:w="1433" w:type="dxa"/>
            <w:tcBorders>
              <w:top w:val="nil"/>
              <w:left w:val="nil"/>
              <w:bottom w:val="nil"/>
              <w:right w:val="nil"/>
            </w:tcBorders>
            <w:shd w:val="clear" w:color="auto" w:fill="auto"/>
            <w:noWrap/>
            <w:hideMark/>
          </w:tcPr>
          <w:p w14:paraId="71F08F13"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34ADC86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9EF1FD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5A4786E"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01ACF632"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36D94A8"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DECEF96"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5B03652"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54209FC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$4,081.63</w:t>
            </w:r>
          </w:p>
        </w:tc>
        <w:tc>
          <w:tcPr>
            <w:tcW w:w="1068" w:type="dxa"/>
            <w:tcBorders>
              <w:top w:val="nil"/>
              <w:left w:val="nil"/>
              <w:bottom w:val="nil"/>
              <w:right w:val="nil"/>
            </w:tcBorders>
            <w:shd w:val="clear" w:color="auto" w:fill="auto"/>
            <w:noWrap/>
            <w:hideMark/>
          </w:tcPr>
          <w:p w14:paraId="029DC99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57E5046D" w14:textId="77777777" w:rsidTr="0099524E">
        <w:tc>
          <w:tcPr>
            <w:tcW w:w="1433" w:type="dxa"/>
            <w:tcBorders>
              <w:top w:val="nil"/>
              <w:left w:val="nil"/>
              <w:bottom w:val="nil"/>
              <w:right w:val="nil"/>
            </w:tcBorders>
            <w:shd w:val="clear" w:color="auto" w:fill="auto"/>
            <w:noWrap/>
            <w:hideMark/>
          </w:tcPr>
          <w:p w14:paraId="630C301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59DFE47"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930E9C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4850DB2"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F6B4B7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23BF4D8"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412CD4AA"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6FE7618F"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1A96A90E"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$2,923.10</w:t>
            </w:r>
          </w:p>
        </w:tc>
        <w:tc>
          <w:tcPr>
            <w:tcW w:w="1068" w:type="dxa"/>
            <w:tcBorders>
              <w:top w:val="nil"/>
              <w:left w:val="nil"/>
              <w:bottom w:val="nil"/>
              <w:right w:val="nil"/>
            </w:tcBorders>
            <w:shd w:val="clear" w:color="auto" w:fill="auto"/>
            <w:noWrap/>
            <w:hideMark/>
          </w:tcPr>
          <w:p w14:paraId="20E04C8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5D3819F2" w14:textId="77777777" w:rsidTr="0099524E">
        <w:tc>
          <w:tcPr>
            <w:tcW w:w="1433" w:type="dxa"/>
            <w:tcBorders>
              <w:top w:val="nil"/>
              <w:left w:val="nil"/>
              <w:bottom w:val="nil"/>
              <w:right w:val="nil"/>
            </w:tcBorders>
            <w:shd w:val="clear" w:color="auto" w:fill="auto"/>
            <w:noWrap/>
            <w:hideMark/>
          </w:tcPr>
          <w:p w14:paraId="07E7AF94"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E477C68"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77C9218"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0FDADA4"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EFB16EA"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AADA8A"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328EA2B5"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504CF4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4490F75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$2,923.23</w:t>
            </w:r>
          </w:p>
        </w:tc>
        <w:tc>
          <w:tcPr>
            <w:tcW w:w="1068" w:type="dxa"/>
            <w:tcBorders>
              <w:top w:val="nil"/>
              <w:left w:val="nil"/>
              <w:bottom w:val="nil"/>
              <w:right w:val="nil"/>
            </w:tcBorders>
            <w:shd w:val="clear" w:color="auto" w:fill="auto"/>
            <w:noWrap/>
            <w:hideMark/>
          </w:tcPr>
          <w:p w14:paraId="086D1E82"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2CA49D3B" w14:textId="77777777" w:rsidTr="0099524E">
        <w:tc>
          <w:tcPr>
            <w:tcW w:w="1433" w:type="dxa"/>
            <w:tcBorders>
              <w:top w:val="nil"/>
              <w:left w:val="nil"/>
              <w:bottom w:val="nil"/>
              <w:right w:val="nil"/>
            </w:tcBorders>
            <w:shd w:val="clear" w:color="auto" w:fill="auto"/>
            <w:noWrap/>
            <w:hideMark/>
          </w:tcPr>
          <w:p w14:paraId="4C48460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BB2A68D"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5FAC314F"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6BEC857A"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05607D</w:t>
            </w:r>
          </w:p>
        </w:tc>
        <w:tc>
          <w:tcPr>
            <w:tcW w:w="5669" w:type="dxa"/>
            <w:tcBorders>
              <w:top w:val="nil"/>
              <w:left w:val="nil"/>
              <w:bottom w:val="nil"/>
              <w:right w:val="nil"/>
            </w:tcBorders>
            <w:shd w:val="clear" w:color="auto" w:fill="auto"/>
            <w:noWrap/>
            <w:hideMark/>
          </w:tcPr>
          <w:p w14:paraId="6BC99B18"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5 mg</w:t>
            </w:r>
          </w:p>
        </w:tc>
        <w:tc>
          <w:tcPr>
            <w:tcW w:w="850" w:type="dxa"/>
            <w:tcBorders>
              <w:top w:val="nil"/>
              <w:left w:val="nil"/>
              <w:bottom w:val="nil"/>
              <w:right w:val="nil"/>
            </w:tcBorders>
            <w:shd w:val="clear" w:color="auto" w:fill="auto"/>
            <w:noWrap/>
            <w:hideMark/>
          </w:tcPr>
          <w:p w14:paraId="304FD8A3"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0236B4DE"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07C55F5A"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39E7A3B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0681624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89890BC" w14:textId="77777777" w:rsidTr="0099524E">
        <w:tc>
          <w:tcPr>
            <w:tcW w:w="1433" w:type="dxa"/>
            <w:tcBorders>
              <w:top w:val="nil"/>
              <w:left w:val="nil"/>
              <w:bottom w:val="nil"/>
              <w:right w:val="nil"/>
            </w:tcBorders>
            <w:shd w:val="clear" w:color="auto" w:fill="auto"/>
            <w:noWrap/>
            <w:hideMark/>
          </w:tcPr>
          <w:p w14:paraId="4230ACF0"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067381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2E0DB4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749CAE0"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24F8CC2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7BD4A76"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33DE7D97"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7984D2E8"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79C124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$2,876.47</w:t>
            </w:r>
          </w:p>
        </w:tc>
        <w:tc>
          <w:tcPr>
            <w:tcW w:w="1068" w:type="dxa"/>
            <w:tcBorders>
              <w:top w:val="nil"/>
              <w:left w:val="nil"/>
              <w:bottom w:val="nil"/>
              <w:right w:val="nil"/>
            </w:tcBorders>
            <w:shd w:val="clear" w:color="auto" w:fill="auto"/>
            <w:noWrap/>
            <w:hideMark/>
          </w:tcPr>
          <w:p w14:paraId="3977162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6854421B" w14:textId="77777777" w:rsidTr="0099524E">
        <w:tc>
          <w:tcPr>
            <w:tcW w:w="1433" w:type="dxa"/>
            <w:tcBorders>
              <w:top w:val="nil"/>
              <w:left w:val="nil"/>
              <w:bottom w:val="nil"/>
              <w:right w:val="nil"/>
            </w:tcBorders>
            <w:shd w:val="clear" w:color="auto" w:fill="auto"/>
            <w:noWrap/>
            <w:hideMark/>
          </w:tcPr>
          <w:p w14:paraId="7FF53E3B"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7E6157A3"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776C124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807318D"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05608E</w:t>
            </w:r>
          </w:p>
        </w:tc>
        <w:tc>
          <w:tcPr>
            <w:tcW w:w="5669" w:type="dxa"/>
            <w:tcBorders>
              <w:top w:val="nil"/>
              <w:left w:val="nil"/>
              <w:bottom w:val="nil"/>
              <w:right w:val="nil"/>
            </w:tcBorders>
            <w:shd w:val="clear" w:color="auto" w:fill="auto"/>
            <w:noWrap/>
            <w:hideMark/>
          </w:tcPr>
          <w:p w14:paraId="1704A167"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10 mg</w:t>
            </w:r>
          </w:p>
        </w:tc>
        <w:tc>
          <w:tcPr>
            <w:tcW w:w="850" w:type="dxa"/>
            <w:tcBorders>
              <w:top w:val="nil"/>
              <w:left w:val="nil"/>
              <w:bottom w:val="nil"/>
              <w:right w:val="nil"/>
            </w:tcBorders>
            <w:shd w:val="clear" w:color="auto" w:fill="auto"/>
            <w:noWrap/>
            <w:hideMark/>
          </w:tcPr>
          <w:p w14:paraId="27B0A238"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3E4C01DB"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04EFFB4A"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0587F95D"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$4,035.00</w:t>
            </w:r>
          </w:p>
        </w:tc>
        <w:tc>
          <w:tcPr>
            <w:tcW w:w="1068" w:type="dxa"/>
            <w:tcBorders>
              <w:top w:val="nil"/>
              <w:left w:val="nil"/>
              <w:bottom w:val="nil"/>
              <w:right w:val="nil"/>
            </w:tcBorders>
            <w:shd w:val="clear" w:color="auto" w:fill="auto"/>
            <w:noWrap/>
            <w:hideMark/>
          </w:tcPr>
          <w:p w14:paraId="4C76101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1/07/2010</w:t>
            </w:r>
          </w:p>
        </w:tc>
      </w:tr>
      <w:tr w:rsidR="00262CEB" w:rsidRPr="0013601B" w14:paraId="24ACB731" w14:textId="77777777" w:rsidTr="0099524E">
        <w:tc>
          <w:tcPr>
            <w:tcW w:w="1433" w:type="dxa"/>
            <w:tcBorders>
              <w:top w:val="nil"/>
              <w:left w:val="nil"/>
              <w:bottom w:val="single" w:sz="4" w:space="0" w:color="95B3D7"/>
              <w:right w:val="nil"/>
            </w:tcBorders>
            <w:shd w:val="clear" w:color="auto" w:fill="auto"/>
            <w:noWrap/>
            <w:hideMark/>
          </w:tcPr>
          <w:p w14:paraId="0378FA67"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32AE6CE"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2FE55F2E"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0D81223C"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2E0B05F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7F03748"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585B699"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05BAE593"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6E05F1A5"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$2,876.47</w:t>
            </w:r>
          </w:p>
        </w:tc>
        <w:tc>
          <w:tcPr>
            <w:tcW w:w="1068" w:type="dxa"/>
            <w:tcBorders>
              <w:top w:val="nil"/>
              <w:left w:val="nil"/>
              <w:bottom w:val="nil"/>
              <w:right w:val="nil"/>
            </w:tcBorders>
            <w:shd w:val="clear" w:color="auto" w:fill="auto"/>
            <w:noWrap/>
            <w:hideMark/>
          </w:tcPr>
          <w:p w14:paraId="75143E73"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1/08/2013</w:t>
            </w:r>
          </w:p>
        </w:tc>
      </w:tr>
      <w:tr w:rsidR="00262CEB" w:rsidRPr="0013601B" w14:paraId="231CB927" w14:textId="77777777" w:rsidTr="0099524E">
        <w:tc>
          <w:tcPr>
            <w:tcW w:w="1433" w:type="dxa"/>
            <w:tcBorders>
              <w:top w:val="nil"/>
              <w:left w:val="nil"/>
              <w:bottom w:val="nil"/>
              <w:right w:val="nil"/>
            </w:tcBorders>
            <w:shd w:val="clear" w:color="auto" w:fill="auto"/>
            <w:noWrap/>
            <w:hideMark/>
          </w:tcPr>
          <w:p w14:paraId="10FC9E8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TADALAFIL</w:t>
            </w:r>
          </w:p>
        </w:tc>
        <w:tc>
          <w:tcPr>
            <w:tcW w:w="992" w:type="dxa"/>
            <w:tcBorders>
              <w:top w:val="nil"/>
              <w:left w:val="nil"/>
              <w:bottom w:val="nil"/>
              <w:right w:val="nil"/>
            </w:tcBorders>
            <w:shd w:val="clear" w:color="auto" w:fill="auto"/>
            <w:noWrap/>
            <w:hideMark/>
          </w:tcPr>
          <w:p w14:paraId="465B799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Adcirca</w:t>
            </w:r>
          </w:p>
        </w:tc>
        <w:tc>
          <w:tcPr>
            <w:tcW w:w="851" w:type="dxa"/>
            <w:tcBorders>
              <w:top w:val="nil"/>
              <w:left w:val="nil"/>
              <w:bottom w:val="nil"/>
              <w:right w:val="nil"/>
            </w:tcBorders>
            <w:shd w:val="clear" w:color="auto" w:fill="auto"/>
            <w:noWrap/>
            <w:hideMark/>
          </w:tcPr>
          <w:p w14:paraId="3E536A32"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211DD4AF"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01304P</w:t>
            </w:r>
          </w:p>
        </w:tc>
        <w:tc>
          <w:tcPr>
            <w:tcW w:w="5669" w:type="dxa"/>
            <w:tcBorders>
              <w:top w:val="nil"/>
              <w:left w:val="nil"/>
              <w:bottom w:val="nil"/>
              <w:right w:val="nil"/>
            </w:tcBorders>
            <w:shd w:val="clear" w:color="auto" w:fill="auto"/>
            <w:noWrap/>
            <w:hideMark/>
          </w:tcPr>
          <w:p w14:paraId="10751338"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w:t>
            </w:r>
          </w:p>
        </w:tc>
        <w:tc>
          <w:tcPr>
            <w:tcW w:w="850" w:type="dxa"/>
            <w:tcBorders>
              <w:top w:val="nil"/>
              <w:left w:val="nil"/>
              <w:bottom w:val="nil"/>
              <w:right w:val="nil"/>
            </w:tcBorders>
            <w:shd w:val="clear" w:color="auto" w:fill="auto"/>
            <w:noWrap/>
            <w:hideMark/>
          </w:tcPr>
          <w:p w14:paraId="766F166B"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56</w:t>
            </w:r>
          </w:p>
        </w:tc>
        <w:tc>
          <w:tcPr>
            <w:tcW w:w="851" w:type="dxa"/>
            <w:tcBorders>
              <w:top w:val="nil"/>
              <w:left w:val="nil"/>
              <w:bottom w:val="nil"/>
              <w:right w:val="nil"/>
            </w:tcBorders>
            <w:shd w:val="clear" w:color="auto" w:fill="auto"/>
            <w:noWrap/>
            <w:hideMark/>
          </w:tcPr>
          <w:p w14:paraId="1EBC073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56</w:t>
            </w:r>
          </w:p>
        </w:tc>
        <w:tc>
          <w:tcPr>
            <w:tcW w:w="1020" w:type="dxa"/>
            <w:tcBorders>
              <w:top w:val="nil"/>
              <w:left w:val="nil"/>
              <w:bottom w:val="nil"/>
              <w:right w:val="nil"/>
            </w:tcBorders>
            <w:shd w:val="clear" w:color="auto" w:fill="auto"/>
            <w:noWrap/>
            <w:hideMark/>
          </w:tcPr>
          <w:p w14:paraId="2E6DF564"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4B6BD57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$878.49</w:t>
            </w:r>
          </w:p>
        </w:tc>
        <w:tc>
          <w:tcPr>
            <w:tcW w:w="1068" w:type="dxa"/>
            <w:tcBorders>
              <w:top w:val="nil"/>
              <w:left w:val="nil"/>
              <w:bottom w:val="nil"/>
              <w:right w:val="nil"/>
            </w:tcBorders>
            <w:shd w:val="clear" w:color="auto" w:fill="auto"/>
            <w:noWrap/>
            <w:hideMark/>
          </w:tcPr>
          <w:p w14:paraId="02E84145"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1/04/2012</w:t>
            </w:r>
          </w:p>
        </w:tc>
      </w:tr>
      <w:tr w:rsidR="00262CEB" w:rsidRPr="0013601B" w14:paraId="00FB777C" w14:textId="77777777" w:rsidTr="0099524E">
        <w:tc>
          <w:tcPr>
            <w:tcW w:w="1433" w:type="dxa"/>
            <w:tcBorders>
              <w:top w:val="nil"/>
              <w:left w:val="nil"/>
              <w:bottom w:val="nil"/>
              <w:right w:val="nil"/>
            </w:tcBorders>
            <w:shd w:val="clear" w:color="auto" w:fill="auto"/>
            <w:noWrap/>
            <w:hideMark/>
          </w:tcPr>
          <w:p w14:paraId="1FF7D2C8"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015E0353"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0EB23144"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518B453"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7FCAC973"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219F3B96"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74BDB83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2D51F8B1"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3CBE73CB"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$878.59</w:t>
            </w:r>
          </w:p>
        </w:tc>
        <w:tc>
          <w:tcPr>
            <w:tcW w:w="1068" w:type="dxa"/>
            <w:tcBorders>
              <w:top w:val="nil"/>
              <w:left w:val="nil"/>
              <w:bottom w:val="nil"/>
              <w:right w:val="nil"/>
            </w:tcBorders>
            <w:shd w:val="clear" w:color="auto" w:fill="auto"/>
            <w:noWrap/>
            <w:hideMark/>
          </w:tcPr>
          <w:p w14:paraId="716D1640"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1/07/2012</w:t>
            </w:r>
          </w:p>
        </w:tc>
      </w:tr>
      <w:tr w:rsidR="00262CEB" w:rsidRPr="0013601B" w14:paraId="55C56A48" w14:textId="77777777" w:rsidTr="0099524E">
        <w:tc>
          <w:tcPr>
            <w:tcW w:w="1433" w:type="dxa"/>
            <w:tcBorders>
              <w:top w:val="nil"/>
              <w:left w:val="nil"/>
              <w:bottom w:val="nil"/>
              <w:right w:val="nil"/>
            </w:tcBorders>
            <w:shd w:val="clear" w:color="auto" w:fill="auto"/>
            <w:noWrap/>
            <w:hideMark/>
          </w:tcPr>
          <w:p w14:paraId="4A23889E"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503CF48F"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D7EEB1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190E9739"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5FCC1775"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33ACD4B9"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0869824B"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52B83CDB"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01036D9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$878.70</w:t>
            </w:r>
          </w:p>
        </w:tc>
        <w:tc>
          <w:tcPr>
            <w:tcW w:w="1068" w:type="dxa"/>
            <w:tcBorders>
              <w:top w:val="nil"/>
              <w:left w:val="nil"/>
              <w:bottom w:val="nil"/>
              <w:right w:val="nil"/>
            </w:tcBorders>
            <w:shd w:val="clear" w:color="auto" w:fill="auto"/>
            <w:noWrap/>
            <w:hideMark/>
          </w:tcPr>
          <w:p w14:paraId="7B8FC6A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1/07/2013</w:t>
            </w:r>
          </w:p>
        </w:tc>
      </w:tr>
      <w:tr w:rsidR="00262CEB" w:rsidRPr="0013601B" w14:paraId="594B2FF7" w14:textId="77777777" w:rsidTr="0099524E">
        <w:tc>
          <w:tcPr>
            <w:tcW w:w="1433" w:type="dxa"/>
            <w:tcBorders>
              <w:top w:val="nil"/>
              <w:left w:val="nil"/>
              <w:bottom w:val="nil"/>
              <w:right w:val="nil"/>
            </w:tcBorders>
            <w:shd w:val="clear" w:color="auto" w:fill="auto"/>
            <w:noWrap/>
            <w:hideMark/>
          </w:tcPr>
          <w:p w14:paraId="118B419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265F49B8"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309BDCDB"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66747C32" w14:textId="77777777" w:rsidR="00262CEB" w:rsidRPr="0013601B" w:rsidRDefault="00262CEB" w:rsidP="0099524E">
            <w:pPr>
              <w:spacing w:after="0"/>
              <w:rPr>
                <w:rFonts w:eastAsia="Times New Roman" w:cs="Times New Roman"/>
                <w:b/>
                <w:bCs/>
                <w:color w:val="000000"/>
                <w:sz w:val="18"/>
                <w:szCs w:val="18"/>
              </w:rPr>
            </w:pPr>
          </w:p>
        </w:tc>
        <w:tc>
          <w:tcPr>
            <w:tcW w:w="5669" w:type="dxa"/>
            <w:tcBorders>
              <w:top w:val="nil"/>
              <w:left w:val="nil"/>
              <w:bottom w:val="nil"/>
              <w:right w:val="nil"/>
            </w:tcBorders>
            <w:shd w:val="clear" w:color="auto" w:fill="auto"/>
            <w:noWrap/>
            <w:hideMark/>
          </w:tcPr>
          <w:p w14:paraId="1DCD84AD" w14:textId="77777777" w:rsidR="00262CEB" w:rsidRPr="0013601B" w:rsidRDefault="00262CEB" w:rsidP="0099524E">
            <w:pPr>
              <w:spacing w:after="0"/>
              <w:rPr>
                <w:rFonts w:eastAsia="Times New Roman" w:cs="Times New Roman"/>
                <w:sz w:val="18"/>
                <w:szCs w:val="18"/>
              </w:rPr>
            </w:pPr>
          </w:p>
        </w:tc>
        <w:tc>
          <w:tcPr>
            <w:tcW w:w="850" w:type="dxa"/>
            <w:tcBorders>
              <w:top w:val="nil"/>
              <w:left w:val="nil"/>
              <w:bottom w:val="nil"/>
              <w:right w:val="nil"/>
            </w:tcBorders>
            <w:shd w:val="clear" w:color="auto" w:fill="auto"/>
            <w:noWrap/>
            <w:hideMark/>
          </w:tcPr>
          <w:p w14:paraId="706793A5" w14:textId="77777777" w:rsidR="00262CEB" w:rsidRPr="00201710" w:rsidRDefault="00262CEB" w:rsidP="0099524E">
            <w:pPr>
              <w:spacing w:after="0"/>
              <w:jc w:val="center"/>
              <w:rPr>
                <w:rFonts w:eastAsia="Times New Roman" w:cs="Times New Roman"/>
                <w:bCs/>
                <w:color w:val="000000"/>
                <w:sz w:val="18"/>
                <w:szCs w:val="18"/>
              </w:rPr>
            </w:pPr>
          </w:p>
        </w:tc>
        <w:tc>
          <w:tcPr>
            <w:tcW w:w="851" w:type="dxa"/>
            <w:tcBorders>
              <w:top w:val="nil"/>
              <w:left w:val="nil"/>
              <w:bottom w:val="nil"/>
              <w:right w:val="nil"/>
            </w:tcBorders>
            <w:shd w:val="clear" w:color="auto" w:fill="auto"/>
            <w:noWrap/>
            <w:hideMark/>
          </w:tcPr>
          <w:p w14:paraId="509826FD" w14:textId="77777777" w:rsidR="00262CEB" w:rsidRPr="00201710" w:rsidRDefault="00262CEB" w:rsidP="0099524E">
            <w:pPr>
              <w:spacing w:after="0"/>
              <w:jc w:val="center"/>
              <w:rPr>
                <w:rFonts w:eastAsia="Times New Roman" w:cs="Times New Roman"/>
                <w:sz w:val="18"/>
                <w:szCs w:val="18"/>
              </w:rPr>
            </w:pPr>
          </w:p>
        </w:tc>
        <w:tc>
          <w:tcPr>
            <w:tcW w:w="1020" w:type="dxa"/>
            <w:tcBorders>
              <w:top w:val="nil"/>
              <w:left w:val="nil"/>
              <w:bottom w:val="nil"/>
              <w:right w:val="nil"/>
            </w:tcBorders>
            <w:shd w:val="clear" w:color="auto" w:fill="auto"/>
            <w:noWrap/>
            <w:hideMark/>
          </w:tcPr>
          <w:p w14:paraId="781C9019" w14:textId="77777777" w:rsidR="00262CEB" w:rsidRPr="00201710" w:rsidRDefault="00262CEB" w:rsidP="0099524E">
            <w:pPr>
              <w:spacing w:after="0"/>
              <w:jc w:val="center"/>
              <w:rPr>
                <w:rFonts w:eastAsia="Times New Roman" w:cs="Times New Roman"/>
                <w:bCs/>
                <w:color w:val="000000"/>
                <w:sz w:val="18"/>
                <w:szCs w:val="18"/>
              </w:rPr>
            </w:pPr>
          </w:p>
        </w:tc>
        <w:tc>
          <w:tcPr>
            <w:tcW w:w="1077" w:type="dxa"/>
            <w:tcBorders>
              <w:top w:val="nil"/>
              <w:left w:val="nil"/>
              <w:bottom w:val="nil"/>
              <w:right w:val="nil"/>
            </w:tcBorders>
            <w:shd w:val="clear" w:color="auto" w:fill="auto"/>
            <w:noWrap/>
            <w:hideMark/>
          </w:tcPr>
          <w:p w14:paraId="7AD10744"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$878.83</w:t>
            </w:r>
          </w:p>
        </w:tc>
        <w:tc>
          <w:tcPr>
            <w:tcW w:w="1068" w:type="dxa"/>
            <w:tcBorders>
              <w:top w:val="nil"/>
              <w:left w:val="nil"/>
              <w:bottom w:val="nil"/>
              <w:right w:val="nil"/>
            </w:tcBorders>
            <w:shd w:val="clear" w:color="auto" w:fill="auto"/>
            <w:noWrap/>
            <w:hideMark/>
          </w:tcPr>
          <w:p w14:paraId="4010A308"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1/07/2014</w:t>
            </w:r>
          </w:p>
        </w:tc>
      </w:tr>
      <w:tr w:rsidR="00262CEB" w:rsidRPr="0013601B" w14:paraId="27BD6917" w14:textId="77777777" w:rsidTr="0099524E">
        <w:tc>
          <w:tcPr>
            <w:tcW w:w="1433" w:type="dxa"/>
            <w:tcBorders>
              <w:top w:val="nil"/>
              <w:left w:val="nil"/>
              <w:bottom w:val="single" w:sz="4" w:space="0" w:color="95B3D7"/>
              <w:right w:val="nil"/>
            </w:tcBorders>
            <w:shd w:val="clear" w:color="auto" w:fill="auto"/>
            <w:noWrap/>
            <w:hideMark/>
          </w:tcPr>
          <w:p w14:paraId="347BEA34"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10D48DB5"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454D10CD"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388A5D38"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01308W</w:t>
            </w:r>
          </w:p>
        </w:tc>
        <w:tc>
          <w:tcPr>
            <w:tcW w:w="5669" w:type="dxa"/>
            <w:tcBorders>
              <w:top w:val="nil"/>
              <w:left w:val="nil"/>
              <w:bottom w:val="nil"/>
              <w:right w:val="nil"/>
            </w:tcBorders>
            <w:shd w:val="clear" w:color="auto" w:fill="auto"/>
            <w:noWrap/>
            <w:hideMark/>
          </w:tcPr>
          <w:p w14:paraId="2F26F188"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20 mg</w:t>
            </w:r>
          </w:p>
        </w:tc>
        <w:tc>
          <w:tcPr>
            <w:tcW w:w="850" w:type="dxa"/>
            <w:tcBorders>
              <w:top w:val="nil"/>
              <w:left w:val="nil"/>
              <w:bottom w:val="nil"/>
              <w:right w:val="nil"/>
            </w:tcBorders>
            <w:shd w:val="clear" w:color="auto" w:fill="auto"/>
            <w:noWrap/>
            <w:hideMark/>
          </w:tcPr>
          <w:p w14:paraId="040CAD2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56</w:t>
            </w:r>
          </w:p>
        </w:tc>
        <w:tc>
          <w:tcPr>
            <w:tcW w:w="851" w:type="dxa"/>
            <w:tcBorders>
              <w:top w:val="nil"/>
              <w:left w:val="nil"/>
              <w:bottom w:val="nil"/>
              <w:right w:val="nil"/>
            </w:tcBorders>
            <w:shd w:val="clear" w:color="auto" w:fill="auto"/>
            <w:noWrap/>
            <w:hideMark/>
          </w:tcPr>
          <w:p w14:paraId="755A595F"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56</w:t>
            </w:r>
          </w:p>
        </w:tc>
        <w:tc>
          <w:tcPr>
            <w:tcW w:w="1020" w:type="dxa"/>
            <w:tcBorders>
              <w:top w:val="nil"/>
              <w:left w:val="nil"/>
              <w:bottom w:val="nil"/>
              <w:right w:val="nil"/>
            </w:tcBorders>
            <w:shd w:val="clear" w:color="auto" w:fill="auto"/>
            <w:noWrap/>
            <w:hideMark/>
          </w:tcPr>
          <w:p w14:paraId="26238CEC"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3CE1F381"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$838.53</w:t>
            </w:r>
          </w:p>
        </w:tc>
        <w:tc>
          <w:tcPr>
            <w:tcW w:w="1068" w:type="dxa"/>
            <w:tcBorders>
              <w:top w:val="nil"/>
              <w:left w:val="nil"/>
              <w:bottom w:val="nil"/>
              <w:right w:val="nil"/>
            </w:tcBorders>
            <w:shd w:val="clear" w:color="auto" w:fill="auto"/>
            <w:noWrap/>
            <w:hideMark/>
          </w:tcPr>
          <w:p w14:paraId="4347776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1/04/2012</w:t>
            </w:r>
          </w:p>
        </w:tc>
      </w:tr>
      <w:tr w:rsidR="00262CEB" w:rsidRPr="0013601B" w14:paraId="17072533" w14:textId="77777777" w:rsidTr="0099524E">
        <w:tc>
          <w:tcPr>
            <w:tcW w:w="1433" w:type="dxa"/>
            <w:tcBorders>
              <w:top w:val="nil"/>
              <w:left w:val="nil"/>
              <w:bottom w:val="nil"/>
              <w:right w:val="nil"/>
            </w:tcBorders>
            <w:shd w:val="clear" w:color="auto" w:fill="auto"/>
            <w:noWrap/>
            <w:hideMark/>
          </w:tcPr>
          <w:p w14:paraId="28755EB0"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MACITENTAN</w:t>
            </w:r>
          </w:p>
        </w:tc>
        <w:tc>
          <w:tcPr>
            <w:tcW w:w="992" w:type="dxa"/>
            <w:tcBorders>
              <w:top w:val="nil"/>
              <w:left w:val="nil"/>
              <w:bottom w:val="nil"/>
              <w:right w:val="nil"/>
            </w:tcBorders>
            <w:shd w:val="clear" w:color="auto" w:fill="auto"/>
            <w:noWrap/>
            <w:hideMark/>
          </w:tcPr>
          <w:p w14:paraId="39BE5CC8"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Opsumit</w:t>
            </w:r>
          </w:p>
        </w:tc>
        <w:tc>
          <w:tcPr>
            <w:tcW w:w="851" w:type="dxa"/>
            <w:tcBorders>
              <w:top w:val="nil"/>
              <w:left w:val="nil"/>
              <w:bottom w:val="nil"/>
              <w:right w:val="nil"/>
            </w:tcBorders>
            <w:shd w:val="clear" w:color="auto" w:fill="auto"/>
            <w:noWrap/>
            <w:hideMark/>
          </w:tcPr>
          <w:p w14:paraId="56FA2C23"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Private</w:t>
            </w:r>
          </w:p>
        </w:tc>
        <w:tc>
          <w:tcPr>
            <w:tcW w:w="850" w:type="dxa"/>
            <w:tcBorders>
              <w:top w:val="nil"/>
              <w:left w:val="nil"/>
              <w:bottom w:val="nil"/>
              <w:right w:val="nil"/>
            </w:tcBorders>
            <w:shd w:val="clear" w:color="auto" w:fill="auto"/>
            <w:noWrap/>
            <w:hideMark/>
          </w:tcPr>
          <w:p w14:paraId="567C1F7E"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10134J</w:t>
            </w:r>
          </w:p>
        </w:tc>
        <w:tc>
          <w:tcPr>
            <w:tcW w:w="5669" w:type="dxa"/>
            <w:tcBorders>
              <w:top w:val="nil"/>
              <w:left w:val="nil"/>
              <w:bottom w:val="nil"/>
              <w:right w:val="nil"/>
            </w:tcBorders>
            <w:shd w:val="clear" w:color="auto" w:fill="auto"/>
            <w:noWrap/>
            <w:hideMark/>
          </w:tcPr>
          <w:p w14:paraId="72D10A60"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10 mg</w:t>
            </w:r>
          </w:p>
        </w:tc>
        <w:tc>
          <w:tcPr>
            <w:tcW w:w="850" w:type="dxa"/>
            <w:tcBorders>
              <w:top w:val="nil"/>
              <w:left w:val="nil"/>
              <w:bottom w:val="nil"/>
              <w:right w:val="nil"/>
            </w:tcBorders>
            <w:shd w:val="clear" w:color="auto" w:fill="auto"/>
            <w:noWrap/>
            <w:hideMark/>
          </w:tcPr>
          <w:p w14:paraId="5887EA67"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7138500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1863EC60"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4C6FD6B2"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$2,923.23</w:t>
            </w:r>
          </w:p>
        </w:tc>
        <w:tc>
          <w:tcPr>
            <w:tcW w:w="1068" w:type="dxa"/>
            <w:tcBorders>
              <w:top w:val="nil"/>
              <w:left w:val="nil"/>
              <w:bottom w:val="nil"/>
              <w:right w:val="nil"/>
            </w:tcBorders>
            <w:shd w:val="clear" w:color="auto" w:fill="auto"/>
            <w:noWrap/>
            <w:hideMark/>
          </w:tcPr>
          <w:p w14:paraId="798C50D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1/09/2014</w:t>
            </w:r>
          </w:p>
        </w:tc>
      </w:tr>
      <w:tr w:rsidR="00262CEB" w:rsidRPr="0013601B" w14:paraId="00EAA502" w14:textId="77777777" w:rsidTr="0099524E">
        <w:tc>
          <w:tcPr>
            <w:tcW w:w="1433" w:type="dxa"/>
            <w:tcBorders>
              <w:top w:val="nil"/>
              <w:left w:val="nil"/>
              <w:bottom w:val="single" w:sz="4" w:space="0" w:color="95B3D7"/>
              <w:right w:val="nil"/>
            </w:tcBorders>
            <w:shd w:val="clear" w:color="auto" w:fill="auto"/>
            <w:noWrap/>
            <w:hideMark/>
          </w:tcPr>
          <w:p w14:paraId="082AD332" w14:textId="77777777" w:rsidR="00262CEB" w:rsidRPr="0013601B" w:rsidRDefault="00262CEB" w:rsidP="0099524E">
            <w:pPr>
              <w:spacing w:after="0"/>
              <w:rPr>
                <w:rFonts w:eastAsia="Times New Roman" w:cs="Times New Roman"/>
                <w:b/>
                <w:bCs/>
                <w:color w:val="000000"/>
                <w:sz w:val="18"/>
                <w:szCs w:val="18"/>
              </w:rPr>
            </w:pPr>
          </w:p>
        </w:tc>
        <w:tc>
          <w:tcPr>
            <w:tcW w:w="992" w:type="dxa"/>
            <w:tcBorders>
              <w:top w:val="nil"/>
              <w:left w:val="nil"/>
              <w:bottom w:val="nil"/>
              <w:right w:val="nil"/>
            </w:tcBorders>
            <w:shd w:val="clear" w:color="auto" w:fill="auto"/>
            <w:noWrap/>
            <w:hideMark/>
          </w:tcPr>
          <w:p w14:paraId="6DF4EB72" w14:textId="77777777" w:rsidR="00262CEB" w:rsidRPr="0013601B" w:rsidRDefault="00262CEB" w:rsidP="0099524E">
            <w:pPr>
              <w:spacing w:after="0"/>
              <w:rPr>
                <w:rFonts w:eastAsia="Times New Roman" w:cs="Times New Roman"/>
                <w:b/>
                <w:bCs/>
                <w:color w:val="000000"/>
                <w:sz w:val="18"/>
                <w:szCs w:val="18"/>
              </w:rPr>
            </w:pPr>
          </w:p>
        </w:tc>
        <w:tc>
          <w:tcPr>
            <w:tcW w:w="851" w:type="dxa"/>
            <w:tcBorders>
              <w:top w:val="nil"/>
              <w:left w:val="nil"/>
              <w:bottom w:val="nil"/>
              <w:right w:val="nil"/>
            </w:tcBorders>
            <w:shd w:val="clear" w:color="auto" w:fill="auto"/>
            <w:noWrap/>
            <w:hideMark/>
          </w:tcPr>
          <w:p w14:paraId="67F95CC9"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Public</w:t>
            </w:r>
          </w:p>
        </w:tc>
        <w:tc>
          <w:tcPr>
            <w:tcW w:w="850" w:type="dxa"/>
            <w:tcBorders>
              <w:top w:val="nil"/>
              <w:left w:val="nil"/>
              <w:bottom w:val="nil"/>
              <w:right w:val="nil"/>
            </w:tcBorders>
            <w:shd w:val="clear" w:color="auto" w:fill="auto"/>
            <w:noWrap/>
            <w:hideMark/>
          </w:tcPr>
          <w:p w14:paraId="64698C45" w14:textId="77777777" w:rsidR="00262CEB" w:rsidRPr="0013601B" w:rsidRDefault="00262CEB" w:rsidP="0099524E">
            <w:pPr>
              <w:spacing w:after="0"/>
              <w:rPr>
                <w:rFonts w:eastAsia="Times New Roman" w:cs="Times New Roman"/>
                <w:b/>
                <w:bCs/>
                <w:color w:val="000000"/>
                <w:sz w:val="18"/>
                <w:szCs w:val="18"/>
              </w:rPr>
            </w:pPr>
            <w:r w:rsidRPr="0013601B">
              <w:rPr>
                <w:rFonts w:eastAsia="Times New Roman" w:cs="Times New Roman"/>
                <w:b/>
                <w:bCs/>
                <w:color w:val="000000"/>
                <w:sz w:val="18"/>
                <w:szCs w:val="18"/>
              </w:rPr>
              <w:t>10136L</w:t>
            </w:r>
          </w:p>
        </w:tc>
        <w:tc>
          <w:tcPr>
            <w:tcW w:w="5669" w:type="dxa"/>
            <w:tcBorders>
              <w:top w:val="nil"/>
              <w:left w:val="nil"/>
              <w:bottom w:val="nil"/>
              <w:right w:val="nil"/>
            </w:tcBorders>
            <w:shd w:val="clear" w:color="auto" w:fill="auto"/>
            <w:noWrap/>
            <w:hideMark/>
          </w:tcPr>
          <w:p w14:paraId="40371992" w14:textId="77777777" w:rsidR="00262CEB" w:rsidRPr="0013601B" w:rsidRDefault="00262CEB" w:rsidP="0099524E">
            <w:pPr>
              <w:spacing w:after="0"/>
              <w:rPr>
                <w:rFonts w:eastAsia="Times New Roman" w:cs="Times New Roman"/>
                <w:sz w:val="18"/>
                <w:szCs w:val="18"/>
              </w:rPr>
            </w:pPr>
            <w:r w:rsidRPr="0013601B">
              <w:rPr>
                <w:rFonts w:eastAsia="Times New Roman" w:cs="Times New Roman"/>
                <w:sz w:val="18"/>
                <w:szCs w:val="18"/>
              </w:rPr>
              <w:t>Tablet 10 mg</w:t>
            </w:r>
          </w:p>
        </w:tc>
        <w:tc>
          <w:tcPr>
            <w:tcW w:w="850" w:type="dxa"/>
            <w:tcBorders>
              <w:top w:val="nil"/>
              <w:left w:val="nil"/>
              <w:bottom w:val="nil"/>
              <w:right w:val="nil"/>
            </w:tcBorders>
            <w:shd w:val="clear" w:color="auto" w:fill="auto"/>
            <w:noWrap/>
            <w:hideMark/>
          </w:tcPr>
          <w:p w14:paraId="1CDCBC19"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30</w:t>
            </w:r>
          </w:p>
        </w:tc>
        <w:tc>
          <w:tcPr>
            <w:tcW w:w="851" w:type="dxa"/>
            <w:tcBorders>
              <w:top w:val="nil"/>
              <w:left w:val="nil"/>
              <w:bottom w:val="nil"/>
              <w:right w:val="nil"/>
            </w:tcBorders>
            <w:shd w:val="clear" w:color="auto" w:fill="auto"/>
            <w:noWrap/>
            <w:hideMark/>
          </w:tcPr>
          <w:p w14:paraId="5B28DE8D"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30</w:t>
            </w:r>
          </w:p>
        </w:tc>
        <w:tc>
          <w:tcPr>
            <w:tcW w:w="1020" w:type="dxa"/>
            <w:tcBorders>
              <w:top w:val="nil"/>
              <w:left w:val="nil"/>
              <w:bottom w:val="nil"/>
              <w:right w:val="nil"/>
            </w:tcBorders>
            <w:shd w:val="clear" w:color="auto" w:fill="auto"/>
            <w:noWrap/>
            <w:hideMark/>
          </w:tcPr>
          <w:p w14:paraId="49EEAE66" w14:textId="77777777" w:rsidR="00262CEB" w:rsidRPr="00201710" w:rsidRDefault="00262CEB" w:rsidP="0099524E">
            <w:pPr>
              <w:spacing w:after="0"/>
              <w:jc w:val="center"/>
              <w:rPr>
                <w:rFonts w:eastAsia="Times New Roman" w:cs="Times New Roman"/>
                <w:bCs/>
                <w:color w:val="000000"/>
                <w:sz w:val="18"/>
                <w:szCs w:val="18"/>
              </w:rPr>
            </w:pPr>
            <w:r w:rsidRPr="00201710">
              <w:rPr>
                <w:rFonts w:eastAsia="Times New Roman" w:cs="Times New Roman"/>
                <w:bCs/>
                <w:color w:val="000000"/>
                <w:sz w:val="18"/>
                <w:szCs w:val="18"/>
              </w:rPr>
              <w:t>0</w:t>
            </w:r>
          </w:p>
        </w:tc>
        <w:tc>
          <w:tcPr>
            <w:tcW w:w="1077" w:type="dxa"/>
            <w:tcBorders>
              <w:top w:val="nil"/>
              <w:left w:val="nil"/>
              <w:bottom w:val="nil"/>
              <w:right w:val="nil"/>
            </w:tcBorders>
            <w:shd w:val="clear" w:color="auto" w:fill="auto"/>
            <w:noWrap/>
            <w:hideMark/>
          </w:tcPr>
          <w:p w14:paraId="64A55D76" w14:textId="77777777" w:rsidR="00262CEB" w:rsidRPr="00201710" w:rsidRDefault="00262CEB" w:rsidP="0099524E">
            <w:pPr>
              <w:spacing w:after="0"/>
              <w:jc w:val="right"/>
              <w:rPr>
                <w:rFonts w:eastAsia="Times New Roman" w:cs="Times New Roman"/>
                <w:sz w:val="18"/>
                <w:szCs w:val="18"/>
              </w:rPr>
            </w:pPr>
            <w:r w:rsidRPr="00201710">
              <w:rPr>
                <w:rFonts w:eastAsia="Times New Roman" w:cs="Times New Roman"/>
                <w:sz w:val="18"/>
                <w:szCs w:val="18"/>
              </w:rPr>
              <w:t>$2,876.47</w:t>
            </w:r>
          </w:p>
        </w:tc>
        <w:tc>
          <w:tcPr>
            <w:tcW w:w="1068" w:type="dxa"/>
            <w:tcBorders>
              <w:top w:val="nil"/>
              <w:left w:val="nil"/>
              <w:bottom w:val="nil"/>
              <w:right w:val="nil"/>
            </w:tcBorders>
            <w:shd w:val="clear" w:color="auto" w:fill="auto"/>
            <w:noWrap/>
            <w:hideMark/>
          </w:tcPr>
          <w:p w14:paraId="36FF72FA" w14:textId="77777777" w:rsidR="00262CEB" w:rsidRPr="00201710" w:rsidRDefault="00262CEB" w:rsidP="0099524E">
            <w:pPr>
              <w:spacing w:after="0"/>
              <w:jc w:val="center"/>
              <w:rPr>
                <w:rFonts w:eastAsia="Times New Roman" w:cs="Times New Roman"/>
                <w:sz w:val="18"/>
                <w:szCs w:val="18"/>
              </w:rPr>
            </w:pPr>
            <w:r w:rsidRPr="00201710">
              <w:rPr>
                <w:rFonts w:eastAsia="Times New Roman" w:cs="Times New Roman"/>
                <w:sz w:val="18"/>
                <w:szCs w:val="18"/>
              </w:rPr>
              <w:t>1/09/2014</w:t>
            </w:r>
          </w:p>
        </w:tc>
      </w:tr>
    </w:tbl>
    <w:p w14:paraId="44C8FC71" w14:textId="77777777" w:rsidR="00262CEB" w:rsidRDefault="00262CEB" w:rsidP="00262CEB">
      <w:pPr>
        <w:spacing w:line="276" w:lineRule="auto"/>
        <w:rPr>
          <w:rFonts w:ascii="Calibri" w:eastAsia="MS Gothic" w:hAnsi="Calibri" w:cs="Times New Roman"/>
          <w:b/>
          <w:bCs/>
          <w:iCs/>
        </w:rPr>
        <w:sectPr w:rsidR="00262CEB" w:rsidSect="004E1C05">
          <w:pgSz w:w="16838" w:h="11906" w:orient="landscape" w:code="9"/>
          <w:pgMar w:top="1644" w:right="1361" w:bottom="1644" w:left="1588" w:header="425" w:footer="244" w:gutter="0"/>
          <w:cols w:space="708"/>
          <w:docGrid w:linePitch="360"/>
        </w:sectPr>
      </w:pPr>
    </w:p>
    <w:p w14:paraId="25D65B04" w14:textId="1B97A568" w:rsidR="00FE645A" w:rsidRDefault="00A4020E" w:rsidP="001B4788">
      <w:pPr>
        <w:pStyle w:val="Heading3"/>
      </w:pPr>
      <w:r w:rsidRPr="00A4020E">
        <w:lastRenderedPageBreak/>
        <w:t>Disclaimer</w:t>
      </w:r>
    </w:p>
    <w:p w14:paraId="477D7D94" w14:textId="739898AB" w:rsidR="000B268E" w:rsidRPr="000B268E" w:rsidRDefault="000B268E" w:rsidP="00125FC2">
      <w:r w:rsidRPr="000B268E">
        <w:t>The information provided in this report does not constitute medical advice and is not intended to take the place of profe</w:t>
      </w:r>
      <w:r w:rsidR="00F11CFC">
        <w:t xml:space="preserve">ssional medical advice or care.  </w:t>
      </w:r>
      <w:r w:rsidRPr="000B268E">
        <w:t>It is not intended to define what constitutes reasonable, appropriate or best care for any individual for any given health issue.</w:t>
      </w:r>
      <w:r w:rsidR="00E628EA">
        <w:t xml:space="preserve">  </w:t>
      </w:r>
      <w:r w:rsidRPr="000B268E">
        <w:t>The information should not be used as a substitute for the judgement and skill of a medical practitioner.</w:t>
      </w:r>
    </w:p>
    <w:p w14:paraId="34477926" w14:textId="601956EB" w:rsidR="000B268E" w:rsidRPr="000B268E" w:rsidRDefault="000B268E" w:rsidP="00125FC2">
      <w:r w:rsidRPr="000B268E">
        <w:t>The Department of Health (DoH) has made all reasonable efforts to ensure that information provided in this report is accurate. The information provided in this report was up-to-date when it was considered by the Drug Utilisation Sub-committee of the Pharmaceutic</w:t>
      </w:r>
      <w:r w:rsidR="00F11CFC">
        <w:t xml:space="preserve">al Benefits Advisory Committee.  </w:t>
      </w:r>
      <w:r w:rsidRPr="000B268E">
        <w:t>The context for that information may have changed since publication.</w:t>
      </w:r>
    </w:p>
    <w:p w14:paraId="34FF6D3D" w14:textId="77777777" w:rsidR="000B268E" w:rsidRPr="000B268E" w:rsidRDefault="000B268E" w:rsidP="00125FC2">
      <w:r w:rsidRPr="000B268E">
        <w:t xml:space="preserve">To the extent provided by law, DoH makes no warranties or representations as to accuracy or completeness of information contained in this report. </w:t>
      </w:r>
    </w:p>
    <w:p w14:paraId="1F8EAE28" w14:textId="460E8D1C" w:rsidR="005C4023" w:rsidRPr="000B268E" w:rsidRDefault="000B268E" w:rsidP="00125FC2">
      <w:r w:rsidRPr="000B268E">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sectPr w:rsidR="005C4023" w:rsidRPr="000B268E" w:rsidSect="004E1C05">
      <w:footerReference w:type="even" r:id="rId39"/>
      <w:footerReference w:type="default" r:id="rId40"/>
      <w:footerReference w:type="first" r:id="rId41"/>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703DF8" w:rsidRDefault="00703DF8" w:rsidP="00A35800">
      <w:r>
        <w:separator/>
      </w:r>
    </w:p>
  </w:endnote>
  <w:endnote w:type="continuationSeparator" w:id="0">
    <w:p w14:paraId="45A4A8C8" w14:textId="77777777" w:rsidR="00703DF8" w:rsidRDefault="00703DF8"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FB3959" w14:textId="77777777" w:rsidR="00703DF8" w:rsidRDefault="00703D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681072"/>
      <w:docPartObj>
        <w:docPartGallery w:val="Page Numbers (Bottom of Page)"/>
        <w:docPartUnique/>
      </w:docPartObj>
    </w:sdtPr>
    <w:sdtEndPr/>
    <w:sdtContent>
      <w:sdt>
        <w:sdtPr>
          <w:id w:val="-2084432587"/>
          <w:docPartObj>
            <w:docPartGallery w:val="Page Numbers (Top of Page)"/>
            <w:docPartUnique/>
          </w:docPartObj>
        </w:sdtPr>
        <w:sdtEndPr/>
        <w:sdtContent>
          <w:p w14:paraId="7077D711" w14:textId="5DD2F4B5" w:rsidR="00703DF8" w:rsidRPr="00CB6ABE" w:rsidRDefault="00703DF8" w:rsidP="005F12D3">
            <w:pPr>
              <w:pStyle w:val="Footer"/>
              <w:jc w:val="center"/>
              <w:rPr>
                <w:i/>
                <w:sz w:val="20"/>
                <w:szCs w:val="20"/>
              </w:rPr>
            </w:pPr>
            <w:r>
              <w:rPr>
                <w:i/>
                <w:sz w:val="20"/>
                <w:szCs w:val="20"/>
              </w:rPr>
              <w:t>Public Release Document, February 2015 DUSC Meeting</w:t>
            </w:r>
          </w:p>
          <w:p w14:paraId="40828B6E" w14:textId="77777777" w:rsidR="00703DF8" w:rsidRDefault="00703DF8" w:rsidP="005F12D3">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FA485C">
              <w:rPr>
                <w:bCs/>
                <w:i/>
                <w:noProof/>
                <w:sz w:val="20"/>
                <w:szCs w:val="20"/>
              </w:rPr>
              <w:t>2</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FA485C">
              <w:rPr>
                <w:bCs/>
                <w:i/>
                <w:noProof/>
                <w:sz w:val="20"/>
                <w:szCs w:val="20"/>
              </w:rPr>
              <w:t>44</w:t>
            </w:r>
            <w:r w:rsidRPr="00CB6ABE">
              <w:rPr>
                <w:bCs/>
                <w:i/>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7AA072" w14:textId="77777777" w:rsidR="00703DF8" w:rsidRDefault="00703D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703DF8" w:rsidRDefault="00703DF8"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703DF8" w:rsidRDefault="00703DF8" w:rsidP="00A358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2419521"/>
      <w:docPartObj>
        <w:docPartGallery w:val="Page Numbers (Bottom of Page)"/>
        <w:docPartUnique/>
      </w:docPartObj>
    </w:sdtPr>
    <w:sdtEndPr/>
    <w:sdtContent>
      <w:sdt>
        <w:sdtPr>
          <w:id w:val="860082579"/>
          <w:docPartObj>
            <w:docPartGallery w:val="Page Numbers (Top of Page)"/>
            <w:docPartUnique/>
          </w:docPartObj>
        </w:sdtPr>
        <w:sdtEndPr/>
        <w:sdtContent>
          <w:p w14:paraId="2C33146D" w14:textId="3666EA79" w:rsidR="00703DF8" w:rsidRPr="00CB6ABE" w:rsidRDefault="00703DF8" w:rsidP="00CB6ABE">
            <w:pPr>
              <w:pStyle w:val="Footer"/>
              <w:jc w:val="center"/>
              <w:rPr>
                <w:i/>
                <w:sz w:val="20"/>
                <w:szCs w:val="20"/>
              </w:rPr>
            </w:pPr>
            <w:r>
              <w:rPr>
                <w:i/>
                <w:sz w:val="20"/>
                <w:szCs w:val="20"/>
              </w:rPr>
              <w:t>Public Release Document, Februrary2015 DUSC Meeting</w:t>
            </w:r>
          </w:p>
          <w:p w14:paraId="16541DE1" w14:textId="3EA36B32" w:rsidR="00703DF8" w:rsidRDefault="00703DF8" w:rsidP="00CB6ABE">
            <w:pPr>
              <w:pStyle w:val="Footer"/>
              <w:jc w:val="center"/>
            </w:pPr>
            <w:r w:rsidRPr="00CB6ABE">
              <w:rPr>
                <w:i/>
                <w:sz w:val="20"/>
                <w:szCs w:val="20"/>
              </w:rPr>
              <w:t xml:space="preserve">Page </w:t>
            </w:r>
            <w:r w:rsidRPr="00CB6ABE">
              <w:rPr>
                <w:bCs/>
                <w:i/>
                <w:sz w:val="20"/>
                <w:szCs w:val="20"/>
              </w:rPr>
              <w:fldChar w:fldCharType="begin"/>
            </w:r>
            <w:r w:rsidRPr="00CB6ABE">
              <w:rPr>
                <w:bCs/>
                <w:i/>
                <w:sz w:val="20"/>
                <w:szCs w:val="20"/>
              </w:rPr>
              <w:instrText xml:space="preserve"> PAGE </w:instrText>
            </w:r>
            <w:r w:rsidRPr="00CB6ABE">
              <w:rPr>
                <w:bCs/>
                <w:i/>
                <w:sz w:val="20"/>
                <w:szCs w:val="20"/>
              </w:rPr>
              <w:fldChar w:fldCharType="separate"/>
            </w:r>
            <w:r w:rsidR="00FA485C">
              <w:rPr>
                <w:bCs/>
                <w:i/>
                <w:noProof/>
                <w:sz w:val="20"/>
                <w:szCs w:val="20"/>
              </w:rPr>
              <w:t>44</w:t>
            </w:r>
            <w:r w:rsidRPr="00CB6ABE">
              <w:rPr>
                <w:bCs/>
                <w:i/>
                <w:sz w:val="20"/>
                <w:szCs w:val="20"/>
              </w:rPr>
              <w:fldChar w:fldCharType="end"/>
            </w:r>
            <w:r w:rsidRPr="00CB6ABE">
              <w:rPr>
                <w:i/>
                <w:sz w:val="20"/>
                <w:szCs w:val="20"/>
              </w:rPr>
              <w:t xml:space="preserve"> of </w:t>
            </w:r>
            <w:r w:rsidRPr="00CB6ABE">
              <w:rPr>
                <w:bCs/>
                <w:i/>
                <w:sz w:val="20"/>
                <w:szCs w:val="20"/>
              </w:rPr>
              <w:fldChar w:fldCharType="begin"/>
            </w:r>
            <w:r w:rsidRPr="00CB6ABE">
              <w:rPr>
                <w:bCs/>
                <w:i/>
                <w:sz w:val="20"/>
                <w:szCs w:val="20"/>
              </w:rPr>
              <w:instrText xml:space="preserve"> NUMPAGES  </w:instrText>
            </w:r>
            <w:r w:rsidRPr="00CB6ABE">
              <w:rPr>
                <w:bCs/>
                <w:i/>
                <w:sz w:val="20"/>
                <w:szCs w:val="20"/>
              </w:rPr>
              <w:fldChar w:fldCharType="separate"/>
            </w:r>
            <w:r w:rsidR="00FA485C">
              <w:rPr>
                <w:bCs/>
                <w:i/>
                <w:noProof/>
                <w:sz w:val="20"/>
                <w:szCs w:val="20"/>
              </w:rPr>
              <w:t>44</w:t>
            </w:r>
            <w:r w:rsidRPr="00CB6ABE">
              <w:rPr>
                <w:bCs/>
                <w:i/>
                <w:sz w:val="20"/>
                <w:szCs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28AF8" w14:textId="1896DD8B" w:rsidR="00703DF8" w:rsidRDefault="00703DF8">
    <w:pPr>
      <w:pStyle w:val="Footer"/>
    </w:pPr>
    <w:r>
      <w:t>Last updated 3 July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703DF8" w:rsidRDefault="00703DF8" w:rsidP="00A35800">
      <w:r>
        <w:separator/>
      </w:r>
    </w:p>
  </w:footnote>
  <w:footnote w:type="continuationSeparator" w:id="0">
    <w:p w14:paraId="7E2CA1E4" w14:textId="77777777" w:rsidR="00703DF8" w:rsidRDefault="00703DF8" w:rsidP="00A35800">
      <w:r>
        <w:continuationSeparator/>
      </w:r>
    </w:p>
  </w:footnote>
  <w:footnote w:id="1">
    <w:p w14:paraId="683DC9D7" w14:textId="4FF3FB10" w:rsidR="00703DF8" w:rsidRDefault="00703DF8" w:rsidP="002818E6">
      <w:pPr>
        <w:pStyle w:val="FootnoteText"/>
      </w:pPr>
      <w:r>
        <w:rPr>
          <w:rStyle w:val="FootnoteReference"/>
        </w:rPr>
        <w:footnoteRef/>
      </w:r>
      <w:r>
        <w:t xml:space="preserve"> Simonneau G, Gatzoulis MA, Adatia I</w:t>
      </w:r>
      <w:r w:rsidRPr="005F4D54">
        <w:t>, Celerm</w:t>
      </w:r>
      <w:r>
        <w:t>ajer D, Denton C, Ghofrani A</w:t>
      </w:r>
      <w:r w:rsidRPr="005F4D54">
        <w:t>,</w:t>
      </w:r>
      <w:r>
        <w:t xml:space="preserve">et al. Updated clinical classification of pulmonary hypertension. J Am Coll Cardiol 2013; 62(25 Suppl):eD34-e41.  </w:t>
      </w:r>
      <w:r w:rsidRPr="008A7F5D">
        <w:t>doi: 10.1016/j.jacc.2013.10.029.</w:t>
      </w:r>
    </w:p>
    <w:p w14:paraId="257521BC" w14:textId="77777777" w:rsidR="00703DF8" w:rsidRDefault="00703DF8" w:rsidP="002818E6">
      <w:pPr>
        <w:pStyle w:val="FootnoteText"/>
      </w:pPr>
    </w:p>
  </w:footnote>
  <w:footnote w:id="2">
    <w:p w14:paraId="199C00F7" w14:textId="04B628E0" w:rsidR="00703DF8" w:rsidRDefault="00703DF8" w:rsidP="005D75D9">
      <w:pPr>
        <w:pStyle w:val="FootnoteText"/>
      </w:pPr>
      <w:r>
        <w:rPr>
          <w:rStyle w:val="FootnoteReference"/>
        </w:rPr>
        <w:footnoteRef/>
      </w:r>
      <w:r w:rsidR="00BB4715">
        <w:t xml:space="preserve"> </w:t>
      </w:r>
      <w:r>
        <w:t xml:space="preserve">McLaughlin VV, Archer SL, Badesch DB, Barst RJ, Farber HW, Lindner JR, Mathier MA, McGoon MD, Park MH, Rosenson RS, Rubin LJ, Tapson VF, Varga J. ACCF/AHA 2009 expert consensus document on pulmonary hypertension: a report of the American College of Cardiology Foundation Task Force on Expert Consensus Documents. J Am Coll Cardiol 2009;53:e1573– e619. </w:t>
      </w:r>
      <w:r w:rsidRPr="005D75D9">
        <w:t>doi:10.1016/j.jacc.2009.01.004</w:t>
      </w:r>
      <w:r>
        <w:t>.</w:t>
      </w:r>
    </w:p>
  </w:footnote>
  <w:footnote w:id="3">
    <w:p w14:paraId="10DDCB24" w14:textId="6B2E1423" w:rsidR="00703DF8" w:rsidRDefault="00703DF8" w:rsidP="002818E6">
      <w:pPr>
        <w:pStyle w:val="FootnoteText"/>
      </w:pPr>
      <w:r>
        <w:rPr>
          <w:rStyle w:val="FootnoteReference"/>
        </w:rPr>
        <w:footnoteRef/>
      </w:r>
      <w:r>
        <w:t xml:space="preserve"> </w:t>
      </w:r>
      <w:r w:rsidRPr="00054F90">
        <w:t xml:space="preserve">Galie N, Hoeper MM, Humbert M, </w:t>
      </w:r>
      <w:r w:rsidRPr="00051074">
        <w:t>Torbicki A, Vachiery JL, Barbera JA</w:t>
      </w:r>
      <w:r>
        <w:t xml:space="preserve"> </w:t>
      </w:r>
      <w:r w:rsidRPr="00054F90">
        <w:t xml:space="preserve">et al. Guidelines for the diagnosis and treatment of pulmonary hypertension: The Task Force for the Diagnosis and Treatment of Pulmonary Hypertension of the European Society of Cardiology (ESC) and the European Respiratory Society (ERS), endorsed by the International Society of Heart and Lung Transplantation (ISHLT). Eur Heart J 2009; 30(20): </w:t>
      </w:r>
      <w:r>
        <w:t>e</w:t>
      </w:r>
      <w:r w:rsidRPr="00054F90">
        <w:t>2493-</w:t>
      </w:r>
      <w:r>
        <w:t>e</w:t>
      </w:r>
      <w:r w:rsidRPr="00054F90">
        <w:t>537.</w:t>
      </w:r>
      <w:r>
        <w:t xml:space="preserve"> </w:t>
      </w:r>
      <w:r w:rsidRPr="002B6652">
        <w:t>doi: 10.1093/eurheartj/ehp297.</w:t>
      </w:r>
    </w:p>
  </w:footnote>
  <w:footnote w:id="4">
    <w:p w14:paraId="7150A450" w14:textId="4E86E047" w:rsidR="00703DF8" w:rsidRDefault="00703DF8" w:rsidP="00EA175A">
      <w:pPr>
        <w:pStyle w:val="FootnoteText"/>
      </w:pPr>
      <w:r>
        <w:rPr>
          <w:rStyle w:val="FootnoteReference"/>
        </w:rPr>
        <w:footnoteRef/>
      </w:r>
      <w:r>
        <w:t xml:space="preserve"> Peacock AJ, Murphy NF, McMurray JJ, Caballero L, Stewart S. An epidemiological study of pulmonary arterial hypertension. Eur Respir 2007; 30:e104–e109. Doi: </w:t>
      </w:r>
      <w:r w:rsidRPr="00B27B47">
        <w:t>10.1183/09031936.00092306</w:t>
      </w:r>
    </w:p>
  </w:footnote>
  <w:footnote w:id="5">
    <w:p w14:paraId="3DBC76AA" w14:textId="1EE7524D" w:rsidR="00703DF8" w:rsidRPr="006E77E4" w:rsidRDefault="00703DF8" w:rsidP="003F1A0F">
      <w:pPr>
        <w:rPr>
          <w:szCs w:val="18"/>
        </w:rPr>
      </w:pPr>
      <w:r w:rsidRPr="003F1A0F">
        <w:rPr>
          <w:rStyle w:val="FootnoteReference"/>
          <w:sz w:val="18"/>
          <w:szCs w:val="18"/>
        </w:rPr>
        <w:footnoteRef/>
      </w:r>
      <w:r w:rsidRPr="003F1A0F">
        <w:rPr>
          <w:sz w:val="18"/>
          <w:szCs w:val="18"/>
        </w:rPr>
        <w:t xml:space="preserve"> Jansa P,Jarkovsky J, Al-Hiti H,Popelova J, Ambroz D, Zatocil T, et. al. Epidemiology and long-term survival of pulmonary arterial hypertension in the Czech Republic: a retrospective analysis of a nationwide registry. BMC Pulm Med 2014; 14: 45. </w:t>
      </w:r>
      <w:r w:rsidRPr="00BE3405">
        <w:rPr>
          <w:sz w:val="18"/>
          <w:szCs w:val="18"/>
        </w:rPr>
        <w:t>doi:10.1186/1471-2466-14-45</w:t>
      </w:r>
      <w:r>
        <w:rPr>
          <w:sz w:val="18"/>
          <w:szCs w:val="18"/>
        </w:rPr>
        <w:t xml:space="preserve"> </w:t>
      </w:r>
    </w:p>
    <w:p w14:paraId="02213D4A" w14:textId="77777777" w:rsidR="00703DF8" w:rsidRDefault="00703DF8" w:rsidP="00EA175A">
      <w:pPr>
        <w:pStyle w:val="FootnoteText"/>
      </w:pPr>
    </w:p>
  </w:footnote>
  <w:footnote w:id="6">
    <w:p w14:paraId="5038F814" w14:textId="77777777" w:rsidR="00703DF8" w:rsidRDefault="00703DF8" w:rsidP="00EA175A">
      <w:pPr>
        <w:pStyle w:val="FootnoteText"/>
      </w:pPr>
      <w:r>
        <w:rPr>
          <w:rStyle w:val="FootnoteReference"/>
        </w:rPr>
        <w:footnoteRef/>
      </w:r>
      <w:r>
        <w:t xml:space="preserve"> </w:t>
      </w:r>
      <w:r w:rsidRPr="006A699C">
        <w:t>http://www.medicareaustralia.gov.au/provider/pbs/drugs2/hypertension.jsp</w:t>
      </w:r>
    </w:p>
  </w:footnote>
  <w:footnote w:id="7">
    <w:p w14:paraId="75A658A2" w14:textId="5AB99936" w:rsidR="00703DF8" w:rsidRDefault="00703DF8" w:rsidP="003B5BFA">
      <w:pPr>
        <w:pStyle w:val="FootnoteText"/>
      </w:pPr>
      <w:r>
        <w:rPr>
          <w:rStyle w:val="FootnoteReference"/>
        </w:rPr>
        <w:footnoteRef/>
      </w:r>
      <w:r>
        <w:t xml:space="preserve"> Gordon M.  MEDICAL REVIEW OF EFFICACY. NDA#21,290. June 29, 2001. &lt;</w:t>
      </w:r>
      <w:hyperlink r:id="rId1" w:history="1">
        <w:r w:rsidRPr="00BA3678">
          <w:rPr>
            <w:rStyle w:val="Hyperlink"/>
          </w:rPr>
          <w:t>http://www.fda.gov/ohrms/dockets/ac/01/briefing/3775b2_04_efficacy.htm</w:t>
        </w:r>
      </w:hyperlink>
      <w:r>
        <w:rPr>
          <w:rStyle w:val="Hyperlink"/>
        </w:rPr>
        <w:t>&gt;</w:t>
      </w:r>
    </w:p>
  </w:footnote>
  <w:footnote w:id="8">
    <w:p w14:paraId="5F2EB239" w14:textId="431A22D1" w:rsidR="00703DF8" w:rsidRDefault="00703DF8" w:rsidP="00EA175A">
      <w:pPr>
        <w:pStyle w:val="FootnoteText"/>
      </w:pPr>
      <w:r>
        <w:rPr>
          <w:rStyle w:val="FootnoteReference"/>
        </w:rPr>
        <w:footnoteRef/>
      </w:r>
      <w:r>
        <w:t xml:space="preserve"> Keogh A, Strange G, McNeil K, Williams TJ, Gabbay E, Proudman S, et al. The Bosentan Patient Registry: long-term survival in pulmonary arterial hypertension. Internal Medicine Journal 2011 Mar;41(3):227-34.</w:t>
      </w:r>
    </w:p>
  </w:footnote>
  <w:footnote w:id="9">
    <w:p w14:paraId="1D781178" w14:textId="14C3CD07" w:rsidR="00703DF8" w:rsidRDefault="00703DF8" w:rsidP="00EA175A">
      <w:pPr>
        <w:pStyle w:val="FootnoteText"/>
      </w:pPr>
      <w:r>
        <w:rPr>
          <w:rStyle w:val="FootnoteReference"/>
        </w:rPr>
        <w:footnoteRef/>
      </w:r>
      <w:r>
        <w:t xml:space="preserve"> Peacock AJ, Murphy NF, McMurray JJ, Caballero L, Stewart S. An epidemiological study of pulmonary arterial hypertension. Eur Respir 2007, 30:104–109.</w:t>
      </w:r>
    </w:p>
  </w:footnote>
  <w:footnote w:id="10">
    <w:p w14:paraId="42E71C3E" w14:textId="37561D7D" w:rsidR="00703DF8" w:rsidRDefault="00703DF8" w:rsidP="00EA175A">
      <w:pPr>
        <w:pStyle w:val="FootnoteText"/>
      </w:pPr>
      <w:r>
        <w:rPr>
          <w:rStyle w:val="FootnoteReference"/>
        </w:rPr>
        <w:footnoteRef/>
      </w:r>
      <w:r>
        <w:t xml:space="preserve"> Hopkins WE, Ochoa LL, Richardson GW, Trulock EP. Comparison of the hemodynamics and survival of adults with severe primary pulmonary hypertension or Eisenmenger syndrome. Heart Lung Transplant. 1996;15(1 Pt 1):100.</w:t>
      </w:r>
    </w:p>
  </w:footnote>
  <w:footnote w:id="11">
    <w:p w14:paraId="37335276" w14:textId="6C8A845D" w:rsidR="00703DF8" w:rsidRDefault="00703DF8" w:rsidP="00EA175A">
      <w:pPr>
        <w:pStyle w:val="FootnoteText"/>
      </w:pPr>
      <w:r>
        <w:rPr>
          <w:rStyle w:val="FootnoteReference"/>
        </w:rPr>
        <w:footnoteRef/>
      </w:r>
      <w:r>
        <w:t xml:space="preserve"> Hopkins WE. The remarkable right ventricle of patients with Eisenmenger syndrome. Coron Artery Dis. 2005;16(1):19.</w:t>
      </w:r>
    </w:p>
  </w:footnote>
  <w:footnote w:id="12">
    <w:p w14:paraId="46EF4DD6" w14:textId="01B25E5E" w:rsidR="00703DF8" w:rsidRDefault="00703DF8" w:rsidP="00EA175A">
      <w:pPr>
        <w:pStyle w:val="FootnoteText"/>
      </w:pPr>
      <w:r>
        <w:rPr>
          <w:rStyle w:val="FootnoteReference"/>
        </w:rPr>
        <w:footnoteRef/>
      </w:r>
      <w:r>
        <w:t xml:space="preserve"> D'Alonzo GE, Barst RJ, Ayres SM, Bergofsky EH, Brundage BH, Detre KM, et al. Survival in patients with primary pulmonary hypertension. Results from a national prospective registry. Ann Intern Med. 1991;115(5):343.</w:t>
      </w:r>
    </w:p>
  </w:footnote>
  <w:footnote w:id="13">
    <w:p w14:paraId="75F63B17" w14:textId="77777777" w:rsidR="00703DF8" w:rsidRDefault="00703DF8" w:rsidP="00EA175A">
      <w:pPr>
        <w:pStyle w:val="FootnoteText"/>
      </w:pPr>
      <w:r>
        <w:rPr>
          <w:rStyle w:val="FootnoteReference"/>
        </w:rPr>
        <w:footnoteRef/>
      </w:r>
      <w:r>
        <w:t xml:space="preserve"> </w:t>
      </w:r>
      <w:r w:rsidRPr="00F7244E">
        <w:t>4338.0 - Profiles of Health, Australia, 2011-13 , Australian Bureau of Statistics publication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648B50" w14:textId="77777777" w:rsidR="00703DF8" w:rsidRDefault="00703D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72D427" w14:textId="77777777" w:rsidR="00703DF8" w:rsidRDefault="00703D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64096" w14:textId="77777777" w:rsidR="00703DF8" w:rsidRDefault="00703D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922C6"/>
    <w:multiLevelType w:val="hybridMultilevel"/>
    <w:tmpl w:val="705ACF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520AA5"/>
    <w:multiLevelType w:val="hybridMultilevel"/>
    <w:tmpl w:val="33802F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5201BB2"/>
    <w:multiLevelType w:val="hybridMultilevel"/>
    <w:tmpl w:val="4B8A3C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5482C72"/>
    <w:multiLevelType w:val="hybridMultilevel"/>
    <w:tmpl w:val="BC72F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68F13E9"/>
    <w:multiLevelType w:val="multilevel"/>
    <w:tmpl w:val="DA360B98"/>
    <w:styleLink w:val="ListBullets"/>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6">
    <w:nsid w:val="180D6BA2"/>
    <w:multiLevelType w:val="hybridMultilevel"/>
    <w:tmpl w:val="DD2C90BE"/>
    <w:lvl w:ilvl="0" w:tplc="85D8466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9731C6"/>
    <w:multiLevelType w:val="hybridMultilevel"/>
    <w:tmpl w:val="7B5265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1405555"/>
    <w:multiLevelType w:val="hybridMultilevel"/>
    <w:tmpl w:val="23DC1D5C"/>
    <w:lvl w:ilvl="0" w:tplc="8444AE78">
      <w:start w:val="1"/>
      <w:numFmt w:val="bullet"/>
      <w:pStyle w:val="minutesdotpoin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1D47A57"/>
    <w:multiLevelType w:val="hybridMultilevel"/>
    <w:tmpl w:val="7D686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266A7399"/>
    <w:multiLevelType w:val="hybridMultilevel"/>
    <w:tmpl w:val="F064E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6CE744C"/>
    <w:multiLevelType w:val="hybridMultilevel"/>
    <w:tmpl w:val="C9F2FE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B103D0A"/>
    <w:multiLevelType w:val="hybridMultilevel"/>
    <w:tmpl w:val="D4AC46C4"/>
    <w:lvl w:ilvl="0" w:tplc="19A2E06E">
      <w:numFmt w:val="bullet"/>
      <w:lvlText w:val="•"/>
      <w:lvlJc w:val="left"/>
      <w:pPr>
        <w:ind w:left="1440" w:hanging="720"/>
      </w:pPr>
      <w:rPr>
        <w:rFonts w:ascii="Calibri" w:eastAsiaTheme="minorEastAsia" w:hAnsi="Calibri"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B220000"/>
    <w:multiLevelType w:val="hybridMultilevel"/>
    <w:tmpl w:val="58DA32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2D0D0918"/>
    <w:multiLevelType w:val="hybridMultilevel"/>
    <w:tmpl w:val="C054D2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D3F1125"/>
    <w:multiLevelType w:val="hybridMultilevel"/>
    <w:tmpl w:val="EE9A22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2F1868B6"/>
    <w:multiLevelType w:val="hybridMultilevel"/>
    <w:tmpl w:val="D81654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4013C76"/>
    <w:multiLevelType w:val="hybridMultilevel"/>
    <w:tmpl w:val="9502F0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DA3329"/>
    <w:multiLevelType w:val="hybridMultilevel"/>
    <w:tmpl w:val="1AEEA16A"/>
    <w:lvl w:ilvl="0" w:tplc="19A2E06E">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4B927A1"/>
    <w:multiLevelType w:val="hybridMultilevel"/>
    <w:tmpl w:val="96E8A7F8"/>
    <w:lvl w:ilvl="0" w:tplc="0C090001">
      <w:start w:val="1"/>
      <w:numFmt w:val="bullet"/>
      <w:lvlText w:val=""/>
      <w:lvlJc w:val="left"/>
      <w:pPr>
        <w:ind w:left="360" w:hanging="360"/>
      </w:pPr>
      <w:rPr>
        <w:rFonts w:ascii="Symbol" w:hAnsi="Symbol" w:hint="default"/>
      </w:rPr>
    </w:lvl>
    <w:lvl w:ilvl="1" w:tplc="3326AEBA">
      <w:start w:val="1"/>
      <w:numFmt w:val="bullet"/>
      <w:lvlText w:val="−"/>
      <w:lvlJc w:val="left"/>
      <w:pPr>
        <w:ind w:left="1080" w:hanging="360"/>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46393C7A"/>
    <w:multiLevelType w:val="hybridMultilevel"/>
    <w:tmpl w:val="AC000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7A55958"/>
    <w:multiLevelType w:val="hybridMultilevel"/>
    <w:tmpl w:val="5C62A69E"/>
    <w:lvl w:ilvl="0" w:tplc="A85C5FB6">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nsid w:val="48D855B2"/>
    <w:multiLevelType w:val="hybridMultilevel"/>
    <w:tmpl w:val="9920D0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CBE4A2B"/>
    <w:multiLevelType w:val="hybridMultilevel"/>
    <w:tmpl w:val="3B7C7B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ED76109"/>
    <w:multiLevelType w:val="hybridMultilevel"/>
    <w:tmpl w:val="E47298B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42F6210"/>
    <w:multiLevelType w:val="hybridMultilevel"/>
    <w:tmpl w:val="9D428E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A937B9E"/>
    <w:multiLevelType w:val="hybridMultilevel"/>
    <w:tmpl w:val="532C57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21B62A5"/>
    <w:multiLevelType w:val="hybridMultilevel"/>
    <w:tmpl w:val="33989B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2E546B5"/>
    <w:multiLevelType w:val="hybridMultilevel"/>
    <w:tmpl w:val="C87E0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6E368F0"/>
    <w:multiLevelType w:val="hybridMultilevel"/>
    <w:tmpl w:val="1172BFE8"/>
    <w:lvl w:ilvl="0" w:tplc="19A2E06E">
      <w:numFmt w:val="bullet"/>
      <w:lvlText w:val="•"/>
      <w:lvlJc w:val="left"/>
      <w:pPr>
        <w:ind w:left="1080" w:hanging="72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9EA0F71"/>
    <w:multiLevelType w:val="hybridMultilevel"/>
    <w:tmpl w:val="37C25D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6B613A1D"/>
    <w:multiLevelType w:val="hybridMultilevel"/>
    <w:tmpl w:val="5B8803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6C084118"/>
    <w:multiLevelType w:val="hybridMultilevel"/>
    <w:tmpl w:val="0ABE69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EC411F8"/>
    <w:multiLevelType w:val="hybridMultilevel"/>
    <w:tmpl w:val="0FAA4F22"/>
    <w:lvl w:ilvl="0" w:tplc="3766C1CA">
      <w:start w:val="1"/>
      <w:numFmt w:val="decimal"/>
      <w:lvlText w:val="%1."/>
      <w:lvlJc w:val="left"/>
      <w:pPr>
        <w:ind w:left="360" w:hanging="360"/>
      </w:pPr>
      <w:rPr>
        <w:rFonts w:hint="default"/>
        <w:b/>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70AE0ED5"/>
    <w:multiLevelType w:val="hybridMultilevel"/>
    <w:tmpl w:val="4F6E874A"/>
    <w:lvl w:ilvl="0" w:tplc="0C090001">
      <w:start w:val="1"/>
      <w:numFmt w:val="bullet"/>
      <w:lvlText w:val=""/>
      <w:lvlJc w:val="left"/>
      <w:pPr>
        <w:ind w:left="360" w:hanging="360"/>
      </w:pPr>
      <w:rPr>
        <w:rFonts w:ascii="Symbol" w:hAnsi="Symbol" w:hint="default"/>
      </w:rPr>
    </w:lvl>
    <w:lvl w:ilvl="1" w:tplc="C0A899DC">
      <w:numFmt w:val="bullet"/>
      <w:lvlText w:val="•"/>
      <w:lvlJc w:val="left"/>
      <w:pPr>
        <w:ind w:left="1440" w:hanging="720"/>
      </w:pPr>
      <w:rPr>
        <w:rFonts w:ascii="Calibri" w:eastAsiaTheme="minorEastAsia" w:hAnsi="Calibri"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8F1F97"/>
    <w:multiLevelType w:val="hybridMultilevel"/>
    <w:tmpl w:val="34FACB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nsid w:val="734865AE"/>
    <w:multiLevelType w:val="hybridMultilevel"/>
    <w:tmpl w:val="1FFA1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7194E93"/>
    <w:multiLevelType w:val="hybridMultilevel"/>
    <w:tmpl w:val="60A2BA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79742D35"/>
    <w:multiLevelType w:val="hybridMultilevel"/>
    <w:tmpl w:val="E9A04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nsid w:val="7C807C1B"/>
    <w:multiLevelType w:val="hybridMultilevel"/>
    <w:tmpl w:val="EF10C1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7"/>
  </w:num>
  <w:num w:numId="3">
    <w:abstractNumId w:val="40"/>
  </w:num>
  <w:num w:numId="4">
    <w:abstractNumId w:val="3"/>
  </w:num>
  <w:num w:numId="5">
    <w:abstractNumId w:val="43"/>
  </w:num>
  <w:num w:numId="6">
    <w:abstractNumId w:val="32"/>
  </w:num>
  <w:num w:numId="7">
    <w:abstractNumId w:val="5"/>
  </w:num>
  <w:num w:numId="8">
    <w:abstractNumId w:val="10"/>
  </w:num>
  <w:num w:numId="9">
    <w:abstractNumId w:val="36"/>
  </w:num>
  <w:num w:numId="10">
    <w:abstractNumId w:val="35"/>
  </w:num>
  <w:num w:numId="11">
    <w:abstractNumId w:val="15"/>
  </w:num>
  <w:num w:numId="12">
    <w:abstractNumId w:val="24"/>
  </w:num>
  <w:num w:numId="13">
    <w:abstractNumId w:val="2"/>
  </w:num>
  <w:num w:numId="14">
    <w:abstractNumId w:val="21"/>
  </w:num>
  <w:num w:numId="15">
    <w:abstractNumId w:val="26"/>
  </w:num>
  <w:num w:numId="16">
    <w:abstractNumId w:val="33"/>
  </w:num>
  <w:num w:numId="17">
    <w:abstractNumId w:val="41"/>
  </w:num>
  <w:num w:numId="18">
    <w:abstractNumId w:val="14"/>
  </w:num>
  <w:num w:numId="19">
    <w:abstractNumId w:val="9"/>
  </w:num>
  <w:num w:numId="20">
    <w:abstractNumId w:val="28"/>
  </w:num>
  <w:num w:numId="21">
    <w:abstractNumId w:val="12"/>
  </w:num>
  <w:num w:numId="22">
    <w:abstractNumId w:val="6"/>
  </w:num>
  <w:num w:numId="23">
    <w:abstractNumId w:val="17"/>
  </w:num>
  <w:num w:numId="24">
    <w:abstractNumId w:val="42"/>
  </w:num>
  <w:num w:numId="25">
    <w:abstractNumId w:val="30"/>
  </w:num>
  <w:num w:numId="26">
    <w:abstractNumId w:val="22"/>
  </w:num>
  <w:num w:numId="27">
    <w:abstractNumId w:val="7"/>
  </w:num>
  <w:num w:numId="28">
    <w:abstractNumId w:val="37"/>
  </w:num>
  <w:num w:numId="29">
    <w:abstractNumId w:val="19"/>
  </w:num>
  <w:num w:numId="30">
    <w:abstractNumId w:val="23"/>
  </w:num>
  <w:num w:numId="31">
    <w:abstractNumId w:val="16"/>
  </w:num>
  <w:num w:numId="32">
    <w:abstractNumId w:val="11"/>
  </w:num>
  <w:num w:numId="33">
    <w:abstractNumId w:val="0"/>
  </w:num>
  <w:num w:numId="34">
    <w:abstractNumId w:val="25"/>
  </w:num>
  <w:num w:numId="35">
    <w:abstractNumId w:val="31"/>
  </w:num>
  <w:num w:numId="36">
    <w:abstractNumId w:val="20"/>
  </w:num>
  <w:num w:numId="37">
    <w:abstractNumId w:val="13"/>
  </w:num>
  <w:num w:numId="38">
    <w:abstractNumId w:val="29"/>
  </w:num>
  <w:num w:numId="39">
    <w:abstractNumId w:val="34"/>
  </w:num>
  <w:num w:numId="40">
    <w:abstractNumId w:val="18"/>
  </w:num>
  <w:num w:numId="41">
    <w:abstractNumId w:val="39"/>
  </w:num>
  <w:num w:numId="42">
    <w:abstractNumId w:val="8"/>
  </w:num>
  <w:num w:numId="43">
    <w:abstractNumId w:val="8"/>
  </w:num>
  <w:num w:numId="44">
    <w:abstractNumId w:val="4"/>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20"/>
  <w:characterSpacingControl w:val="doNotCompress"/>
  <w:hdrShapeDefaults>
    <o:shapedefaults v:ext="edit" spidmax="9830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62FB"/>
    <w:rsid w:val="0001288E"/>
    <w:rsid w:val="00022617"/>
    <w:rsid w:val="00030E82"/>
    <w:rsid w:val="00046D7D"/>
    <w:rsid w:val="00051074"/>
    <w:rsid w:val="00054495"/>
    <w:rsid w:val="00054ECE"/>
    <w:rsid w:val="0005619F"/>
    <w:rsid w:val="00071EA0"/>
    <w:rsid w:val="00086264"/>
    <w:rsid w:val="000871EA"/>
    <w:rsid w:val="000933D3"/>
    <w:rsid w:val="00094DCF"/>
    <w:rsid w:val="00095D51"/>
    <w:rsid w:val="00096FB3"/>
    <w:rsid w:val="000A117F"/>
    <w:rsid w:val="000A6FE1"/>
    <w:rsid w:val="000B268E"/>
    <w:rsid w:val="000B796C"/>
    <w:rsid w:val="000C6E5D"/>
    <w:rsid w:val="000C7C1C"/>
    <w:rsid w:val="000C7D8B"/>
    <w:rsid w:val="000E295D"/>
    <w:rsid w:val="000E485D"/>
    <w:rsid w:val="000E5482"/>
    <w:rsid w:val="000F22BC"/>
    <w:rsid w:val="000F2F51"/>
    <w:rsid w:val="000F760B"/>
    <w:rsid w:val="00104950"/>
    <w:rsid w:val="00111A4D"/>
    <w:rsid w:val="00112FB2"/>
    <w:rsid w:val="00113D74"/>
    <w:rsid w:val="00117C5C"/>
    <w:rsid w:val="00125FC2"/>
    <w:rsid w:val="00130892"/>
    <w:rsid w:val="001327FB"/>
    <w:rsid w:val="001354DE"/>
    <w:rsid w:val="001420B3"/>
    <w:rsid w:val="0014260F"/>
    <w:rsid w:val="0015691C"/>
    <w:rsid w:val="001577A1"/>
    <w:rsid w:val="00162327"/>
    <w:rsid w:val="0016481A"/>
    <w:rsid w:val="001714FD"/>
    <w:rsid w:val="00174183"/>
    <w:rsid w:val="001759EC"/>
    <w:rsid w:val="001B343A"/>
    <w:rsid w:val="001B4788"/>
    <w:rsid w:val="001B50CA"/>
    <w:rsid w:val="001B5D37"/>
    <w:rsid w:val="001C16BD"/>
    <w:rsid w:val="001C2785"/>
    <w:rsid w:val="001C4016"/>
    <w:rsid w:val="001C4314"/>
    <w:rsid w:val="001D05E9"/>
    <w:rsid w:val="001D2DCB"/>
    <w:rsid w:val="001D390D"/>
    <w:rsid w:val="001E31A6"/>
    <w:rsid w:val="001F158B"/>
    <w:rsid w:val="001F2C97"/>
    <w:rsid w:val="001F2F3E"/>
    <w:rsid w:val="001F567D"/>
    <w:rsid w:val="001F6242"/>
    <w:rsid w:val="00206013"/>
    <w:rsid w:val="002104AA"/>
    <w:rsid w:val="00214013"/>
    <w:rsid w:val="00215730"/>
    <w:rsid w:val="00221316"/>
    <w:rsid w:val="002230B0"/>
    <w:rsid w:val="002268B7"/>
    <w:rsid w:val="00235969"/>
    <w:rsid w:val="002405BA"/>
    <w:rsid w:val="0024294B"/>
    <w:rsid w:val="00242989"/>
    <w:rsid w:val="002509D5"/>
    <w:rsid w:val="00252D19"/>
    <w:rsid w:val="00262CEB"/>
    <w:rsid w:val="00263EAB"/>
    <w:rsid w:val="002737FF"/>
    <w:rsid w:val="00275D5A"/>
    <w:rsid w:val="002801FD"/>
    <w:rsid w:val="00280415"/>
    <w:rsid w:val="002818E6"/>
    <w:rsid w:val="00285089"/>
    <w:rsid w:val="0028594C"/>
    <w:rsid w:val="0029243A"/>
    <w:rsid w:val="002A4871"/>
    <w:rsid w:val="002B5766"/>
    <w:rsid w:val="002B6652"/>
    <w:rsid w:val="002C4942"/>
    <w:rsid w:val="002C6E0C"/>
    <w:rsid w:val="002D472A"/>
    <w:rsid w:val="002D764B"/>
    <w:rsid w:val="002E3337"/>
    <w:rsid w:val="002F204E"/>
    <w:rsid w:val="002F49A8"/>
    <w:rsid w:val="002F61CA"/>
    <w:rsid w:val="002F63ED"/>
    <w:rsid w:val="0030749C"/>
    <w:rsid w:val="003119AD"/>
    <w:rsid w:val="00313B8D"/>
    <w:rsid w:val="00314B5F"/>
    <w:rsid w:val="0032154D"/>
    <w:rsid w:val="00322076"/>
    <w:rsid w:val="00322CBF"/>
    <w:rsid w:val="0032316F"/>
    <w:rsid w:val="00325AFB"/>
    <w:rsid w:val="0033376F"/>
    <w:rsid w:val="003370D0"/>
    <w:rsid w:val="003404A4"/>
    <w:rsid w:val="00340F95"/>
    <w:rsid w:val="00343204"/>
    <w:rsid w:val="003461A0"/>
    <w:rsid w:val="00347CBC"/>
    <w:rsid w:val="00351B73"/>
    <w:rsid w:val="003529E0"/>
    <w:rsid w:val="003531ED"/>
    <w:rsid w:val="003607E2"/>
    <w:rsid w:val="00364C30"/>
    <w:rsid w:val="00366B29"/>
    <w:rsid w:val="00372107"/>
    <w:rsid w:val="00372328"/>
    <w:rsid w:val="0038097B"/>
    <w:rsid w:val="003811C7"/>
    <w:rsid w:val="0039017F"/>
    <w:rsid w:val="003B5BFA"/>
    <w:rsid w:val="003C4978"/>
    <w:rsid w:val="003D6756"/>
    <w:rsid w:val="003E3586"/>
    <w:rsid w:val="003F1A0F"/>
    <w:rsid w:val="003F2C10"/>
    <w:rsid w:val="003F2F52"/>
    <w:rsid w:val="003F70D3"/>
    <w:rsid w:val="00402BE2"/>
    <w:rsid w:val="004057D1"/>
    <w:rsid w:val="0042086D"/>
    <w:rsid w:val="00423940"/>
    <w:rsid w:val="004402EE"/>
    <w:rsid w:val="004446A4"/>
    <w:rsid w:val="004453C5"/>
    <w:rsid w:val="00446C8A"/>
    <w:rsid w:val="00452C77"/>
    <w:rsid w:val="0045345B"/>
    <w:rsid w:val="00462EBA"/>
    <w:rsid w:val="00462FF4"/>
    <w:rsid w:val="00481108"/>
    <w:rsid w:val="00481D90"/>
    <w:rsid w:val="00487156"/>
    <w:rsid w:val="0049042B"/>
    <w:rsid w:val="004A1830"/>
    <w:rsid w:val="004A458E"/>
    <w:rsid w:val="004B23E7"/>
    <w:rsid w:val="004B306F"/>
    <w:rsid w:val="004B51C2"/>
    <w:rsid w:val="004B552B"/>
    <w:rsid w:val="004C3186"/>
    <w:rsid w:val="004C48FA"/>
    <w:rsid w:val="004C5042"/>
    <w:rsid w:val="004D14BD"/>
    <w:rsid w:val="004E1C05"/>
    <w:rsid w:val="004E4FE2"/>
    <w:rsid w:val="004E70C4"/>
    <w:rsid w:val="004F1E15"/>
    <w:rsid w:val="00503998"/>
    <w:rsid w:val="0050623B"/>
    <w:rsid w:val="00511C3F"/>
    <w:rsid w:val="00513949"/>
    <w:rsid w:val="005167F3"/>
    <w:rsid w:val="005339F6"/>
    <w:rsid w:val="00541978"/>
    <w:rsid w:val="005573ED"/>
    <w:rsid w:val="00557F90"/>
    <w:rsid w:val="00561CB4"/>
    <w:rsid w:val="00563190"/>
    <w:rsid w:val="00585DF4"/>
    <w:rsid w:val="00586D2D"/>
    <w:rsid w:val="00591512"/>
    <w:rsid w:val="005A5604"/>
    <w:rsid w:val="005A7163"/>
    <w:rsid w:val="005B097A"/>
    <w:rsid w:val="005B1B8A"/>
    <w:rsid w:val="005C25A2"/>
    <w:rsid w:val="005C2AE7"/>
    <w:rsid w:val="005C4023"/>
    <w:rsid w:val="005C43DD"/>
    <w:rsid w:val="005C55C6"/>
    <w:rsid w:val="005C597F"/>
    <w:rsid w:val="005D151D"/>
    <w:rsid w:val="005D37A7"/>
    <w:rsid w:val="005D436A"/>
    <w:rsid w:val="005D75D9"/>
    <w:rsid w:val="005E110C"/>
    <w:rsid w:val="005E147D"/>
    <w:rsid w:val="005E22C2"/>
    <w:rsid w:val="005F12D3"/>
    <w:rsid w:val="005F20EE"/>
    <w:rsid w:val="005F4D54"/>
    <w:rsid w:val="006000AE"/>
    <w:rsid w:val="00600A37"/>
    <w:rsid w:val="00606906"/>
    <w:rsid w:val="00613C8C"/>
    <w:rsid w:val="006300A8"/>
    <w:rsid w:val="0063021F"/>
    <w:rsid w:val="00630CA0"/>
    <w:rsid w:val="006337C9"/>
    <w:rsid w:val="00635817"/>
    <w:rsid w:val="0063631C"/>
    <w:rsid w:val="00645D51"/>
    <w:rsid w:val="006473E4"/>
    <w:rsid w:val="006537D9"/>
    <w:rsid w:val="00662B99"/>
    <w:rsid w:val="00665DEF"/>
    <w:rsid w:val="00667774"/>
    <w:rsid w:val="00675BB1"/>
    <w:rsid w:val="00681F21"/>
    <w:rsid w:val="00687EBC"/>
    <w:rsid w:val="0069451E"/>
    <w:rsid w:val="006A2270"/>
    <w:rsid w:val="006A44F5"/>
    <w:rsid w:val="006A7107"/>
    <w:rsid w:val="006A7F4B"/>
    <w:rsid w:val="006B4537"/>
    <w:rsid w:val="006B4ECA"/>
    <w:rsid w:val="006B709B"/>
    <w:rsid w:val="006C4620"/>
    <w:rsid w:val="006E0181"/>
    <w:rsid w:val="006E44CF"/>
    <w:rsid w:val="006E6162"/>
    <w:rsid w:val="006E77E4"/>
    <w:rsid w:val="006F4851"/>
    <w:rsid w:val="006F702D"/>
    <w:rsid w:val="006F72BB"/>
    <w:rsid w:val="00701226"/>
    <w:rsid w:val="00703DF8"/>
    <w:rsid w:val="00705309"/>
    <w:rsid w:val="0070585A"/>
    <w:rsid w:val="00705DAD"/>
    <w:rsid w:val="00713A49"/>
    <w:rsid w:val="007143F4"/>
    <w:rsid w:val="0072463B"/>
    <w:rsid w:val="007247B9"/>
    <w:rsid w:val="007250EE"/>
    <w:rsid w:val="00727D85"/>
    <w:rsid w:val="007346C7"/>
    <w:rsid w:val="00736041"/>
    <w:rsid w:val="007408C7"/>
    <w:rsid w:val="0075110A"/>
    <w:rsid w:val="00752C7F"/>
    <w:rsid w:val="00752EE4"/>
    <w:rsid w:val="007531F8"/>
    <w:rsid w:val="00754142"/>
    <w:rsid w:val="007613E8"/>
    <w:rsid w:val="00776598"/>
    <w:rsid w:val="007921AB"/>
    <w:rsid w:val="00796B2F"/>
    <w:rsid w:val="00796E84"/>
    <w:rsid w:val="00797BA5"/>
    <w:rsid w:val="007B3C3F"/>
    <w:rsid w:val="007B5BF1"/>
    <w:rsid w:val="007D2B3D"/>
    <w:rsid w:val="007E5CE8"/>
    <w:rsid w:val="007F3CB5"/>
    <w:rsid w:val="00800C2D"/>
    <w:rsid w:val="008142B4"/>
    <w:rsid w:val="00816F28"/>
    <w:rsid w:val="00832324"/>
    <w:rsid w:val="0083656B"/>
    <w:rsid w:val="00847723"/>
    <w:rsid w:val="00847BBF"/>
    <w:rsid w:val="0085256D"/>
    <w:rsid w:val="00852A4C"/>
    <w:rsid w:val="008534EA"/>
    <w:rsid w:val="008568F2"/>
    <w:rsid w:val="00856BB4"/>
    <w:rsid w:val="0086644B"/>
    <w:rsid w:val="0088020D"/>
    <w:rsid w:val="00884126"/>
    <w:rsid w:val="00887EFB"/>
    <w:rsid w:val="00896025"/>
    <w:rsid w:val="00896403"/>
    <w:rsid w:val="00897097"/>
    <w:rsid w:val="008A4A83"/>
    <w:rsid w:val="008A75E1"/>
    <w:rsid w:val="008A7F5D"/>
    <w:rsid w:val="008C3A55"/>
    <w:rsid w:val="008C44EF"/>
    <w:rsid w:val="008D35FC"/>
    <w:rsid w:val="008D4595"/>
    <w:rsid w:val="008D69A3"/>
    <w:rsid w:val="008E1F8C"/>
    <w:rsid w:val="00902FD0"/>
    <w:rsid w:val="009053D3"/>
    <w:rsid w:val="00905AB4"/>
    <w:rsid w:val="00917613"/>
    <w:rsid w:val="0093111F"/>
    <w:rsid w:val="00935689"/>
    <w:rsid w:val="009379BA"/>
    <w:rsid w:val="0094114B"/>
    <w:rsid w:val="0094366B"/>
    <w:rsid w:val="00945324"/>
    <w:rsid w:val="00957837"/>
    <w:rsid w:val="0096189A"/>
    <w:rsid w:val="009663B6"/>
    <w:rsid w:val="0098002C"/>
    <w:rsid w:val="00980286"/>
    <w:rsid w:val="00980972"/>
    <w:rsid w:val="00984A88"/>
    <w:rsid w:val="0099524E"/>
    <w:rsid w:val="00996041"/>
    <w:rsid w:val="009A4CD6"/>
    <w:rsid w:val="009A52BD"/>
    <w:rsid w:val="009A616E"/>
    <w:rsid w:val="009A641D"/>
    <w:rsid w:val="009A6EDE"/>
    <w:rsid w:val="009B46B3"/>
    <w:rsid w:val="009C0188"/>
    <w:rsid w:val="009C0886"/>
    <w:rsid w:val="009C35F2"/>
    <w:rsid w:val="009C7C43"/>
    <w:rsid w:val="009D2BB9"/>
    <w:rsid w:val="009D2C20"/>
    <w:rsid w:val="009D41C8"/>
    <w:rsid w:val="009D5AE8"/>
    <w:rsid w:val="009E2173"/>
    <w:rsid w:val="009E21A7"/>
    <w:rsid w:val="009E3ED0"/>
    <w:rsid w:val="00A103ED"/>
    <w:rsid w:val="00A108F9"/>
    <w:rsid w:val="00A13C60"/>
    <w:rsid w:val="00A16888"/>
    <w:rsid w:val="00A35800"/>
    <w:rsid w:val="00A36FA8"/>
    <w:rsid w:val="00A3709C"/>
    <w:rsid w:val="00A3777D"/>
    <w:rsid w:val="00A4020E"/>
    <w:rsid w:val="00A52D4B"/>
    <w:rsid w:val="00A54DDE"/>
    <w:rsid w:val="00A55579"/>
    <w:rsid w:val="00A7194C"/>
    <w:rsid w:val="00A76FBD"/>
    <w:rsid w:val="00A81285"/>
    <w:rsid w:val="00A83611"/>
    <w:rsid w:val="00A84CAD"/>
    <w:rsid w:val="00A954BC"/>
    <w:rsid w:val="00AA1224"/>
    <w:rsid w:val="00AB3733"/>
    <w:rsid w:val="00AC31DC"/>
    <w:rsid w:val="00AD1837"/>
    <w:rsid w:val="00AD229D"/>
    <w:rsid w:val="00AD3F30"/>
    <w:rsid w:val="00AE2703"/>
    <w:rsid w:val="00AE4861"/>
    <w:rsid w:val="00AE4EAB"/>
    <w:rsid w:val="00AF4747"/>
    <w:rsid w:val="00AF6BB9"/>
    <w:rsid w:val="00AF6DE8"/>
    <w:rsid w:val="00B02AB9"/>
    <w:rsid w:val="00B05310"/>
    <w:rsid w:val="00B07AD6"/>
    <w:rsid w:val="00B16AEA"/>
    <w:rsid w:val="00B17CDB"/>
    <w:rsid w:val="00B22AE8"/>
    <w:rsid w:val="00B27B47"/>
    <w:rsid w:val="00B31DD1"/>
    <w:rsid w:val="00B37F0B"/>
    <w:rsid w:val="00B421B8"/>
    <w:rsid w:val="00B4327B"/>
    <w:rsid w:val="00B44756"/>
    <w:rsid w:val="00B51124"/>
    <w:rsid w:val="00B57B2B"/>
    <w:rsid w:val="00B72DC0"/>
    <w:rsid w:val="00B82CFD"/>
    <w:rsid w:val="00B878FC"/>
    <w:rsid w:val="00B9030C"/>
    <w:rsid w:val="00B90325"/>
    <w:rsid w:val="00B9120F"/>
    <w:rsid w:val="00B91412"/>
    <w:rsid w:val="00B924A4"/>
    <w:rsid w:val="00B94414"/>
    <w:rsid w:val="00B95FB9"/>
    <w:rsid w:val="00BA54AD"/>
    <w:rsid w:val="00BB0D1A"/>
    <w:rsid w:val="00BB1D3B"/>
    <w:rsid w:val="00BB4715"/>
    <w:rsid w:val="00BC35ED"/>
    <w:rsid w:val="00BC55C3"/>
    <w:rsid w:val="00BC569D"/>
    <w:rsid w:val="00BE3405"/>
    <w:rsid w:val="00BE5D65"/>
    <w:rsid w:val="00BF2297"/>
    <w:rsid w:val="00BF238E"/>
    <w:rsid w:val="00BF3805"/>
    <w:rsid w:val="00BF6D5C"/>
    <w:rsid w:val="00C0076F"/>
    <w:rsid w:val="00C0549F"/>
    <w:rsid w:val="00C17A64"/>
    <w:rsid w:val="00C26824"/>
    <w:rsid w:val="00C27582"/>
    <w:rsid w:val="00C41246"/>
    <w:rsid w:val="00C45E5F"/>
    <w:rsid w:val="00C53077"/>
    <w:rsid w:val="00C53B69"/>
    <w:rsid w:val="00C60DA4"/>
    <w:rsid w:val="00C64FFA"/>
    <w:rsid w:val="00C657C9"/>
    <w:rsid w:val="00C672F4"/>
    <w:rsid w:val="00C675DB"/>
    <w:rsid w:val="00C714D0"/>
    <w:rsid w:val="00C73013"/>
    <w:rsid w:val="00C75822"/>
    <w:rsid w:val="00C77F7D"/>
    <w:rsid w:val="00C81F99"/>
    <w:rsid w:val="00C823D0"/>
    <w:rsid w:val="00C9485D"/>
    <w:rsid w:val="00C97AFA"/>
    <w:rsid w:val="00CB16A9"/>
    <w:rsid w:val="00CB1DD5"/>
    <w:rsid w:val="00CB4FDE"/>
    <w:rsid w:val="00CB6ABE"/>
    <w:rsid w:val="00CC3A31"/>
    <w:rsid w:val="00CC55E9"/>
    <w:rsid w:val="00CD4A8B"/>
    <w:rsid w:val="00CE001C"/>
    <w:rsid w:val="00CE1227"/>
    <w:rsid w:val="00CE2CDF"/>
    <w:rsid w:val="00CE417B"/>
    <w:rsid w:val="00CE5EB7"/>
    <w:rsid w:val="00CF4E29"/>
    <w:rsid w:val="00CF6FB3"/>
    <w:rsid w:val="00D01B8E"/>
    <w:rsid w:val="00D114B8"/>
    <w:rsid w:val="00D13C41"/>
    <w:rsid w:val="00D151EB"/>
    <w:rsid w:val="00D20DBB"/>
    <w:rsid w:val="00D30378"/>
    <w:rsid w:val="00D344EC"/>
    <w:rsid w:val="00D50900"/>
    <w:rsid w:val="00D5255E"/>
    <w:rsid w:val="00D5506A"/>
    <w:rsid w:val="00D56BB9"/>
    <w:rsid w:val="00D6439E"/>
    <w:rsid w:val="00D650CE"/>
    <w:rsid w:val="00D66F8F"/>
    <w:rsid w:val="00D71C69"/>
    <w:rsid w:val="00D767E5"/>
    <w:rsid w:val="00D8758B"/>
    <w:rsid w:val="00D963BE"/>
    <w:rsid w:val="00DA594E"/>
    <w:rsid w:val="00DA7D09"/>
    <w:rsid w:val="00DB02EB"/>
    <w:rsid w:val="00DC2393"/>
    <w:rsid w:val="00DC49E9"/>
    <w:rsid w:val="00DC4EB8"/>
    <w:rsid w:val="00DD4B8D"/>
    <w:rsid w:val="00DD70ED"/>
    <w:rsid w:val="00DE0B96"/>
    <w:rsid w:val="00DE260E"/>
    <w:rsid w:val="00DE45EE"/>
    <w:rsid w:val="00DF0469"/>
    <w:rsid w:val="00DF0B13"/>
    <w:rsid w:val="00DF4A94"/>
    <w:rsid w:val="00DF7127"/>
    <w:rsid w:val="00E052F7"/>
    <w:rsid w:val="00E066C3"/>
    <w:rsid w:val="00E06753"/>
    <w:rsid w:val="00E11A6D"/>
    <w:rsid w:val="00E1353A"/>
    <w:rsid w:val="00E14D65"/>
    <w:rsid w:val="00E153FC"/>
    <w:rsid w:val="00E1564B"/>
    <w:rsid w:val="00E208A0"/>
    <w:rsid w:val="00E3006F"/>
    <w:rsid w:val="00E376AA"/>
    <w:rsid w:val="00E41C8B"/>
    <w:rsid w:val="00E55D60"/>
    <w:rsid w:val="00E628EA"/>
    <w:rsid w:val="00E65493"/>
    <w:rsid w:val="00E6661D"/>
    <w:rsid w:val="00E677DD"/>
    <w:rsid w:val="00E70F7B"/>
    <w:rsid w:val="00E85C2B"/>
    <w:rsid w:val="00EA175A"/>
    <w:rsid w:val="00EA49DC"/>
    <w:rsid w:val="00EB5EBF"/>
    <w:rsid w:val="00EB5EC5"/>
    <w:rsid w:val="00EB6C07"/>
    <w:rsid w:val="00EC028D"/>
    <w:rsid w:val="00ED06CD"/>
    <w:rsid w:val="00ED08B6"/>
    <w:rsid w:val="00ED633B"/>
    <w:rsid w:val="00EE478C"/>
    <w:rsid w:val="00F07FD0"/>
    <w:rsid w:val="00F11CFC"/>
    <w:rsid w:val="00F11DA1"/>
    <w:rsid w:val="00F373C5"/>
    <w:rsid w:val="00F43923"/>
    <w:rsid w:val="00F61326"/>
    <w:rsid w:val="00F66BF2"/>
    <w:rsid w:val="00F71E6D"/>
    <w:rsid w:val="00F81773"/>
    <w:rsid w:val="00F82589"/>
    <w:rsid w:val="00FA485C"/>
    <w:rsid w:val="00FA7582"/>
    <w:rsid w:val="00FB2D7B"/>
    <w:rsid w:val="00FC4A73"/>
    <w:rsid w:val="00FC63FC"/>
    <w:rsid w:val="00FD13CD"/>
    <w:rsid w:val="00FD4960"/>
    <w:rsid w:val="00FE00FF"/>
    <w:rsid w:val="00FE645A"/>
    <w:rsid w:val="00FF187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8305"/>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72"/>
    <w:qFormat/>
    <w:rsid w:val="00D5506A"/>
    <w:pPr>
      <w:ind w:left="720"/>
      <w:contextualSpacing/>
    </w:pPr>
  </w:style>
  <w:style w:type="character" w:customStyle="1" w:styleId="ListParagraphChar">
    <w:name w:val="List Paragraph Char"/>
    <w:link w:val="ListParagraph"/>
    <w:uiPriority w:val="72"/>
    <w:rsid w:val="00D5506A"/>
    <w:rPr>
      <w:sz w:val="24"/>
      <w:szCs w:val="24"/>
    </w:rPr>
  </w:style>
  <w:style w:type="paragraph" w:styleId="ListBullet">
    <w:name w:val="List Bullet"/>
    <w:basedOn w:val="Normal"/>
    <w:uiPriority w:val="99"/>
    <w:qFormat/>
    <w:rsid w:val="00262CEB"/>
    <w:pPr>
      <w:numPr>
        <w:numId w:val="7"/>
      </w:numPr>
      <w:spacing w:before="120" w:after="120" w:line="240" w:lineRule="atLeast"/>
    </w:pPr>
    <w:rPr>
      <w:rFonts w:ascii="Cambria" w:eastAsia="Cambria" w:hAnsi="Cambria" w:cs="Times New Roman"/>
      <w:sz w:val="22"/>
      <w:szCs w:val="22"/>
      <w:lang w:eastAsia="en-US"/>
    </w:rPr>
  </w:style>
  <w:style w:type="paragraph" w:styleId="ListBullet2">
    <w:name w:val="List Bullet 2"/>
    <w:basedOn w:val="Normal"/>
    <w:uiPriority w:val="99"/>
    <w:qFormat/>
    <w:rsid w:val="00262CEB"/>
    <w:pPr>
      <w:numPr>
        <w:ilvl w:val="1"/>
        <w:numId w:val="7"/>
      </w:numPr>
      <w:spacing w:before="120" w:after="120" w:line="240" w:lineRule="atLeast"/>
    </w:pPr>
    <w:rPr>
      <w:rFonts w:ascii="Cambria" w:eastAsia="Cambria" w:hAnsi="Cambria" w:cs="Times New Roman"/>
      <w:sz w:val="22"/>
      <w:szCs w:val="22"/>
      <w:lang w:eastAsia="en-US"/>
    </w:rPr>
  </w:style>
  <w:style w:type="paragraph" w:styleId="ListBullet3">
    <w:name w:val="List Bullet 3"/>
    <w:basedOn w:val="Normal"/>
    <w:uiPriority w:val="99"/>
    <w:qFormat/>
    <w:rsid w:val="00262CEB"/>
    <w:pPr>
      <w:numPr>
        <w:ilvl w:val="2"/>
        <w:numId w:val="7"/>
      </w:numPr>
      <w:spacing w:before="120" w:after="120" w:line="240" w:lineRule="atLeast"/>
    </w:pPr>
    <w:rPr>
      <w:rFonts w:ascii="Cambria" w:eastAsia="Cambria" w:hAnsi="Cambria" w:cs="Times New Roman"/>
      <w:sz w:val="22"/>
      <w:szCs w:val="22"/>
      <w:lang w:eastAsia="en-US"/>
    </w:rPr>
  </w:style>
  <w:style w:type="numbering" w:customStyle="1" w:styleId="ListBullets">
    <w:name w:val="ListBullets"/>
    <w:uiPriority w:val="99"/>
    <w:locked/>
    <w:rsid w:val="00262CEB"/>
    <w:pPr>
      <w:numPr>
        <w:numId w:val="7"/>
      </w:numPr>
    </w:pPr>
  </w:style>
  <w:style w:type="paragraph" w:customStyle="1" w:styleId="Default">
    <w:name w:val="Default"/>
    <w:rsid w:val="00262CEB"/>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rsid w:val="00262CEB"/>
    <w:pPr>
      <w:tabs>
        <w:tab w:val="left" w:pos="-1294"/>
        <w:tab w:val="left" w:pos="-574"/>
        <w:tab w:val="left" w:pos="146"/>
        <w:tab w:val="left" w:pos="866"/>
        <w:tab w:val="left" w:pos="1586"/>
        <w:tab w:val="left" w:pos="2306"/>
        <w:tab w:val="left" w:pos="3026"/>
        <w:tab w:val="left" w:pos="3746"/>
        <w:tab w:val="left" w:pos="4466"/>
        <w:tab w:val="left" w:pos="5186"/>
        <w:tab w:val="left" w:pos="5906"/>
        <w:tab w:val="left" w:pos="6626"/>
        <w:tab w:val="left" w:pos="7346"/>
        <w:tab w:val="left" w:pos="8066"/>
        <w:tab w:val="left" w:pos="8786"/>
      </w:tabs>
      <w:spacing w:after="0"/>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262CEB"/>
    <w:rPr>
      <w:rFonts w:ascii="Times New Roman" w:eastAsia="Times New Roman" w:hAnsi="Times New Roman" w:cs="Times New Roman"/>
      <w:szCs w:val="20"/>
    </w:rPr>
  </w:style>
  <w:style w:type="paragraph" w:styleId="BodyText2">
    <w:name w:val="Body Text 2"/>
    <w:basedOn w:val="Normal"/>
    <w:link w:val="BodyText2Char"/>
    <w:rsid w:val="00262CEB"/>
    <w:pPr>
      <w:tabs>
        <w:tab w:val="left" w:pos="2808"/>
        <w:tab w:val="left" w:pos="9180"/>
      </w:tabs>
      <w:spacing w:after="0"/>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62CEB"/>
    <w:rPr>
      <w:rFonts w:ascii="Times New Roman" w:eastAsia="Times New Roman" w:hAnsi="Times New Roman" w:cs="Times New Roman"/>
      <w:szCs w:val="20"/>
    </w:rPr>
  </w:style>
  <w:style w:type="paragraph" w:styleId="PlainText">
    <w:name w:val="Plain Text"/>
    <w:basedOn w:val="Normal"/>
    <w:link w:val="PlainTextChar"/>
    <w:uiPriority w:val="99"/>
    <w:unhideWhenUsed/>
    <w:rsid w:val="00262CEB"/>
    <w:pPr>
      <w:spacing w:after="0"/>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262CEB"/>
    <w:rPr>
      <w:rFonts w:ascii="Consolas" w:eastAsiaTheme="minorHAnsi" w:hAnsi="Consolas" w:cs="Consolas"/>
      <w:sz w:val="21"/>
      <w:szCs w:val="21"/>
      <w:lang w:eastAsia="en-US"/>
    </w:rPr>
  </w:style>
  <w:style w:type="character" w:styleId="FollowedHyperlink">
    <w:name w:val="FollowedHyperlink"/>
    <w:basedOn w:val="DefaultParagraphFont"/>
    <w:uiPriority w:val="99"/>
    <w:semiHidden/>
    <w:unhideWhenUsed/>
    <w:rsid w:val="00262CEB"/>
    <w:rPr>
      <w:color w:val="800080"/>
      <w:u w:val="single"/>
    </w:rPr>
  </w:style>
  <w:style w:type="paragraph" w:customStyle="1" w:styleId="xl63">
    <w:name w:val="xl63"/>
    <w:basedOn w:val="Normal"/>
    <w:rsid w:val="00262CEB"/>
    <w:pPr>
      <w:shd w:val="clear" w:color="000000" w:fill="EEECE1"/>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262C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262CEB"/>
    <w:pP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262C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262CEB"/>
    <w:pPr>
      <w:shd w:val="clear" w:color="000000" w:fill="EEECE1"/>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262CEB"/>
    <w:pPr>
      <w:shd w:val="clear" w:color="000000" w:fill="FFFFFF"/>
      <w:spacing w:before="100" w:beforeAutospacing="1" w:after="100" w:afterAutospacing="1"/>
      <w:textAlignment w:val="top"/>
    </w:pPr>
    <w:rPr>
      <w:rFonts w:ascii="MS Sans Serif" w:eastAsia="Times New Roman" w:hAnsi="MS Sans Serif" w:cs="Times New Roman"/>
    </w:rPr>
  </w:style>
  <w:style w:type="paragraph" w:customStyle="1" w:styleId="xl69">
    <w:name w:val="xl69"/>
    <w:basedOn w:val="Normal"/>
    <w:rsid w:val="00262CEB"/>
    <w:pPr>
      <w:shd w:val="clear" w:color="000000" w:fill="EEECE1"/>
      <w:spacing w:before="100" w:beforeAutospacing="1" w:after="100" w:afterAutospacing="1"/>
      <w:textAlignment w:val="top"/>
    </w:pPr>
    <w:rPr>
      <w:rFonts w:ascii="MS Sans Serif" w:eastAsia="Times New Roman" w:hAnsi="MS Sans Serif" w:cs="Times New Roman"/>
    </w:rPr>
  </w:style>
  <w:style w:type="paragraph" w:customStyle="1" w:styleId="xl70">
    <w:name w:val="xl70"/>
    <w:basedOn w:val="Normal"/>
    <w:rsid w:val="00262CEB"/>
    <w:pPr>
      <w:shd w:val="clear" w:color="000000" w:fill="EEECE1"/>
      <w:spacing w:before="100" w:beforeAutospacing="1" w:after="100" w:afterAutospacing="1"/>
    </w:pPr>
    <w:rPr>
      <w:rFonts w:ascii="MS Sans Serif" w:eastAsia="Times New Roman" w:hAnsi="MS Sans Serif" w:cs="Times New Roman"/>
    </w:rPr>
  </w:style>
  <w:style w:type="paragraph" w:customStyle="1" w:styleId="xl71">
    <w:name w:val="xl71"/>
    <w:basedOn w:val="Normal"/>
    <w:rsid w:val="00262CEB"/>
    <w:pPr>
      <w:spacing w:before="100" w:beforeAutospacing="1" w:after="100" w:afterAutospacing="1"/>
    </w:pPr>
    <w:rPr>
      <w:rFonts w:ascii="MS Sans Serif" w:eastAsia="Times New Roman" w:hAnsi="MS Sans Serif" w:cs="Times New Roman"/>
    </w:rPr>
  </w:style>
  <w:style w:type="paragraph" w:styleId="Revision">
    <w:name w:val="Revision"/>
    <w:hidden/>
    <w:uiPriority w:val="99"/>
    <w:semiHidden/>
    <w:rsid w:val="00262CEB"/>
    <w:pPr>
      <w:spacing w:after="0" w:line="240" w:lineRule="auto"/>
    </w:pPr>
    <w:rPr>
      <w:sz w:val="24"/>
      <w:szCs w:val="24"/>
    </w:rPr>
  </w:style>
  <w:style w:type="paragraph" w:customStyle="1" w:styleId="TableText">
    <w:name w:val="Table Text"/>
    <w:basedOn w:val="Normal"/>
    <w:rsid w:val="00262CEB"/>
    <w:pPr>
      <w:spacing w:after="0"/>
    </w:pPr>
    <w:rPr>
      <w:rFonts w:ascii="Arial" w:eastAsia="Arial" w:hAnsi="Arial" w:cs="Arial"/>
      <w:sz w:val="20"/>
      <w:szCs w:val="20"/>
      <w:lang w:val="en-US" w:eastAsia="en-US"/>
    </w:rPr>
  </w:style>
  <w:style w:type="character" w:styleId="SubtleEmphasis">
    <w:name w:val="Subtle Emphasis"/>
    <w:basedOn w:val="DefaultParagraphFont"/>
    <w:uiPriority w:val="19"/>
    <w:qFormat/>
    <w:rsid w:val="00262CEB"/>
    <w:rPr>
      <w:rFonts w:ascii="Arial" w:hAnsi="Arial"/>
      <w:i w:val="0"/>
      <w:iCs/>
      <w:color w:val="auto"/>
      <w:spacing w:val="0"/>
      <w:sz w:val="20"/>
    </w:rPr>
  </w:style>
  <w:style w:type="table" w:customStyle="1" w:styleId="TableGrid2">
    <w:name w:val="Table Grid2"/>
    <w:basedOn w:val="TableNormal"/>
    <w:next w:val="TableGrid"/>
    <w:uiPriority w:val="59"/>
    <w:rsid w:val="00262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62CEB"/>
    <w:pPr>
      <w:spacing w:after="0"/>
    </w:pPr>
    <w:rPr>
      <w:sz w:val="20"/>
      <w:szCs w:val="20"/>
    </w:rPr>
  </w:style>
  <w:style w:type="character" w:customStyle="1" w:styleId="EndnoteTextChar">
    <w:name w:val="Endnote Text Char"/>
    <w:basedOn w:val="DefaultParagraphFont"/>
    <w:link w:val="EndnoteText"/>
    <w:uiPriority w:val="99"/>
    <w:semiHidden/>
    <w:rsid w:val="00262CEB"/>
    <w:rPr>
      <w:sz w:val="20"/>
      <w:szCs w:val="20"/>
    </w:rPr>
  </w:style>
  <w:style w:type="character" w:styleId="EndnoteReference">
    <w:name w:val="endnote reference"/>
    <w:basedOn w:val="DefaultParagraphFont"/>
    <w:uiPriority w:val="99"/>
    <w:semiHidden/>
    <w:unhideWhenUsed/>
    <w:rsid w:val="00262CEB"/>
    <w:rPr>
      <w:vertAlign w:val="superscript"/>
    </w:rPr>
  </w:style>
  <w:style w:type="character" w:customStyle="1" w:styleId="highlight">
    <w:name w:val="highlight"/>
    <w:basedOn w:val="DefaultParagraphFont"/>
    <w:rsid w:val="00262CEB"/>
  </w:style>
  <w:style w:type="character" w:customStyle="1" w:styleId="ui-ncbitoggler-master-text">
    <w:name w:val="ui-ncbitoggler-master-text"/>
    <w:basedOn w:val="DefaultParagraphFont"/>
    <w:rsid w:val="00262CEB"/>
  </w:style>
  <w:style w:type="paragraph" w:styleId="NormalWeb">
    <w:name w:val="Normal (Web)"/>
    <w:basedOn w:val="Normal"/>
    <w:uiPriority w:val="99"/>
    <w:semiHidden/>
    <w:unhideWhenUsed/>
    <w:rsid w:val="00262CEB"/>
    <w:pPr>
      <w:spacing w:before="100" w:beforeAutospacing="1" w:after="100" w:afterAutospacing="1"/>
    </w:pPr>
    <w:rPr>
      <w:rFonts w:ascii="Times New Roman" w:eastAsia="Times New Roman" w:hAnsi="Times New Roman" w:cs="Times New Roman"/>
    </w:rPr>
  </w:style>
  <w:style w:type="paragraph" w:customStyle="1" w:styleId="DepartmentalNormal">
    <w:name w:val="Departmental Normal"/>
    <w:basedOn w:val="Normal"/>
    <w:rsid w:val="00262CEB"/>
    <w:pPr>
      <w:spacing w:after="0"/>
    </w:pPr>
    <w:rPr>
      <w:rFonts w:ascii="Times New Roman" w:eastAsia="Times New Roman" w:hAnsi="Times New Roman" w:cs="Times New Roman"/>
      <w:sz w:val="22"/>
      <w:szCs w:val="20"/>
    </w:rPr>
  </w:style>
  <w:style w:type="table" w:styleId="LightList-Accent1">
    <w:name w:val="Light List Accent 1"/>
    <w:basedOn w:val="TableNormal"/>
    <w:uiPriority w:val="61"/>
    <w:rsid w:val="00262CE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62CE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62CE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
    <w:name w:val="Light Shading"/>
    <w:basedOn w:val="TableNormal"/>
    <w:uiPriority w:val="60"/>
    <w:rsid w:val="00262C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62C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rsid w:val="00262CE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xl72">
    <w:name w:val="xl72"/>
    <w:basedOn w:val="Normal"/>
    <w:rsid w:val="00262CEB"/>
    <w:pPr>
      <w:spacing w:before="100" w:beforeAutospacing="1" w:after="100" w:afterAutospacing="1"/>
    </w:pPr>
    <w:rPr>
      <w:rFonts w:ascii="Calibri" w:eastAsia="Times New Roman" w:hAnsi="Calibri" w:cs="Times New Roman"/>
    </w:rPr>
  </w:style>
  <w:style w:type="character" w:customStyle="1" w:styleId="apple-converted-space">
    <w:name w:val="apple-converted-space"/>
    <w:basedOn w:val="DefaultParagraphFont"/>
    <w:rsid w:val="00262CEB"/>
  </w:style>
  <w:style w:type="paragraph" w:styleId="Caption">
    <w:name w:val="caption"/>
    <w:basedOn w:val="Normal"/>
    <w:next w:val="Normal"/>
    <w:uiPriority w:val="35"/>
    <w:unhideWhenUsed/>
    <w:qFormat/>
    <w:rsid w:val="00262CEB"/>
    <w:rPr>
      <w:b/>
      <w:bCs/>
      <w:color w:val="4F81BD" w:themeColor="accent1"/>
      <w:sz w:val="18"/>
      <w:szCs w:val="18"/>
    </w:rPr>
  </w:style>
  <w:style w:type="paragraph" w:customStyle="1" w:styleId="PBACBullets">
    <w:name w:val="PBAC Bullets"/>
    <w:basedOn w:val="Normal"/>
    <w:qFormat/>
    <w:rsid w:val="0088020D"/>
    <w:pPr>
      <w:numPr>
        <w:numId w:val="40"/>
      </w:numPr>
      <w:spacing w:before="240" w:after="60"/>
      <w:ind w:left="357" w:hanging="357"/>
    </w:pPr>
    <w:rPr>
      <w:rFonts w:ascii="Calibri" w:eastAsia="Calibri" w:hAnsi="Calibri" w:cs="Times New Roman"/>
      <w:sz w:val="22"/>
      <w:szCs w:val="22"/>
      <w:lang w:eastAsia="en-US"/>
    </w:rPr>
  </w:style>
  <w:style w:type="paragraph" w:customStyle="1" w:styleId="minutesdotpoint">
    <w:name w:val="minutes dot point"/>
    <w:basedOn w:val="Normal"/>
    <w:link w:val="minutesdotpointChar"/>
    <w:qFormat/>
    <w:rsid w:val="00DA594E"/>
    <w:pPr>
      <w:numPr>
        <w:numId w:val="42"/>
      </w:numPr>
      <w:spacing w:after="120"/>
      <w:jc w:val="both"/>
    </w:pPr>
    <w:rPr>
      <w:rFonts w:ascii="Calibri" w:eastAsia="Times New Roman" w:hAnsi="Calibri" w:cs="Calibri"/>
      <w:sz w:val="22"/>
      <w:szCs w:val="22"/>
      <w:lang w:eastAsia="en-US"/>
    </w:rPr>
  </w:style>
  <w:style w:type="character" w:customStyle="1" w:styleId="minutesdotpointChar">
    <w:name w:val="minutes dot point Char"/>
    <w:link w:val="minutesdotpoint"/>
    <w:rsid w:val="00DA594E"/>
    <w:rPr>
      <w:rFonts w:ascii="Calibri" w:eastAsia="Times New Roman" w:hAnsi="Calibri" w:cs="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qFormat="1"/>
    <w:lsdException w:name="List Bullet 2" w:qFormat="1"/>
    <w:lsdException w:name="List Bullet 3"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1D390D"/>
    <w:pPr>
      <w:keepNext/>
      <w:keepLines/>
      <w:spacing w:before="480" w:after="240"/>
      <w:outlineLvl w:val="0"/>
    </w:pPr>
    <w:rPr>
      <w:rFonts w:eastAsiaTheme="majorEastAsia" w:cstheme="majorBidi"/>
      <w:b/>
      <w:bCs/>
      <w:sz w:val="40"/>
      <w:szCs w:val="28"/>
    </w:rPr>
  </w:style>
  <w:style w:type="paragraph" w:styleId="Heading2">
    <w:name w:val="heading 2"/>
    <w:basedOn w:val="Normal"/>
    <w:next w:val="Normal"/>
    <w:link w:val="Heading2Char"/>
    <w:uiPriority w:val="9"/>
    <w:unhideWhenUsed/>
    <w:qFormat/>
    <w:rsid w:val="001D390D"/>
    <w:pPr>
      <w:keepNext/>
      <w:keepLines/>
      <w:spacing w:before="360" w:after="240"/>
      <w:outlineLvl w:val="1"/>
    </w:pPr>
    <w:rPr>
      <w:rFonts w:eastAsiaTheme="majorEastAsia" w:cstheme="majorBidi"/>
      <w:b/>
      <w:bCs/>
      <w:i/>
    </w:rPr>
  </w:style>
  <w:style w:type="paragraph" w:styleId="Heading3">
    <w:name w:val="heading 3"/>
    <w:basedOn w:val="Heading2"/>
    <w:next w:val="Normal"/>
    <w:link w:val="Heading3Char"/>
    <w:uiPriority w:val="9"/>
    <w:unhideWhenUsed/>
    <w:qFormat/>
    <w:rsid w:val="001D390D"/>
    <w:pPr>
      <w:outlineLvl w:val="2"/>
    </w:pPr>
    <w:rPr>
      <w:i w:val="0"/>
      <w:sz w:val="32"/>
      <w:szCs w:val="32"/>
    </w:rPr>
  </w:style>
  <w:style w:type="paragraph" w:styleId="Heading4">
    <w:name w:val="heading 4"/>
    <w:basedOn w:val="Heading3"/>
    <w:next w:val="Normal"/>
    <w:link w:val="Heading4Char"/>
    <w:uiPriority w:val="9"/>
    <w:unhideWhenUsed/>
    <w:qFormat/>
    <w:rsid w:val="00E376AA"/>
    <w:pPr>
      <w:outlineLvl w:val="3"/>
    </w:pPr>
    <w:rPr>
      <w:sz w:val="28"/>
      <w:szCs w:val="28"/>
    </w:rPr>
  </w:style>
  <w:style w:type="paragraph" w:styleId="Heading5">
    <w:name w:val="heading 5"/>
    <w:basedOn w:val="Heading4"/>
    <w:next w:val="Normal"/>
    <w:link w:val="Heading5Char"/>
    <w:uiPriority w:val="9"/>
    <w:unhideWhenUsed/>
    <w:qFormat/>
    <w:rsid w:val="004F1E15"/>
    <w:pPr>
      <w:outlineLvl w:val="4"/>
    </w:pPr>
    <w:rPr>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90D"/>
    <w:rPr>
      <w:rFonts w:eastAsiaTheme="majorEastAsia" w:cstheme="majorBidi"/>
      <w:b/>
      <w:bCs/>
      <w:sz w:val="40"/>
      <w:szCs w:val="28"/>
    </w:rPr>
  </w:style>
  <w:style w:type="character" w:customStyle="1" w:styleId="Heading2Char">
    <w:name w:val="Heading 2 Char"/>
    <w:basedOn w:val="DefaultParagraphFont"/>
    <w:link w:val="Heading2"/>
    <w:uiPriority w:val="9"/>
    <w:rsid w:val="001D390D"/>
    <w:rPr>
      <w:rFonts w:eastAsiaTheme="majorEastAsia" w:cstheme="majorBidi"/>
      <w:b/>
      <w:bCs/>
      <w:i/>
      <w:sz w:val="24"/>
      <w:szCs w:val="24"/>
    </w:rPr>
  </w:style>
  <w:style w:type="character" w:customStyle="1" w:styleId="Heading3Char">
    <w:name w:val="Heading 3 Char"/>
    <w:basedOn w:val="DefaultParagraphFont"/>
    <w:link w:val="Heading3"/>
    <w:uiPriority w:val="9"/>
    <w:rsid w:val="001D390D"/>
    <w:rPr>
      <w:rFonts w:eastAsiaTheme="majorEastAsia" w:cstheme="majorBidi"/>
      <w:b/>
      <w:bCs/>
      <w:sz w:val="32"/>
      <w:szCs w:val="32"/>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E376AA"/>
    <w:rPr>
      <w:rFonts w:eastAsiaTheme="majorEastAsia" w:cstheme="majorBidi"/>
      <w:b/>
      <w:bCs/>
      <w:sz w:val="28"/>
      <w:szCs w:val="28"/>
    </w:rPr>
  </w:style>
  <w:style w:type="character" w:customStyle="1" w:styleId="Heading5Char">
    <w:name w:val="Heading 5 Char"/>
    <w:basedOn w:val="DefaultParagraphFont"/>
    <w:link w:val="Heading5"/>
    <w:uiPriority w:val="9"/>
    <w:rsid w:val="004F1E15"/>
    <w:rPr>
      <w:rFonts w:eastAsiaTheme="majorEastAsia" w:cstheme="majorBidi"/>
      <w:b/>
      <w:bCs/>
      <w: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2F63ED"/>
    <w:pPr>
      <w:spacing w:before="200"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2F63ED"/>
    <w:rPr>
      <w:rFonts w:eastAsiaTheme="majorEastAsia" w:cstheme="majorBidi"/>
      <w:b/>
      <w:bCs/>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character" w:styleId="Hyperlink">
    <w:name w:val="Hyperlink"/>
    <w:basedOn w:val="DefaultParagraphFont"/>
    <w:uiPriority w:val="99"/>
    <w:unhideWhenUsed/>
    <w:rsid w:val="00561CB4"/>
    <w:rPr>
      <w:color w:val="0000FF" w:themeColor="hyperlink"/>
      <w:u w:val="single"/>
    </w:rPr>
  </w:style>
  <w:style w:type="paragraph" w:styleId="Subtitle">
    <w:name w:val="Subtitle"/>
    <w:basedOn w:val="Heading1"/>
    <w:next w:val="Normal"/>
    <w:link w:val="SubtitleChar"/>
    <w:uiPriority w:val="11"/>
    <w:qFormat/>
    <w:rsid w:val="00252D19"/>
  </w:style>
  <w:style w:type="character" w:customStyle="1" w:styleId="SubtitleChar">
    <w:name w:val="Subtitle Char"/>
    <w:basedOn w:val="DefaultParagraphFont"/>
    <w:link w:val="Subtitle"/>
    <w:uiPriority w:val="11"/>
    <w:rsid w:val="00252D19"/>
    <w:rPr>
      <w:rFonts w:eastAsiaTheme="majorEastAsia" w:cstheme="majorBidi"/>
      <w:b/>
      <w:bCs/>
      <w:sz w:val="40"/>
      <w:szCs w:val="28"/>
    </w:rPr>
  </w:style>
  <w:style w:type="paragraph" w:styleId="ListParagraph">
    <w:name w:val="List Paragraph"/>
    <w:basedOn w:val="Normal"/>
    <w:link w:val="ListParagraphChar"/>
    <w:uiPriority w:val="72"/>
    <w:qFormat/>
    <w:rsid w:val="00D5506A"/>
    <w:pPr>
      <w:ind w:left="720"/>
      <w:contextualSpacing/>
    </w:pPr>
  </w:style>
  <w:style w:type="character" w:customStyle="1" w:styleId="ListParagraphChar">
    <w:name w:val="List Paragraph Char"/>
    <w:link w:val="ListParagraph"/>
    <w:uiPriority w:val="72"/>
    <w:rsid w:val="00D5506A"/>
    <w:rPr>
      <w:sz w:val="24"/>
      <w:szCs w:val="24"/>
    </w:rPr>
  </w:style>
  <w:style w:type="paragraph" w:styleId="ListBullet">
    <w:name w:val="List Bullet"/>
    <w:basedOn w:val="Normal"/>
    <w:uiPriority w:val="99"/>
    <w:qFormat/>
    <w:rsid w:val="00262CEB"/>
    <w:pPr>
      <w:numPr>
        <w:numId w:val="7"/>
      </w:numPr>
      <w:spacing w:before="120" w:after="120" w:line="240" w:lineRule="atLeast"/>
    </w:pPr>
    <w:rPr>
      <w:rFonts w:ascii="Cambria" w:eastAsia="Cambria" w:hAnsi="Cambria" w:cs="Times New Roman"/>
      <w:sz w:val="22"/>
      <w:szCs w:val="22"/>
      <w:lang w:eastAsia="en-US"/>
    </w:rPr>
  </w:style>
  <w:style w:type="paragraph" w:styleId="ListBullet2">
    <w:name w:val="List Bullet 2"/>
    <w:basedOn w:val="Normal"/>
    <w:uiPriority w:val="99"/>
    <w:qFormat/>
    <w:rsid w:val="00262CEB"/>
    <w:pPr>
      <w:numPr>
        <w:ilvl w:val="1"/>
        <w:numId w:val="7"/>
      </w:numPr>
      <w:spacing w:before="120" w:after="120" w:line="240" w:lineRule="atLeast"/>
    </w:pPr>
    <w:rPr>
      <w:rFonts w:ascii="Cambria" w:eastAsia="Cambria" w:hAnsi="Cambria" w:cs="Times New Roman"/>
      <w:sz w:val="22"/>
      <w:szCs w:val="22"/>
      <w:lang w:eastAsia="en-US"/>
    </w:rPr>
  </w:style>
  <w:style w:type="paragraph" w:styleId="ListBullet3">
    <w:name w:val="List Bullet 3"/>
    <w:basedOn w:val="Normal"/>
    <w:uiPriority w:val="99"/>
    <w:qFormat/>
    <w:rsid w:val="00262CEB"/>
    <w:pPr>
      <w:numPr>
        <w:ilvl w:val="2"/>
        <w:numId w:val="7"/>
      </w:numPr>
      <w:spacing w:before="120" w:after="120" w:line="240" w:lineRule="atLeast"/>
    </w:pPr>
    <w:rPr>
      <w:rFonts w:ascii="Cambria" w:eastAsia="Cambria" w:hAnsi="Cambria" w:cs="Times New Roman"/>
      <w:sz w:val="22"/>
      <w:szCs w:val="22"/>
      <w:lang w:eastAsia="en-US"/>
    </w:rPr>
  </w:style>
  <w:style w:type="numbering" w:customStyle="1" w:styleId="ListBullets">
    <w:name w:val="ListBullets"/>
    <w:uiPriority w:val="99"/>
    <w:locked/>
    <w:rsid w:val="00262CEB"/>
    <w:pPr>
      <w:numPr>
        <w:numId w:val="7"/>
      </w:numPr>
    </w:pPr>
  </w:style>
  <w:style w:type="paragraph" w:customStyle="1" w:styleId="Default">
    <w:name w:val="Default"/>
    <w:rsid w:val="00262CEB"/>
    <w:pPr>
      <w:autoSpaceDE w:val="0"/>
      <w:autoSpaceDN w:val="0"/>
      <w:adjustRightInd w:val="0"/>
      <w:spacing w:after="0" w:line="240" w:lineRule="auto"/>
    </w:pPr>
    <w:rPr>
      <w:rFonts w:ascii="Cambria" w:hAnsi="Cambria" w:cs="Cambria"/>
      <w:color w:val="000000"/>
      <w:sz w:val="24"/>
      <w:szCs w:val="24"/>
    </w:rPr>
  </w:style>
  <w:style w:type="paragraph" w:styleId="BodyText">
    <w:name w:val="Body Text"/>
    <w:basedOn w:val="Normal"/>
    <w:link w:val="BodyTextChar"/>
    <w:rsid w:val="00262CEB"/>
    <w:pPr>
      <w:tabs>
        <w:tab w:val="left" w:pos="-1294"/>
        <w:tab w:val="left" w:pos="-574"/>
        <w:tab w:val="left" w:pos="146"/>
        <w:tab w:val="left" w:pos="866"/>
        <w:tab w:val="left" w:pos="1586"/>
        <w:tab w:val="left" w:pos="2306"/>
        <w:tab w:val="left" w:pos="3026"/>
        <w:tab w:val="left" w:pos="3746"/>
        <w:tab w:val="left" w:pos="4466"/>
        <w:tab w:val="left" w:pos="5186"/>
        <w:tab w:val="left" w:pos="5906"/>
        <w:tab w:val="left" w:pos="6626"/>
        <w:tab w:val="left" w:pos="7346"/>
        <w:tab w:val="left" w:pos="8066"/>
        <w:tab w:val="left" w:pos="8786"/>
      </w:tabs>
      <w:spacing w:after="0"/>
      <w:jc w:val="both"/>
    </w:pPr>
    <w:rPr>
      <w:rFonts w:ascii="Times New Roman" w:eastAsia="Times New Roman" w:hAnsi="Times New Roman" w:cs="Times New Roman"/>
      <w:sz w:val="22"/>
      <w:szCs w:val="20"/>
    </w:rPr>
  </w:style>
  <w:style w:type="character" w:customStyle="1" w:styleId="BodyTextChar">
    <w:name w:val="Body Text Char"/>
    <w:basedOn w:val="DefaultParagraphFont"/>
    <w:link w:val="BodyText"/>
    <w:rsid w:val="00262CEB"/>
    <w:rPr>
      <w:rFonts w:ascii="Times New Roman" w:eastAsia="Times New Roman" w:hAnsi="Times New Roman" w:cs="Times New Roman"/>
      <w:szCs w:val="20"/>
    </w:rPr>
  </w:style>
  <w:style w:type="paragraph" w:styleId="BodyText2">
    <w:name w:val="Body Text 2"/>
    <w:basedOn w:val="Normal"/>
    <w:link w:val="BodyText2Char"/>
    <w:rsid w:val="00262CEB"/>
    <w:pPr>
      <w:tabs>
        <w:tab w:val="left" w:pos="2808"/>
        <w:tab w:val="left" w:pos="9180"/>
      </w:tabs>
      <w:spacing w:after="0"/>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262CEB"/>
    <w:rPr>
      <w:rFonts w:ascii="Times New Roman" w:eastAsia="Times New Roman" w:hAnsi="Times New Roman" w:cs="Times New Roman"/>
      <w:szCs w:val="20"/>
    </w:rPr>
  </w:style>
  <w:style w:type="paragraph" w:styleId="PlainText">
    <w:name w:val="Plain Text"/>
    <w:basedOn w:val="Normal"/>
    <w:link w:val="PlainTextChar"/>
    <w:uiPriority w:val="99"/>
    <w:unhideWhenUsed/>
    <w:rsid w:val="00262CEB"/>
    <w:pPr>
      <w:spacing w:after="0"/>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262CEB"/>
    <w:rPr>
      <w:rFonts w:ascii="Consolas" w:eastAsiaTheme="minorHAnsi" w:hAnsi="Consolas" w:cs="Consolas"/>
      <w:sz w:val="21"/>
      <w:szCs w:val="21"/>
      <w:lang w:eastAsia="en-US"/>
    </w:rPr>
  </w:style>
  <w:style w:type="character" w:styleId="FollowedHyperlink">
    <w:name w:val="FollowedHyperlink"/>
    <w:basedOn w:val="DefaultParagraphFont"/>
    <w:uiPriority w:val="99"/>
    <w:semiHidden/>
    <w:unhideWhenUsed/>
    <w:rsid w:val="00262CEB"/>
    <w:rPr>
      <w:color w:val="800080"/>
      <w:u w:val="single"/>
    </w:rPr>
  </w:style>
  <w:style w:type="paragraph" w:customStyle="1" w:styleId="xl63">
    <w:name w:val="xl63"/>
    <w:basedOn w:val="Normal"/>
    <w:rsid w:val="00262CEB"/>
    <w:pPr>
      <w:shd w:val="clear" w:color="000000" w:fill="EEECE1"/>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262C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262CEB"/>
    <w:pPr>
      <w:spacing w:before="100" w:beforeAutospacing="1" w:after="100" w:afterAutospacing="1"/>
    </w:pPr>
    <w:rPr>
      <w:rFonts w:ascii="Times New Roman" w:eastAsia="Times New Roman" w:hAnsi="Times New Roman" w:cs="Times New Roman"/>
    </w:rPr>
  </w:style>
  <w:style w:type="paragraph" w:customStyle="1" w:styleId="xl66">
    <w:name w:val="xl66"/>
    <w:basedOn w:val="Normal"/>
    <w:rsid w:val="00262CEB"/>
    <w:pPr>
      <w:shd w:val="clear" w:color="000000" w:fill="FFFFFF"/>
      <w:spacing w:before="100" w:beforeAutospacing="1" w:after="100" w:afterAutospacing="1"/>
    </w:pPr>
    <w:rPr>
      <w:rFonts w:ascii="Times New Roman" w:eastAsia="Times New Roman" w:hAnsi="Times New Roman" w:cs="Times New Roman"/>
    </w:rPr>
  </w:style>
  <w:style w:type="paragraph" w:customStyle="1" w:styleId="xl67">
    <w:name w:val="xl67"/>
    <w:basedOn w:val="Normal"/>
    <w:rsid w:val="00262CEB"/>
    <w:pPr>
      <w:shd w:val="clear" w:color="000000" w:fill="EEECE1"/>
      <w:spacing w:before="100" w:beforeAutospacing="1" w:after="100" w:afterAutospacing="1"/>
    </w:pPr>
    <w:rPr>
      <w:rFonts w:ascii="Times New Roman" w:eastAsia="Times New Roman" w:hAnsi="Times New Roman" w:cs="Times New Roman"/>
    </w:rPr>
  </w:style>
  <w:style w:type="paragraph" w:customStyle="1" w:styleId="xl68">
    <w:name w:val="xl68"/>
    <w:basedOn w:val="Normal"/>
    <w:rsid w:val="00262CEB"/>
    <w:pPr>
      <w:shd w:val="clear" w:color="000000" w:fill="FFFFFF"/>
      <w:spacing w:before="100" w:beforeAutospacing="1" w:after="100" w:afterAutospacing="1"/>
      <w:textAlignment w:val="top"/>
    </w:pPr>
    <w:rPr>
      <w:rFonts w:ascii="MS Sans Serif" w:eastAsia="Times New Roman" w:hAnsi="MS Sans Serif" w:cs="Times New Roman"/>
    </w:rPr>
  </w:style>
  <w:style w:type="paragraph" w:customStyle="1" w:styleId="xl69">
    <w:name w:val="xl69"/>
    <w:basedOn w:val="Normal"/>
    <w:rsid w:val="00262CEB"/>
    <w:pPr>
      <w:shd w:val="clear" w:color="000000" w:fill="EEECE1"/>
      <w:spacing w:before="100" w:beforeAutospacing="1" w:after="100" w:afterAutospacing="1"/>
      <w:textAlignment w:val="top"/>
    </w:pPr>
    <w:rPr>
      <w:rFonts w:ascii="MS Sans Serif" w:eastAsia="Times New Roman" w:hAnsi="MS Sans Serif" w:cs="Times New Roman"/>
    </w:rPr>
  </w:style>
  <w:style w:type="paragraph" w:customStyle="1" w:styleId="xl70">
    <w:name w:val="xl70"/>
    <w:basedOn w:val="Normal"/>
    <w:rsid w:val="00262CEB"/>
    <w:pPr>
      <w:shd w:val="clear" w:color="000000" w:fill="EEECE1"/>
      <w:spacing w:before="100" w:beforeAutospacing="1" w:after="100" w:afterAutospacing="1"/>
    </w:pPr>
    <w:rPr>
      <w:rFonts w:ascii="MS Sans Serif" w:eastAsia="Times New Roman" w:hAnsi="MS Sans Serif" w:cs="Times New Roman"/>
    </w:rPr>
  </w:style>
  <w:style w:type="paragraph" w:customStyle="1" w:styleId="xl71">
    <w:name w:val="xl71"/>
    <w:basedOn w:val="Normal"/>
    <w:rsid w:val="00262CEB"/>
    <w:pPr>
      <w:spacing w:before="100" w:beforeAutospacing="1" w:after="100" w:afterAutospacing="1"/>
    </w:pPr>
    <w:rPr>
      <w:rFonts w:ascii="MS Sans Serif" w:eastAsia="Times New Roman" w:hAnsi="MS Sans Serif" w:cs="Times New Roman"/>
    </w:rPr>
  </w:style>
  <w:style w:type="paragraph" w:styleId="Revision">
    <w:name w:val="Revision"/>
    <w:hidden/>
    <w:uiPriority w:val="99"/>
    <w:semiHidden/>
    <w:rsid w:val="00262CEB"/>
    <w:pPr>
      <w:spacing w:after="0" w:line="240" w:lineRule="auto"/>
    </w:pPr>
    <w:rPr>
      <w:sz w:val="24"/>
      <w:szCs w:val="24"/>
    </w:rPr>
  </w:style>
  <w:style w:type="paragraph" w:customStyle="1" w:styleId="TableText">
    <w:name w:val="Table Text"/>
    <w:basedOn w:val="Normal"/>
    <w:rsid w:val="00262CEB"/>
    <w:pPr>
      <w:spacing w:after="0"/>
    </w:pPr>
    <w:rPr>
      <w:rFonts w:ascii="Arial" w:eastAsia="Arial" w:hAnsi="Arial" w:cs="Arial"/>
      <w:sz w:val="20"/>
      <w:szCs w:val="20"/>
      <w:lang w:val="en-US" w:eastAsia="en-US"/>
    </w:rPr>
  </w:style>
  <w:style w:type="character" w:styleId="SubtleEmphasis">
    <w:name w:val="Subtle Emphasis"/>
    <w:basedOn w:val="DefaultParagraphFont"/>
    <w:uiPriority w:val="19"/>
    <w:qFormat/>
    <w:rsid w:val="00262CEB"/>
    <w:rPr>
      <w:rFonts w:ascii="Arial" w:hAnsi="Arial"/>
      <w:i w:val="0"/>
      <w:iCs/>
      <w:color w:val="auto"/>
      <w:spacing w:val="0"/>
      <w:sz w:val="20"/>
    </w:rPr>
  </w:style>
  <w:style w:type="table" w:customStyle="1" w:styleId="TableGrid2">
    <w:name w:val="Table Grid2"/>
    <w:basedOn w:val="TableNormal"/>
    <w:next w:val="TableGrid"/>
    <w:uiPriority w:val="59"/>
    <w:rsid w:val="00262CE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62CEB"/>
    <w:pPr>
      <w:spacing w:after="0"/>
    </w:pPr>
    <w:rPr>
      <w:sz w:val="20"/>
      <w:szCs w:val="20"/>
    </w:rPr>
  </w:style>
  <w:style w:type="character" w:customStyle="1" w:styleId="EndnoteTextChar">
    <w:name w:val="Endnote Text Char"/>
    <w:basedOn w:val="DefaultParagraphFont"/>
    <w:link w:val="EndnoteText"/>
    <w:uiPriority w:val="99"/>
    <w:semiHidden/>
    <w:rsid w:val="00262CEB"/>
    <w:rPr>
      <w:sz w:val="20"/>
      <w:szCs w:val="20"/>
    </w:rPr>
  </w:style>
  <w:style w:type="character" w:styleId="EndnoteReference">
    <w:name w:val="endnote reference"/>
    <w:basedOn w:val="DefaultParagraphFont"/>
    <w:uiPriority w:val="99"/>
    <w:semiHidden/>
    <w:unhideWhenUsed/>
    <w:rsid w:val="00262CEB"/>
    <w:rPr>
      <w:vertAlign w:val="superscript"/>
    </w:rPr>
  </w:style>
  <w:style w:type="character" w:customStyle="1" w:styleId="highlight">
    <w:name w:val="highlight"/>
    <w:basedOn w:val="DefaultParagraphFont"/>
    <w:rsid w:val="00262CEB"/>
  </w:style>
  <w:style w:type="character" w:customStyle="1" w:styleId="ui-ncbitoggler-master-text">
    <w:name w:val="ui-ncbitoggler-master-text"/>
    <w:basedOn w:val="DefaultParagraphFont"/>
    <w:rsid w:val="00262CEB"/>
  </w:style>
  <w:style w:type="paragraph" w:styleId="NormalWeb">
    <w:name w:val="Normal (Web)"/>
    <w:basedOn w:val="Normal"/>
    <w:uiPriority w:val="99"/>
    <w:semiHidden/>
    <w:unhideWhenUsed/>
    <w:rsid w:val="00262CEB"/>
    <w:pPr>
      <w:spacing w:before="100" w:beforeAutospacing="1" w:after="100" w:afterAutospacing="1"/>
    </w:pPr>
    <w:rPr>
      <w:rFonts w:ascii="Times New Roman" w:eastAsia="Times New Roman" w:hAnsi="Times New Roman" w:cs="Times New Roman"/>
    </w:rPr>
  </w:style>
  <w:style w:type="paragraph" w:customStyle="1" w:styleId="DepartmentalNormal">
    <w:name w:val="Departmental Normal"/>
    <w:basedOn w:val="Normal"/>
    <w:rsid w:val="00262CEB"/>
    <w:pPr>
      <w:spacing w:after="0"/>
    </w:pPr>
    <w:rPr>
      <w:rFonts w:ascii="Times New Roman" w:eastAsia="Times New Roman" w:hAnsi="Times New Roman" w:cs="Times New Roman"/>
      <w:sz w:val="22"/>
      <w:szCs w:val="20"/>
    </w:rPr>
  </w:style>
  <w:style w:type="table" w:styleId="LightList-Accent1">
    <w:name w:val="Light List Accent 1"/>
    <w:basedOn w:val="TableNormal"/>
    <w:uiPriority w:val="61"/>
    <w:rsid w:val="00262CEB"/>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62CEB"/>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62CEB"/>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Shading">
    <w:name w:val="Light Shading"/>
    <w:basedOn w:val="TableNormal"/>
    <w:uiPriority w:val="60"/>
    <w:rsid w:val="00262CE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262CE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MediumList1">
    <w:name w:val="Medium List 1"/>
    <w:basedOn w:val="TableNormal"/>
    <w:uiPriority w:val="65"/>
    <w:rsid w:val="00262CEB"/>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customStyle="1" w:styleId="xl72">
    <w:name w:val="xl72"/>
    <w:basedOn w:val="Normal"/>
    <w:rsid w:val="00262CEB"/>
    <w:pPr>
      <w:spacing w:before="100" w:beforeAutospacing="1" w:after="100" w:afterAutospacing="1"/>
    </w:pPr>
    <w:rPr>
      <w:rFonts w:ascii="Calibri" w:eastAsia="Times New Roman" w:hAnsi="Calibri" w:cs="Times New Roman"/>
    </w:rPr>
  </w:style>
  <w:style w:type="character" w:customStyle="1" w:styleId="apple-converted-space">
    <w:name w:val="apple-converted-space"/>
    <w:basedOn w:val="DefaultParagraphFont"/>
    <w:rsid w:val="00262CEB"/>
  </w:style>
  <w:style w:type="paragraph" w:styleId="Caption">
    <w:name w:val="caption"/>
    <w:basedOn w:val="Normal"/>
    <w:next w:val="Normal"/>
    <w:uiPriority w:val="35"/>
    <w:unhideWhenUsed/>
    <w:qFormat/>
    <w:rsid w:val="00262CEB"/>
    <w:rPr>
      <w:b/>
      <w:bCs/>
      <w:color w:val="4F81BD" w:themeColor="accent1"/>
      <w:sz w:val="18"/>
      <w:szCs w:val="18"/>
    </w:rPr>
  </w:style>
  <w:style w:type="paragraph" w:customStyle="1" w:styleId="PBACBullets">
    <w:name w:val="PBAC Bullets"/>
    <w:basedOn w:val="Normal"/>
    <w:qFormat/>
    <w:rsid w:val="0088020D"/>
    <w:pPr>
      <w:numPr>
        <w:numId w:val="40"/>
      </w:numPr>
      <w:spacing w:before="240" w:after="60"/>
      <w:ind w:left="357" w:hanging="357"/>
    </w:pPr>
    <w:rPr>
      <w:rFonts w:ascii="Calibri" w:eastAsia="Calibri" w:hAnsi="Calibri" w:cs="Times New Roman"/>
      <w:sz w:val="22"/>
      <w:szCs w:val="22"/>
      <w:lang w:eastAsia="en-US"/>
    </w:rPr>
  </w:style>
  <w:style w:type="paragraph" w:customStyle="1" w:styleId="minutesdotpoint">
    <w:name w:val="minutes dot point"/>
    <w:basedOn w:val="Normal"/>
    <w:link w:val="minutesdotpointChar"/>
    <w:qFormat/>
    <w:rsid w:val="00DA594E"/>
    <w:pPr>
      <w:numPr>
        <w:numId w:val="42"/>
      </w:numPr>
      <w:spacing w:after="120"/>
      <w:jc w:val="both"/>
    </w:pPr>
    <w:rPr>
      <w:rFonts w:ascii="Calibri" w:eastAsia="Times New Roman" w:hAnsi="Calibri" w:cs="Calibri"/>
      <w:sz w:val="22"/>
      <w:szCs w:val="22"/>
      <w:lang w:eastAsia="en-US"/>
    </w:rPr>
  </w:style>
  <w:style w:type="character" w:customStyle="1" w:styleId="minutesdotpointChar">
    <w:name w:val="minutes dot point Char"/>
    <w:link w:val="minutesdotpoint"/>
    <w:rsid w:val="00DA594E"/>
    <w:rPr>
      <w:rFonts w:ascii="Calibri" w:eastAsia="Times New Roman" w:hAnsi="Calibri" w:cs="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1412776019">
      <w:bodyDiv w:val="1"/>
      <w:marLeft w:val="0"/>
      <w:marRight w:val="0"/>
      <w:marTop w:val="0"/>
      <w:marBottom w:val="0"/>
      <w:divBdr>
        <w:top w:val="none" w:sz="0" w:space="0" w:color="auto"/>
        <w:left w:val="none" w:sz="0" w:space="0" w:color="auto"/>
        <w:bottom w:val="none" w:sz="0" w:space="0" w:color="auto"/>
        <w:right w:val="none" w:sz="0" w:space="0" w:color="auto"/>
      </w:divBdr>
      <w:divsChild>
        <w:div w:id="1311206863">
          <w:marLeft w:val="0"/>
          <w:marRight w:val="1"/>
          <w:marTop w:val="0"/>
          <w:marBottom w:val="0"/>
          <w:divBdr>
            <w:top w:val="none" w:sz="0" w:space="0" w:color="auto"/>
            <w:left w:val="none" w:sz="0" w:space="0" w:color="auto"/>
            <w:bottom w:val="none" w:sz="0" w:space="0" w:color="auto"/>
            <w:right w:val="none" w:sz="0" w:space="0" w:color="auto"/>
          </w:divBdr>
          <w:divsChild>
            <w:div w:id="489443052">
              <w:marLeft w:val="0"/>
              <w:marRight w:val="0"/>
              <w:marTop w:val="0"/>
              <w:marBottom w:val="0"/>
              <w:divBdr>
                <w:top w:val="none" w:sz="0" w:space="0" w:color="auto"/>
                <w:left w:val="none" w:sz="0" w:space="0" w:color="auto"/>
                <w:bottom w:val="none" w:sz="0" w:space="0" w:color="auto"/>
                <w:right w:val="none" w:sz="0" w:space="0" w:color="auto"/>
              </w:divBdr>
              <w:divsChild>
                <w:div w:id="1515342267">
                  <w:marLeft w:val="0"/>
                  <w:marRight w:val="1"/>
                  <w:marTop w:val="0"/>
                  <w:marBottom w:val="0"/>
                  <w:divBdr>
                    <w:top w:val="none" w:sz="0" w:space="0" w:color="auto"/>
                    <w:left w:val="none" w:sz="0" w:space="0" w:color="auto"/>
                    <w:bottom w:val="none" w:sz="0" w:space="0" w:color="auto"/>
                    <w:right w:val="none" w:sz="0" w:space="0" w:color="auto"/>
                  </w:divBdr>
                  <w:divsChild>
                    <w:div w:id="1531722705">
                      <w:marLeft w:val="0"/>
                      <w:marRight w:val="0"/>
                      <w:marTop w:val="0"/>
                      <w:marBottom w:val="0"/>
                      <w:divBdr>
                        <w:top w:val="none" w:sz="0" w:space="0" w:color="auto"/>
                        <w:left w:val="none" w:sz="0" w:space="0" w:color="auto"/>
                        <w:bottom w:val="none" w:sz="0" w:space="0" w:color="auto"/>
                        <w:right w:val="none" w:sz="0" w:space="0" w:color="auto"/>
                      </w:divBdr>
                      <w:divsChild>
                        <w:div w:id="198518245">
                          <w:marLeft w:val="0"/>
                          <w:marRight w:val="0"/>
                          <w:marTop w:val="0"/>
                          <w:marBottom w:val="0"/>
                          <w:divBdr>
                            <w:top w:val="none" w:sz="0" w:space="0" w:color="auto"/>
                            <w:left w:val="none" w:sz="0" w:space="0" w:color="auto"/>
                            <w:bottom w:val="none" w:sz="0" w:space="0" w:color="auto"/>
                            <w:right w:val="none" w:sz="0" w:space="0" w:color="auto"/>
                          </w:divBdr>
                          <w:divsChild>
                            <w:div w:id="1634293293">
                              <w:marLeft w:val="0"/>
                              <w:marRight w:val="0"/>
                              <w:marTop w:val="120"/>
                              <w:marBottom w:val="360"/>
                              <w:divBdr>
                                <w:top w:val="none" w:sz="0" w:space="0" w:color="auto"/>
                                <w:left w:val="none" w:sz="0" w:space="0" w:color="auto"/>
                                <w:bottom w:val="none" w:sz="0" w:space="0" w:color="auto"/>
                                <w:right w:val="none" w:sz="0" w:space="0" w:color="auto"/>
                              </w:divBdr>
                              <w:divsChild>
                                <w:div w:id="72961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humanservices.gov.au/health-professionals/forms/pb070" TargetMode="External"/><Relationship Id="rId18" Type="http://schemas.openxmlformats.org/officeDocument/2006/relationships/footer" Target="footer1.xml"/><Relationship Id="rId26" Type="http://schemas.openxmlformats.org/officeDocument/2006/relationships/chart" Target="charts/chart3.xml"/><Relationship Id="rId39"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image" Target="media/image4.gi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ga.gov.au/consumers/information-medicines-cmi.htm" TargetMode="External"/><Relationship Id="rId17" Type="http://schemas.openxmlformats.org/officeDocument/2006/relationships/header" Target="header2.xml"/><Relationship Id="rId25" Type="http://schemas.openxmlformats.org/officeDocument/2006/relationships/chart" Target="charts/chart2.xml"/><Relationship Id="rId33" Type="http://schemas.openxmlformats.org/officeDocument/2006/relationships/image" Target="media/image3.gif"/><Relationship Id="rId38" Type="http://schemas.openxmlformats.org/officeDocument/2006/relationships/chart" Target="charts/chart1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chart" Target="charts/chart6.xml"/><Relationship Id="rId41"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ga.gov.au/hp/information-medicines-pi.htm" TargetMode="External"/><Relationship Id="rId24" Type="http://schemas.openxmlformats.org/officeDocument/2006/relationships/chart" Target="charts/chart1.xml"/><Relationship Id="rId32" Type="http://schemas.openxmlformats.org/officeDocument/2006/relationships/image" Target="media/image2.gif"/><Relationship Id="rId37" Type="http://schemas.openxmlformats.org/officeDocument/2006/relationships/chart" Target="charts/chart11.xml"/><Relationship Id="rId40" Type="http://schemas.openxmlformats.org/officeDocument/2006/relationships/footer" Target="footer5.xml"/><Relationship Id="rId5" Type="http://schemas.openxmlformats.org/officeDocument/2006/relationships/settings" Target="settings.xml"/><Relationship Id="rId15" Type="http://schemas.openxmlformats.org/officeDocument/2006/relationships/hyperlink" Target="http://www.pbs.gov.au/" TargetMode="External"/><Relationship Id="rId23" Type="http://schemas.openxmlformats.org/officeDocument/2006/relationships/hyperlink" Target="http://www.pbs.gov.au/info/industry/listing/elements/pbac-meetings/psd" TargetMode="External"/><Relationship Id="rId28" Type="http://schemas.openxmlformats.org/officeDocument/2006/relationships/chart" Target="charts/chart5.xml"/><Relationship Id="rId36" Type="http://schemas.openxmlformats.org/officeDocument/2006/relationships/chart" Target="charts/chart10.xml"/><Relationship Id="rId10" Type="http://schemas.openxmlformats.org/officeDocument/2006/relationships/hyperlink" Target="http://tga.gov.au/hp/information-medicines-pi.htm" TargetMode="External"/><Relationship Id="rId19" Type="http://schemas.openxmlformats.org/officeDocument/2006/relationships/footer" Target="footer2.xml"/><Relationship Id="rId31" Type="http://schemas.openxmlformats.org/officeDocument/2006/relationships/chart" Target="charts/chart8.xml"/><Relationship Id="rId4" Type="http://schemas.microsoft.com/office/2007/relationships/stylesWithEffects" Target="stylesWithEffects.xml"/><Relationship Id="rId9" Type="http://schemas.openxmlformats.org/officeDocument/2006/relationships/hyperlink" Target="http://tga.gov.au/hp/information-medicines-pi.htm" TargetMode="External"/><Relationship Id="rId14" Type="http://schemas.openxmlformats.org/officeDocument/2006/relationships/hyperlink" Target="http://www.humanservices.gov.au/health-professionals/forms/pb071" TargetMode="External"/><Relationship Id="rId22" Type="http://schemas.openxmlformats.org/officeDocument/2006/relationships/image" Target="media/image1.emf"/><Relationship Id="rId27" Type="http://schemas.openxmlformats.org/officeDocument/2006/relationships/chart" Target="charts/chart4.xml"/><Relationship Id="rId30" Type="http://schemas.openxmlformats.org/officeDocument/2006/relationships/chart" Target="charts/chart7.xml"/><Relationship Id="rId35" Type="http://schemas.openxmlformats.org/officeDocument/2006/relationships/chart" Target="charts/chart9.xm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da.gov/ohrms/dockets/ac/01/briefing/3775b2_04_efficacy.ht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0.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2.xml"/></Relationships>
</file>

<file path=word/charts/_rels/chart1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9.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PAT_CNT_BY_DRUG_N_APPR_Q_SUM v3 - with sitaxentan, prev by year.xlsx]Sheet1 (3)!PivotTable2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s>
    <c:plotArea>
      <c:layout>
        <c:manualLayout>
          <c:layoutTarget val="inner"/>
          <c:xMode val="edge"/>
          <c:yMode val="edge"/>
          <c:x val="7.9381190447096753E-2"/>
          <c:y val="0.1206633507231349"/>
          <c:w val="0.88932724855027978"/>
          <c:h val="0.7513232361401454"/>
        </c:manualLayout>
      </c:layout>
      <c:lineChart>
        <c:grouping val="standard"/>
        <c:varyColors val="0"/>
        <c:ser>
          <c:idx val="1"/>
          <c:order val="1"/>
          <c:tx>
            <c:strRef>
              <c:f>'Sheet1 (3)'!$C$3:$C$4</c:f>
              <c:strCache>
                <c:ptCount val="1"/>
                <c:pt idx="0">
                  <c:v>initiating patients in year</c:v>
                </c:pt>
              </c:strCache>
            </c:strRef>
          </c:tx>
          <c:cat>
            <c:strRef>
              <c:f>'Sheet1 (3)'!$A$5:$A$16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(3)'!$C$5:$C$16</c:f>
              <c:numCache>
                <c:formatCode>General</c:formatCode>
                <c:ptCount val="11"/>
                <c:pt idx="0">
                  <c:v>295</c:v>
                </c:pt>
                <c:pt idx="1">
                  <c:v>248</c:v>
                </c:pt>
                <c:pt idx="2">
                  <c:v>269</c:v>
                </c:pt>
                <c:pt idx="3">
                  <c:v>338</c:v>
                </c:pt>
                <c:pt idx="4">
                  <c:v>475</c:v>
                </c:pt>
                <c:pt idx="5">
                  <c:v>418</c:v>
                </c:pt>
                <c:pt idx="6">
                  <c:v>392</c:v>
                </c:pt>
                <c:pt idx="7">
                  <c:v>435</c:v>
                </c:pt>
                <c:pt idx="8">
                  <c:v>410</c:v>
                </c:pt>
                <c:pt idx="9">
                  <c:v>431</c:v>
                </c:pt>
                <c:pt idx="10">
                  <c:v>333</c:v>
                </c:pt>
              </c:numCache>
            </c:numRef>
          </c:val>
          <c:smooth val="0"/>
        </c:ser>
        <c:ser>
          <c:idx val="0"/>
          <c:order val="0"/>
          <c:tx>
            <c:strRef>
              <c:f>'Sheet1 (3)'!$B$3:$B$4</c:f>
              <c:strCache>
                <c:ptCount val="1"/>
                <c:pt idx="0">
                  <c:v>prevalent patients in year</c:v>
                </c:pt>
              </c:strCache>
            </c:strRef>
          </c:tx>
          <c:cat>
            <c:strRef>
              <c:f>'Sheet1 (3)'!$A$5:$A$16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(3)'!$B$5:$B$16</c:f>
              <c:numCache>
                <c:formatCode>General</c:formatCode>
                <c:ptCount val="11"/>
                <c:pt idx="0">
                  <c:v>295</c:v>
                </c:pt>
                <c:pt idx="1">
                  <c:v>491</c:v>
                </c:pt>
                <c:pt idx="2">
                  <c:v>666</c:v>
                </c:pt>
                <c:pt idx="3">
                  <c:v>885</c:v>
                </c:pt>
                <c:pt idx="4">
                  <c:v>1220</c:v>
                </c:pt>
                <c:pt idx="5">
                  <c:v>1432</c:v>
                </c:pt>
                <c:pt idx="6">
                  <c:v>1610</c:v>
                </c:pt>
                <c:pt idx="7">
                  <c:v>1781</c:v>
                </c:pt>
                <c:pt idx="8">
                  <c:v>1897</c:v>
                </c:pt>
                <c:pt idx="9">
                  <c:v>2026</c:v>
                </c:pt>
                <c:pt idx="10">
                  <c:v>2026</c:v>
                </c:pt>
              </c:numCache>
            </c:numRef>
          </c:val>
          <c:smooth val="0"/>
        </c:ser>
        <c:dLbls>
          <c:showLegendKey val="0"/>
          <c:showVal val="0"/>
          <c:showCatName val="0"/>
          <c:showSerName val="0"/>
          <c:showPercent val="0"/>
          <c:showBubbleSize val="0"/>
        </c:dLbls>
        <c:marker val="1"/>
        <c:smooth val="0"/>
        <c:axId val="90455040"/>
        <c:axId val="35910400"/>
      </c:lineChart>
      <c:catAx>
        <c:axId val="90455040"/>
        <c:scaling>
          <c:orientation val="minMax"/>
        </c:scaling>
        <c:delete val="0"/>
        <c:axPos val="b"/>
        <c:numFmt formatCode="General" sourceLinked="0"/>
        <c:majorTickMark val="none"/>
        <c:minorTickMark val="none"/>
        <c:tickLblPos val="nextTo"/>
        <c:crossAx val="35910400"/>
        <c:crosses val="autoZero"/>
        <c:auto val="1"/>
        <c:lblAlgn val="ctr"/>
        <c:lblOffset val="100"/>
        <c:noMultiLvlLbl val="0"/>
      </c:catAx>
      <c:valAx>
        <c:axId val="35910400"/>
        <c:scaling>
          <c:orientation val="minMax"/>
          <c:max val="2050"/>
          <c:min val="0"/>
        </c:scaling>
        <c:delete val="0"/>
        <c:axPos val="l"/>
        <c:majorGridlines/>
        <c:numFmt formatCode="#,##0" sourceLinked="0"/>
        <c:majorTickMark val="none"/>
        <c:minorTickMark val="none"/>
        <c:tickLblPos val="nextTo"/>
        <c:crossAx val="90455040"/>
        <c:crosses val="autoZero"/>
        <c:crossBetween val="between"/>
        <c:majorUnit val="200"/>
        <c:minorUnit val="100"/>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[D830 - DOSE_SUM.xlsx]Sheet1!PivotTable1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s>
    <c:plotArea>
      <c:layout>
        <c:manualLayout>
          <c:layoutTarget val="inner"/>
          <c:xMode val="edge"/>
          <c:yMode val="edge"/>
          <c:x val="0.10909364694797766"/>
          <c:y val="6.4098897740942684E-2"/>
          <c:w val="0.83052493438320207"/>
          <c:h val="0.83983630505332063"/>
        </c:manualLayout>
      </c:layout>
      <c:barChart>
        <c:barDir val="col"/>
        <c:grouping val="clustered"/>
        <c:varyColors val="0"/>
        <c:ser>
          <c:idx val="0"/>
          <c:order val="0"/>
          <c:tx>
            <c:strRef>
              <c:f>Sheet1!$B$4:$B$5</c:f>
              <c:strCache>
                <c:ptCount val="1"/>
                <c:pt idx="0">
                  <c:v>mg</c:v>
                </c:pt>
              </c:strCache>
            </c:strRef>
          </c:tx>
          <c:invertIfNegative val="0"/>
          <c:cat>
            <c:strRef>
              <c:f>Sheet1!$A$6:$A$13</c:f>
              <c:strCache>
                <c:ptCount val="7"/>
                <c:pt idx="0">
                  <c:v>31.25</c:v>
                </c:pt>
                <c:pt idx="1">
                  <c:v>62.5</c:v>
                </c:pt>
                <c:pt idx="2">
                  <c:v>125</c:v>
                </c:pt>
                <c:pt idx="3">
                  <c:v>187.5</c:v>
                </c:pt>
                <c:pt idx="4">
                  <c:v>250</c:v>
                </c:pt>
                <c:pt idx="5">
                  <c:v>375</c:v>
                </c:pt>
                <c:pt idx="6">
                  <c:v>500</c:v>
                </c:pt>
              </c:strCache>
            </c:strRef>
          </c:cat>
          <c:val>
            <c:numRef>
              <c:f>Sheet1!$B$6:$B$13</c:f>
              <c:numCache>
                <c:formatCode>General</c:formatCode>
                <c:ptCount val="7"/>
                <c:pt idx="0">
                  <c:v>2</c:v>
                </c:pt>
                <c:pt idx="1">
                  <c:v>14</c:v>
                </c:pt>
                <c:pt idx="2">
                  <c:v>290</c:v>
                </c:pt>
                <c:pt idx="3">
                  <c:v>1</c:v>
                </c:pt>
                <c:pt idx="4">
                  <c:v>2029</c:v>
                </c:pt>
                <c:pt idx="5">
                  <c:v>16</c:v>
                </c:pt>
                <c:pt idx="6">
                  <c:v>17</c:v>
                </c:pt>
              </c:numCache>
            </c:numRef>
          </c:val>
        </c:ser>
        <c:dLbls>
          <c:showLegendKey val="0"/>
          <c:showVal val="0"/>
          <c:showCatName val="0"/>
          <c:showSerName val="0"/>
          <c:showPercent val="0"/>
          <c:showBubbleSize val="0"/>
        </c:dLbls>
        <c:gapWidth val="150"/>
        <c:axId val="39022976"/>
        <c:axId val="39024512"/>
      </c:barChart>
      <c:catAx>
        <c:axId val="39022976"/>
        <c:scaling>
          <c:orientation val="minMax"/>
        </c:scaling>
        <c:delete val="0"/>
        <c:axPos val="b"/>
        <c:majorTickMark val="out"/>
        <c:minorTickMark val="none"/>
        <c:tickLblPos val="nextTo"/>
        <c:crossAx val="39024512"/>
        <c:crosses val="autoZero"/>
        <c:auto val="1"/>
        <c:lblAlgn val="ctr"/>
        <c:lblOffset val="100"/>
        <c:noMultiLvlLbl val="0"/>
      </c:catAx>
      <c:valAx>
        <c:axId val="39024512"/>
        <c:scaling>
          <c:orientation val="minMax"/>
          <c:max val="2100"/>
          <c:min val="0"/>
        </c:scaling>
        <c:delete val="0"/>
        <c:axPos val="l"/>
        <c:majorGridlines/>
        <c:title>
          <c:tx>
            <c:rich>
              <a:bodyPr rot="-5400000" vert="horz"/>
              <a:lstStyle/>
              <a:p>
                <a:pPr>
                  <a:defRPr/>
                </a:pPr>
                <a:r>
                  <a:rPr lang="en-AU"/>
                  <a:t>Doses</a:t>
                </a:r>
              </a:p>
            </c:rich>
          </c:tx>
          <c:layout/>
          <c:overlay val="0"/>
        </c:title>
        <c:numFmt formatCode="General" sourceLinked="1"/>
        <c:majorTickMark val="out"/>
        <c:minorTickMark val="none"/>
        <c:tickLblPos val="nextTo"/>
        <c:crossAx val="39022976"/>
        <c:crosses val="autoZero"/>
        <c:crossBetween val="between"/>
      </c:valAx>
    </c:plotArea>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PAH drugs from DUSC HSD database v2 - with sitaxentan.xlsx]Sheet4 (10)!PivotTable1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pivotFmt>
      <c:pivotFmt>
        <c:idx val="34"/>
      </c:pivotFmt>
      <c:pivotFmt>
        <c:idx val="35"/>
      </c:pivotFmt>
      <c:pivotFmt>
        <c:idx val="36"/>
      </c:pivotFmt>
      <c:pivotFmt>
        <c:idx val="37"/>
      </c:pivotFmt>
      <c:pivotFmt>
        <c:idx val="38"/>
      </c:pivotFmt>
    </c:pivotFmts>
    <c:plotArea>
      <c:layout/>
      <c:lineChart>
        <c:grouping val="standard"/>
        <c:varyColors val="0"/>
        <c:ser>
          <c:idx val="0"/>
          <c:order val="0"/>
          <c:tx>
            <c:strRef>
              <c:f>'Sheet4 (10)'!$B$1:$B$2</c:f>
              <c:strCache>
                <c:ptCount val="1"/>
                <c:pt idx="0">
                  <c:v>Offline processing by DoH</c:v>
                </c:pt>
              </c:strCache>
            </c:strRef>
          </c:tx>
          <c:cat>
            <c:multiLvlStrRef>
              <c:f>'Sheet4 (10)'!$A$3:$A$56</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(10)'!$B$3:$B$56</c:f>
              <c:numCache>
                <c:formatCode>General</c:formatCode>
                <c:ptCount val="42"/>
                <c:pt idx="0">
                  <c:v>69.83</c:v>
                </c:pt>
                <c:pt idx="1">
                  <c:v>247</c:v>
                </c:pt>
                <c:pt idx="2">
                  <c:v>221.88</c:v>
                </c:pt>
                <c:pt idx="3">
                  <c:v>185.96666999999999</c:v>
                </c:pt>
                <c:pt idx="4">
                  <c:v>227.23</c:v>
                </c:pt>
                <c:pt idx="5">
                  <c:v>242.23000000000002</c:v>
                </c:pt>
                <c:pt idx="6">
                  <c:v>291.73</c:v>
                </c:pt>
                <c:pt idx="7">
                  <c:v>309.75</c:v>
                </c:pt>
                <c:pt idx="8">
                  <c:v>367</c:v>
                </c:pt>
                <c:pt idx="9">
                  <c:v>435</c:v>
                </c:pt>
                <c:pt idx="10">
                  <c:v>423.5</c:v>
                </c:pt>
                <c:pt idx="11">
                  <c:v>678.84</c:v>
                </c:pt>
                <c:pt idx="12">
                  <c:v>532.05999999999995</c:v>
                </c:pt>
                <c:pt idx="13">
                  <c:v>335.09533329999999</c:v>
                </c:pt>
                <c:pt idx="14">
                  <c:v>348.28332999999998</c:v>
                </c:pt>
                <c:pt idx="15">
                  <c:v>437.2</c:v>
                </c:pt>
                <c:pt idx="16">
                  <c:v>567.06666999999993</c:v>
                </c:pt>
                <c:pt idx="17">
                  <c:v>750.83333000000005</c:v>
                </c:pt>
                <c:pt idx="18">
                  <c:v>918.73</c:v>
                </c:pt>
                <c:pt idx="19">
                  <c:v>901.22653000000003</c:v>
                </c:pt>
                <c:pt idx="20">
                  <c:v>716.96667000000002</c:v>
                </c:pt>
                <c:pt idx="21">
                  <c:v>1165.71</c:v>
                </c:pt>
              </c:numCache>
            </c:numRef>
          </c:val>
          <c:smooth val="0"/>
        </c:ser>
        <c:ser>
          <c:idx val="1"/>
          <c:order val="1"/>
          <c:tx>
            <c:strRef>
              <c:f>'Sheet4 (10)'!$C$1:$C$2</c:f>
              <c:strCache>
                <c:ptCount val="1"/>
                <c:pt idx="0">
                  <c:v>Offline processing by DHS</c:v>
                </c:pt>
              </c:strCache>
            </c:strRef>
          </c:tx>
          <c:cat>
            <c:multiLvlStrRef>
              <c:f>'Sheet4 (10)'!$A$3:$A$56</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(10)'!$C$3:$C$56</c:f>
              <c:numCache>
                <c:formatCode>General</c:formatCode>
                <c:ptCount val="42"/>
                <c:pt idx="22">
                  <c:v>984.14666666669996</c:v>
                </c:pt>
                <c:pt idx="23">
                  <c:v>1178.3899999999999</c:v>
                </c:pt>
                <c:pt idx="24">
                  <c:v>983</c:v>
                </c:pt>
                <c:pt idx="25">
                  <c:v>610</c:v>
                </c:pt>
                <c:pt idx="26">
                  <c:v>644.57000000000005</c:v>
                </c:pt>
                <c:pt idx="27">
                  <c:v>636.69000000000005</c:v>
                </c:pt>
                <c:pt idx="28">
                  <c:v>634.5</c:v>
                </c:pt>
                <c:pt idx="29">
                  <c:v>680.17000000000007</c:v>
                </c:pt>
                <c:pt idx="30">
                  <c:v>718.28</c:v>
                </c:pt>
                <c:pt idx="31">
                  <c:v>921.50000000000011</c:v>
                </c:pt>
                <c:pt idx="32">
                  <c:v>625.66999999999996</c:v>
                </c:pt>
                <c:pt idx="33">
                  <c:v>939.9</c:v>
                </c:pt>
                <c:pt idx="34">
                  <c:v>843.83</c:v>
                </c:pt>
                <c:pt idx="35">
                  <c:v>684.42000000000007</c:v>
                </c:pt>
                <c:pt idx="36">
                  <c:v>372.5</c:v>
                </c:pt>
                <c:pt idx="37">
                  <c:v>89</c:v>
                </c:pt>
              </c:numCache>
            </c:numRef>
          </c:val>
          <c:smooth val="0"/>
        </c:ser>
        <c:ser>
          <c:idx val="2"/>
          <c:order val="2"/>
          <c:tx>
            <c:strRef>
              <c:f>'Sheet4 (10)'!$D$1:$D$2</c:f>
              <c:strCache>
                <c:ptCount val="1"/>
                <c:pt idx="0">
                  <c:v>"Online" processing by DHS</c:v>
                </c:pt>
              </c:strCache>
            </c:strRef>
          </c:tx>
          <c:cat>
            <c:multiLvlStrRef>
              <c:f>'Sheet4 (10)'!$A$3:$A$56</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(10)'!$D$3:$D$56</c:f>
              <c:numCache>
                <c:formatCode>General</c:formatCode>
                <c:ptCount val="42"/>
                <c:pt idx="0">
                  <c:v>33</c:v>
                </c:pt>
                <c:pt idx="1">
                  <c:v>204</c:v>
                </c:pt>
                <c:pt idx="2">
                  <c:v>266</c:v>
                </c:pt>
                <c:pt idx="3">
                  <c:v>411</c:v>
                </c:pt>
                <c:pt idx="4">
                  <c:v>444</c:v>
                </c:pt>
                <c:pt idx="5">
                  <c:v>559.75</c:v>
                </c:pt>
                <c:pt idx="6">
                  <c:v>639</c:v>
                </c:pt>
                <c:pt idx="7">
                  <c:v>792</c:v>
                </c:pt>
                <c:pt idx="8">
                  <c:v>898</c:v>
                </c:pt>
                <c:pt idx="9">
                  <c:v>1267.5</c:v>
                </c:pt>
                <c:pt idx="10">
                  <c:v>1415</c:v>
                </c:pt>
                <c:pt idx="11">
                  <c:v>2317.9</c:v>
                </c:pt>
                <c:pt idx="12">
                  <c:v>3003.216666667</c:v>
                </c:pt>
                <c:pt idx="13">
                  <c:v>3479.4</c:v>
                </c:pt>
                <c:pt idx="14">
                  <c:v>3765.5</c:v>
                </c:pt>
                <c:pt idx="15">
                  <c:v>3969</c:v>
                </c:pt>
                <c:pt idx="16">
                  <c:v>3668.9666666666999</c:v>
                </c:pt>
                <c:pt idx="17">
                  <c:v>4128.5</c:v>
                </c:pt>
                <c:pt idx="18">
                  <c:v>4843.1666666669998</c:v>
                </c:pt>
                <c:pt idx="19">
                  <c:v>5531.25</c:v>
                </c:pt>
                <c:pt idx="20">
                  <c:v>5075.5</c:v>
                </c:pt>
                <c:pt idx="21">
                  <c:v>6608.5</c:v>
                </c:pt>
                <c:pt idx="22">
                  <c:v>7253.4999999999</c:v>
                </c:pt>
                <c:pt idx="23">
                  <c:v>7801.9999999999</c:v>
                </c:pt>
                <c:pt idx="24">
                  <c:v>7448.9</c:v>
                </c:pt>
                <c:pt idx="25">
                  <c:v>7959.9</c:v>
                </c:pt>
                <c:pt idx="26">
                  <c:v>7799.5</c:v>
                </c:pt>
                <c:pt idx="27">
                  <c:v>8283.2333333333008</c:v>
                </c:pt>
                <c:pt idx="28">
                  <c:v>9000</c:v>
                </c:pt>
                <c:pt idx="29">
                  <c:v>9815.5</c:v>
                </c:pt>
                <c:pt idx="30">
                  <c:v>10382.166666667001</c:v>
                </c:pt>
                <c:pt idx="31">
                  <c:v>11100.833333334</c:v>
                </c:pt>
                <c:pt idx="32">
                  <c:v>12005.750000001</c:v>
                </c:pt>
                <c:pt idx="33">
                  <c:v>11179.000000001</c:v>
                </c:pt>
                <c:pt idx="34">
                  <c:v>12710.333333335002</c:v>
                </c:pt>
                <c:pt idx="35">
                  <c:v>14207.750000001</c:v>
                </c:pt>
                <c:pt idx="36">
                  <c:v>13848.200000005001</c:v>
                </c:pt>
                <c:pt idx="37">
                  <c:v>14709.166666667001</c:v>
                </c:pt>
                <c:pt idx="38">
                  <c:v>15623</c:v>
                </c:pt>
                <c:pt idx="39">
                  <c:v>17966.035714286001</c:v>
                </c:pt>
                <c:pt idx="40">
                  <c:v>15529.642857142</c:v>
                </c:pt>
                <c:pt idx="41">
                  <c:v>16452.285714286001</c:v>
                </c:pt>
              </c:numCache>
            </c:numRef>
          </c:val>
          <c:smooth val="0"/>
        </c:ser>
        <c:dLbls>
          <c:showLegendKey val="0"/>
          <c:showVal val="0"/>
          <c:showCatName val="0"/>
          <c:showSerName val="0"/>
          <c:showPercent val="0"/>
          <c:showBubbleSize val="0"/>
        </c:dLbls>
        <c:marker val="1"/>
        <c:smooth val="0"/>
        <c:axId val="39084032"/>
        <c:axId val="39085568"/>
      </c:lineChart>
      <c:catAx>
        <c:axId val="39084032"/>
        <c:scaling>
          <c:orientation val="minMax"/>
        </c:scaling>
        <c:delete val="0"/>
        <c:axPos val="b"/>
        <c:numFmt formatCode="General" sourceLinked="0"/>
        <c:majorTickMark val="none"/>
        <c:minorTickMark val="none"/>
        <c:tickLblPos val="nextTo"/>
        <c:txPr>
          <a:bodyPr/>
          <a:lstStyle/>
          <a:p>
            <a:pPr>
              <a:defRPr sz="700"/>
            </a:pPr>
            <a:endParaRPr lang="en-US"/>
          </a:p>
        </c:txPr>
        <c:crossAx val="39085568"/>
        <c:crosses val="autoZero"/>
        <c:auto val="1"/>
        <c:lblAlgn val="ctr"/>
        <c:lblOffset val="100"/>
        <c:noMultiLvlLbl val="0"/>
      </c:catAx>
      <c:valAx>
        <c:axId val="39085568"/>
        <c:scaling>
          <c:orientation val="minMax"/>
        </c:scaling>
        <c:delete val="0"/>
        <c:axPos val="l"/>
        <c:majorGridlines/>
        <c:numFmt formatCode="#,##0" sourceLinked="0"/>
        <c:majorTickMark val="none"/>
        <c:minorTickMark val="none"/>
        <c:tickLblPos val="nextTo"/>
        <c:crossAx val="39084032"/>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PAH drugs from DUSC HSD database v2 - with sitaxentan.xlsx]Sheet4 (11)!PivotTable1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s>
    <c:plotArea>
      <c:layout>
        <c:manualLayout>
          <c:layoutTarget val="inner"/>
          <c:xMode val="edge"/>
          <c:yMode val="edge"/>
          <c:x val="5.4203760508754951E-2"/>
          <c:y val="0.1373301216525312"/>
          <c:w val="0.92527532496295462"/>
          <c:h val="0.66212722638065302"/>
        </c:manualLayout>
      </c:layout>
      <c:lineChart>
        <c:grouping val="standard"/>
        <c:varyColors val="0"/>
        <c:ser>
          <c:idx val="0"/>
          <c:order val="0"/>
          <c:tx>
            <c:strRef>
              <c:f>'Sheet4 (11)'!$B$3:$B$4</c:f>
              <c:strCache>
                <c:ptCount val="1"/>
                <c:pt idx="0">
                  <c:v>Offline processing by DoH</c:v>
                </c:pt>
              </c:strCache>
            </c:strRef>
          </c:tx>
          <c:cat>
            <c:multiLvlStrRef>
              <c:f>'Sheet4 (11)'!$A$5:$A$58</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(11)'!$B$5:$B$58</c:f>
              <c:numCache>
                <c:formatCode>0.00%</c:formatCode>
                <c:ptCount val="42"/>
                <c:pt idx="0">
                  <c:v>0.18002236302646293</c:v>
                </c:pt>
                <c:pt idx="1">
                  <c:v>0.13793103448275862</c:v>
                </c:pt>
                <c:pt idx="2">
                  <c:v>0.16875000000000001</c:v>
                </c:pt>
                <c:pt idx="3">
                  <c:v>0.1</c:v>
                </c:pt>
                <c:pt idx="4">
                  <c:v>0.10526315789473684</c:v>
                </c:pt>
                <c:pt idx="5">
                  <c:v>9.3220338983050849E-2</c:v>
                </c:pt>
                <c:pt idx="6">
                  <c:v>9.9656357388316158E-2</c:v>
                </c:pt>
                <c:pt idx="7">
                  <c:v>8.4880636604774531E-2</c:v>
                </c:pt>
                <c:pt idx="8">
                  <c:v>5.4502369668246446E-2</c:v>
                </c:pt>
                <c:pt idx="9">
                  <c:v>4.701627486437613E-2</c:v>
                </c:pt>
                <c:pt idx="10">
                  <c:v>4.4517724649629019E-2</c:v>
                </c:pt>
                <c:pt idx="11">
                  <c:v>3.4260475110421386E-2</c:v>
                </c:pt>
                <c:pt idx="12">
                  <c:v>3.1889449906989102E-2</c:v>
                </c:pt>
                <c:pt idx="13">
                  <c:v>2.8800658300761159E-2</c:v>
                </c:pt>
                <c:pt idx="14">
                  <c:v>2.5267249757045675E-2</c:v>
                </c:pt>
                <c:pt idx="15">
                  <c:v>3.4019695613249773E-2</c:v>
                </c:pt>
                <c:pt idx="16">
                  <c:v>4.4375644994840042E-2</c:v>
                </c:pt>
                <c:pt idx="17">
                  <c:v>4.4871794871794872E-2</c:v>
                </c:pt>
                <c:pt idx="18">
                  <c:v>3.7262672265916535E-2</c:v>
                </c:pt>
                <c:pt idx="19">
                  <c:v>2.6224328593996839E-2</c:v>
                </c:pt>
                <c:pt idx="20">
                  <c:v>2.9856533540131833E-2</c:v>
                </c:pt>
                <c:pt idx="21">
                  <c:v>2.6557541339569068E-2</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numCache>
            </c:numRef>
          </c:val>
          <c:smooth val="0"/>
        </c:ser>
        <c:ser>
          <c:idx val="1"/>
          <c:order val="1"/>
          <c:tx>
            <c:strRef>
              <c:f>'Sheet4 (11)'!$C$3:$C$4</c:f>
              <c:strCache>
                <c:ptCount val="1"/>
                <c:pt idx="0">
                  <c:v>Offline processing by DHS</c:v>
                </c:pt>
              </c:strCache>
            </c:strRef>
          </c:tx>
          <c:cat>
            <c:multiLvlStrRef>
              <c:f>'Sheet4 (11)'!$A$5:$A$58</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(11)'!$C$5:$C$58</c:f>
              <c:numCache>
                <c:formatCode>0.00%</c:formatCode>
                <c:ptCount val="42"/>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1.883179061602298E-2</c:v>
                </c:pt>
                <c:pt idx="23">
                  <c:v>1.5046447729948974E-2</c:v>
                </c:pt>
                <c:pt idx="24">
                  <c:v>1.5502686108979279E-2</c:v>
                </c:pt>
                <c:pt idx="25">
                  <c:v>1.6592214422463305E-2</c:v>
                </c:pt>
                <c:pt idx="26">
                  <c:v>4.4757265160374468E-2</c:v>
                </c:pt>
                <c:pt idx="27">
                  <c:v>4.170398133713666E-2</c:v>
                </c:pt>
                <c:pt idx="28">
                  <c:v>4.1654613827017642E-2</c:v>
                </c:pt>
                <c:pt idx="29">
                  <c:v>4.0584827526630923E-2</c:v>
                </c:pt>
                <c:pt idx="30">
                  <c:v>3.9944585546063262E-2</c:v>
                </c:pt>
                <c:pt idx="31">
                  <c:v>3.6580594679186229E-2</c:v>
                </c:pt>
                <c:pt idx="32">
                  <c:v>2.9729729729729731E-2</c:v>
                </c:pt>
                <c:pt idx="33">
                  <c:v>2.7519252527464507E-2</c:v>
                </c:pt>
                <c:pt idx="34">
                  <c:v>2.9113005623069437E-2</c:v>
                </c:pt>
                <c:pt idx="35">
                  <c:v>2.7694899785876553E-2</c:v>
                </c:pt>
                <c:pt idx="36">
                  <c:v>2.1717000339328132E-2</c:v>
                </c:pt>
                <c:pt idx="37">
                  <c:v>0</c:v>
                </c:pt>
                <c:pt idx="38">
                  <c:v>0</c:v>
                </c:pt>
                <c:pt idx="39">
                  <c:v>0</c:v>
                </c:pt>
                <c:pt idx="40">
                  <c:v>0</c:v>
                </c:pt>
                <c:pt idx="41">
                  <c:v>0</c:v>
                </c:pt>
              </c:numCache>
            </c:numRef>
          </c:val>
          <c:smooth val="0"/>
        </c:ser>
        <c:ser>
          <c:idx val="2"/>
          <c:order val="2"/>
          <c:tx>
            <c:strRef>
              <c:f>'Sheet4 (11)'!$D$3:$D$4</c:f>
              <c:strCache>
                <c:ptCount val="1"/>
                <c:pt idx="0">
                  <c:v>"Online" processing by DHS</c:v>
                </c:pt>
              </c:strCache>
            </c:strRef>
          </c:tx>
          <c:cat>
            <c:multiLvlStrRef>
              <c:f>'Sheet4 (11)'!$A$5:$A$58</c:f>
              <c:multiLvlStrCache>
                <c:ptCount val="42"/>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(11)'!$D$5:$D$58</c:f>
              <c:numCache>
                <c:formatCode>0.00%</c:formatCode>
                <c:ptCount val="42"/>
                <c:pt idx="0">
                  <c:v>0.81997763697353709</c:v>
                </c:pt>
                <c:pt idx="1">
                  <c:v>0.86206896551724133</c:v>
                </c:pt>
                <c:pt idx="2">
                  <c:v>0.83125000000000004</c:v>
                </c:pt>
                <c:pt idx="3">
                  <c:v>0.9</c:v>
                </c:pt>
                <c:pt idx="4">
                  <c:v>0.89473684210526316</c:v>
                </c:pt>
                <c:pt idx="5">
                  <c:v>0.90677966101694918</c:v>
                </c:pt>
                <c:pt idx="6">
                  <c:v>0.90034364261168387</c:v>
                </c:pt>
                <c:pt idx="7">
                  <c:v>0.91511936339522548</c:v>
                </c:pt>
                <c:pt idx="8">
                  <c:v>0.9454976303317536</c:v>
                </c:pt>
                <c:pt idx="9">
                  <c:v>0.9529837251356239</c:v>
                </c:pt>
                <c:pt idx="10">
                  <c:v>0.955482275350371</c:v>
                </c:pt>
                <c:pt idx="11">
                  <c:v>0.96573952488957859</c:v>
                </c:pt>
                <c:pt idx="12">
                  <c:v>0.96811055009301095</c:v>
                </c:pt>
                <c:pt idx="13">
                  <c:v>0.97119934169923883</c:v>
                </c:pt>
                <c:pt idx="14">
                  <c:v>0.97473275024295436</c:v>
                </c:pt>
                <c:pt idx="15">
                  <c:v>0.9659803043867502</c:v>
                </c:pt>
                <c:pt idx="16">
                  <c:v>0.95562435500515996</c:v>
                </c:pt>
                <c:pt idx="17">
                  <c:v>0.95512820512820518</c:v>
                </c:pt>
                <c:pt idx="18">
                  <c:v>0.96273732773408349</c:v>
                </c:pt>
                <c:pt idx="19">
                  <c:v>0.97377567140600318</c:v>
                </c:pt>
                <c:pt idx="20">
                  <c:v>0.97014346645986815</c:v>
                </c:pt>
                <c:pt idx="21">
                  <c:v>0.97344245866043089</c:v>
                </c:pt>
                <c:pt idx="22">
                  <c:v>0.98116820938397697</c:v>
                </c:pt>
                <c:pt idx="23">
                  <c:v>0.98495355227005099</c:v>
                </c:pt>
                <c:pt idx="24">
                  <c:v>0.98449731389102069</c:v>
                </c:pt>
                <c:pt idx="25">
                  <c:v>0.98340778557753672</c:v>
                </c:pt>
                <c:pt idx="26">
                  <c:v>0.95524273483962552</c:v>
                </c:pt>
                <c:pt idx="27">
                  <c:v>0.95829601866286329</c:v>
                </c:pt>
                <c:pt idx="28">
                  <c:v>0.95834538617298237</c:v>
                </c:pt>
                <c:pt idx="29">
                  <c:v>0.95941517247336905</c:v>
                </c:pt>
                <c:pt idx="30">
                  <c:v>0.96005541445393672</c:v>
                </c:pt>
                <c:pt idx="31">
                  <c:v>0.96341940532081383</c:v>
                </c:pt>
                <c:pt idx="32">
                  <c:v>0.97027027027027024</c:v>
                </c:pt>
                <c:pt idx="33">
                  <c:v>0.97248074747253543</c:v>
                </c:pt>
                <c:pt idx="34">
                  <c:v>0.9708869943769306</c:v>
                </c:pt>
                <c:pt idx="35">
                  <c:v>0.97230510021412342</c:v>
                </c:pt>
                <c:pt idx="36">
                  <c:v>0.97828299966067189</c:v>
                </c:pt>
                <c:pt idx="37">
                  <c:v>1</c:v>
                </c:pt>
                <c:pt idx="38">
                  <c:v>1</c:v>
                </c:pt>
                <c:pt idx="39">
                  <c:v>1</c:v>
                </c:pt>
                <c:pt idx="40">
                  <c:v>1</c:v>
                </c:pt>
                <c:pt idx="41">
                  <c:v>1</c:v>
                </c:pt>
              </c:numCache>
            </c:numRef>
          </c:val>
          <c:smooth val="0"/>
        </c:ser>
        <c:dLbls>
          <c:showLegendKey val="0"/>
          <c:showVal val="0"/>
          <c:showCatName val="0"/>
          <c:showSerName val="0"/>
          <c:showPercent val="0"/>
          <c:showBubbleSize val="0"/>
        </c:dLbls>
        <c:marker val="1"/>
        <c:smooth val="0"/>
        <c:axId val="39145856"/>
        <c:axId val="39147392"/>
      </c:lineChart>
      <c:catAx>
        <c:axId val="39145856"/>
        <c:scaling>
          <c:orientation val="minMax"/>
        </c:scaling>
        <c:delete val="0"/>
        <c:axPos val="b"/>
        <c:numFmt formatCode="General" sourceLinked="0"/>
        <c:majorTickMark val="none"/>
        <c:minorTickMark val="none"/>
        <c:tickLblPos val="nextTo"/>
        <c:crossAx val="39147392"/>
        <c:crosses val="autoZero"/>
        <c:auto val="1"/>
        <c:lblAlgn val="ctr"/>
        <c:lblOffset val="100"/>
        <c:noMultiLvlLbl val="0"/>
      </c:catAx>
      <c:valAx>
        <c:axId val="39147392"/>
        <c:scaling>
          <c:orientation val="minMax"/>
          <c:max val="1"/>
        </c:scaling>
        <c:delete val="0"/>
        <c:axPos val="l"/>
        <c:majorGridlines/>
        <c:numFmt formatCode="0%" sourceLinked="0"/>
        <c:majorTickMark val="none"/>
        <c:minorTickMark val="none"/>
        <c:tickLblPos val="nextTo"/>
        <c:crossAx val="39145856"/>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 v4 - prevalence by year &amp; therapy init drug - Figs 1to4,Tables 1&amp;2.xlsx]Sheet1 (5)!PivotTable2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
        <c:idx val="93"/>
      </c:pivotFmt>
      <c:pivotFmt>
        <c:idx val="94"/>
      </c:pivotFmt>
      <c:pivotFmt>
        <c:idx val="95"/>
      </c:pivotFmt>
      <c:pivotFmt>
        <c:idx val="96"/>
      </c:pivotFmt>
      <c:pivotFmt>
        <c:idx val="97"/>
      </c:pivotFmt>
      <c:pivotFmt>
        <c:idx val="98"/>
      </c:pivotFmt>
      <c:pivotFmt>
        <c:idx val="99"/>
      </c:pivotFmt>
      <c:pivotFmt>
        <c:idx val="100"/>
      </c:pivotFmt>
      <c:pivotFmt>
        <c:idx val="101"/>
      </c:pivotFmt>
      <c:pivotFmt>
        <c:idx val="102"/>
      </c:pivotFmt>
      <c:pivotFmt>
        <c:idx val="103"/>
      </c:pivotFmt>
      <c:pivotFmt>
        <c:idx val="104"/>
      </c:pivotFmt>
      <c:pivotFmt>
        <c:idx val="105"/>
      </c:pivotFmt>
    </c:pivotFmts>
    <c:plotArea>
      <c:layout>
        <c:manualLayout>
          <c:layoutTarget val="inner"/>
          <c:xMode val="edge"/>
          <c:yMode val="edge"/>
          <c:x val="5.979877515310586E-2"/>
          <c:y val="0.17722482965491385"/>
          <c:w val="0.93221139407351683"/>
          <c:h val="0.63624941057921491"/>
        </c:manualLayout>
      </c:layout>
      <c:lineChart>
        <c:grouping val="standard"/>
        <c:varyColors val="0"/>
        <c:ser>
          <c:idx val="0"/>
          <c:order val="0"/>
          <c:tx>
            <c:strRef>
              <c:f>'Sheet1 (5)'!$B$4:$B$5</c:f>
              <c:strCache>
                <c:ptCount val="1"/>
                <c:pt idx="0">
                  <c:v>BOSENTAN</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(5)'!$B$6:$B$60</c:f>
              <c:numCache>
                <c:formatCode>General</c:formatCode>
                <c:ptCount val="43"/>
                <c:pt idx="0">
                  <c:v>130</c:v>
                </c:pt>
                <c:pt idx="1">
                  <c:v>84</c:v>
                </c:pt>
                <c:pt idx="2">
                  <c:v>44</c:v>
                </c:pt>
                <c:pt idx="3">
                  <c:v>37</c:v>
                </c:pt>
                <c:pt idx="4">
                  <c:v>51</c:v>
                </c:pt>
                <c:pt idx="5">
                  <c:v>55</c:v>
                </c:pt>
                <c:pt idx="6">
                  <c:v>60</c:v>
                </c:pt>
                <c:pt idx="7">
                  <c:v>72</c:v>
                </c:pt>
                <c:pt idx="8">
                  <c:v>50</c:v>
                </c:pt>
                <c:pt idx="9">
                  <c:v>63</c:v>
                </c:pt>
                <c:pt idx="10">
                  <c:v>78</c:v>
                </c:pt>
                <c:pt idx="11">
                  <c:v>63</c:v>
                </c:pt>
                <c:pt idx="12">
                  <c:v>47</c:v>
                </c:pt>
                <c:pt idx="13">
                  <c:v>60</c:v>
                </c:pt>
                <c:pt idx="14">
                  <c:v>70</c:v>
                </c:pt>
                <c:pt idx="15">
                  <c:v>80</c:v>
                </c:pt>
                <c:pt idx="16">
                  <c:v>62</c:v>
                </c:pt>
                <c:pt idx="17">
                  <c:v>56</c:v>
                </c:pt>
                <c:pt idx="18">
                  <c:v>150</c:v>
                </c:pt>
                <c:pt idx="19">
                  <c:v>78</c:v>
                </c:pt>
                <c:pt idx="20">
                  <c:v>64</c:v>
                </c:pt>
                <c:pt idx="21">
                  <c:v>78</c:v>
                </c:pt>
                <c:pt idx="22">
                  <c:v>80</c:v>
                </c:pt>
                <c:pt idx="23">
                  <c:v>75</c:v>
                </c:pt>
                <c:pt idx="24">
                  <c:v>57</c:v>
                </c:pt>
                <c:pt idx="25">
                  <c:v>47</c:v>
                </c:pt>
                <c:pt idx="26">
                  <c:v>54</c:v>
                </c:pt>
                <c:pt idx="27">
                  <c:v>68</c:v>
                </c:pt>
                <c:pt idx="28">
                  <c:v>75</c:v>
                </c:pt>
                <c:pt idx="29">
                  <c:v>57</c:v>
                </c:pt>
                <c:pt idx="30">
                  <c:v>63</c:v>
                </c:pt>
                <c:pt idx="31">
                  <c:v>59</c:v>
                </c:pt>
                <c:pt idx="32">
                  <c:v>60</c:v>
                </c:pt>
                <c:pt idx="33">
                  <c:v>46</c:v>
                </c:pt>
                <c:pt idx="34">
                  <c:v>55</c:v>
                </c:pt>
                <c:pt idx="35">
                  <c:v>52</c:v>
                </c:pt>
                <c:pt idx="36">
                  <c:v>37</c:v>
                </c:pt>
                <c:pt idx="37">
                  <c:v>55</c:v>
                </c:pt>
                <c:pt idx="38">
                  <c:v>51</c:v>
                </c:pt>
                <c:pt idx="39">
                  <c:v>58</c:v>
                </c:pt>
                <c:pt idx="40">
                  <c:v>57</c:v>
                </c:pt>
                <c:pt idx="41">
                  <c:v>32</c:v>
                </c:pt>
                <c:pt idx="42">
                  <c:v>18</c:v>
                </c:pt>
              </c:numCache>
            </c:numRef>
          </c:val>
          <c:smooth val="0"/>
        </c:ser>
        <c:ser>
          <c:idx val="1"/>
          <c:order val="1"/>
          <c:tx>
            <c:strRef>
              <c:f>'Sheet1 (5)'!$C$4:$C$5</c:f>
              <c:strCache>
                <c:ptCount val="1"/>
                <c:pt idx="0">
                  <c:v>SILDENAFIL</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(5)'!$C$6:$C$60</c:f>
              <c:numCache>
                <c:formatCode>General</c:formatCode>
                <c:ptCount val="43"/>
                <c:pt idx="12">
                  <c:v>10</c:v>
                </c:pt>
                <c:pt idx="13">
                  <c:v>25</c:v>
                </c:pt>
                <c:pt idx="14">
                  <c:v>13</c:v>
                </c:pt>
                <c:pt idx="15">
                  <c:v>16</c:v>
                </c:pt>
                <c:pt idx="16">
                  <c:v>18</c:v>
                </c:pt>
                <c:pt idx="17">
                  <c:v>17</c:v>
                </c:pt>
                <c:pt idx="18">
                  <c:v>18</c:v>
                </c:pt>
                <c:pt idx="19">
                  <c:v>15</c:v>
                </c:pt>
                <c:pt idx="20">
                  <c:v>13</c:v>
                </c:pt>
                <c:pt idx="21">
                  <c:v>26</c:v>
                </c:pt>
                <c:pt idx="22">
                  <c:v>11</c:v>
                </c:pt>
                <c:pt idx="23">
                  <c:v>12</c:v>
                </c:pt>
                <c:pt idx="24">
                  <c:v>10</c:v>
                </c:pt>
                <c:pt idx="25">
                  <c:v>14</c:v>
                </c:pt>
                <c:pt idx="26">
                  <c:v>21</c:v>
                </c:pt>
                <c:pt idx="27">
                  <c:v>28</c:v>
                </c:pt>
                <c:pt idx="28">
                  <c:v>22</c:v>
                </c:pt>
                <c:pt idx="29">
                  <c:v>23</c:v>
                </c:pt>
                <c:pt idx="30">
                  <c:v>40</c:v>
                </c:pt>
                <c:pt idx="31">
                  <c:v>29</c:v>
                </c:pt>
                <c:pt idx="32">
                  <c:v>17</c:v>
                </c:pt>
                <c:pt idx="33">
                  <c:v>28</c:v>
                </c:pt>
                <c:pt idx="34">
                  <c:v>22</c:v>
                </c:pt>
                <c:pt idx="35">
                  <c:v>31</c:v>
                </c:pt>
                <c:pt idx="36">
                  <c:v>32</c:v>
                </c:pt>
                <c:pt idx="37">
                  <c:v>24</c:v>
                </c:pt>
                <c:pt idx="38">
                  <c:v>30</c:v>
                </c:pt>
                <c:pt idx="39">
                  <c:v>30</c:v>
                </c:pt>
                <c:pt idx="40">
                  <c:v>36</c:v>
                </c:pt>
                <c:pt idx="41">
                  <c:v>21</c:v>
                </c:pt>
                <c:pt idx="42">
                  <c:v>29</c:v>
                </c:pt>
              </c:numCache>
            </c:numRef>
          </c:val>
          <c:smooth val="0"/>
        </c:ser>
        <c:ser>
          <c:idx val="2"/>
          <c:order val="2"/>
          <c:tx>
            <c:strRef>
              <c:f>'Sheet1 (5)'!$D$4:$D$5</c:f>
              <c:strCache>
                <c:ptCount val="1"/>
                <c:pt idx="0">
                  <c:v>AMBRISENTAN</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(5)'!$D$6:$D$60</c:f>
              <c:numCache>
                <c:formatCode>General</c:formatCode>
                <c:ptCount val="43"/>
                <c:pt idx="23">
                  <c:v>8</c:v>
                </c:pt>
                <c:pt idx="24">
                  <c:v>14</c:v>
                </c:pt>
                <c:pt idx="25">
                  <c:v>13</c:v>
                </c:pt>
                <c:pt idx="26">
                  <c:v>16</c:v>
                </c:pt>
                <c:pt idx="27">
                  <c:v>15</c:v>
                </c:pt>
                <c:pt idx="28">
                  <c:v>12</c:v>
                </c:pt>
                <c:pt idx="29">
                  <c:v>10</c:v>
                </c:pt>
                <c:pt idx="30">
                  <c:v>22</c:v>
                </c:pt>
                <c:pt idx="31">
                  <c:v>20</c:v>
                </c:pt>
                <c:pt idx="32">
                  <c:v>16</c:v>
                </c:pt>
                <c:pt idx="33">
                  <c:v>14</c:v>
                </c:pt>
                <c:pt idx="34">
                  <c:v>24</c:v>
                </c:pt>
                <c:pt idx="35">
                  <c:v>17</c:v>
                </c:pt>
                <c:pt idx="36">
                  <c:v>20</c:v>
                </c:pt>
                <c:pt idx="37">
                  <c:v>23</c:v>
                </c:pt>
                <c:pt idx="38">
                  <c:v>20</c:v>
                </c:pt>
                <c:pt idx="39">
                  <c:v>19</c:v>
                </c:pt>
                <c:pt idx="40">
                  <c:v>20</c:v>
                </c:pt>
                <c:pt idx="41">
                  <c:v>13</c:v>
                </c:pt>
                <c:pt idx="42">
                  <c:v>8</c:v>
                </c:pt>
              </c:numCache>
            </c:numRef>
          </c:val>
          <c:smooth val="0"/>
        </c:ser>
        <c:ser>
          <c:idx val="3"/>
          <c:order val="3"/>
          <c:tx>
            <c:strRef>
              <c:f>'Sheet1 (5)'!$E$4:$E$5</c:f>
              <c:strCache>
                <c:ptCount val="1"/>
                <c:pt idx="0">
                  <c:v>ILOPROST</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(5)'!$E$6:$E$60</c:f>
              <c:numCache>
                <c:formatCode>General</c:formatCode>
                <c:ptCount val="43"/>
                <c:pt idx="5">
                  <c:v>5</c:v>
                </c:pt>
                <c:pt idx="6">
                  <c:v>1</c:v>
                </c:pt>
                <c:pt idx="7">
                  <c:v>4</c:v>
                </c:pt>
                <c:pt idx="8">
                  <c:v>3</c:v>
                </c:pt>
                <c:pt idx="9">
                  <c:v>6</c:v>
                </c:pt>
                <c:pt idx="10">
                  <c:v>1</c:v>
                </c:pt>
                <c:pt idx="11">
                  <c:v>2</c:v>
                </c:pt>
                <c:pt idx="12">
                  <c:v>3</c:v>
                </c:pt>
                <c:pt idx="13">
                  <c:v>3</c:v>
                </c:pt>
                <c:pt idx="14">
                  <c:v>5</c:v>
                </c:pt>
                <c:pt idx="15">
                  <c:v>5</c:v>
                </c:pt>
                <c:pt idx="16">
                  <c:v>4</c:v>
                </c:pt>
                <c:pt idx="17">
                  <c:v>4</c:v>
                </c:pt>
                <c:pt idx="18">
                  <c:v>3</c:v>
                </c:pt>
                <c:pt idx="20">
                  <c:v>2</c:v>
                </c:pt>
                <c:pt idx="24">
                  <c:v>1</c:v>
                </c:pt>
                <c:pt idx="25">
                  <c:v>2</c:v>
                </c:pt>
                <c:pt idx="34">
                  <c:v>1</c:v>
                </c:pt>
                <c:pt idx="35">
                  <c:v>1</c:v>
                </c:pt>
                <c:pt idx="38">
                  <c:v>2</c:v>
                </c:pt>
                <c:pt idx="39">
                  <c:v>1</c:v>
                </c:pt>
                <c:pt idx="40">
                  <c:v>1</c:v>
                </c:pt>
                <c:pt idx="41">
                  <c:v>2</c:v>
                </c:pt>
                <c:pt idx="42">
                  <c:v>2</c:v>
                </c:pt>
              </c:numCache>
            </c:numRef>
          </c:val>
          <c:smooth val="0"/>
        </c:ser>
        <c:ser>
          <c:idx val="4"/>
          <c:order val="4"/>
          <c:tx>
            <c:strRef>
              <c:f>'Sheet1 (5)'!$F$4:$F$5</c:f>
              <c:strCache>
                <c:ptCount val="1"/>
                <c:pt idx="0">
                  <c:v>TADALAFIL</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(5)'!$F$6:$F$60</c:f>
              <c:numCache>
                <c:formatCode>General</c:formatCode>
                <c:ptCount val="43"/>
                <c:pt idx="33">
                  <c:v>9</c:v>
                </c:pt>
                <c:pt idx="34">
                  <c:v>10</c:v>
                </c:pt>
                <c:pt idx="35">
                  <c:v>2</c:v>
                </c:pt>
                <c:pt idx="36">
                  <c:v>7</c:v>
                </c:pt>
                <c:pt idx="37">
                  <c:v>7</c:v>
                </c:pt>
                <c:pt idx="38">
                  <c:v>6</c:v>
                </c:pt>
                <c:pt idx="39">
                  <c:v>6</c:v>
                </c:pt>
                <c:pt idx="40">
                  <c:v>5</c:v>
                </c:pt>
                <c:pt idx="41">
                  <c:v>8</c:v>
                </c:pt>
                <c:pt idx="42">
                  <c:v>7</c:v>
                </c:pt>
              </c:numCache>
            </c:numRef>
          </c:val>
          <c:smooth val="0"/>
        </c:ser>
        <c:ser>
          <c:idx val="5"/>
          <c:order val="5"/>
          <c:tx>
            <c:strRef>
              <c:f>'Sheet1 (5)'!$G$4:$G$5</c:f>
              <c:strCache>
                <c:ptCount val="1"/>
                <c:pt idx="0">
                  <c:v>MACITENTAN</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(5)'!$G$6:$G$60</c:f>
              <c:numCache>
                <c:formatCode>General</c:formatCode>
                <c:ptCount val="43"/>
                <c:pt idx="42">
                  <c:v>71</c:v>
                </c:pt>
              </c:numCache>
            </c:numRef>
          </c:val>
          <c:smooth val="0"/>
        </c:ser>
        <c:ser>
          <c:idx val="6"/>
          <c:order val="6"/>
          <c:tx>
            <c:strRef>
              <c:f>'Sheet1 (5)'!$H$4:$H$5</c:f>
              <c:strCache>
                <c:ptCount val="1"/>
                <c:pt idx="0">
                  <c:v>EPOPROSTENOL</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(5)'!$H$6:$H$60</c:f>
              <c:numCache>
                <c:formatCode>General</c:formatCode>
                <c:ptCount val="43"/>
                <c:pt idx="11">
                  <c:v>3</c:v>
                </c:pt>
                <c:pt idx="14">
                  <c:v>1</c:v>
                </c:pt>
                <c:pt idx="17">
                  <c:v>1</c:v>
                </c:pt>
                <c:pt idx="19">
                  <c:v>1</c:v>
                </c:pt>
                <c:pt idx="20">
                  <c:v>2</c:v>
                </c:pt>
                <c:pt idx="21">
                  <c:v>2</c:v>
                </c:pt>
                <c:pt idx="22">
                  <c:v>3</c:v>
                </c:pt>
                <c:pt idx="28">
                  <c:v>1</c:v>
                </c:pt>
                <c:pt idx="29">
                  <c:v>1</c:v>
                </c:pt>
                <c:pt idx="30">
                  <c:v>1</c:v>
                </c:pt>
                <c:pt idx="32">
                  <c:v>3</c:v>
                </c:pt>
                <c:pt idx="34">
                  <c:v>1</c:v>
                </c:pt>
                <c:pt idx="35">
                  <c:v>1</c:v>
                </c:pt>
                <c:pt idx="37">
                  <c:v>1</c:v>
                </c:pt>
                <c:pt idx="38">
                  <c:v>1</c:v>
                </c:pt>
                <c:pt idx="39">
                  <c:v>1</c:v>
                </c:pt>
                <c:pt idx="40">
                  <c:v>1</c:v>
                </c:pt>
                <c:pt idx="41">
                  <c:v>1</c:v>
                </c:pt>
                <c:pt idx="42">
                  <c:v>1</c:v>
                </c:pt>
              </c:numCache>
            </c:numRef>
          </c:val>
          <c:smooth val="0"/>
        </c:ser>
        <c:ser>
          <c:idx val="7"/>
          <c:order val="7"/>
          <c:tx>
            <c:strRef>
              <c:f>'Sheet1 (5)'!$I$4:$I$5</c:f>
              <c:strCache>
                <c:ptCount val="1"/>
                <c:pt idx="0">
                  <c:v>SITAXENTAN</c:v>
                </c:pt>
              </c:strCache>
            </c:strRef>
          </c:tx>
          <c:cat>
            <c:multiLvlStrRef>
              <c:f>'Sheet1 (5)'!$A$6:$A$60</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 YTD</c:v>
                  </c:pt>
                </c:lvl>
              </c:multiLvlStrCache>
            </c:multiLvlStrRef>
          </c:cat>
          <c:val>
            <c:numRef>
              <c:f>'Sheet1 (5)'!$I$6:$I$60</c:f>
              <c:numCache>
                <c:formatCode>General</c:formatCode>
                <c:ptCount val="43"/>
                <c:pt idx="17">
                  <c:v>13</c:v>
                </c:pt>
                <c:pt idx="18">
                  <c:v>16</c:v>
                </c:pt>
                <c:pt idx="19">
                  <c:v>19</c:v>
                </c:pt>
                <c:pt idx="20">
                  <c:v>16</c:v>
                </c:pt>
                <c:pt idx="21">
                  <c:v>12</c:v>
                </c:pt>
                <c:pt idx="22">
                  <c:v>7</c:v>
                </c:pt>
                <c:pt idx="23">
                  <c:v>7</c:v>
                </c:pt>
                <c:pt idx="24">
                  <c:v>5</c:v>
                </c:pt>
                <c:pt idx="25">
                  <c:v>7</c:v>
                </c:pt>
                <c:pt idx="26">
                  <c:v>8</c:v>
                </c:pt>
                <c:pt idx="27">
                  <c:v>12</c:v>
                </c:pt>
              </c:numCache>
            </c:numRef>
          </c:val>
          <c:smooth val="0"/>
        </c:ser>
        <c:dLbls>
          <c:showLegendKey val="0"/>
          <c:showVal val="0"/>
          <c:showCatName val="0"/>
          <c:showSerName val="0"/>
          <c:showPercent val="0"/>
          <c:showBubbleSize val="0"/>
        </c:dLbls>
        <c:marker val="1"/>
        <c:smooth val="0"/>
        <c:axId val="90932352"/>
        <c:axId val="90933888"/>
      </c:lineChart>
      <c:catAx>
        <c:axId val="90932352"/>
        <c:scaling>
          <c:orientation val="minMax"/>
        </c:scaling>
        <c:delete val="0"/>
        <c:axPos val="b"/>
        <c:numFmt formatCode="General" sourceLinked="0"/>
        <c:majorTickMark val="none"/>
        <c:minorTickMark val="none"/>
        <c:tickLblPos val="nextTo"/>
        <c:txPr>
          <a:bodyPr/>
          <a:lstStyle/>
          <a:p>
            <a:pPr>
              <a:defRPr sz="800"/>
            </a:pPr>
            <a:endParaRPr lang="en-US"/>
          </a:p>
        </c:txPr>
        <c:crossAx val="90933888"/>
        <c:crosses val="autoZero"/>
        <c:auto val="1"/>
        <c:lblAlgn val="ctr"/>
        <c:lblOffset val="100"/>
        <c:noMultiLvlLbl val="0"/>
      </c:catAx>
      <c:valAx>
        <c:axId val="90933888"/>
        <c:scaling>
          <c:orientation val="minMax"/>
        </c:scaling>
        <c:delete val="0"/>
        <c:axPos val="l"/>
        <c:majorGridlines/>
        <c:numFmt formatCode="#,##0" sourceLinked="0"/>
        <c:majorTickMark val="none"/>
        <c:minorTickMark val="none"/>
        <c:tickLblPos val="nextTo"/>
        <c:crossAx val="90932352"/>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PAT_CNT_BY_DRUG_N_APPR_Q_SUM v2 - with sitaxentan.xlsx]Sheet1!PivotTable2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s>
    <c:plotArea>
      <c:layout/>
      <c:lineChart>
        <c:grouping val="standard"/>
        <c:varyColors val="0"/>
        <c:ser>
          <c:idx val="0"/>
          <c:order val="0"/>
          <c:tx>
            <c:strRef>
              <c:f>Sheet1!$B$3:$B$4</c:f>
              <c:strCache>
                <c:ptCount val="1"/>
                <c:pt idx="0">
                  <c:v>BOSENTAN</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Sheet1!$B$5:$B$59</c:f>
              <c:numCache>
                <c:formatCode>General</c:formatCode>
                <c:ptCount val="43"/>
                <c:pt idx="0">
                  <c:v>130</c:v>
                </c:pt>
                <c:pt idx="1">
                  <c:v>84</c:v>
                </c:pt>
                <c:pt idx="2">
                  <c:v>44</c:v>
                </c:pt>
                <c:pt idx="3">
                  <c:v>37</c:v>
                </c:pt>
                <c:pt idx="4">
                  <c:v>51</c:v>
                </c:pt>
                <c:pt idx="5">
                  <c:v>55</c:v>
                </c:pt>
                <c:pt idx="6">
                  <c:v>60</c:v>
                </c:pt>
                <c:pt idx="7">
                  <c:v>72</c:v>
                </c:pt>
                <c:pt idx="8">
                  <c:v>50</c:v>
                </c:pt>
                <c:pt idx="9">
                  <c:v>63</c:v>
                </c:pt>
                <c:pt idx="10">
                  <c:v>78</c:v>
                </c:pt>
                <c:pt idx="11">
                  <c:v>63</c:v>
                </c:pt>
                <c:pt idx="12">
                  <c:v>48</c:v>
                </c:pt>
                <c:pt idx="13">
                  <c:v>60</c:v>
                </c:pt>
                <c:pt idx="14">
                  <c:v>71</c:v>
                </c:pt>
                <c:pt idx="15">
                  <c:v>83</c:v>
                </c:pt>
                <c:pt idx="16">
                  <c:v>63</c:v>
                </c:pt>
                <c:pt idx="17">
                  <c:v>58</c:v>
                </c:pt>
                <c:pt idx="18">
                  <c:v>155</c:v>
                </c:pt>
                <c:pt idx="19">
                  <c:v>82</c:v>
                </c:pt>
                <c:pt idx="20">
                  <c:v>66</c:v>
                </c:pt>
                <c:pt idx="21">
                  <c:v>81</c:v>
                </c:pt>
                <c:pt idx="22">
                  <c:v>81</c:v>
                </c:pt>
                <c:pt idx="23">
                  <c:v>77</c:v>
                </c:pt>
                <c:pt idx="24">
                  <c:v>57</c:v>
                </c:pt>
                <c:pt idx="25">
                  <c:v>49</c:v>
                </c:pt>
                <c:pt idx="26">
                  <c:v>55</c:v>
                </c:pt>
                <c:pt idx="27">
                  <c:v>123</c:v>
                </c:pt>
                <c:pt idx="28">
                  <c:v>84</c:v>
                </c:pt>
                <c:pt idx="29">
                  <c:v>62</c:v>
                </c:pt>
                <c:pt idx="30">
                  <c:v>71</c:v>
                </c:pt>
                <c:pt idx="31">
                  <c:v>61</c:v>
                </c:pt>
                <c:pt idx="32">
                  <c:v>64</c:v>
                </c:pt>
                <c:pt idx="33">
                  <c:v>53</c:v>
                </c:pt>
                <c:pt idx="34">
                  <c:v>63</c:v>
                </c:pt>
                <c:pt idx="35">
                  <c:v>55</c:v>
                </c:pt>
                <c:pt idx="36">
                  <c:v>40</c:v>
                </c:pt>
                <c:pt idx="37">
                  <c:v>65</c:v>
                </c:pt>
                <c:pt idx="38">
                  <c:v>57</c:v>
                </c:pt>
                <c:pt idx="39">
                  <c:v>65</c:v>
                </c:pt>
                <c:pt idx="40">
                  <c:v>61</c:v>
                </c:pt>
                <c:pt idx="41">
                  <c:v>39</c:v>
                </c:pt>
                <c:pt idx="42">
                  <c:v>21</c:v>
                </c:pt>
              </c:numCache>
            </c:numRef>
          </c:val>
          <c:smooth val="0"/>
        </c:ser>
        <c:ser>
          <c:idx val="1"/>
          <c:order val="1"/>
          <c:tx>
            <c:strRef>
              <c:f>Sheet1!$C$3:$C$4</c:f>
              <c:strCache>
                <c:ptCount val="1"/>
                <c:pt idx="0">
                  <c:v>SILDENAFIL</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Sheet1!$C$5:$C$59</c:f>
              <c:numCache>
                <c:formatCode>General</c:formatCode>
                <c:ptCount val="43"/>
                <c:pt idx="12">
                  <c:v>15</c:v>
                </c:pt>
                <c:pt idx="13">
                  <c:v>56</c:v>
                </c:pt>
                <c:pt idx="14">
                  <c:v>32</c:v>
                </c:pt>
                <c:pt idx="15">
                  <c:v>28</c:v>
                </c:pt>
                <c:pt idx="16">
                  <c:v>30</c:v>
                </c:pt>
                <c:pt idx="17">
                  <c:v>27</c:v>
                </c:pt>
                <c:pt idx="18">
                  <c:v>25</c:v>
                </c:pt>
                <c:pt idx="19">
                  <c:v>21</c:v>
                </c:pt>
                <c:pt idx="20">
                  <c:v>17</c:v>
                </c:pt>
                <c:pt idx="21">
                  <c:v>34</c:v>
                </c:pt>
                <c:pt idx="22">
                  <c:v>25</c:v>
                </c:pt>
                <c:pt idx="23">
                  <c:v>21</c:v>
                </c:pt>
                <c:pt idx="24">
                  <c:v>20</c:v>
                </c:pt>
                <c:pt idx="25">
                  <c:v>24</c:v>
                </c:pt>
                <c:pt idx="26">
                  <c:v>37</c:v>
                </c:pt>
                <c:pt idx="27">
                  <c:v>38</c:v>
                </c:pt>
                <c:pt idx="28">
                  <c:v>32</c:v>
                </c:pt>
                <c:pt idx="29">
                  <c:v>32</c:v>
                </c:pt>
                <c:pt idx="30">
                  <c:v>55</c:v>
                </c:pt>
                <c:pt idx="31">
                  <c:v>36</c:v>
                </c:pt>
                <c:pt idx="32">
                  <c:v>25</c:v>
                </c:pt>
                <c:pt idx="33">
                  <c:v>35</c:v>
                </c:pt>
                <c:pt idx="34">
                  <c:v>28</c:v>
                </c:pt>
                <c:pt idx="35">
                  <c:v>43</c:v>
                </c:pt>
                <c:pt idx="36">
                  <c:v>39</c:v>
                </c:pt>
                <c:pt idx="37">
                  <c:v>31</c:v>
                </c:pt>
                <c:pt idx="38">
                  <c:v>36</c:v>
                </c:pt>
                <c:pt idx="39">
                  <c:v>32</c:v>
                </c:pt>
                <c:pt idx="40">
                  <c:v>42</c:v>
                </c:pt>
                <c:pt idx="41">
                  <c:v>29</c:v>
                </c:pt>
                <c:pt idx="42">
                  <c:v>35</c:v>
                </c:pt>
              </c:numCache>
            </c:numRef>
          </c:val>
          <c:smooth val="0"/>
        </c:ser>
        <c:ser>
          <c:idx val="2"/>
          <c:order val="2"/>
          <c:tx>
            <c:strRef>
              <c:f>Sheet1!$D$3:$D$4</c:f>
              <c:strCache>
                <c:ptCount val="1"/>
                <c:pt idx="0">
                  <c:v>AMBRISENTAN</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Sheet1!$D$5:$D$59</c:f>
              <c:numCache>
                <c:formatCode>General</c:formatCode>
                <c:ptCount val="43"/>
                <c:pt idx="23">
                  <c:v>22</c:v>
                </c:pt>
                <c:pt idx="24">
                  <c:v>36</c:v>
                </c:pt>
                <c:pt idx="25">
                  <c:v>30</c:v>
                </c:pt>
                <c:pt idx="26">
                  <c:v>26</c:v>
                </c:pt>
                <c:pt idx="27">
                  <c:v>118</c:v>
                </c:pt>
                <c:pt idx="28">
                  <c:v>28</c:v>
                </c:pt>
                <c:pt idx="29">
                  <c:v>26</c:v>
                </c:pt>
                <c:pt idx="30">
                  <c:v>31</c:v>
                </c:pt>
                <c:pt idx="31">
                  <c:v>32</c:v>
                </c:pt>
                <c:pt idx="32">
                  <c:v>26</c:v>
                </c:pt>
                <c:pt idx="33">
                  <c:v>23</c:v>
                </c:pt>
                <c:pt idx="34">
                  <c:v>42</c:v>
                </c:pt>
                <c:pt idx="35">
                  <c:v>29</c:v>
                </c:pt>
                <c:pt idx="36">
                  <c:v>29</c:v>
                </c:pt>
                <c:pt idx="37">
                  <c:v>40</c:v>
                </c:pt>
                <c:pt idx="38">
                  <c:v>37</c:v>
                </c:pt>
                <c:pt idx="39">
                  <c:v>31</c:v>
                </c:pt>
                <c:pt idx="40">
                  <c:v>31</c:v>
                </c:pt>
                <c:pt idx="41">
                  <c:v>25</c:v>
                </c:pt>
                <c:pt idx="42">
                  <c:v>10</c:v>
                </c:pt>
              </c:numCache>
            </c:numRef>
          </c:val>
          <c:smooth val="0"/>
        </c:ser>
        <c:ser>
          <c:idx val="3"/>
          <c:order val="3"/>
          <c:tx>
            <c:strRef>
              <c:f>Sheet1!$E$3:$E$4</c:f>
              <c:strCache>
                <c:ptCount val="1"/>
                <c:pt idx="0">
                  <c:v>ILOPROST</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Sheet1!$E$5:$E$59</c:f>
              <c:numCache>
                <c:formatCode>General</c:formatCode>
                <c:ptCount val="43"/>
                <c:pt idx="5">
                  <c:v>7</c:v>
                </c:pt>
                <c:pt idx="6">
                  <c:v>5</c:v>
                </c:pt>
                <c:pt idx="7">
                  <c:v>6</c:v>
                </c:pt>
                <c:pt idx="8">
                  <c:v>10</c:v>
                </c:pt>
                <c:pt idx="9">
                  <c:v>16</c:v>
                </c:pt>
                <c:pt idx="10">
                  <c:v>13</c:v>
                </c:pt>
                <c:pt idx="11">
                  <c:v>10</c:v>
                </c:pt>
                <c:pt idx="12">
                  <c:v>6</c:v>
                </c:pt>
                <c:pt idx="13">
                  <c:v>10</c:v>
                </c:pt>
                <c:pt idx="14">
                  <c:v>11</c:v>
                </c:pt>
                <c:pt idx="15">
                  <c:v>13</c:v>
                </c:pt>
                <c:pt idx="16">
                  <c:v>11</c:v>
                </c:pt>
                <c:pt idx="17">
                  <c:v>11</c:v>
                </c:pt>
                <c:pt idx="18">
                  <c:v>11</c:v>
                </c:pt>
                <c:pt idx="19">
                  <c:v>6</c:v>
                </c:pt>
                <c:pt idx="20">
                  <c:v>5</c:v>
                </c:pt>
                <c:pt idx="21">
                  <c:v>4</c:v>
                </c:pt>
                <c:pt idx="22">
                  <c:v>4</c:v>
                </c:pt>
                <c:pt idx="23">
                  <c:v>9</c:v>
                </c:pt>
                <c:pt idx="24">
                  <c:v>10</c:v>
                </c:pt>
                <c:pt idx="25">
                  <c:v>4</c:v>
                </c:pt>
                <c:pt idx="26">
                  <c:v>7</c:v>
                </c:pt>
                <c:pt idx="27">
                  <c:v>7</c:v>
                </c:pt>
                <c:pt idx="28">
                  <c:v>2</c:v>
                </c:pt>
                <c:pt idx="29">
                  <c:v>1</c:v>
                </c:pt>
                <c:pt idx="30">
                  <c:v>1</c:v>
                </c:pt>
                <c:pt idx="31">
                  <c:v>4</c:v>
                </c:pt>
                <c:pt idx="32">
                  <c:v>9</c:v>
                </c:pt>
                <c:pt idx="33">
                  <c:v>5</c:v>
                </c:pt>
                <c:pt idx="34">
                  <c:v>3</c:v>
                </c:pt>
                <c:pt idx="35">
                  <c:v>7</c:v>
                </c:pt>
                <c:pt idx="36">
                  <c:v>4</c:v>
                </c:pt>
                <c:pt idx="37">
                  <c:v>6</c:v>
                </c:pt>
                <c:pt idx="38">
                  <c:v>6</c:v>
                </c:pt>
                <c:pt idx="39">
                  <c:v>7</c:v>
                </c:pt>
                <c:pt idx="40">
                  <c:v>5</c:v>
                </c:pt>
                <c:pt idx="41">
                  <c:v>6</c:v>
                </c:pt>
                <c:pt idx="42">
                  <c:v>4</c:v>
                </c:pt>
              </c:numCache>
            </c:numRef>
          </c:val>
          <c:smooth val="0"/>
        </c:ser>
        <c:ser>
          <c:idx val="4"/>
          <c:order val="4"/>
          <c:tx>
            <c:strRef>
              <c:f>Sheet1!$F$3:$F$4</c:f>
              <c:strCache>
                <c:ptCount val="1"/>
                <c:pt idx="0">
                  <c:v>TADALAFIL</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Sheet1!$F$5:$F$59</c:f>
              <c:numCache>
                <c:formatCode>General</c:formatCode>
                <c:ptCount val="43"/>
                <c:pt idx="33">
                  <c:v>25</c:v>
                </c:pt>
                <c:pt idx="34">
                  <c:v>15</c:v>
                </c:pt>
                <c:pt idx="35">
                  <c:v>11</c:v>
                </c:pt>
                <c:pt idx="36">
                  <c:v>14</c:v>
                </c:pt>
                <c:pt idx="37">
                  <c:v>15</c:v>
                </c:pt>
                <c:pt idx="38">
                  <c:v>15</c:v>
                </c:pt>
                <c:pt idx="39">
                  <c:v>25</c:v>
                </c:pt>
                <c:pt idx="40">
                  <c:v>18</c:v>
                </c:pt>
                <c:pt idx="41">
                  <c:v>14</c:v>
                </c:pt>
                <c:pt idx="42">
                  <c:v>16</c:v>
                </c:pt>
              </c:numCache>
            </c:numRef>
          </c:val>
          <c:smooth val="0"/>
        </c:ser>
        <c:ser>
          <c:idx val="5"/>
          <c:order val="5"/>
          <c:tx>
            <c:strRef>
              <c:f>Sheet1!$G$3:$G$4</c:f>
              <c:strCache>
                <c:ptCount val="1"/>
                <c:pt idx="0">
                  <c:v>MACITENTAN</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Sheet1!$G$5:$G$59</c:f>
              <c:numCache>
                <c:formatCode>General</c:formatCode>
                <c:ptCount val="43"/>
                <c:pt idx="42">
                  <c:v>157</c:v>
                </c:pt>
              </c:numCache>
            </c:numRef>
          </c:val>
          <c:smooth val="0"/>
        </c:ser>
        <c:ser>
          <c:idx val="6"/>
          <c:order val="6"/>
          <c:tx>
            <c:strRef>
              <c:f>Sheet1!$H$3:$H$4</c:f>
              <c:strCache>
                <c:ptCount val="1"/>
                <c:pt idx="0">
                  <c:v>EPOPROSTENOL</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Sheet1!$H$5:$H$59</c:f>
              <c:numCache>
                <c:formatCode>General</c:formatCode>
                <c:ptCount val="43"/>
                <c:pt idx="10">
                  <c:v>1</c:v>
                </c:pt>
                <c:pt idx="11">
                  <c:v>10</c:v>
                </c:pt>
                <c:pt idx="12">
                  <c:v>1</c:v>
                </c:pt>
                <c:pt idx="13">
                  <c:v>4</c:v>
                </c:pt>
                <c:pt idx="14">
                  <c:v>2</c:v>
                </c:pt>
                <c:pt idx="16">
                  <c:v>2</c:v>
                </c:pt>
                <c:pt idx="17">
                  <c:v>4</c:v>
                </c:pt>
                <c:pt idx="18">
                  <c:v>3</c:v>
                </c:pt>
                <c:pt idx="19">
                  <c:v>3</c:v>
                </c:pt>
                <c:pt idx="20">
                  <c:v>4</c:v>
                </c:pt>
                <c:pt idx="21">
                  <c:v>9</c:v>
                </c:pt>
                <c:pt idx="22">
                  <c:v>6</c:v>
                </c:pt>
                <c:pt idx="23">
                  <c:v>2</c:v>
                </c:pt>
                <c:pt idx="24">
                  <c:v>1</c:v>
                </c:pt>
                <c:pt idx="25">
                  <c:v>3</c:v>
                </c:pt>
                <c:pt idx="26">
                  <c:v>2</c:v>
                </c:pt>
                <c:pt idx="27">
                  <c:v>2</c:v>
                </c:pt>
                <c:pt idx="28">
                  <c:v>7</c:v>
                </c:pt>
                <c:pt idx="29">
                  <c:v>5</c:v>
                </c:pt>
                <c:pt idx="30">
                  <c:v>10</c:v>
                </c:pt>
                <c:pt idx="31">
                  <c:v>10</c:v>
                </c:pt>
                <c:pt idx="32">
                  <c:v>5</c:v>
                </c:pt>
                <c:pt idx="33">
                  <c:v>7</c:v>
                </c:pt>
                <c:pt idx="34">
                  <c:v>3</c:v>
                </c:pt>
                <c:pt idx="35">
                  <c:v>6</c:v>
                </c:pt>
                <c:pt idx="36">
                  <c:v>2</c:v>
                </c:pt>
                <c:pt idx="37">
                  <c:v>7</c:v>
                </c:pt>
                <c:pt idx="38">
                  <c:v>10</c:v>
                </c:pt>
                <c:pt idx="39">
                  <c:v>8</c:v>
                </c:pt>
                <c:pt idx="40">
                  <c:v>2</c:v>
                </c:pt>
                <c:pt idx="41">
                  <c:v>2</c:v>
                </c:pt>
                <c:pt idx="42">
                  <c:v>9</c:v>
                </c:pt>
              </c:numCache>
            </c:numRef>
          </c:val>
          <c:smooth val="0"/>
        </c:ser>
        <c:ser>
          <c:idx val="7"/>
          <c:order val="7"/>
          <c:tx>
            <c:strRef>
              <c:f>Sheet1!$I$3:$I$4</c:f>
              <c:strCache>
                <c:ptCount val="1"/>
                <c:pt idx="0">
                  <c:v>SITAXENTAN</c:v>
                </c:pt>
              </c:strCache>
            </c:strRef>
          </c:tx>
          <c:cat>
            <c:multiLvlStrRef>
              <c:f>Sheet1!$A$5:$A$59</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Sheet1!$I$5:$I$59</c:f>
              <c:numCache>
                <c:formatCode>General</c:formatCode>
                <c:ptCount val="43"/>
                <c:pt idx="17">
                  <c:v>37</c:v>
                </c:pt>
                <c:pt idx="18">
                  <c:v>30</c:v>
                </c:pt>
                <c:pt idx="19">
                  <c:v>33</c:v>
                </c:pt>
                <c:pt idx="20">
                  <c:v>39</c:v>
                </c:pt>
                <c:pt idx="21">
                  <c:v>27</c:v>
                </c:pt>
                <c:pt idx="22">
                  <c:v>22</c:v>
                </c:pt>
                <c:pt idx="23">
                  <c:v>13</c:v>
                </c:pt>
                <c:pt idx="24">
                  <c:v>6</c:v>
                </c:pt>
                <c:pt idx="25">
                  <c:v>19</c:v>
                </c:pt>
                <c:pt idx="26">
                  <c:v>29</c:v>
                </c:pt>
                <c:pt idx="27">
                  <c:v>21</c:v>
                </c:pt>
              </c:numCache>
            </c:numRef>
          </c:val>
          <c:smooth val="0"/>
        </c:ser>
        <c:dLbls>
          <c:showLegendKey val="0"/>
          <c:showVal val="0"/>
          <c:showCatName val="0"/>
          <c:showSerName val="0"/>
          <c:showPercent val="0"/>
          <c:showBubbleSize val="0"/>
        </c:dLbls>
        <c:marker val="1"/>
        <c:smooth val="0"/>
        <c:axId val="38395264"/>
        <c:axId val="38401152"/>
      </c:lineChart>
      <c:catAx>
        <c:axId val="38395264"/>
        <c:scaling>
          <c:orientation val="minMax"/>
        </c:scaling>
        <c:delete val="0"/>
        <c:axPos val="b"/>
        <c:numFmt formatCode="General" sourceLinked="0"/>
        <c:majorTickMark val="none"/>
        <c:minorTickMark val="none"/>
        <c:tickLblPos val="nextTo"/>
        <c:txPr>
          <a:bodyPr/>
          <a:lstStyle/>
          <a:p>
            <a:pPr>
              <a:defRPr sz="800"/>
            </a:pPr>
            <a:endParaRPr lang="en-US"/>
          </a:p>
        </c:txPr>
        <c:crossAx val="38401152"/>
        <c:crosses val="autoZero"/>
        <c:auto val="1"/>
        <c:lblAlgn val="ctr"/>
        <c:lblOffset val="100"/>
        <c:noMultiLvlLbl val="0"/>
      </c:catAx>
      <c:valAx>
        <c:axId val="38401152"/>
        <c:scaling>
          <c:orientation val="minMax"/>
          <c:max val="160"/>
        </c:scaling>
        <c:delete val="0"/>
        <c:axPos val="l"/>
        <c:majorGridlines/>
        <c:numFmt formatCode="General" sourceLinked="1"/>
        <c:majorTickMark val="none"/>
        <c:minorTickMark val="none"/>
        <c:tickLblPos val="nextTo"/>
        <c:crossAx val="38395264"/>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PAT_CNT_BY_DRUG_N_APPR_Q_SUM v3 - with sitaxentan, prev by year.xlsx]Sheet1 (2)!PivotTable2</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
        <c:idx val="39"/>
        <c:marker>
          <c:symbol val="none"/>
        </c:marker>
      </c:pivotFmt>
      <c:pivotFmt>
        <c:idx val="40"/>
        <c:marker>
          <c:symbol val="none"/>
        </c:marker>
      </c:pivotFmt>
      <c:pivotFmt>
        <c:idx val="41"/>
        <c:marker>
          <c:symbol val="none"/>
        </c:marker>
      </c:pivotFmt>
      <c:pivotFmt>
        <c:idx val="42"/>
        <c:marker>
          <c:symbol val="none"/>
        </c:marker>
      </c:pivotFmt>
      <c:pivotFmt>
        <c:idx val="43"/>
        <c:marker>
          <c:symbol val="none"/>
        </c:marker>
      </c:pivotFmt>
      <c:pivotFmt>
        <c:idx val="44"/>
        <c:marker>
          <c:symbol val="none"/>
        </c:marker>
      </c:pivotFmt>
      <c:pivotFmt>
        <c:idx val="45"/>
        <c:marker>
          <c:symbol val="none"/>
        </c:marker>
      </c:pivotFmt>
      <c:pivotFmt>
        <c:idx val="46"/>
        <c:marker>
          <c:symbol val="none"/>
        </c:marker>
      </c:pivotFmt>
      <c:pivotFmt>
        <c:idx val="47"/>
        <c:marker>
          <c:symbol val="none"/>
        </c:marker>
      </c:pivotFmt>
      <c:pivotFmt>
        <c:idx val="48"/>
        <c:marker>
          <c:symbol val="none"/>
        </c:marker>
      </c:pivotFmt>
      <c:pivotFmt>
        <c:idx val="49"/>
        <c:marker>
          <c:symbol val="none"/>
        </c:marker>
      </c:pivotFmt>
      <c:pivotFmt>
        <c:idx val="50"/>
        <c:marker>
          <c:symbol val="none"/>
        </c:marker>
      </c:pivotFmt>
      <c:pivotFmt>
        <c:idx val="51"/>
        <c:marker>
          <c:symbol val="none"/>
        </c:marker>
      </c:pivotFmt>
      <c:pivotFmt>
        <c:idx val="52"/>
        <c:marker>
          <c:symbol val="none"/>
        </c:marker>
      </c:pivotFmt>
      <c:pivotFmt>
        <c:idx val="53"/>
        <c:marker>
          <c:symbol val="none"/>
        </c:marker>
      </c:pivotFmt>
      <c:pivotFmt>
        <c:idx val="54"/>
        <c:marker>
          <c:symbol val="none"/>
        </c:marker>
      </c:pivotFmt>
      <c:pivotFmt>
        <c:idx val="55"/>
        <c:marker>
          <c:symbol val="none"/>
        </c:marker>
      </c:pivotFmt>
      <c:pivotFmt>
        <c:idx val="56"/>
        <c:marker>
          <c:symbol val="none"/>
        </c:marker>
      </c:pivotFmt>
      <c:pivotFmt>
        <c:idx val="57"/>
        <c:marker>
          <c:symbol val="none"/>
        </c:marker>
      </c:pivotFmt>
      <c:pivotFmt>
        <c:idx val="58"/>
        <c:marker>
          <c:symbol val="none"/>
        </c:marker>
      </c:pivotFmt>
      <c:pivotFmt>
        <c:idx val="59"/>
        <c:marker>
          <c:symbol val="none"/>
        </c:marker>
      </c:pivotFmt>
      <c:pivotFmt>
        <c:idx val="60"/>
        <c:marker>
          <c:symbol val="none"/>
        </c:marker>
      </c:pivotFmt>
      <c:pivotFmt>
        <c:idx val="61"/>
        <c:marker>
          <c:symbol val="none"/>
        </c:marker>
      </c:pivotFmt>
      <c:pivotFmt>
        <c:idx val="62"/>
        <c:marker>
          <c:symbol val="none"/>
        </c:marker>
      </c:pivotFmt>
      <c:pivotFmt>
        <c:idx val="63"/>
        <c:marker>
          <c:symbol val="none"/>
        </c:marker>
      </c:pivotFmt>
      <c:pivotFmt>
        <c:idx val="64"/>
        <c:marker>
          <c:symbol val="none"/>
        </c:marker>
      </c:pivotFmt>
      <c:pivotFmt>
        <c:idx val="65"/>
        <c:marker>
          <c:symbol val="none"/>
        </c:marker>
      </c:pivotFmt>
      <c:pivotFmt>
        <c:idx val="66"/>
        <c:marker>
          <c:symbol val="none"/>
        </c:marker>
      </c:pivotFmt>
      <c:pivotFmt>
        <c:idx val="67"/>
        <c:marker>
          <c:symbol val="none"/>
        </c:marker>
      </c:pivotFmt>
      <c:pivotFmt>
        <c:idx val="68"/>
        <c:marker>
          <c:symbol val="none"/>
        </c:marker>
      </c:pivotFmt>
      <c:pivotFmt>
        <c:idx val="69"/>
      </c:pivotFmt>
      <c:pivotFmt>
        <c:idx val="70"/>
      </c:pivotFmt>
      <c:pivotFmt>
        <c:idx val="71"/>
      </c:pivotFmt>
      <c:pivotFmt>
        <c:idx val="72"/>
      </c:pivotFmt>
      <c:pivotFmt>
        <c:idx val="73"/>
      </c:pivotFmt>
      <c:pivotFmt>
        <c:idx val="74"/>
      </c:pivotFmt>
      <c:pivotFmt>
        <c:idx val="75"/>
      </c:pivotFmt>
      <c:pivotFmt>
        <c:idx val="76"/>
      </c:pivotFmt>
      <c:pivotFmt>
        <c:idx val="77"/>
      </c:pivotFmt>
      <c:pivotFmt>
        <c:idx val="78"/>
      </c:pivotFmt>
      <c:pivotFmt>
        <c:idx val="79"/>
      </c:pivotFmt>
      <c:pivotFmt>
        <c:idx val="80"/>
      </c:pivotFmt>
      <c:pivotFmt>
        <c:idx val="81"/>
      </c:pivotFmt>
      <c:pivotFmt>
        <c:idx val="82"/>
      </c:pivotFmt>
      <c:pivotFmt>
        <c:idx val="83"/>
      </c:pivotFmt>
      <c:pivotFmt>
        <c:idx val="84"/>
      </c:pivotFmt>
      <c:pivotFmt>
        <c:idx val="85"/>
      </c:pivotFmt>
      <c:pivotFmt>
        <c:idx val="86"/>
      </c:pivotFmt>
      <c:pivotFmt>
        <c:idx val="87"/>
      </c:pivotFmt>
      <c:pivotFmt>
        <c:idx val="88"/>
      </c:pivotFmt>
      <c:pivotFmt>
        <c:idx val="89"/>
      </c:pivotFmt>
      <c:pivotFmt>
        <c:idx val="90"/>
      </c:pivotFmt>
      <c:pivotFmt>
        <c:idx val="91"/>
      </c:pivotFmt>
      <c:pivotFmt>
        <c:idx val="92"/>
      </c:pivotFmt>
    </c:pivotFmts>
    <c:plotArea>
      <c:layout/>
      <c:lineChart>
        <c:grouping val="standard"/>
        <c:varyColors val="0"/>
        <c:ser>
          <c:idx val="0"/>
          <c:order val="0"/>
          <c:tx>
            <c:strRef>
              <c:f>'Sheet1 (2)'!$B$3:$B$4</c:f>
              <c:strCache>
                <c:ptCount val="1"/>
                <c:pt idx="0">
                  <c:v>BOSENTAN</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(2)'!$B$5:$B$16</c:f>
              <c:numCache>
                <c:formatCode>General</c:formatCode>
                <c:ptCount val="11"/>
                <c:pt idx="0">
                  <c:v>295</c:v>
                </c:pt>
                <c:pt idx="1">
                  <c:v>479</c:v>
                </c:pt>
                <c:pt idx="2">
                  <c:v>625</c:v>
                </c:pt>
                <c:pt idx="3">
                  <c:v>732</c:v>
                </c:pt>
                <c:pt idx="4">
                  <c:v>921</c:v>
                </c:pt>
                <c:pt idx="5">
                  <c:v>1018</c:v>
                </c:pt>
                <c:pt idx="6">
                  <c:v>1079</c:v>
                </c:pt>
                <c:pt idx="7">
                  <c:v>1134</c:v>
                </c:pt>
                <c:pt idx="8">
                  <c:v>1130</c:v>
                </c:pt>
                <c:pt idx="9">
                  <c:v>1130</c:v>
                </c:pt>
                <c:pt idx="10">
                  <c:v>1019</c:v>
                </c:pt>
              </c:numCache>
            </c:numRef>
          </c:val>
          <c:smooth val="0"/>
        </c:ser>
        <c:ser>
          <c:idx val="1"/>
          <c:order val="1"/>
          <c:tx>
            <c:strRef>
              <c:f>'Sheet1 (2)'!$C$3:$C$4</c:f>
              <c:strCache>
                <c:ptCount val="1"/>
                <c:pt idx="0">
                  <c:v>SILDENAFIL</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(2)'!$C$5:$C$16</c:f>
              <c:numCache>
                <c:formatCode>General</c:formatCode>
                <c:ptCount val="11"/>
                <c:pt idx="3">
                  <c:v>131</c:v>
                </c:pt>
                <c:pt idx="4">
                  <c:v>189</c:v>
                </c:pt>
                <c:pt idx="5">
                  <c:v>205</c:v>
                </c:pt>
                <c:pt idx="6">
                  <c:v>278</c:v>
                </c:pt>
                <c:pt idx="7">
                  <c:v>355</c:v>
                </c:pt>
                <c:pt idx="8">
                  <c:v>381</c:v>
                </c:pt>
                <c:pt idx="9">
                  <c:v>401</c:v>
                </c:pt>
                <c:pt idx="10">
                  <c:v>369</c:v>
                </c:pt>
              </c:numCache>
            </c:numRef>
          </c:val>
          <c:smooth val="0"/>
        </c:ser>
        <c:ser>
          <c:idx val="2"/>
          <c:order val="2"/>
          <c:tx>
            <c:strRef>
              <c:f>'Sheet1 (2)'!$D$3:$D$4</c:f>
              <c:strCache>
                <c:ptCount val="1"/>
                <c:pt idx="0">
                  <c:v>AMBRISENTAN</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(2)'!$D$5:$D$16</c:f>
              <c:numCache>
                <c:formatCode>General</c:formatCode>
                <c:ptCount val="11"/>
                <c:pt idx="5">
                  <c:v>22</c:v>
                </c:pt>
                <c:pt idx="6">
                  <c:v>227</c:v>
                </c:pt>
                <c:pt idx="7">
                  <c:v>284</c:v>
                </c:pt>
                <c:pt idx="8">
                  <c:v>331</c:v>
                </c:pt>
                <c:pt idx="9">
                  <c:v>392</c:v>
                </c:pt>
                <c:pt idx="10">
                  <c:v>373</c:v>
                </c:pt>
              </c:numCache>
            </c:numRef>
          </c:val>
          <c:smooth val="0"/>
        </c:ser>
        <c:ser>
          <c:idx val="3"/>
          <c:order val="3"/>
          <c:tx>
            <c:strRef>
              <c:f>'Sheet1 (2)'!$E$3:$E$4</c:f>
              <c:strCache>
                <c:ptCount val="1"/>
                <c:pt idx="0">
                  <c:v>ILOPROST</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(2)'!$E$5:$E$16</c:f>
              <c:numCache>
                <c:formatCode>General</c:formatCode>
                <c:ptCount val="11"/>
                <c:pt idx="1">
                  <c:v>18</c:v>
                </c:pt>
                <c:pt idx="2">
                  <c:v>59</c:v>
                </c:pt>
                <c:pt idx="3">
                  <c:v>66</c:v>
                </c:pt>
                <c:pt idx="4">
                  <c:v>74</c:v>
                </c:pt>
                <c:pt idx="5">
                  <c:v>66</c:v>
                </c:pt>
                <c:pt idx="6">
                  <c:v>64</c:v>
                </c:pt>
                <c:pt idx="7">
                  <c:v>39</c:v>
                </c:pt>
                <c:pt idx="8">
                  <c:v>49</c:v>
                </c:pt>
                <c:pt idx="9">
                  <c:v>49</c:v>
                </c:pt>
                <c:pt idx="10">
                  <c:v>43</c:v>
                </c:pt>
              </c:numCache>
            </c:numRef>
          </c:val>
          <c:smooth val="0"/>
        </c:ser>
        <c:ser>
          <c:idx val="4"/>
          <c:order val="4"/>
          <c:tx>
            <c:strRef>
              <c:f>'Sheet1 (2)'!$F$3:$F$4</c:f>
              <c:strCache>
                <c:ptCount val="1"/>
                <c:pt idx="0">
                  <c:v>TADALAFIL</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(2)'!$F$5:$F$16</c:f>
              <c:numCache>
                <c:formatCode>General</c:formatCode>
                <c:ptCount val="11"/>
                <c:pt idx="8">
                  <c:v>51</c:v>
                </c:pt>
                <c:pt idx="9">
                  <c:v>109</c:v>
                </c:pt>
                <c:pt idx="10">
                  <c:v>123</c:v>
                </c:pt>
              </c:numCache>
            </c:numRef>
          </c:val>
          <c:smooth val="0"/>
        </c:ser>
        <c:ser>
          <c:idx val="5"/>
          <c:order val="5"/>
          <c:tx>
            <c:strRef>
              <c:f>'Sheet1 (2)'!$G$3:$G$4</c:f>
              <c:strCache>
                <c:ptCount val="1"/>
                <c:pt idx="0">
                  <c:v>MACITENTAN</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(2)'!$G$5:$G$16</c:f>
              <c:numCache>
                <c:formatCode>General</c:formatCode>
                <c:ptCount val="11"/>
                <c:pt idx="10">
                  <c:v>157</c:v>
                </c:pt>
              </c:numCache>
            </c:numRef>
          </c:val>
          <c:smooth val="0"/>
        </c:ser>
        <c:ser>
          <c:idx val="6"/>
          <c:order val="6"/>
          <c:tx>
            <c:strRef>
              <c:f>'Sheet1 (2)'!$H$3:$H$4</c:f>
              <c:strCache>
                <c:ptCount val="1"/>
                <c:pt idx="0">
                  <c:v>EPOPROSTENOL</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(2)'!$H$5:$H$16</c:f>
              <c:numCache>
                <c:formatCode>General</c:formatCode>
                <c:ptCount val="11"/>
                <c:pt idx="2">
                  <c:v>11</c:v>
                </c:pt>
                <c:pt idx="3">
                  <c:v>17</c:v>
                </c:pt>
                <c:pt idx="4">
                  <c:v>22</c:v>
                </c:pt>
                <c:pt idx="5">
                  <c:v>37</c:v>
                </c:pt>
                <c:pt idx="6">
                  <c:v>35</c:v>
                </c:pt>
                <c:pt idx="7">
                  <c:v>62</c:v>
                </c:pt>
                <c:pt idx="8">
                  <c:v>66</c:v>
                </c:pt>
                <c:pt idx="9">
                  <c:v>77</c:v>
                </c:pt>
                <c:pt idx="10">
                  <c:v>72</c:v>
                </c:pt>
              </c:numCache>
            </c:numRef>
          </c:val>
          <c:smooth val="0"/>
        </c:ser>
        <c:ser>
          <c:idx val="7"/>
          <c:order val="7"/>
          <c:tx>
            <c:strRef>
              <c:f>'Sheet1 (2)'!$I$3:$I$4</c:f>
              <c:strCache>
                <c:ptCount val="1"/>
                <c:pt idx="0">
                  <c:v>SITAXENTAN</c:v>
                </c:pt>
              </c:strCache>
            </c:strRef>
          </c:tx>
          <c:cat>
            <c:strRef>
              <c:f>'Sheet1 (2)'!$A$5:$A$16</c:f>
              <c:strCache>
                <c:ptCount val="11"/>
                <c:pt idx="0">
                  <c:v>2004</c:v>
                </c:pt>
                <c:pt idx="1">
                  <c:v>2005</c:v>
                </c:pt>
                <c:pt idx="2">
                  <c:v>2006</c:v>
                </c:pt>
                <c:pt idx="3">
                  <c:v>2007</c:v>
                </c:pt>
                <c:pt idx="4">
                  <c:v>2008</c:v>
                </c:pt>
                <c:pt idx="5">
                  <c:v>2009</c:v>
                </c:pt>
                <c:pt idx="6">
                  <c:v>2010</c:v>
                </c:pt>
                <c:pt idx="7">
                  <c:v>2011</c:v>
                </c:pt>
                <c:pt idx="8">
                  <c:v>2012</c:v>
                </c:pt>
                <c:pt idx="9">
                  <c:v>2013</c:v>
                </c:pt>
                <c:pt idx="10">
                  <c:v>2014 YTD</c:v>
                </c:pt>
              </c:strCache>
            </c:strRef>
          </c:cat>
          <c:val>
            <c:numRef>
              <c:f>'Sheet1 (2)'!$I$5:$I$16</c:f>
              <c:numCache>
                <c:formatCode>General</c:formatCode>
                <c:ptCount val="11"/>
                <c:pt idx="4">
                  <c:v>100</c:v>
                </c:pt>
                <c:pt idx="5">
                  <c:v>175</c:v>
                </c:pt>
                <c:pt idx="6">
                  <c:v>193</c:v>
                </c:pt>
              </c:numCache>
            </c:numRef>
          </c:val>
          <c:smooth val="0"/>
        </c:ser>
        <c:dLbls>
          <c:showLegendKey val="0"/>
          <c:showVal val="0"/>
          <c:showCatName val="0"/>
          <c:showSerName val="0"/>
          <c:showPercent val="0"/>
          <c:showBubbleSize val="0"/>
        </c:dLbls>
        <c:marker val="1"/>
        <c:smooth val="0"/>
        <c:axId val="38484608"/>
        <c:axId val="38490496"/>
      </c:lineChart>
      <c:catAx>
        <c:axId val="38484608"/>
        <c:scaling>
          <c:orientation val="minMax"/>
        </c:scaling>
        <c:delete val="0"/>
        <c:axPos val="b"/>
        <c:numFmt formatCode="General" sourceLinked="0"/>
        <c:majorTickMark val="none"/>
        <c:minorTickMark val="none"/>
        <c:tickLblPos val="nextTo"/>
        <c:crossAx val="38490496"/>
        <c:crosses val="autoZero"/>
        <c:auto val="1"/>
        <c:lblAlgn val="ctr"/>
        <c:lblOffset val="100"/>
        <c:noMultiLvlLbl val="0"/>
      </c:catAx>
      <c:valAx>
        <c:axId val="38490496"/>
        <c:scaling>
          <c:orientation val="minMax"/>
        </c:scaling>
        <c:delete val="0"/>
        <c:axPos val="l"/>
        <c:majorGridlines/>
        <c:numFmt formatCode="General" sourceLinked="1"/>
        <c:majorTickMark val="none"/>
        <c:minorTickMark val="none"/>
        <c:tickLblPos val="nextTo"/>
        <c:crossAx val="38484608"/>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PAH drugs from DUSC HSD database v2 - with sitaxentan.xlsx]Sheet4!PivotTable1</c:name>
    <c:fmtId val="-1"/>
  </c:pivotSource>
  <c:chart>
    <c:autoTitleDeleted val="1"/>
    <c:pivotFmts>
      <c:pivotFmt>
        <c:idx val="0"/>
        <c:marker>
          <c:symbol val="none"/>
        </c:marker>
      </c:pivotFmt>
      <c:pivotFmt>
        <c:idx val="1"/>
      </c:pivotFmt>
      <c:pivotFmt>
        <c:idx val="2"/>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marker>
          <c:symbol val="none"/>
        </c:marker>
      </c:pivotFmt>
      <c:pivotFmt>
        <c:idx val="18"/>
        <c:marker>
          <c:symbol val="none"/>
        </c:marker>
      </c:pivotFmt>
      <c:pivotFmt>
        <c:idx val="19"/>
        <c:marker>
          <c:symbol val="none"/>
        </c:marker>
      </c:pivotFmt>
      <c:pivotFmt>
        <c:idx val="20"/>
        <c:marker>
          <c:symbol val="none"/>
        </c:marker>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s>
    <c:plotArea>
      <c:layout/>
      <c:lineChart>
        <c:grouping val="standard"/>
        <c:varyColors val="0"/>
        <c:ser>
          <c:idx val="0"/>
          <c:order val="0"/>
          <c:tx>
            <c:strRef>
              <c:f>Sheet4!$C$1:$C$2</c:f>
              <c:strCache>
                <c:ptCount val="1"/>
                <c:pt idx="0">
                  <c:v>BOSENTAN</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Sheet4!$C$3:$C$46</c:f>
              <c:numCache>
                <c:formatCode>General</c:formatCode>
                <c:ptCount val="43"/>
                <c:pt idx="0">
                  <c:v>102.83</c:v>
                </c:pt>
                <c:pt idx="1">
                  <c:v>451</c:v>
                </c:pt>
                <c:pt idx="2">
                  <c:v>487.88</c:v>
                </c:pt>
                <c:pt idx="3">
                  <c:v>596.96667000000002</c:v>
                </c:pt>
                <c:pt idx="4">
                  <c:v>671.23</c:v>
                </c:pt>
                <c:pt idx="5">
                  <c:v>785.98</c:v>
                </c:pt>
                <c:pt idx="6">
                  <c:v>889.73</c:v>
                </c:pt>
                <c:pt idx="7">
                  <c:v>1021.75</c:v>
                </c:pt>
                <c:pt idx="8">
                  <c:v>1062</c:v>
                </c:pt>
                <c:pt idx="9">
                  <c:v>1289.5</c:v>
                </c:pt>
                <c:pt idx="10">
                  <c:v>1341.5</c:v>
                </c:pt>
                <c:pt idx="11">
                  <c:v>1491.3400000000001</c:v>
                </c:pt>
                <c:pt idx="12">
                  <c:v>1380.0766666669999</c:v>
                </c:pt>
                <c:pt idx="13">
                  <c:v>1470.0953333</c:v>
                </c:pt>
                <c:pt idx="14">
                  <c:v>1548.78333</c:v>
                </c:pt>
                <c:pt idx="15">
                  <c:v>1727.2</c:v>
                </c:pt>
                <c:pt idx="16">
                  <c:v>1677.0333366666998</c:v>
                </c:pt>
                <c:pt idx="17">
                  <c:v>1794.3333299999999</c:v>
                </c:pt>
                <c:pt idx="18">
                  <c:v>1994.8966666670001</c:v>
                </c:pt>
                <c:pt idx="19">
                  <c:v>2250.6333300000001</c:v>
                </c:pt>
                <c:pt idx="20">
                  <c:v>2083.4666699999998</c:v>
                </c:pt>
                <c:pt idx="21">
                  <c:v>2311.21</c:v>
                </c:pt>
                <c:pt idx="22">
                  <c:v>2308.6466666667002</c:v>
                </c:pt>
                <c:pt idx="23">
                  <c:v>2510.39</c:v>
                </c:pt>
                <c:pt idx="24">
                  <c:v>2280.9</c:v>
                </c:pt>
                <c:pt idx="25">
                  <c:v>2410.9</c:v>
                </c:pt>
                <c:pt idx="26">
                  <c:v>2336.0699999999997</c:v>
                </c:pt>
                <c:pt idx="27">
                  <c:v>2465.69</c:v>
                </c:pt>
                <c:pt idx="28">
                  <c:v>2465.5</c:v>
                </c:pt>
                <c:pt idx="29">
                  <c:v>2682</c:v>
                </c:pt>
                <c:pt idx="30">
                  <c:v>2690.7799999999997</c:v>
                </c:pt>
                <c:pt idx="31">
                  <c:v>2764</c:v>
                </c:pt>
                <c:pt idx="32">
                  <c:v>2594.42</c:v>
                </c:pt>
                <c:pt idx="33">
                  <c:v>2727.5</c:v>
                </c:pt>
                <c:pt idx="34">
                  <c:v>2698.73</c:v>
                </c:pt>
                <c:pt idx="35">
                  <c:v>2875.17</c:v>
                </c:pt>
                <c:pt idx="36">
                  <c:v>2523.3666666700001</c:v>
                </c:pt>
                <c:pt idx="37">
                  <c:v>2709.5</c:v>
                </c:pt>
                <c:pt idx="38">
                  <c:v>2772</c:v>
                </c:pt>
                <c:pt idx="39">
                  <c:v>2806.5</c:v>
                </c:pt>
                <c:pt idx="40">
                  <c:v>2575.5</c:v>
                </c:pt>
                <c:pt idx="41">
                  <c:v>2688.75</c:v>
                </c:pt>
              </c:numCache>
            </c:numRef>
          </c:val>
          <c:smooth val="0"/>
        </c:ser>
        <c:ser>
          <c:idx val="1"/>
          <c:order val="1"/>
          <c:tx>
            <c:strRef>
              <c:f>Sheet4!$D$1:$D$2</c:f>
              <c:strCache>
                <c:ptCount val="1"/>
                <c:pt idx="0">
                  <c:v>SILDENAFIL</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Sheet4!$D$3:$D$46</c:f>
              <c:numCache>
                <c:formatCode>General</c:formatCode>
                <c:ptCount val="43"/>
                <c:pt idx="12">
                  <c:v>4</c:v>
                </c:pt>
                <c:pt idx="13">
                  <c:v>114</c:v>
                </c:pt>
                <c:pt idx="14">
                  <c:v>192</c:v>
                </c:pt>
                <c:pt idx="15">
                  <c:v>279</c:v>
                </c:pt>
                <c:pt idx="16">
                  <c:v>297</c:v>
                </c:pt>
                <c:pt idx="17">
                  <c:v>349</c:v>
                </c:pt>
                <c:pt idx="18">
                  <c:v>337</c:v>
                </c:pt>
                <c:pt idx="19">
                  <c:v>487.44319999999999</c:v>
                </c:pt>
                <c:pt idx="20">
                  <c:v>341</c:v>
                </c:pt>
                <c:pt idx="21">
                  <c:v>416</c:v>
                </c:pt>
                <c:pt idx="22">
                  <c:v>456.99999999990001</c:v>
                </c:pt>
                <c:pt idx="23">
                  <c:v>507.99999999990001</c:v>
                </c:pt>
                <c:pt idx="24">
                  <c:v>478</c:v>
                </c:pt>
                <c:pt idx="25">
                  <c:v>517</c:v>
                </c:pt>
                <c:pt idx="26">
                  <c:v>540</c:v>
                </c:pt>
                <c:pt idx="27">
                  <c:v>622</c:v>
                </c:pt>
                <c:pt idx="28">
                  <c:v>581</c:v>
                </c:pt>
                <c:pt idx="29">
                  <c:v>659.67</c:v>
                </c:pt>
                <c:pt idx="30">
                  <c:v>733.66666666699996</c:v>
                </c:pt>
                <c:pt idx="31">
                  <c:v>797.33333333399992</c:v>
                </c:pt>
                <c:pt idx="32">
                  <c:v>738.00000000099999</c:v>
                </c:pt>
                <c:pt idx="33">
                  <c:v>785.90000000099997</c:v>
                </c:pt>
                <c:pt idx="34">
                  <c:v>778.43333333499993</c:v>
                </c:pt>
                <c:pt idx="35">
                  <c:v>872.00000000099999</c:v>
                </c:pt>
                <c:pt idx="36">
                  <c:v>770.33333333499991</c:v>
                </c:pt>
                <c:pt idx="37">
                  <c:v>864.66666666700007</c:v>
                </c:pt>
                <c:pt idx="38">
                  <c:v>857</c:v>
                </c:pt>
                <c:pt idx="39">
                  <c:v>939</c:v>
                </c:pt>
                <c:pt idx="40">
                  <c:v>762</c:v>
                </c:pt>
                <c:pt idx="41">
                  <c:v>838</c:v>
                </c:pt>
              </c:numCache>
            </c:numRef>
          </c:val>
          <c:smooth val="0"/>
        </c:ser>
        <c:ser>
          <c:idx val="2"/>
          <c:order val="2"/>
          <c:tx>
            <c:strRef>
              <c:f>Sheet4!$E$1:$E$2</c:f>
              <c:strCache>
                <c:ptCount val="1"/>
                <c:pt idx="0">
                  <c:v>AMBRISENTAN</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Sheet4!$E$3:$E$46</c:f>
              <c:numCache>
                <c:formatCode>General</c:formatCode>
                <c:ptCount val="43"/>
                <c:pt idx="23">
                  <c:v>15</c:v>
                </c:pt>
                <c:pt idx="24">
                  <c:v>121</c:v>
                </c:pt>
                <c:pt idx="25">
                  <c:v>171</c:v>
                </c:pt>
                <c:pt idx="26">
                  <c:v>247</c:v>
                </c:pt>
                <c:pt idx="27">
                  <c:v>375</c:v>
                </c:pt>
                <c:pt idx="28">
                  <c:v>567</c:v>
                </c:pt>
                <c:pt idx="29">
                  <c:v>585</c:v>
                </c:pt>
                <c:pt idx="30">
                  <c:v>616</c:v>
                </c:pt>
                <c:pt idx="31">
                  <c:v>674</c:v>
                </c:pt>
                <c:pt idx="32">
                  <c:v>666</c:v>
                </c:pt>
                <c:pt idx="33">
                  <c:v>733</c:v>
                </c:pt>
                <c:pt idx="34">
                  <c:v>774</c:v>
                </c:pt>
                <c:pt idx="35">
                  <c:v>801</c:v>
                </c:pt>
                <c:pt idx="36">
                  <c:v>755</c:v>
                </c:pt>
                <c:pt idx="37">
                  <c:v>893</c:v>
                </c:pt>
                <c:pt idx="38">
                  <c:v>921</c:v>
                </c:pt>
                <c:pt idx="39">
                  <c:v>963</c:v>
                </c:pt>
                <c:pt idx="40">
                  <c:v>937</c:v>
                </c:pt>
                <c:pt idx="41">
                  <c:v>1013</c:v>
                </c:pt>
              </c:numCache>
            </c:numRef>
          </c:val>
          <c:smooth val="0"/>
        </c:ser>
        <c:ser>
          <c:idx val="3"/>
          <c:order val="3"/>
          <c:tx>
            <c:strRef>
              <c:f>Sheet4!$F$1:$F$2</c:f>
              <c:strCache>
                <c:ptCount val="1"/>
                <c:pt idx="0">
                  <c:v>ILOPROST</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Sheet4!$F$3:$F$46</c:f>
              <c:numCache>
                <c:formatCode>General</c:formatCode>
                <c:ptCount val="43"/>
                <c:pt idx="5">
                  <c:v>16</c:v>
                </c:pt>
                <c:pt idx="6">
                  <c:v>41</c:v>
                </c:pt>
                <c:pt idx="7">
                  <c:v>80</c:v>
                </c:pt>
                <c:pt idx="8">
                  <c:v>203</c:v>
                </c:pt>
                <c:pt idx="9">
                  <c:v>413</c:v>
                </c:pt>
                <c:pt idx="10">
                  <c:v>497</c:v>
                </c:pt>
                <c:pt idx="11">
                  <c:v>575.40000000000009</c:v>
                </c:pt>
                <c:pt idx="12">
                  <c:v>501.19999999999993</c:v>
                </c:pt>
                <c:pt idx="13">
                  <c:v>457.4</c:v>
                </c:pt>
                <c:pt idx="14">
                  <c:v>543</c:v>
                </c:pt>
                <c:pt idx="15">
                  <c:v>630</c:v>
                </c:pt>
                <c:pt idx="16">
                  <c:v>612</c:v>
                </c:pt>
                <c:pt idx="17">
                  <c:v>774</c:v>
                </c:pt>
                <c:pt idx="18">
                  <c:v>785</c:v>
                </c:pt>
                <c:pt idx="19">
                  <c:v>807.4</c:v>
                </c:pt>
                <c:pt idx="20">
                  <c:v>709</c:v>
                </c:pt>
                <c:pt idx="21">
                  <c:v>749</c:v>
                </c:pt>
                <c:pt idx="22">
                  <c:v>597</c:v>
                </c:pt>
                <c:pt idx="23">
                  <c:v>765</c:v>
                </c:pt>
                <c:pt idx="24">
                  <c:v>606</c:v>
                </c:pt>
                <c:pt idx="25">
                  <c:v>698</c:v>
                </c:pt>
                <c:pt idx="26">
                  <c:v>633</c:v>
                </c:pt>
                <c:pt idx="27">
                  <c:v>737</c:v>
                </c:pt>
                <c:pt idx="28">
                  <c:v>529</c:v>
                </c:pt>
                <c:pt idx="29">
                  <c:v>563</c:v>
                </c:pt>
                <c:pt idx="30">
                  <c:v>518</c:v>
                </c:pt>
                <c:pt idx="31">
                  <c:v>464</c:v>
                </c:pt>
                <c:pt idx="32">
                  <c:v>533</c:v>
                </c:pt>
                <c:pt idx="33">
                  <c:v>490</c:v>
                </c:pt>
                <c:pt idx="34">
                  <c:v>505</c:v>
                </c:pt>
                <c:pt idx="35">
                  <c:v>525</c:v>
                </c:pt>
                <c:pt idx="36">
                  <c:v>543</c:v>
                </c:pt>
                <c:pt idx="37">
                  <c:v>459</c:v>
                </c:pt>
                <c:pt idx="38">
                  <c:v>519</c:v>
                </c:pt>
                <c:pt idx="39">
                  <c:v>556</c:v>
                </c:pt>
                <c:pt idx="40">
                  <c:v>439</c:v>
                </c:pt>
                <c:pt idx="41">
                  <c:v>560</c:v>
                </c:pt>
              </c:numCache>
            </c:numRef>
          </c:val>
          <c:smooth val="0"/>
        </c:ser>
        <c:ser>
          <c:idx val="4"/>
          <c:order val="4"/>
          <c:tx>
            <c:strRef>
              <c:f>Sheet4!$G$1:$G$2</c:f>
              <c:strCache>
                <c:ptCount val="1"/>
                <c:pt idx="0">
                  <c:v>TADALAFIL</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Sheet4!$G$3:$G$46</c:f>
              <c:numCache>
                <c:formatCode>General</c:formatCode>
                <c:ptCount val="43"/>
                <c:pt idx="33">
                  <c:v>32.5</c:v>
                </c:pt>
                <c:pt idx="34">
                  <c:v>97</c:v>
                </c:pt>
                <c:pt idx="35">
                  <c:v>129</c:v>
                </c:pt>
                <c:pt idx="36">
                  <c:v>147</c:v>
                </c:pt>
                <c:pt idx="37">
                  <c:v>180</c:v>
                </c:pt>
                <c:pt idx="38">
                  <c:v>191</c:v>
                </c:pt>
                <c:pt idx="39">
                  <c:v>250.535714286</c:v>
                </c:pt>
                <c:pt idx="40">
                  <c:v>256.14285714200003</c:v>
                </c:pt>
                <c:pt idx="41">
                  <c:v>282.53571428600003</c:v>
                </c:pt>
              </c:numCache>
            </c:numRef>
          </c:val>
          <c:smooth val="0"/>
        </c:ser>
        <c:ser>
          <c:idx val="5"/>
          <c:order val="5"/>
          <c:tx>
            <c:strRef>
              <c:f>Sheet4!$H$1:$H$2</c:f>
              <c:strCache>
                <c:ptCount val="1"/>
                <c:pt idx="0">
                  <c:v>MACITENTAN </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Sheet4!$H$3:$H$46</c:f>
              <c:numCache>
                <c:formatCode>General</c:formatCode>
                <c:ptCount val="43"/>
              </c:numCache>
            </c:numRef>
          </c:val>
          <c:smooth val="0"/>
        </c:ser>
        <c:ser>
          <c:idx val="6"/>
          <c:order val="6"/>
          <c:tx>
            <c:strRef>
              <c:f>Sheet4!$I$1:$I$2</c:f>
              <c:strCache>
                <c:ptCount val="1"/>
                <c:pt idx="0">
                  <c:v>EPOPROSTENOL</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Sheet4!$I$3:$I$46</c:f>
              <c:numCache>
                <c:formatCode>General</c:formatCode>
                <c:ptCount val="43"/>
                <c:pt idx="10">
                  <c:v>0</c:v>
                </c:pt>
                <c:pt idx="11">
                  <c:v>930</c:v>
                </c:pt>
                <c:pt idx="12">
                  <c:v>1650</c:v>
                </c:pt>
                <c:pt idx="13">
                  <c:v>1773</c:v>
                </c:pt>
                <c:pt idx="14">
                  <c:v>1830</c:v>
                </c:pt>
                <c:pt idx="15">
                  <c:v>1770</c:v>
                </c:pt>
                <c:pt idx="16">
                  <c:v>1650</c:v>
                </c:pt>
                <c:pt idx="17">
                  <c:v>1890</c:v>
                </c:pt>
                <c:pt idx="18">
                  <c:v>2518</c:v>
                </c:pt>
                <c:pt idx="19">
                  <c:v>2685</c:v>
                </c:pt>
                <c:pt idx="20">
                  <c:v>2370</c:v>
                </c:pt>
                <c:pt idx="21">
                  <c:v>3939</c:v>
                </c:pt>
                <c:pt idx="22">
                  <c:v>4502</c:v>
                </c:pt>
                <c:pt idx="23">
                  <c:v>4780</c:v>
                </c:pt>
                <c:pt idx="24">
                  <c:v>4594</c:v>
                </c:pt>
                <c:pt idx="25">
                  <c:v>4396</c:v>
                </c:pt>
                <c:pt idx="26">
                  <c:v>4264</c:v>
                </c:pt>
                <c:pt idx="27">
                  <c:v>4381</c:v>
                </c:pt>
                <c:pt idx="28">
                  <c:v>5490</c:v>
                </c:pt>
                <c:pt idx="29">
                  <c:v>6006</c:v>
                </c:pt>
                <c:pt idx="30">
                  <c:v>6542</c:v>
                </c:pt>
                <c:pt idx="31">
                  <c:v>7323</c:v>
                </c:pt>
                <c:pt idx="32">
                  <c:v>8100</c:v>
                </c:pt>
                <c:pt idx="33">
                  <c:v>7350</c:v>
                </c:pt>
                <c:pt idx="34">
                  <c:v>8701</c:v>
                </c:pt>
                <c:pt idx="35">
                  <c:v>9690</c:v>
                </c:pt>
                <c:pt idx="36">
                  <c:v>9482</c:v>
                </c:pt>
                <c:pt idx="37">
                  <c:v>9692</c:v>
                </c:pt>
                <c:pt idx="38">
                  <c:v>10363</c:v>
                </c:pt>
                <c:pt idx="39">
                  <c:v>12451</c:v>
                </c:pt>
                <c:pt idx="40">
                  <c:v>10560</c:v>
                </c:pt>
                <c:pt idx="41">
                  <c:v>11070</c:v>
                </c:pt>
              </c:numCache>
            </c:numRef>
          </c:val>
          <c:smooth val="0"/>
        </c:ser>
        <c:ser>
          <c:idx val="7"/>
          <c:order val="7"/>
          <c:tx>
            <c:strRef>
              <c:f>Sheet4!$J$1:$J$2</c:f>
              <c:strCache>
                <c:ptCount val="1"/>
                <c:pt idx="0">
                  <c:v>SITAXENTAN</c:v>
                </c:pt>
              </c:strCache>
            </c:strRef>
          </c:tx>
          <c:cat>
            <c:multiLvlStrRef>
              <c:f>Sheet4!$A$3:$B$46</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Sheet4!$J$3:$J$46</c:f>
              <c:numCache>
                <c:formatCode>General</c:formatCode>
                <c:ptCount val="43"/>
                <c:pt idx="17">
                  <c:v>72</c:v>
                </c:pt>
                <c:pt idx="18">
                  <c:v>127</c:v>
                </c:pt>
                <c:pt idx="19">
                  <c:v>202</c:v>
                </c:pt>
                <c:pt idx="20">
                  <c:v>289</c:v>
                </c:pt>
                <c:pt idx="21">
                  <c:v>359</c:v>
                </c:pt>
                <c:pt idx="22">
                  <c:v>373</c:v>
                </c:pt>
                <c:pt idx="23">
                  <c:v>402</c:v>
                </c:pt>
                <c:pt idx="24">
                  <c:v>352</c:v>
                </c:pt>
                <c:pt idx="25">
                  <c:v>377</c:v>
                </c:pt>
                <c:pt idx="26">
                  <c:v>424</c:v>
                </c:pt>
                <c:pt idx="27">
                  <c:v>339.23333333329998</c:v>
                </c:pt>
                <c:pt idx="28">
                  <c:v>2</c:v>
                </c:pt>
              </c:numCache>
            </c:numRef>
          </c:val>
          <c:smooth val="0"/>
        </c:ser>
        <c:dLbls>
          <c:showLegendKey val="0"/>
          <c:showVal val="0"/>
          <c:showCatName val="0"/>
          <c:showSerName val="0"/>
          <c:showPercent val="0"/>
          <c:showBubbleSize val="0"/>
        </c:dLbls>
        <c:marker val="1"/>
        <c:smooth val="0"/>
        <c:axId val="38565376"/>
        <c:axId val="38566912"/>
      </c:lineChart>
      <c:catAx>
        <c:axId val="38565376"/>
        <c:scaling>
          <c:orientation val="minMax"/>
        </c:scaling>
        <c:delete val="0"/>
        <c:axPos val="b"/>
        <c:numFmt formatCode="General" sourceLinked="0"/>
        <c:majorTickMark val="none"/>
        <c:minorTickMark val="none"/>
        <c:tickLblPos val="nextTo"/>
        <c:txPr>
          <a:bodyPr/>
          <a:lstStyle/>
          <a:p>
            <a:pPr>
              <a:defRPr sz="800"/>
            </a:pPr>
            <a:endParaRPr lang="en-US"/>
          </a:p>
        </c:txPr>
        <c:crossAx val="38566912"/>
        <c:crosses val="autoZero"/>
        <c:auto val="1"/>
        <c:lblAlgn val="ctr"/>
        <c:lblOffset val="100"/>
        <c:noMultiLvlLbl val="0"/>
      </c:catAx>
      <c:valAx>
        <c:axId val="38566912"/>
        <c:scaling>
          <c:orientation val="minMax"/>
        </c:scaling>
        <c:delete val="0"/>
        <c:axPos val="l"/>
        <c:majorGridlines/>
        <c:numFmt formatCode="#,##0" sourceLinked="0"/>
        <c:majorTickMark val="none"/>
        <c:minorTickMark val="none"/>
        <c:tickLblPos val="nextTo"/>
        <c:crossAx val="38565376"/>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PAH drugs from DUSC HSD database v2 - with sitaxentan.xlsx]Sheet4 (8)!PivotTable1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
        <c:idx val="10"/>
        <c:marker>
          <c:symbol val="none"/>
        </c:marker>
      </c:pivotFmt>
      <c:pivotFmt>
        <c:idx val="11"/>
        <c:marker>
          <c:symbol val="none"/>
        </c:marker>
      </c:pivotFmt>
      <c:pivotFmt>
        <c:idx val="12"/>
        <c:marker>
          <c:symbol val="none"/>
        </c:marker>
      </c:pivotFmt>
      <c:pivotFmt>
        <c:idx val="13"/>
        <c:marker>
          <c:symbol val="none"/>
        </c:marker>
      </c:pivotFmt>
      <c:pivotFmt>
        <c:idx val="14"/>
        <c:marker>
          <c:symbol val="none"/>
        </c:marker>
      </c:pivotFmt>
      <c:pivotFmt>
        <c:idx val="15"/>
        <c:marker>
          <c:symbol val="none"/>
        </c:marker>
      </c:pivotFmt>
      <c:pivotFmt>
        <c:idx val="16"/>
        <c:marker>
          <c:symbol val="none"/>
        </c:marker>
      </c:pivotFmt>
      <c:pivotFmt>
        <c:idx val="17"/>
      </c:pivotFmt>
      <c:pivotFmt>
        <c:idx val="18"/>
      </c:pivotFmt>
      <c:pivotFmt>
        <c:idx val="19"/>
      </c:pivotFmt>
      <c:pivotFmt>
        <c:idx val="20"/>
      </c:pivotFmt>
      <c:pivotFmt>
        <c:idx val="21"/>
      </c:pivotFmt>
      <c:pivotFmt>
        <c:idx val="22"/>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s>
    <c:plotArea>
      <c:layout/>
      <c:lineChart>
        <c:grouping val="standard"/>
        <c:varyColors val="0"/>
        <c:ser>
          <c:idx val="0"/>
          <c:order val="0"/>
          <c:tx>
            <c:strRef>
              <c:f>'Sheet4 (8)'!$B$1:$B$2</c:f>
              <c:strCache>
                <c:ptCount val="1"/>
                <c:pt idx="0">
                  <c:v>BOSENTAN</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(8)'!$B$3:$B$57</c:f>
              <c:numCache>
                <c:formatCode>General</c:formatCode>
                <c:ptCount val="43"/>
                <c:pt idx="0">
                  <c:v>33</c:v>
                </c:pt>
                <c:pt idx="1">
                  <c:v>204</c:v>
                </c:pt>
                <c:pt idx="2">
                  <c:v>266</c:v>
                </c:pt>
                <c:pt idx="3">
                  <c:v>413</c:v>
                </c:pt>
                <c:pt idx="4">
                  <c:v>445</c:v>
                </c:pt>
                <c:pt idx="5">
                  <c:v>548</c:v>
                </c:pt>
                <c:pt idx="6">
                  <c:v>609</c:v>
                </c:pt>
                <c:pt idx="7">
                  <c:v>718</c:v>
                </c:pt>
                <c:pt idx="8">
                  <c:v>762</c:v>
                </c:pt>
                <c:pt idx="9">
                  <c:v>974</c:v>
                </c:pt>
                <c:pt idx="10">
                  <c:v>1047</c:v>
                </c:pt>
                <c:pt idx="11">
                  <c:v>1219</c:v>
                </c:pt>
                <c:pt idx="12">
                  <c:v>1168</c:v>
                </c:pt>
                <c:pt idx="13">
                  <c:v>1266</c:v>
                </c:pt>
                <c:pt idx="14">
                  <c:v>1335</c:v>
                </c:pt>
                <c:pt idx="15">
                  <c:v>1473</c:v>
                </c:pt>
                <c:pt idx="16">
                  <c:v>1434</c:v>
                </c:pt>
                <c:pt idx="17">
                  <c:v>1550</c:v>
                </c:pt>
                <c:pt idx="18">
                  <c:v>1718</c:v>
                </c:pt>
                <c:pt idx="19">
                  <c:v>2019</c:v>
                </c:pt>
                <c:pt idx="20">
                  <c:v>1877</c:v>
                </c:pt>
                <c:pt idx="21">
                  <c:v>2111</c:v>
                </c:pt>
                <c:pt idx="22">
                  <c:v>2116</c:v>
                </c:pt>
                <c:pt idx="23">
                  <c:v>2322</c:v>
                </c:pt>
                <c:pt idx="24">
                  <c:v>2116</c:v>
                </c:pt>
                <c:pt idx="25">
                  <c:v>2220</c:v>
                </c:pt>
                <c:pt idx="26">
                  <c:v>2106</c:v>
                </c:pt>
                <c:pt idx="27">
                  <c:v>2212</c:v>
                </c:pt>
                <c:pt idx="28">
                  <c:v>2235</c:v>
                </c:pt>
                <c:pt idx="29">
                  <c:v>2425</c:v>
                </c:pt>
                <c:pt idx="30">
                  <c:v>2453</c:v>
                </c:pt>
                <c:pt idx="31">
                  <c:v>2498</c:v>
                </c:pt>
                <c:pt idx="32">
                  <c:v>2348</c:v>
                </c:pt>
                <c:pt idx="33">
                  <c:v>2486</c:v>
                </c:pt>
                <c:pt idx="34">
                  <c:v>2449</c:v>
                </c:pt>
                <c:pt idx="35">
                  <c:v>2659</c:v>
                </c:pt>
                <c:pt idx="36">
                  <c:v>2426</c:v>
                </c:pt>
                <c:pt idx="37">
                  <c:v>2698</c:v>
                </c:pt>
                <c:pt idx="38">
                  <c:v>2779</c:v>
                </c:pt>
                <c:pt idx="39">
                  <c:v>2812</c:v>
                </c:pt>
                <c:pt idx="40">
                  <c:v>2585</c:v>
                </c:pt>
                <c:pt idx="41">
                  <c:v>2701</c:v>
                </c:pt>
              </c:numCache>
            </c:numRef>
          </c:val>
          <c:smooth val="0"/>
        </c:ser>
        <c:ser>
          <c:idx val="1"/>
          <c:order val="1"/>
          <c:tx>
            <c:strRef>
              <c:f>'Sheet4 (8)'!$C$1:$C$2</c:f>
              <c:strCache>
                <c:ptCount val="1"/>
                <c:pt idx="0">
                  <c:v>SILDENAFIL</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(8)'!$C$3:$C$57</c:f>
              <c:numCache>
                <c:formatCode>General</c:formatCode>
                <c:ptCount val="43"/>
                <c:pt idx="12">
                  <c:v>4</c:v>
                </c:pt>
                <c:pt idx="13">
                  <c:v>92</c:v>
                </c:pt>
                <c:pt idx="14">
                  <c:v>192</c:v>
                </c:pt>
                <c:pt idx="15">
                  <c:v>254</c:v>
                </c:pt>
                <c:pt idx="16">
                  <c:v>268</c:v>
                </c:pt>
                <c:pt idx="17">
                  <c:v>329</c:v>
                </c:pt>
                <c:pt idx="18">
                  <c:v>330</c:v>
                </c:pt>
                <c:pt idx="19">
                  <c:v>385</c:v>
                </c:pt>
                <c:pt idx="20">
                  <c:v>335</c:v>
                </c:pt>
                <c:pt idx="21">
                  <c:v>400</c:v>
                </c:pt>
                <c:pt idx="22">
                  <c:v>449</c:v>
                </c:pt>
                <c:pt idx="23">
                  <c:v>497</c:v>
                </c:pt>
                <c:pt idx="24">
                  <c:v>462</c:v>
                </c:pt>
                <c:pt idx="25">
                  <c:v>508</c:v>
                </c:pt>
                <c:pt idx="26">
                  <c:v>514</c:v>
                </c:pt>
                <c:pt idx="27">
                  <c:v>582</c:v>
                </c:pt>
                <c:pt idx="28">
                  <c:v>544</c:v>
                </c:pt>
                <c:pt idx="29">
                  <c:v>627</c:v>
                </c:pt>
                <c:pt idx="30">
                  <c:v>703</c:v>
                </c:pt>
                <c:pt idx="31">
                  <c:v>757</c:v>
                </c:pt>
                <c:pt idx="32">
                  <c:v>701</c:v>
                </c:pt>
                <c:pt idx="33">
                  <c:v>761</c:v>
                </c:pt>
                <c:pt idx="34">
                  <c:v>753</c:v>
                </c:pt>
                <c:pt idx="35">
                  <c:v>853</c:v>
                </c:pt>
                <c:pt idx="36">
                  <c:v>758</c:v>
                </c:pt>
                <c:pt idx="37">
                  <c:v>856</c:v>
                </c:pt>
                <c:pt idx="38">
                  <c:v>851</c:v>
                </c:pt>
                <c:pt idx="39">
                  <c:v>933</c:v>
                </c:pt>
                <c:pt idx="40">
                  <c:v>754</c:v>
                </c:pt>
                <c:pt idx="41">
                  <c:v>831</c:v>
                </c:pt>
              </c:numCache>
            </c:numRef>
          </c:val>
          <c:smooth val="0"/>
        </c:ser>
        <c:ser>
          <c:idx val="2"/>
          <c:order val="2"/>
          <c:tx>
            <c:strRef>
              <c:f>'Sheet4 (8)'!$D$1:$D$2</c:f>
              <c:strCache>
                <c:ptCount val="1"/>
                <c:pt idx="0">
                  <c:v>AMBRISENTAN</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(8)'!$D$3:$D$57</c:f>
              <c:numCache>
                <c:formatCode>General</c:formatCode>
                <c:ptCount val="43"/>
                <c:pt idx="23">
                  <c:v>11</c:v>
                </c:pt>
                <c:pt idx="24">
                  <c:v>109</c:v>
                </c:pt>
                <c:pt idx="25">
                  <c:v>166</c:v>
                </c:pt>
                <c:pt idx="26">
                  <c:v>233</c:v>
                </c:pt>
                <c:pt idx="27">
                  <c:v>353</c:v>
                </c:pt>
                <c:pt idx="28">
                  <c:v>530</c:v>
                </c:pt>
                <c:pt idx="29">
                  <c:v>544</c:v>
                </c:pt>
                <c:pt idx="30">
                  <c:v>572</c:v>
                </c:pt>
                <c:pt idx="31">
                  <c:v>625</c:v>
                </c:pt>
                <c:pt idx="32">
                  <c:v>618</c:v>
                </c:pt>
                <c:pt idx="33">
                  <c:v>668</c:v>
                </c:pt>
                <c:pt idx="34">
                  <c:v>703</c:v>
                </c:pt>
                <c:pt idx="35">
                  <c:v>747</c:v>
                </c:pt>
                <c:pt idx="36">
                  <c:v>734</c:v>
                </c:pt>
                <c:pt idx="37">
                  <c:v>889</c:v>
                </c:pt>
                <c:pt idx="38">
                  <c:v>919</c:v>
                </c:pt>
                <c:pt idx="39">
                  <c:v>959</c:v>
                </c:pt>
                <c:pt idx="40">
                  <c:v>935</c:v>
                </c:pt>
                <c:pt idx="41">
                  <c:v>1011</c:v>
                </c:pt>
              </c:numCache>
            </c:numRef>
          </c:val>
          <c:smooth val="0"/>
        </c:ser>
        <c:ser>
          <c:idx val="3"/>
          <c:order val="3"/>
          <c:tx>
            <c:strRef>
              <c:f>'Sheet4 (8)'!$E$1:$E$2</c:f>
              <c:strCache>
                <c:ptCount val="1"/>
                <c:pt idx="0">
                  <c:v>ILOPROST</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(8)'!$E$3:$E$57</c:f>
              <c:numCache>
                <c:formatCode>General</c:formatCode>
                <c:ptCount val="43"/>
                <c:pt idx="5">
                  <c:v>3</c:v>
                </c:pt>
                <c:pt idx="6">
                  <c:v>6</c:v>
                </c:pt>
                <c:pt idx="7">
                  <c:v>13</c:v>
                </c:pt>
                <c:pt idx="8">
                  <c:v>24</c:v>
                </c:pt>
                <c:pt idx="9">
                  <c:v>49</c:v>
                </c:pt>
                <c:pt idx="10">
                  <c:v>58</c:v>
                </c:pt>
                <c:pt idx="11">
                  <c:v>76</c:v>
                </c:pt>
                <c:pt idx="12">
                  <c:v>67</c:v>
                </c:pt>
                <c:pt idx="13">
                  <c:v>62</c:v>
                </c:pt>
                <c:pt idx="14">
                  <c:v>67</c:v>
                </c:pt>
                <c:pt idx="15">
                  <c:v>70</c:v>
                </c:pt>
                <c:pt idx="16">
                  <c:v>66</c:v>
                </c:pt>
                <c:pt idx="17">
                  <c:v>83</c:v>
                </c:pt>
                <c:pt idx="18">
                  <c:v>86</c:v>
                </c:pt>
                <c:pt idx="19">
                  <c:v>89</c:v>
                </c:pt>
                <c:pt idx="20">
                  <c:v>75</c:v>
                </c:pt>
                <c:pt idx="21">
                  <c:v>74</c:v>
                </c:pt>
                <c:pt idx="22">
                  <c:v>65</c:v>
                </c:pt>
                <c:pt idx="23">
                  <c:v>83</c:v>
                </c:pt>
                <c:pt idx="24">
                  <c:v>66</c:v>
                </c:pt>
                <c:pt idx="25">
                  <c:v>75</c:v>
                </c:pt>
                <c:pt idx="26">
                  <c:v>70</c:v>
                </c:pt>
                <c:pt idx="27">
                  <c:v>82</c:v>
                </c:pt>
                <c:pt idx="28">
                  <c:v>58</c:v>
                </c:pt>
                <c:pt idx="29">
                  <c:v>62</c:v>
                </c:pt>
                <c:pt idx="30">
                  <c:v>56</c:v>
                </c:pt>
                <c:pt idx="31">
                  <c:v>55</c:v>
                </c:pt>
                <c:pt idx="32">
                  <c:v>65</c:v>
                </c:pt>
                <c:pt idx="33">
                  <c:v>60</c:v>
                </c:pt>
                <c:pt idx="34">
                  <c:v>60</c:v>
                </c:pt>
                <c:pt idx="35">
                  <c:v>62</c:v>
                </c:pt>
                <c:pt idx="36">
                  <c:v>67</c:v>
                </c:pt>
                <c:pt idx="37">
                  <c:v>59</c:v>
                </c:pt>
                <c:pt idx="38">
                  <c:v>66</c:v>
                </c:pt>
                <c:pt idx="39">
                  <c:v>72</c:v>
                </c:pt>
                <c:pt idx="40">
                  <c:v>58</c:v>
                </c:pt>
                <c:pt idx="41">
                  <c:v>73</c:v>
                </c:pt>
              </c:numCache>
            </c:numRef>
          </c:val>
          <c:smooth val="0"/>
        </c:ser>
        <c:ser>
          <c:idx val="4"/>
          <c:order val="4"/>
          <c:tx>
            <c:strRef>
              <c:f>'Sheet4 (8)'!$F$1:$F$2</c:f>
              <c:strCache>
                <c:ptCount val="1"/>
                <c:pt idx="0">
                  <c:v>TADALAFIL</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(8)'!$F$3:$F$57</c:f>
              <c:numCache>
                <c:formatCode>General</c:formatCode>
                <c:ptCount val="43"/>
                <c:pt idx="33">
                  <c:v>31</c:v>
                </c:pt>
                <c:pt idx="34">
                  <c:v>87</c:v>
                </c:pt>
                <c:pt idx="35">
                  <c:v>115</c:v>
                </c:pt>
                <c:pt idx="36">
                  <c:v>136</c:v>
                </c:pt>
                <c:pt idx="37">
                  <c:v>179</c:v>
                </c:pt>
                <c:pt idx="38">
                  <c:v>191</c:v>
                </c:pt>
                <c:pt idx="39">
                  <c:v>251</c:v>
                </c:pt>
                <c:pt idx="40">
                  <c:v>258</c:v>
                </c:pt>
                <c:pt idx="41">
                  <c:v>283</c:v>
                </c:pt>
              </c:numCache>
            </c:numRef>
          </c:val>
          <c:smooth val="0"/>
        </c:ser>
        <c:ser>
          <c:idx val="5"/>
          <c:order val="5"/>
          <c:tx>
            <c:strRef>
              <c:f>'Sheet4 (8)'!$G$1:$G$2</c:f>
              <c:strCache>
                <c:ptCount val="1"/>
                <c:pt idx="0">
                  <c:v>MACITENTAN</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(8)'!$G$3:$G$57</c:f>
              <c:numCache>
                <c:formatCode>General</c:formatCode>
                <c:ptCount val="43"/>
              </c:numCache>
            </c:numRef>
          </c:val>
          <c:smooth val="0"/>
        </c:ser>
        <c:ser>
          <c:idx val="6"/>
          <c:order val="6"/>
          <c:tx>
            <c:strRef>
              <c:f>'Sheet4 (8)'!$H$1:$H$2</c:f>
              <c:strCache>
                <c:ptCount val="1"/>
                <c:pt idx="0">
                  <c:v>EPOPROSTENOL</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(8)'!$H$3:$H$57</c:f>
              <c:numCache>
                <c:formatCode>General</c:formatCode>
                <c:ptCount val="43"/>
                <c:pt idx="11">
                  <c:v>11</c:v>
                </c:pt>
                <c:pt idx="12">
                  <c:v>26</c:v>
                </c:pt>
                <c:pt idx="13">
                  <c:v>38</c:v>
                </c:pt>
                <c:pt idx="14">
                  <c:v>41</c:v>
                </c:pt>
                <c:pt idx="15">
                  <c:v>36</c:v>
                </c:pt>
                <c:pt idx="16">
                  <c:v>30</c:v>
                </c:pt>
                <c:pt idx="17">
                  <c:v>33</c:v>
                </c:pt>
                <c:pt idx="18">
                  <c:v>45</c:v>
                </c:pt>
                <c:pt idx="19">
                  <c:v>53</c:v>
                </c:pt>
                <c:pt idx="20">
                  <c:v>42</c:v>
                </c:pt>
                <c:pt idx="21">
                  <c:v>63</c:v>
                </c:pt>
                <c:pt idx="22">
                  <c:v>79</c:v>
                </c:pt>
                <c:pt idx="23">
                  <c:v>79</c:v>
                </c:pt>
                <c:pt idx="24">
                  <c:v>77</c:v>
                </c:pt>
                <c:pt idx="25">
                  <c:v>79</c:v>
                </c:pt>
                <c:pt idx="26">
                  <c:v>75</c:v>
                </c:pt>
                <c:pt idx="27">
                  <c:v>81</c:v>
                </c:pt>
                <c:pt idx="28">
                  <c:v>99</c:v>
                </c:pt>
                <c:pt idx="29">
                  <c:v>110</c:v>
                </c:pt>
                <c:pt idx="30">
                  <c:v>120</c:v>
                </c:pt>
                <c:pt idx="31">
                  <c:v>133</c:v>
                </c:pt>
                <c:pt idx="32">
                  <c:v>139</c:v>
                </c:pt>
                <c:pt idx="33">
                  <c:v>110</c:v>
                </c:pt>
                <c:pt idx="34">
                  <c:v>139</c:v>
                </c:pt>
                <c:pt idx="35">
                  <c:v>159</c:v>
                </c:pt>
                <c:pt idx="36">
                  <c:v>157</c:v>
                </c:pt>
                <c:pt idx="37">
                  <c:v>170</c:v>
                </c:pt>
                <c:pt idx="38">
                  <c:v>185</c:v>
                </c:pt>
                <c:pt idx="39">
                  <c:v>212</c:v>
                </c:pt>
                <c:pt idx="40">
                  <c:v>183</c:v>
                </c:pt>
                <c:pt idx="41">
                  <c:v>183</c:v>
                </c:pt>
              </c:numCache>
            </c:numRef>
          </c:val>
          <c:smooth val="0"/>
        </c:ser>
        <c:ser>
          <c:idx val="7"/>
          <c:order val="7"/>
          <c:tx>
            <c:strRef>
              <c:f>'Sheet4 (8)'!$I$1:$I$2</c:f>
              <c:strCache>
                <c:ptCount val="1"/>
                <c:pt idx="0">
                  <c:v>SITAXENTAN</c:v>
                </c:pt>
              </c:strCache>
            </c:strRef>
          </c:tx>
          <c:cat>
            <c:multiLvlStrRef>
              <c:f>'Sheet4 (8)'!$A$3:$A$57</c:f>
              <c:multiLvlStrCache>
                <c:ptCount val="43"/>
                <c:lvl>
                  <c:pt idx="0">
                    <c:v>2004Q1</c:v>
                  </c:pt>
                  <c:pt idx="1">
                    <c:v>2004Q2</c:v>
                  </c:pt>
                  <c:pt idx="2">
                    <c:v>2004Q3</c:v>
                  </c:pt>
                  <c:pt idx="3">
                    <c:v>2004Q4</c:v>
                  </c:pt>
                  <c:pt idx="4">
                    <c:v>2005Q1</c:v>
                  </c:pt>
                  <c:pt idx="5">
                    <c:v>2005Q2</c:v>
                  </c:pt>
                  <c:pt idx="6">
                    <c:v>2005Q3</c:v>
                  </c:pt>
                  <c:pt idx="7">
                    <c:v>2005Q4</c:v>
                  </c:pt>
                  <c:pt idx="8">
                    <c:v>2006Q1</c:v>
                  </c:pt>
                  <c:pt idx="9">
                    <c:v>2006Q2</c:v>
                  </c:pt>
                  <c:pt idx="10">
                    <c:v>2006Q3</c:v>
                  </c:pt>
                  <c:pt idx="11">
                    <c:v>2006Q4</c:v>
                  </c:pt>
                  <c:pt idx="12">
                    <c:v>2007Q1</c:v>
                  </c:pt>
                  <c:pt idx="13">
                    <c:v>2007Q2</c:v>
                  </c:pt>
                  <c:pt idx="14">
                    <c:v>2007Q3</c:v>
                  </c:pt>
                  <c:pt idx="15">
                    <c:v>2007Q4</c:v>
                  </c:pt>
                  <c:pt idx="16">
                    <c:v>2008Q1</c:v>
                  </c:pt>
                  <c:pt idx="17">
                    <c:v>2008Q2</c:v>
                  </c:pt>
                  <c:pt idx="18">
                    <c:v>2008Q3</c:v>
                  </c:pt>
                  <c:pt idx="19">
                    <c:v>2008Q4</c:v>
                  </c:pt>
                  <c:pt idx="20">
                    <c:v>2009Q1</c:v>
                  </c:pt>
                  <c:pt idx="21">
                    <c:v>2009Q2</c:v>
                  </c:pt>
                  <c:pt idx="22">
                    <c:v>2009Q3</c:v>
                  </c:pt>
                  <c:pt idx="23">
                    <c:v>2009Q4</c:v>
                  </c:pt>
                  <c:pt idx="24">
                    <c:v>2010Q1</c:v>
                  </c:pt>
                  <c:pt idx="25">
                    <c:v>2010Q2</c:v>
                  </c:pt>
                  <c:pt idx="26">
                    <c:v>2010Q3</c:v>
                  </c:pt>
                  <c:pt idx="27">
                    <c:v>2010Q4</c:v>
                  </c:pt>
                  <c:pt idx="28">
                    <c:v>2011Q1</c:v>
                  </c:pt>
                  <c:pt idx="29">
                    <c:v>2011Q2</c:v>
                  </c:pt>
                  <c:pt idx="30">
                    <c:v>2011Q3</c:v>
                  </c:pt>
                  <c:pt idx="31">
                    <c:v>2011Q4</c:v>
                  </c:pt>
                  <c:pt idx="32">
                    <c:v>2012Q1</c:v>
                  </c:pt>
                  <c:pt idx="33">
                    <c:v>2012Q2</c:v>
                  </c:pt>
                  <c:pt idx="34">
                    <c:v>2012Q3</c:v>
                  </c:pt>
                  <c:pt idx="35">
                    <c:v>2012Q4</c:v>
                  </c:pt>
                  <c:pt idx="36">
                    <c:v>2013Q1</c:v>
                  </c:pt>
                  <c:pt idx="37">
                    <c:v>2013Q2</c:v>
                  </c:pt>
                  <c:pt idx="38">
                    <c:v>2013Q3</c:v>
                  </c:pt>
                  <c:pt idx="39">
                    <c:v>2013Q4</c:v>
                  </c:pt>
                  <c:pt idx="40">
                    <c:v>2014Q1</c:v>
                  </c:pt>
                  <c:pt idx="41">
                    <c:v>2014Q2</c:v>
                  </c:pt>
                  <c:pt idx="42">
                    <c:v>2014Q3</c:v>
                  </c:pt>
                </c:lvl>
                <c:lvl>
                  <c:pt idx="0">
                    <c:v>2004</c:v>
                  </c:pt>
                  <c:pt idx="4">
                    <c:v>2005</c:v>
                  </c:pt>
                  <c:pt idx="8">
                    <c:v>2006</c:v>
                  </c:pt>
                  <c:pt idx="12">
                    <c:v>2007</c:v>
                  </c:pt>
                  <c:pt idx="16">
                    <c:v>2008</c:v>
                  </c:pt>
                  <c:pt idx="20">
                    <c:v>2009</c:v>
                  </c:pt>
                  <c:pt idx="24">
                    <c:v>2010</c:v>
                  </c:pt>
                  <c:pt idx="28">
                    <c:v>2011</c:v>
                  </c:pt>
                  <c:pt idx="32">
                    <c:v>2012</c:v>
                  </c:pt>
                  <c:pt idx="36">
                    <c:v>2013</c:v>
                  </c:pt>
                  <c:pt idx="40">
                    <c:v>2014</c:v>
                  </c:pt>
                </c:lvl>
              </c:multiLvlStrCache>
            </c:multiLvlStrRef>
          </c:cat>
          <c:val>
            <c:numRef>
              <c:f>'Sheet4 (8)'!$I$3:$I$57</c:f>
              <c:numCache>
                <c:formatCode>General</c:formatCode>
                <c:ptCount val="43"/>
                <c:pt idx="17">
                  <c:v>54</c:v>
                </c:pt>
                <c:pt idx="18">
                  <c:v>127</c:v>
                </c:pt>
                <c:pt idx="19">
                  <c:v>202</c:v>
                </c:pt>
                <c:pt idx="20">
                  <c:v>260</c:v>
                </c:pt>
                <c:pt idx="21">
                  <c:v>323</c:v>
                </c:pt>
                <c:pt idx="22">
                  <c:v>341</c:v>
                </c:pt>
                <c:pt idx="23">
                  <c:v>365</c:v>
                </c:pt>
                <c:pt idx="24">
                  <c:v>324</c:v>
                </c:pt>
                <c:pt idx="25">
                  <c:v>353</c:v>
                </c:pt>
                <c:pt idx="26">
                  <c:v>395</c:v>
                </c:pt>
                <c:pt idx="27">
                  <c:v>319</c:v>
                </c:pt>
                <c:pt idx="28">
                  <c:v>2</c:v>
                </c:pt>
              </c:numCache>
            </c:numRef>
          </c:val>
          <c:smooth val="0"/>
        </c:ser>
        <c:dLbls>
          <c:showLegendKey val="0"/>
          <c:showVal val="0"/>
          <c:showCatName val="0"/>
          <c:showSerName val="0"/>
          <c:showPercent val="0"/>
          <c:showBubbleSize val="0"/>
        </c:dLbls>
        <c:marker val="1"/>
        <c:smooth val="0"/>
        <c:axId val="38694272"/>
        <c:axId val="38700160"/>
      </c:lineChart>
      <c:catAx>
        <c:axId val="38694272"/>
        <c:scaling>
          <c:orientation val="minMax"/>
        </c:scaling>
        <c:delete val="0"/>
        <c:axPos val="b"/>
        <c:numFmt formatCode="General" sourceLinked="0"/>
        <c:majorTickMark val="none"/>
        <c:minorTickMark val="none"/>
        <c:tickLblPos val="nextTo"/>
        <c:txPr>
          <a:bodyPr/>
          <a:lstStyle/>
          <a:p>
            <a:pPr>
              <a:defRPr sz="800"/>
            </a:pPr>
            <a:endParaRPr lang="en-US"/>
          </a:p>
        </c:txPr>
        <c:crossAx val="38700160"/>
        <c:crosses val="autoZero"/>
        <c:auto val="1"/>
        <c:lblAlgn val="ctr"/>
        <c:lblOffset val="100"/>
        <c:noMultiLvlLbl val="0"/>
      </c:catAx>
      <c:valAx>
        <c:axId val="38700160"/>
        <c:scaling>
          <c:orientation val="minMax"/>
        </c:scaling>
        <c:delete val="0"/>
        <c:axPos val="l"/>
        <c:majorGridlines/>
        <c:numFmt formatCode="#,##0" sourceLinked="0"/>
        <c:majorTickMark val="none"/>
        <c:minorTickMark val="none"/>
        <c:tickLblPos val="nextTo"/>
        <c:crossAx val="38694272"/>
        <c:crosses val="autoZero"/>
        <c:crossBetween val="between"/>
      </c:valAx>
    </c:plotArea>
    <c:legend>
      <c:legendPos val="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PAT_CNT_BY_TOTAL_AUTHFI_STATS, stats relating to Fig 9 &amp; historical data.xlsx]Sheet1 (2)!PivotTable1</c:name>
    <c:fmtId val="-1"/>
  </c:pivotSource>
  <c:chart>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s>
    <c:plotArea>
      <c:layout/>
      <c:lineChart>
        <c:grouping val="standard"/>
        <c:varyColors val="0"/>
        <c:ser>
          <c:idx val="0"/>
          <c:order val="0"/>
          <c:tx>
            <c:strRef>
              <c:f>'Sheet1 (2)'!$B$1:$B$2</c:f>
              <c:strCache>
                <c:ptCount val="1"/>
                <c:pt idx="0">
                  <c:v>prevalent patients</c:v>
                </c:pt>
              </c:strCache>
            </c:strRef>
          </c:tx>
          <c:cat>
            <c:strRef>
              <c:f>'Sheet1 (2)'!$A$3:$A$13</c:f>
              <c:strCache>
                <c:ptCount val="11"/>
                <c:pt idx="0">
                  <c:v>2003/04</c:v>
                </c:pt>
                <c:pt idx="1">
                  <c:v>2004/05</c:v>
                </c:pt>
                <c:pt idx="2">
                  <c:v>2005/06</c:v>
                </c:pt>
                <c:pt idx="3">
                  <c:v>2006/07</c:v>
                </c:pt>
                <c:pt idx="4">
                  <c:v>2007/08</c:v>
                </c:pt>
                <c:pt idx="5">
                  <c:v>2008/09</c:v>
                </c:pt>
                <c:pt idx="6">
                  <c:v>2009/10</c:v>
                </c:pt>
                <c:pt idx="7">
                  <c:v>2010/11</c:v>
                </c:pt>
                <c:pt idx="8">
                  <c:v>2011/12</c:v>
                </c:pt>
                <c:pt idx="9">
                  <c:v>2012/13</c:v>
                </c:pt>
                <c:pt idx="10">
                  <c:v>2013/14</c:v>
                </c:pt>
              </c:strCache>
            </c:strRef>
          </c:cat>
          <c:val>
            <c:numRef>
              <c:f>'Sheet1 (2)'!$B$3:$B$13</c:f>
              <c:numCache>
                <c:formatCode>0.0</c:formatCode>
                <c:ptCount val="11"/>
                <c:pt idx="0">
                  <c:v>53.200934579439298</c:v>
                </c:pt>
                <c:pt idx="1">
                  <c:v>55.8496042216359</c:v>
                </c:pt>
                <c:pt idx="2">
                  <c:v>57.3159722222222</c:v>
                </c:pt>
                <c:pt idx="3">
                  <c:v>58.568031704095098</c:v>
                </c:pt>
                <c:pt idx="4">
                  <c:v>59.764883955600403</c:v>
                </c:pt>
                <c:pt idx="5">
                  <c:v>58.688988095238102</c:v>
                </c:pt>
                <c:pt idx="6">
                  <c:v>58.939211756847001</c:v>
                </c:pt>
                <c:pt idx="7">
                  <c:v>59.138872403560804</c:v>
                </c:pt>
                <c:pt idx="8">
                  <c:v>60.169584245076599</c:v>
                </c:pt>
                <c:pt idx="9">
                  <c:v>60.723132036847502</c:v>
                </c:pt>
                <c:pt idx="10">
                  <c:v>61.067763794772503</c:v>
                </c:pt>
              </c:numCache>
            </c:numRef>
          </c:val>
          <c:smooth val="0"/>
        </c:ser>
        <c:ser>
          <c:idx val="1"/>
          <c:order val="1"/>
          <c:tx>
            <c:strRef>
              <c:f>'Sheet1 (2)'!$C$1:$C$2</c:f>
              <c:strCache>
                <c:ptCount val="1"/>
                <c:pt idx="0">
                  <c:v>initiating patients</c:v>
                </c:pt>
              </c:strCache>
            </c:strRef>
          </c:tx>
          <c:cat>
            <c:strRef>
              <c:f>'Sheet1 (2)'!$A$3:$A$13</c:f>
              <c:strCache>
                <c:ptCount val="11"/>
                <c:pt idx="0">
                  <c:v>2003/04</c:v>
                </c:pt>
                <c:pt idx="1">
                  <c:v>2004/05</c:v>
                </c:pt>
                <c:pt idx="2">
                  <c:v>2005/06</c:v>
                </c:pt>
                <c:pt idx="3">
                  <c:v>2006/07</c:v>
                </c:pt>
                <c:pt idx="4">
                  <c:v>2007/08</c:v>
                </c:pt>
                <c:pt idx="5">
                  <c:v>2008/09</c:v>
                </c:pt>
                <c:pt idx="6">
                  <c:v>2009/10</c:v>
                </c:pt>
                <c:pt idx="7">
                  <c:v>2010/11</c:v>
                </c:pt>
                <c:pt idx="8">
                  <c:v>2011/12</c:v>
                </c:pt>
                <c:pt idx="9">
                  <c:v>2012/13</c:v>
                </c:pt>
                <c:pt idx="10">
                  <c:v>2013/14</c:v>
                </c:pt>
              </c:strCache>
            </c:strRef>
          </c:cat>
          <c:val>
            <c:numRef>
              <c:f>'Sheet1 (2)'!$C$3:$C$13</c:f>
              <c:numCache>
                <c:formatCode>0.0</c:formatCode>
                <c:ptCount val="11"/>
                <c:pt idx="0">
                  <c:v>53.200934579439298</c:v>
                </c:pt>
                <c:pt idx="1">
                  <c:v>59.234375</c:v>
                </c:pt>
                <c:pt idx="2">
                  <c:v>59.633204633204599</c:v>
                </c:pt>
                <c:pt idx="3">
                  <c:v>61.283276450511899</c:v>
                </c:pt>
                <c:pt idx="4">
                  <c:v>61.9561643835616</c:v>
                </c:pt>
                <c:pt idx="5">
                  <c:v>57.1864077669903</c:v>
                </c:pt>
                <c:pt idx="6">
                  <c:v>60.402144772118</c:v>
                </c:pt>
                <c:pt idx="7">
                  <c:v>60.591016548463401</c:v>
                </c:pt>
                <c:pt idx="8">
                  <c:v>64.429577464788693</c:v>
                </c:pt>
                <c:pt idx="9">
                  <c:v>62.860520094562602</c:v>
                </c:pt>
                <c:pt idx="10">
                  <c:v>64.123515439429895</c:v>
                </c:pt>
              </c:numCache>
            </c:numRef>
          </c:val>
          <c:smooth val="0"/>
        </c:ser>
        <c:dLbls>
          <c:showLegendKey val="0"/>
          <c:showVal val="0"/>
          <c:showCatName val="0"/>
          <c:showSerName val="0"/>
          <c:showPercent val="0"/>
          <c:showBubbleSize val="0"/>
        </c:dLbls>
        <c:marker val="1"/>
        <c:smooth val="0"/>
        <c:axId val="38610432"/>
        <c:axId val="38611968"/>
      </c:lineChart>
      <c:catAx>
        <c:axId val="38610432"/>
        <c:scaling>
          <c:orientation val="minMax"/>
        </c:scaling>
        <c:delete val="0"/>
        <c:axPos val="b"/>
        <c:majorTickMark val="out"/>
        <c:minorTickMark val="none"/>
        <c:tickLblPos val="nextTo"/>
        <c:crossAx val="38611968"/>
        <c:crosses val="autoZero"/>
        <c:auto val="1"/>
        <c:lblAlgn val="ctr"/>
        <c:lblOffset val="100"/>
        <c:noMultiLvlLbl val="0"/>
      </c:catAx>
      <c:valAx>
        <c:axId val="38611968"/>
        <c:scaling>
          <c:orientation val="minMax"/>
        </c:scaling>
        <c:delete val="0"/>
        <c:axPos val="l"/>
        <c:majorGridlines/>
        <c:numFmt formatCode="0" sourceLinked="0"/>
        <c:majorTickMark val="out"/>
        <c:minorTickMark val="none"/>
        <c:tickLblPos val="nextTo"/>
        <c:crossAx val="38610432"/>
        <c:crosses val="autoZero"/>
        <c:crossBetween val="between"/>
      </c:valAx>
    </c:plotArea>
    <c:legend>
      <c:legendPos val="r"/>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[D830 - PAT_CNT by drug, age &amp;gender, Fig 9, approvals matched to script data v2.xlsx]Sheet1!PivotTable1</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s>
    <c:plotArea>
      <c:layout/>
      <c:lineChart>
        <c:grouping val="standard"/>
        <c:varyColors val="0"/>
        <c:ser>
          <c:idx val="0"/>
          <c:order val="0"/>
          <c:tx>
            <c:strRef>
              <c:f>Sheet1!$B$4:$B$6</c:f>
              <c:strCache>
                <c:ptCount val="1"/>
                <c:pt idx="0">
                  <c:v>prevalent patients - Female</c:v>
                </c:pt>
              </c:strCache>
            </c:strRef>
          </c:tx>
          <c:cat>
            <c:strRef>
              <c:f>Sheet1!$A$7:$A$27</c:f>
              <c:strCache>
                <c:ptCount val="20"/>
                <c:pt idx="0">
                  <c:v>0-4  yrs</c:v>
                </c:pt>
                <c:pt idx="1">
                  <c:v>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Sheet1!$B$7:$B$27</c:f>
              <c:numCache>
                <c:formatCode>General</c:formatCode>
                <c:ptCount val="20"/>
                <c:pt idx="0">
                  <c:v>3</c:v>
                </c:pt>
                <c:pt idx="1">
                  <c:v>7</c:v>
                </c:pt>
                <c:pt idx="2">
                  <c:v>9</c:v>
                </c:pt>
                <c:pt idx="3">
                  <c:v>12</c:v>
                </c:pt>
                <c:pt idx="4">
                  <c:v>28</c:v>
                </c:pt>
                <c:pt idx="5">
                  <c:v>29</c:v>
                </c:pt>
                <c:pt idx="6">
                  <c:v>47</c:v>
                </c:pt>
                <c:pt idx="7">
                  <c:v>66</c:v>
                </c:pt>
                <c:pt idx="8">
                  <c:v>89</c:v>
                </c:pt>
                <c:pt idx="9">
                  <c:v>78</c:v>
                </c:pt>
                <c:pt idx="10">
                  <c:v>84</c:v>
                </c:pt>
                <c:pt idx="11">
                  <c:v>117</c:v>
                </c:pt>
                <c:pt idx="12">
                  <c:v>169</c:v>
                </c:pt>
                <c:pt idx="13">
                  <c:v>187</c:v>
                </c:pt>
                <c:pt idx="14">
                  <c:v>205</c:v>
                </c:pt>
                <c:pt idx="15">
                  <c:v>180</c:v>
                </c:pt>
                <c:pt idx="16">
                  <c:v>128</c:v>
                </c:pt>
                <c:pt idx="17">
                  <c:v>76</c:v>
                </c:pt>
                <c:pt idx="18">
                  <c:v>12</c:v>
                </c:pt>
                <c:pt idx="19">
                  <c:v>2</c:v>
                </c:pt>
              </c:numCache>
            </c:numRef>
          </c:val>
          <c:smooth val="0"/>
        </c:ser>
        <c:ser>
          <c:idx val="1"/>
          <c:order val="1"/>
          <c:tx>
            <c:strRef>
              <c:f>Sheet1!$C$4:$C$6</c:f>
              <c:strCache>
                <c:ptCount val="1"/>
                <c:pt idx="0">
                  <c:v>prevalent patients - Male</c:v>
                </c:pt>
              </c:strCache>
            </c:strRef>
          </c:tx>
          <c:cat>
            <c:strRef>
              <c:f>Sheet1!$A$7:$A$27</c:f>
              <c:strCache>
                <c:ptCount val="20"/>
                <c:pt idx="0">
                  <c:v>0-4  yrs</c:v>
                </c:pt>
                <c:pt idx="1">
                  <c:v>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Sheet1!$C$7:$C$27</c:f>
              <c:numCache>
                <c:formatCode>General</c:formatCode>
                <c:ptCount val="20"/>
                <c:pt idx="0">
                  <c:v>4</c:v>
                </c:pt>
                <c:pt idx="1">
                  <c:v>6</c:v>
                </c:pt>
                <c:pt idx="2">
                  <c:v>6</c:v>
                </c:pt>
                <c:pt idx="3">
                  <c:v>11</c:v>
                </c:pt>
                <c:pt idx="4">
                  <c:v>7</c:v>
                </c:pt>
                <c:pt idx="5">
                  <c:v>13</c:v>
                </c:pt>
                <c:pt idx="6">
                  <c:v>22</c:v>
                </c:pt>
                <c:pt idx="7">
                  <c:v>21</c:v>
                </c:pt>
                <c:pt idx="8">
                  <c:v>24</c:v>
                </c:pt>
                <c:pt idx="9">
                  <c:v>29</c:v>
                </c:pt>
                <c:pt idx="10">
                  <c:v>42</c:v>
                </c:pt>
                <c:pt idx="11">
                  <c:v>33</c:v>
                </c:pt>
                <c:pt idx="12">
                  <c:v>46</c:v>
                </c:pt>
                <c:pt idx="13">
                  <c:v>76</c:v>
                </c:pt>
                <c:pt idx="14">
                  <c:v>69</c:v>
                </c:pt>
                <c:pt idx="15">
                  <c:v>70</c:v>
                </c:pt>
                <c:pt idx="16">
                  <c:v>39</c:v>
                </c:pt>
                <c:pt idx="17">
                  <c:v>17</c:v>
                </c:pt>
                <c:pt idx="18">
                  <c:v>3</c:v>
                </c:pt>
              </c:numCache>
            </c:numRef>
          </c:val>
          <c:smooth val="0"/>
        </c:ser>
        <c:ser>
          <c:idx val="2"/>
          <c:order val="2"/>
          <c:tx>
            <c:strRef>
              <c:f>Sheet1!$E$4:$E$6</c:f>
              <c:strCache>
                <c:ptCount val="1"/>
                <c:pt idx="0">
                  <c:v>initiating patients - Female</c:v>
                </c:pt>
              </c:strCache>
            </c:strRef>
          </c:tx>
          <c:cat>
            <c:strRef>
              <c:f>Sheet1!$A$7:$A$27</c:f>
              <c:strCache>
                <c:ptCount val="20"/>
                <c:pt idx="0">
                  <c:v>0-4  yrs</c:v>
                </c:pt>
                <c:pt idx="1">
                  <c:v>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Sheet1!$E$7:$E$27</c:f>
              <c:numCache>
                <c:formatCode>General</c:formatCode>
                <c:ptCount val="20"/>
                <c:pt idx="0">
                  <c:v>2</c:v>
                </c:pt>
                <c:pt idx="2">
                  <c:v>2</c:v>
                </c:pt>
                <c:pt idx="3">
                  <c:v>2</c:v>
                </c:pt>
                <c:pt idx="4">
                  <c:v>1</c:v>
                </c:pt>
                <c:pt idx="5">
                  <c:v>7</c:v>
                </c:pt>
                <c:pt idx="6">
                  <c:v>9</c:v>
                </c:pt>
                <c:pt idx="7">
                  <c:v>10</c:v>
                </c:pt>
                <c:pt idx="8">
                  <c:v>9</c:v>
                </c:pt>
                <c:pt idx="9">
                  <c:v>11</c:v>
                </c:pt>
                <c:pt idx="10">
                  <c:v>13</c:v>
                </c:pt>
                <c:pt idx="11">
                  <c:v>23</c:v>
                </c:pt>
                <c:pt idx="12">
                  <c:v>37</c:v>
                </c:pt>
                <c:pt idx="13">
                  <c:v>35</c:v>
                </c:pt>
                <c:pt idx="14">
                  <c:v>43</c:v>
                </c:pt>
                <c:pt idx="15">
                  <c:v>41</c:v>
                </c:pt>
                <c:pt idx="16">
                  <c:v>24</c:v>
                </c:pt>
                <c:pt idx="17">
                  <c:v>17</c:v>
                </c:pt>
                <c:pt idx="18">
                  <c:v>2</c:v>
                </c:pt>
                <c:pt idx="19">
                  <c:v>1</c:v>
                </c:pt>
              </c:numCache>
            </c:numRef>
          </c:val>
          <c:smooth val="0"/>
        </c:ser>
        <c:ser>
          <c:idx val="3"/>
          <c:order val="3"/>
          <c:tx>
            <c:strRef>
              <c:f>Sheet1!$F$4:$F$6</c:f>
              <c:strCache>
                <c:ptCount val="1"/>
                <c:pt idx="0">
                  <c:v>initiating patients - Male</c:v>
                </c:pt>
              </c:strCache>
            </c:strRef>
          </c:tx>
          <c:cat>
            <c:strRef>
              <c:f>Sheet1!$A$7:$A$27</c:f>
              <c:strCache>
                <c:ptCount val="20"/>
                <c:pt idx="0">
                  <c:v>0-4  yrs</c:v>
                </c:pt>
                <c:pt idx="1">
                  <c:v>5-9  yrs</c:v>
                </c:pt>
                <c:pt idx="2">
                  <c:v>10-14 yrs</c:v>
                </c:pt>
                <c:pt idx="3">
                  <c:v>15-19 yrs</c:v>
                </c:pt>
                <c:pt idx="4">
                  <c:v>20-24 yrs</c:v>
                </c:pt>
                <c:pt idx="5">
                  <c:v>25-29 yrs</c:v>
                </c:pt>
                <c:pt idx="6">
                  <c:v>30-34 yrs</c:v>
                </c:pt>
                <c:pt idx="7">
                  <c:v>35-39 yrs</c:v>
                </c:pt>
                <c:pt idx="8">
                  <c:v>40-44 yrs</c:v>
                </c:pt>
                <c:pt idx="9">
                  <c:v>45-49 yrs</c:v>
                </c:pt>
                <c:pt idx="10">
                  <c:v>50-54 yrs</c:v>
                </c:pt>
                <c:pt idx="11">
                  <c:v>55-59 yrs</c:v>
                </c:pt>
                <c:pt idx="12">
                  <c:v>60-64 yrs</c:v>
                </c:pt>
                <c:pt idx="13">
                  <c:v>65-69 yrs</c:v>
                </c:pt>
                <c:pt idx="14">
                  <c:v>70-74 yrs</c:v>
                </c:pt>
                <c:pt idx="15">
                  <c:v>75-79 yrs</c:v>
                </c:pt>
                <c:pt idx="16">
                  <c:v>80-84 yrs</c:v>
                </c:pt>
                <c:pt idx="17">
                  <c:v>85-89 yrs</c:v>
                </c:pt>
                <c:pt idx="18">
                  <c:v>90-94 yrs</c:v>
                </c:pt>
                <c:pt idx="19">
                  <c:v>95-99 yrs</c:v>
                </c:pt>
              </c:strCache>
            </c:strRef>
          </c:cat>
          <c:val>
            <c:numRef>
              <c:f>Sheet1!$F$7:$F$27</c:f>
              <c:numCache>
                <c:formatCode>General</c:formatCode>
                <c:ptCount val="20"/>
                <c:pt idx="0">
                  <c:v>3</c:v>
                </c:pt>
                <c:pt idx="1">
                  <c:v>1</c:v>
                </c:pt>
                <c:pt idx="4">
                  <c:v>1</c:v>
                </c:pt>
                <c:pt idx="5">
                  <c:v>1</c:v>
                </c:pt>
                <c:pt idx="6">
                  <c:v>1</c:v>
                </c:pt>
                <c:pt idx="7">
                  <c:v>1</c:v>
                </c:pt>
                <c:pt idx="8">
                  <c:v>6</c:v>
                </c:pt>
                <c:pt idx="9">
                  <c:v>4</c:v>
                </c:pt>
                <c:pt idx="10">
                  <c:v>8</c:v>
                </c:pt>
                <c:pt idx="11">
                  <c:v>10</c:v>
                </c:pt>
                <c:pt idx="12">
                  <c:v>18</c:v>
                </c:pt>
                <c:pt idx="13">
                  <c:v>13</c:v>
                </c:pt>
                <c:pt idx="14">
                  <c:v>24</c:v>
                </c:pt>
                <c:pt idx="15">
                  <c:v>23</c:v>
                </c:pt>
                <c:pt idx="16">
                  <c:v>12</c:v>
                </c:pt>
                <c:pt idx="17">
                  <c:v>5</c:v>
                </c:pt>
                <c:pt idx="18">
                  <c:v>1</c:v>
                </c:pt>
              </c:numCache>
            </c:numRef>
          </c:val>
          <c:smooth val="0"/>
        </c:ser>
        <c:dLbls>
          <c:showLegendKey val="0"/>
          <c:showVal val="0"/>
          <c:showCatName val="0"/>
          <c:showSerName val="0"/>
          <c:showPercent val="0"/>
          <c:showBubbleSize val="0"/>
        </c:dLbls>
        <c:marker val="1"/>
        <c:smooth val="0"/>
        <c:axId val="38651008"/>
        <c:axId val="38652544"/>
      </c:lineChart>
      <c:catAx>
        <c:axId val="38651008"/>
        <c:scaling>
          <c:orientation val="minMax"/>
        </c:scaling>
        <c:delete val="0"/>
        <c:axPos val="b"/>
        <c:majorTickMark val="none"/>
        <c:minorTickMark val="none"/>
        <c:tickLblPos val="nextTo"/>
        <c:crossAx val="38652544"/>
        <c:crosses val="autoZero"/>
        <c:auto val="1"/>
        <c:lblAlgn val="ctr"/>
        <c:lblOffset val="100"/>
        <c:noMultiLvlLbl val="0"/>
      </c:catAx>
      <c:valAx>
        <c:axId val="38652544"/>
        <c:scaling>
          <c:orientation val="minMax"/>
          <c:max val="220"/>
          <c:min val="0"/>
        </c:scaling>
        <c:delete val="0"/>
        <c:axPos val="l"/>
        <c:majorGridlines/>
        <c:numFmt formatCode="General" sourceLinked="1"/>
        <c:majorTickMark val="none"/>
        <c:minorTickMark val="none"/>
        <c:tickLblPos val="nextTo"/>
        <c:crossAx val="38651008"/>
        <c:crosses val="autoZero"/>
        <c:crossBetween val="between"/>
        <c:majorUnit val="20"/>
      </c:valAx>
    </c:plotArea>
    <c:legend>
      <c:legendPos val="t"/>
      <c:layout/>
      <c:overlay val="0"/>
      <c:txPr>
        <a:bodyPr/>
        <a:lstStyle/>
        <a:p>
          <a:pPr>
            <a:defRPr sz="1000"/>
          </a:pPr>
          <a:endParaRPr lang="en-US"/>
        </a:p>
      </c:txPr>
    </c:legend>
    <c:plotVisOnly val="1"/>
    <c:dispBlanksAs val="gap"/>
    <c:showDLblsOverMax val="0"/>
  </c:chart>
  <c:spPr>
    <a:noFill/>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[D830 - DOSE_SUM.xlsx]Sheet1 (2)!PivotTable1</c:name>
    <c:fmtId val="-1"/>
  </c:pivotSource>
  <c:chart>
    <c:autoTitleDeleted val="1"/>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marker>
          <c:symbol val="none"/>
        </c:marker>
      </c:pivotFmt>
      <c:pivotFmt>
        <c:idx val="5"/>
        <c:marker>
          <c:symbol val="none"/>
        </c:marker>
      </c:pivotFmt>
      <c:pivotFmt>
        <c:idx val="6"/>
        <c:marker>
          <c:symbol val="none"/>
        </c:marker>
      </c:pivotFmt>
      <c:pivotFmt>
        <c:idx val="7"/>
        <c:marker>
          <c:symbol val="none"/>
        </c:marker>
      </c:pivotFmt>
      <c:pivotFmt>
        <c:idx val="8"/>
        <c:marker>
          <c:symbol val="none"/>
        </c:marker>
      </c:pivotFmt>
      <c:pivotFmt>
        <c:idx val="9"/>
        <c:marker>
          <c:symbol val="none"/>
        </c:marker>
      </c:pivotFmt>
    </c:pivotFmts>
    <c:plotArea>
      <c:layout>
        <c:manualLayout>
          <c:layoutTarget val="inner"/>
          <c:xMode val="edge"/>
          <c:yMode val="edge"/>
          <c:x val="7.1168483747223898E-2"/>
          <c:y val="6.3495858638108194E-2"/>
          <c:w val="0.85189245575072348"/>
          <c:h val="0.83983630505332063"/>
        </c:manualLayout>
      </c:layout>
      <c:barChart>
        <c:barDir val="col"/>
        <c:grouping val="clustered"/>
        <c:varyColors val="0"/>
        <c:ser>
          <c:idx val="0"/>
          <c:order val="0"/>
          <c:tx>
            <c:strRef>
              <c:f>'Sheet1 (2)'!$B$4:$B$5</c:f>
              <c:strCache>
                <c:ptCount val="1"/>
                <c:pt idx="0">
                  <c:v>mg</c:v>
                </c:pt>
              </c:strCache>
            </c:strRef>
          </c:tx>
          <c:invertIfNegative val="0"/>
          <c:cat>
            <c:strRef>
              <c:f>'Sheet1 (2)'!$A$6:$A$18</c:f>
              <c:strCache>
                <c:ptCount val="12"/>
                <c:pt idx="0">
                  <c:v>0.1</c:v>
                </c:pt>
                <c:pt idx="1">
                  <c:v>0.5</c:v>
                </c:pt>
                <c:pt idx="2">
                  <c:v>0.55</c:v>
                </c:pt>
                <c:pt idx="3">
                  <c:v>1</c:v>
                </c:pt>
                <c:pt idx="4">
                  <c:v>1.5</c:v>
                </c:pt>
                <c:pt idx="5">
                  <c:v>2</c:v>
                </c:pt>
                <c:pt idx="6">
                  <c:v>2.5</c:v>
                </c:pt>
                <c:pt idx="7">
                  <c:v>3</c:v>
                </c:pt>
                <c:pt idx="8">
                  <c:v>4</c:v>
                </c:pt>
                <c:pt idx="9">
                  <c:v>4.5</c:v>
                </c:pt>
                <c:pt idx="10">
                  <c:v>6</c:v>
                </c:pt>
                <c:pt idx="11">
                  <c:v>7.5</c:v>
                </c:pt>
              </c:strCache>
            </c:strRef>
          </c:cat>
          <c:val>
            <c:numRef>
              <c:f>'Sheet1 (2)'!$B$6:$B$18</c:f>
              <c:numCache>
                <c:formatCode>General</c:formatCode>
                <c:ptCount val="12"/>
                <c:pt idx="0">
                  <c:v>1</c:v>
                </c:pt>
                <c:pt idx="1">
                  <c:v>5</c:v>
                </c:pt>
                <c:pt idx="2">
                  <c:v>1</c:v>
                </c:pt>
                <c:pt idx="3">
                  <c:v>3</c:v>
                </c:pt>
                <c:pt idx="4">
                  <c:v>50</c:v>
                </c:pt>
                <c:pt idx="5">
                  <c:v>5</c:v>
                </c:pt>
                <c:pt idx="6">
                  <c:v>1</c:v>
                </c:pt>
                <c:pt idx="7">
                  <c:v>65</c:v>
                </c:pt>
                <c:pt idx="8">
                  <c:v>1</c:v>
                </c:pt>
                <c:pt idx="9">
                  <c:v>23</c:v>
                </c:pt>
                <c:pt idx="10">
                  <c:v>13</c:v>
                </c:pt>
                <c:pt idx="11">
                  <c:v>3</c:v>
                </c:pt>
              </c:numCache>
            </c:numRef>
          </c:val>
        </c:ser>
        <c:dLbls>
          <c:showLegendKey val="0"/>
          <c:showVal val="0"/>
          <c:showCatName val="0"/>
          <c:showSerName val="0"/>
          <c:showPercent val="0"/>
          <c:showBubbleSize val="0"/>
        </c:dLbls>
        <c:gapWidth val="150"/>
        <c:axId val="38943744"/>
        <c:axId val="38978304"/>
      </c:barChart>
      <c:catAx>
        <c:axId val="38943744"/>
        <c:scaling>
          <c:orientation val="minMax"/>
        </c:scaling>
        <c:delete val="0"/>
        <c:axPos val="b"/>
        <c:majorTickMark val="out"/>
        <c:minorTickMark val="none"/>
        <c:tickLblPos val="nextTo"/>
        <c:crossAx val="38978304"/>
        <c:crosses val="autoZero"/>
        <c:auto val="1"/>
        <c:lblAlgn val="ctr"/>
        <c:lblOffset val="100"/>
        <c:noMultiLvlLbl val="0"/>
      </c:catAx>
      <c:valAx>
        <c:axId val="38978304"/>
        <c:scaling>
          <c:orientation val="minMax"/>
        </c:scaling>
        <c:delete val="0"/>
        <c:axPos val="l"/>
        <c:majorGridlines/>
        <c:title>
          <c:tx>
            <c:rich>
              <a:bodyPr rot="-5400000" vert="horz"/>
              <a:lstStyle/>
              <a:p>
                <a:pPr>
                  <a:defRPr/>
                </a:pPr>
                <a:r>
                  <a:rPr lang="en-AU"/>
                  <a:t>Doses</a:t>
                </a:r>
              </a:p>
            </c:rich>
          </c:tx>
          <c:layout/>
          <c:overlay val="0"/>
        </c:title>
        <c:numFmt formatCode="General" sourceLinked="1"/>
        <c:majorTickMark val="out"/>
        <c:minorTickMark val="none"/>
        <c:tickLblPos val="nextTo"/>
        <c:crossAx val="38943744"/>
        <c:crosses val="autoZero"/>
        <c:crossBetween val="between"/>
      </c:valAx>
    </c:plotArea>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4EB9FE-E101-4105-87D7-31836CCBB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11674</Words>
  <Characters>66543</Characters>
  <Application>Microsoft Office Word</Application>
  <DocSecurity>0</DocSecurity>
  <Lines>554</Lines>
  <Paragraphs>156</Paragraphs>
  <ScaleCrop>false</ScaleCrop>
  <LinksUpToDate>false</LinksUpToDate>
  <CharactersWithSpaces>78061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2015-06-24T23:49:00Z</dcterms:created>
  <dcterms:modified xsi:type="dcterms:W3CDTF">2015-06-24T23:50:00Z</dcterms:modified>
</cp:coreProperties>
</file>