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309795BE" w:rsidR="00872E8F" w:rsidRPr="00A6439B" w:rsidRDefault="00FC5584" w:rsidP="007A5C88">
      <w:pPr>
        <w:pStyle w:val="1MainTitle"/>
        <w:jc w:val="left"/>
      </w:pPr>
      <w:r>
        <w:t>3.02</w:t>
      </w:r>
      <w:r w:rsidR="70971A32">
        <w:tab/>
      </w:r>
      <w:r w:rsidR="009C2F7B">
        <w:t>ALECTINIB</w:t>
      </w:r>
      <w:r w:rsidR="70971A32">
        <w:t>,</w:t>
      </w:r>
      <w:r w:rsidR="70971A32">
        <w:br/>
      </w:r>
      <w:r w:rsidR="72678DD0">
        <w:t>Capsule 150 mg</w:t>
      </w:r>
      <w:r w:rsidR="70971A32">
        <w:t>,</w:t>
      </w:r>
      <w:r w:rsidR="70971A32">
        <w:br/>
      </w:r>
      <w:r w:rsidR="009C2F7B">
        <w:t>Alecensa</w:t>
      </w:r>
      <w:r w:rsidR="70971A32">
        <w:t>®,</w:t>
      </w:r>
      <w:r w:rsidR="70971A32">
        <w:br/>
      </w:r>
      <w:r w:rsidR="009C2F7B">
        <w:t>Roche</w:t>
      </w:r>
      <w:r w:rsidR="00B84111">
        <w:t xml:space="preserve"> Products Pty Ltd</w:t>
      </w:r>
    </w:p>
    <w:p w14:paraId="5F4D54C1" w14:textId="1CA09AA0" w:rsidR="00E11F44" w:rsidRPr="00A6439B" w:rsidRDefault="007E490F" w:rsidP="00CD6257">
      <w:pPr>
        <w:pStyle w:val="2-SectionHeading"/>
        <w:rPr>
          <w:rFonts w:cstheme="minorHAnsi"/>
          <w:color w:val="FF0000"/>
        </w:rPr>
      </w:pPr>
      <w:r w:rsidRPr="007E1673">
        <w:t>Purpose</w:t>
      </w:r>
    </w:p>
    <w:p w14:paraId="1B64C81B" w14:textId="49493D74" w:rsidR="0073736F" w:rsidRDefault="009C2F7B" w:rsidP="007E1673">
      <w:pPr>
        <w:pStyle w:val="3-BodyText"/>
      </w:pPr>
      <w:r>
        <w:t xml:space="preserve">To present correspondence from </w:t>
      </w:r>
      <w:r w:rsidR="00E60520">
        <w:t xml:space="preserve">ALK </w:t>
      </w:r>
      <w:r w:rsidR="005D69AC">
        <w:t>Positive Australia and Medical Oncology Group of Australia (MOGA)</w:t>
      </w:r>
      <w:r>
        <w:t xml:space="preserve"> in relation to the May 2025 recommendation for alectinib for </w:t>
      </w:r>
      <w:r w:rsidR="000A3371">
        <w:t>adjuvant therapy of</w:t>
      </w:r>
      <w:r>
        <w:t xml:space="preserve"> non-small cell lung cancer </w:t>
      </w:r>
      <w:r w:rsidR="00926287">
        <w:t>(</w:t>
      </w:r>
      <w:r w:rsidR="00926287" w:rsidRPr="009C2F7B">
        <w:t>NSCLC</w:t>
      </w:r>
      <w:r w:rsidR="00926287">
        <w:t>)</w:t>
      </w:r>
      <w:r w:rsidR="00926287" w:rsidRPr="009C2F7B">
        <w:t xml:space="preserve"> </w:t>
      </w:r>
      <w:r>
        <w:t>and advice regarding re</w:t>
      </w:r>
      <w:r w:rsidR="000C4B41">
        <w:noBreakHyphen/>
      </w:r>
      <w:r>
        <w:t xml:space="preserve">treatment with an </w:t>
      </w:r>
      <w:r w:rsidR="008E0525" w:rsidRPr="00480790">
        <w:t>anaplastic lymphoma kinase (</w:t>
      </w:r>
      <w:r>
        <w:t>ALK</w:t>
      </w:r>
      <w:r w:rsidR="008E0525" w:rsidRPr="00480790">
        <w:t xml:space="preserve">) </w:t>
      </w:r>
      <w:r>
        <w:t>inhibitor in the metastatic setting; and</w:t>
      </w:r>
    </w:p>
    <w:p w14:paraId="0C97E92A" w14:textId="7DE3C288" w:rsidR="009C2F7B" w:rsidRPr="00A6439B" w:rsidRDefault="009C2F7B" w:rsidP="007E1673">
      <w:pPr>
        <w:pStyle w:val="3-BodyText"/>
      </w:pPr>
      <w:r>
        <w:t xml:space="preserve">To provide an update on the status </w:t>
      </w:r>
      <w:r w:rsidR="00F67922">
        <w:t>of the</w:t>
      </w:r>
      <w:r>
        <w:t xml:space="preserve"> pricing proposal for the May 2025 alectinib recommendation.</w:t>
      </w:r>
    </w:p>
    <w:p w14:paraId="3D1D4320" w14:textId="77777777" w:rsidR="007E490F" w:rsidRPr="00A6439B" w:rsidRDefault="007E490F" w:rsidP="00FC5584">
      <w:pPr>
        <w:pStyle w:val="2-SectionHeading"/>
        <w:rPr>
          <w:lang w:eastAsia="en-US"/>
        </w:rPr>
      </w:pPr>
      <w:r w:rsidRPr="00A6439B">
        <w:t xml:space="preserve">Background </w:t>
      </w:r>
    </w:p>
    <w:p w14:paraId="1B9BE319" w14:textId="77777777" w:rsidR="00630CF2" w:rsidRPr="00A6439B" w:rsidRDefault="00630CF2" w:rsidP="00FC5584">
      <w:pPr>
        <w:pStyle w:val="4-SubsectionHeading"/>
        <w:rPr>
          <w:lang w:eastAsia="en-US"/>
        </w:rPr>
      </w:pPr>
      <w:r w:rsidRPr="00A6439B">
        <w:rPr>
          <w:lang w:eastAsia="en-US"/>
        </w:rPr>
        <w:t xml:space="preserve">Previous PBAC </w:t>
      </w:r>
      <w:r w:rsidRPr="00691A2C">
        <w:rPr>
          <w:lang w:eastAsia="en-US"/>
        </w:rPr>
        <w:t>consideration</w:t>
      </w:r>
      <w:r w:rsidRPr="00A6439B">
        <w:rPr>
          <w:lang w:eastAsia="en-US"/>
        </w:rPr>
        <w:t xml:space="preserve"> </w:t>
      </w:r>
    </w:p>
    <w:p w14:paraId="36A84AC0" w14:textId="5D9C0496" w:rsidR="009C2F7B" w:rsidRPr="009C2F7B" w:rsidRDefault="009C2F7B" w:rsidP="009C2F7B">
      <w:pPr>
        <w:pStyle w:val="3-BodyText"/>
      </w:pPr>
      <w:r w:rsidRPr="009C2F7B">
        <w:t xml:space="preserve">At its May 2025 meeting, PBAC </w:t>
      </w:r>
      <w:r w:rsidR="00731814">
        <w:t xml:space="preserve">had </w:t>
      </w:r>
      <w:r w:rsidRPr="009C2F7B">
        <w:t xml:space="preserve">recommended the listing of alectinib for ALK-positive as adjuvant therapy after </w:t>
      </w:r>
      <w:r w:rsidR="00434321">
        <w:t xml:space="preserve">tumour </w:t>
      </w:r>
      <w:r w:rsidRPr="009C2F7B">
        <w:t>resection.</w:t>
      </w:r>
    </w:p>
    <w:p w14:paraId="7148796B" w14:textId="744657CA" w:rsidR="009C2F7B" w:rsidRPr="009C2F7B" w:rsidRDefault="009C2F7B" w:rsidP="009C2F7B">
      <w:pPr>
        <w:pStyle w:val="3-BodyText"/>
      </w:pPr>
      <w:r w:rsidRPr="009C2F7B">
        <w:t xml:space="preserve">The PBAC </w:t>
      </w:r>
      <w:r w:rsidR="00731814">
        <w:t>had</w:t>
      </w:r>
      <w:r w:rsidRPr="009C2F7B">
        <w:t xml:space="preserve"> considered </w:t>
      </w:r>
      <w:r w:rsidR="00C855A7">
        <w:t>that</w:t>
      </w:r>
      <w:r w:rsidRPr="009C2F7B">
        <w:t xml:space="preserve"> alectinib would be cost effective at a lower price, using the revised model parameters from the pre-PBAC response, to achieve an ICER consistent with that presented in the submission.</w:t>
      </w:r>
    </w:p>
    <w:p w14:paraId="0466FDA1" w14:textId="66C1C1F4" w:rsidR="009C2F7B" w:rsidRPr="009C2F7B" w:rsidRDefault="009C2F7B" w:rsidP="009C2F7B">
      <w:pPr>
        <w:pStyle w:val="3-BodyText"/>
      </w:pPr>
      <w:r w:rsidRPr="009C2F7B">
        <w:t xml:space="preserve">The PBAC </w:t>
      </w:r>
      <w:r w:rsidR="00731814">
        <w:t xml:space="preserve">had </w:t>
      </w:r>
      <w:r w:rsidRPr="009C2F7B">
        <w:t xml:space="preserve">advised that consistent with other high-cost adjuvant listings (e.g. osimertinib, immune checkpoint inhibitors), re-treatment </w:t>
      </w:r>
      <w:r w:rsidR="00395AAC">
        <w:t xml:space="preserve">[with </w:t>
      </w:r>
      <w:r w:rsidR="76718017">
        <w:t>a</w:t>
      </w:r>
      <w:r w:rsidR="00395AAC">
        <w:t>lectinib]</w:t>
      </w:r>
      <w:r w:rsidRPr="009C2F7B">
        <w:t xml:space="preserve"> in the metastatic setting should not be permitted, and furthermore use of adjuvant </w:t>
      </w:r>
      <w:r w:rsidR="00676ACF">
        <w:t>alectinib</w:t>
      </w:r>
      <w:r w:rsidRPr="009C2F7B">
        <w:t xml:space="preserve"> therapy would preclude use of any ALK TKI in the recurrent setting. The PBAC </w:t>
      </w:r>
      <w:r w:rsidR="00676ACF">
        <w:t>had advised it</w:t>
      </w:r>
      <w:r w:rsidRPr="009C2F7B">
        <w:t xml:space="preserve"> would like to increase patient access in these situations, but evidence was required to determine a cost-effective price in the re-treatment setting. This may include targeted use of TKIs to treat emerging resistance mutations. Data such as overall response rate and time on treatment would be informative, as well as expected number of patients and financial implications.</w:t>
      </w:r>
    </w:p>
    <w:p w14:paraId="7E1CB16C" w14:textId="60DC214D" w:rsidR="009C2F7B" w:rsidRPr="009C2F7B" w:rsidRDefault="009C2F7B" w:rsidP="009C2F7B">
      <w:pPr>
        <w:pStyle w:val="3-BodyText"/>
      </w:pPr>
      <w:r w:rsidRPr="009C2F7B">
        <w:t xml:space="preserve">The PBAC </w:t>
      </w:r>
      <w:r w:rsidR="00B90853">
        <w:t>had</w:t>
      </w:r>
      <w:r w:rsidRPr="009C2F7B">
        <w:t xml:space="preserve"> considered that the claim of superior clinical effectiveness was well supported by the ALINA trial in terms of a clinically meaningful benefit for </w:t>
      </w:r>
      <w:r w:rsidR="00332CD2">
        <w:t>disease-free survival (</w:t>
      </w:r>
      <w:r w:rsidRPr="009C2F7B">
        <w:t>DFS</w:t>
      </w:r>
      <w:r w:rsidR="00332CD2">
        <w:t>)</w:t>
      </w:r>
      <w:r w:rsidRPr="009C2F7B">
        <w:t xml:space="preserve">. The PBAC </w:t>
      </w:r>
      <w:r w:rsidR="00332CD2">
        <w:t xml:space="preserve">had </w:t>
      </w:r>
      <w:r w:rsidRPr="009C2F7B">
        <w:t xml:space="preserve">noted that there was no signal of </w:t>
      </w:r>
      <w:r w:rsidR="00332CD2">
        <w:t>overall survival</w:t>
      </w:r>
      <w:r w:rsidRPr="009C2F7B">
        <w:t xml:space="preserve"> </w:t>
      </w:r>
      <w:r w:rsidR="00332CD2">
        <w:t>(</w:t>
      </w:r>
      <w:r w:rsidRPr="009C2F7B">
        <w:t>OS</w:t>
      </w:r>
      <w:r w:rsidR="00332CD2">
        <w:t>)</w:t>
      </w:r>
      <w:r w:rsidRPr="009C2F7B">
        <w:t xml:space="preserve"> benefit at the prespecified DFS interim. The PBAC </w:t>
      </w:r>
      <w:r w:rsidR="00332CD2">
        <w:t>was</w:t>
      </w:r>
      <w:r w:rsidRPr="009C2F7B">
        <w:t xml:space="preserve"> concerned that longer OS follow up may not establish an OS benefit given the availability of effective TKI treatments post recurrence and </w:t>
      </w:r>
      <w:r w:rsidR="00E13518">
        <w:t xml:space="preserve">had </w:t>
      </w:r>
      <w:r w:rsidRPr="009C2F7B">
        <w:t>requested that the committee be provided with mature OS data when available, to allow an opportunity to re-evaluate the cost-effectiveness of adjuvant alectinib.</w:t>
      </w:r>
    </w:p>
    <w:p w14:paraId="2DCF7552" w14:textId="0F9F164A" w:rsidR="009C2F7B" w:rsidRPr="009C2F7B" w:rsidRDefault="009C2F7B" w:rsidP="009C2F7B">
      <w:pPr>
        <w:pStyle w:val="3-BodyText"/>
      </w:pPr>
      <w:r w:rsidRPr="009C2F7B">
        <w:lastRenderedPageBreak/>
        <w:t xml:space="preserve">The submission </w:t>
      </w:r>
      <w:r w:rsidR="00E13518">
        <w:t xml:space="preserve">had </w:t>
      </w:r>
      <w:r w:rsidRPr="009C2F7B">
        <w:t xml:space="preserve">presented a </w:t>
      </w:r>
      <w:r w:rsidR="008E6A6F">
        <w:t>cost-utility analysis</w:t>
      </w:r>
      <w:r w:rsidRPr="009C2F7B">
        <w:t xml:space="preserve"> based on the DFS outcomes of the ALINA trial with extrapolation to 20 years and a base case ICER of </w:t>
      </w:r>
      <w:r w:rsidR="009A730D" w:rsidRPr="009A730D">
        <w:t>$25,000 to &lt; $35,000</w:t>
      </w:r>
      <w:r w:rsidRPr="009C2F7B">
        <w:t xml:space="preserve"> per QALY gained. The economic model applied 2 adjustments to the extrapolated DFS, including the limitation of treatment effect where the model allowed the treatment effect of alectinib to decrease over time and a cure adjustment where the model allowed patients to be considered cured (i.e. not experience recurrence or disease-related death) if they were disease-free for a certain number of years. </w:t>
      </w:r>
    </w:p>
    <w:p w14:paraId="0AD492A6" w14:textId="1A4C555B" w:rsidR="009C2F7B" w:rsidRPr="009C2F7B" w:rsidRDefault="009C2F7B" w:rsidP="009C2F7B">
      <w:pPr>
        <w:pStyle w:val="3-BodyText"/>
      </w:pPr>
      <w:r w:rsidRPr="009C2F7B">
        <w:t xml:space="preserve">The PBAC </w:t>
      </w:r>
      <w:r w:rsidR="00D83B4C">
        <w:t>had</w:t>
      </w:r>
      <w:r w:rsidRPr="009C2F7B">
        <w:t xml:space="preserve"> agreed with the ESC that a 15-year time horizon was more appropriate given the precedents with atezolizumab and osimertinib and </w:t>
      </w:r>
      <w:r w:rsidR="00891615">
        <w:t>could</w:t>
      </w:r>
      <w:r w:rsidRPr="009C2F7B">
        <w:t xml:space="preserve"> be used to mitigate uncertainty in the estimated long-term costs and outcomes. The PBAC </w:t>
      </w:r>
      <w:r w:rsidR="00D83B4C">
        <w:t>had</w:t>
      </w:r>
      <w:r w:rsidRPr="009C2F7B">
        <w:t xml:space="preserve"> also agreed with the ESC that the cure assumption was reasonable, although the survival benefit may be overestimated.</w:t>
      </w:r>
    </w:p>
    <w:p w14:paraId="180AA533" w14:textId="4E03D30B" w:rsidR="009C2F7B" w:rsidRPr="009C2F7B" w:rsidRDefault="009C2F7B" w:rsidP="009C2F7B">
      <w:pPr>
        <w:pStyle w:val="3-BodyText"/>
      </w:pPr>
      <w:r w:rsidRPr="009C2F7B">
        <w:t xml:space="preserve">The ESC </w:t>
      </w:r>
      <w:r w:rsidR="00D83B4C">
        <w:t>had</w:t>
      </w:r>
      <w:r w:rsidRPr="009C2F7B">
        <w:t xml:space="preserve"> recommended a revised base case and the pre-PBAC response, despite disagreeing with the revisions, </w:t>
      </w:r>
      <w:r w:rsidR="008A03F1">
        <w:t xml:space="preserve">had </w:t>
      </w:r>
      <w:r w:rsidRPr="009C2F7B">
        <w:t xml:space="preserve">accepted the ESC’s proposal </w:t>
      </w:r>
      <w:proofErr w:type="gramStart"/>
      <w:r w:rsidRPr="009C2F7B">
        <w:t>and also</w:t>
      </w:r>
      <w:proofErr w:type="gramEnd"/>
      <w:r w:rsidRPr="009C2F7B">
        <w:t xml:space="preserve"> updated the end-of-life costs, which PBAC </w:t>
      </w:r>
      <w:r w:rsidR="008A03F1">
        <w:t xml:space="preserve">had </w:t>
      </w:r>
      <w:r w:rsidRPr="009C2F7B">
        <w:t xml:space="preserve">considered appropriate. The pre-PBAC response </w:t>
      </w:r>
      <w:r w:rsidR="008A03F1">
        <w:t xml:space="preserve">had </w:t>
      </w:r>
      <w:r w:rsidRPr="009C2F7B">
        <w:t>noted the resultant revised base case was within the range of an accepted ICER for osimertinib ($35,000 to &lt; $45,000 per QALY gained).</w:t>
      </w:r>
    </w:p>
    <w:p w14:paraId="43BFAEF9" w14:textId="2694956C" w:rsidR="009C2F7B" w:rsidRPr="009C2F7B" w:rsidRDefault="009C2F7B" w:rsidP="009C2F7B">
      <w:pPr>
        <w:pStyle w:val="3-BodyText"/>
        <w:rPr>
          <w:color w:val="FF0000"/>
        </w:rPr>
      </w:pPr>
      <w:r w:rsidRPr="009C2F7B">
        <w:t xml:space="preserve">The PBAC </w:t>
      </w:r>
      <w:r w:rsidR="00EB73E8">
        <w:t>had</w:t>
      </w:r>
      <w:r w:rsidRPr="009C2F7B">
        <w:t xml:space="preserve"> considered that although the cure assumption modelled was acceptable and consistent with osimertinib, modelled long-term benefits remained uncertain given immature survival data to support the modelled benefit and use of ALK-TKIs in the metastatic setting following adjuvant treatment, which was not adequately supported by the evidence. To further mitigate this uncertainty the PBAC </w:t>
      </w:r>
      <w:r w:rsidR="00F12F7E">
        <w:t xml:space="preserve">had </w:t>
      </w:r>
      <w:r w:rsidRPr="009C2F7B">
        <w:t xml:space="preserve">considered alectinib would be cost effective in the adjuvant treatment setting with a price reduction to maintain an ICER in the order of </w:t>
      </w:r>
      <w:r w:rsidR="0020264B" w:rsidRPr="0020264B">
        <w:t>$25,000 to &lt; $35,000</w:t>
      </w:r>
      <w:r w:rsidRPr="009C2F7B">
        <w:t xml:space="preserve"> per QALY gained, using the revised model from the pre-PBAC response with appropriate DPMQs rather than AEMPs</w:t>
      </w:r>
      <w:r>
        <w:t>.</w:t>
      </w:r>
    </w:p>
    <w:p w14:paraId="56C938A2" w14:textId="371BB8A8" w:rsidR="007E490F" w:rsidRPr="00A6439B" w:rsidRDefault="009C2F7B" w:rsidP="00FC5584">
      <w:pPr>
        <w:pStyle w:val="3-BodyText"/>
      </w:pPr>
      <w:r w:rsidRPr="009C2F7B">
        <w:t>Alectinib</w:t>
      </w:r>
      <w:r w:rsidR="001F2311" w:rsidRPr="009C2F7B">
        <w:t xml:space="preserve"> is currently listed on the PBS as an Authority Required listing for </w:t>
      </w:r>
      <w:r w:rsidRPr="009C2F7B">
        <w:t>Stage IIIB (locally advanced) or Stage IV (metastatic) NSCLC</w:t>
      </w:r>
      <w:r w:rsidR="001F2311" w:rsidRPr="009C2F7B">
        <w:t>.</w:t>
      </w:r>
    </w:p>
    <w:p w14:paraId="1B8790B6" w14:textId="6618C386" w:rsidR="00964A9F" w:rsidRDefault="006E17EF" w:rsidP="00964A9F">
      <w:pPr>
        <w:pStyle w:val="2-SectionHeading"/>
      </w:pPr>
      <w:r>
        <w:t>Correspondence from ALK Positive Australia and MOGA</w:t>
      </w:r>
    </w:p>
    <w:p w14:paraId="6B4EDF16" w14:textId="5570A718" w:rsidR="003B658B" w:rsidRDefault="00AB7FFD" w:rsidP="003B658B">
      <w:pPr>
        <w:pStyle w:val="3-BodyText"/>
      </w:pPr>
      <w:r>
        <w:t xml:space="preserve">On 8 July 2025, ALK Positive Australia wrote to the PBAC Secretariat raising concerns regarding the re-treatment restriction in the PBAC’s recommendation for adjuvant </w:t>
      </w:r>
      <w:r w:rsidRPr="009755FD">
        <w:t>alectinib</w:t>
      </w:r>
      <w:r w:rsidR="003441E2">
        <w:t xml:space="preserve">, suggesting that </w:t>
      </w:r>
      <w:r>
        <w:t xml:space="preserve">current wording of the recommendation </w:t>
      </w:r>
      <w:r w:rsidR="003441E2">
        <w:t xml:space="preserve">would </w:t>
      </w:r>
      <w:r w:rsidR="00B60254">
        <w:t>leav</w:t>
      </w:r>
      <w:r w:rsidR="003441E2">
        <w:t>e</w:t>
      </w:r>
      <w:r w:rsidR="00B60254">
        <w:t xml:space="preserve"> </w:t>
      </w:r>
      <w:r w:rsidR="003441E2">
        <w:t>patients</w:t>
      </w:r>
      <w:r w:rsidR="00B60254">
        <w:t xml:space="preserve"> </w:t>
      </w:r>
      <w:r>
        <w:t>with no access to the standard of care in the metastatic setting</w:t>
      </w:r>
      <w:r w:rsidR="00B60254">
        <w:t>.</w:t>
      </w:r>
      <w:r w:rsidR="004A2E07">
        <w:t xml:space="preserve"> </w:t>
      </w:r>
    </w:p>
    <w:p w14:paraId="0DB3274A" w14:textId="15C7ECB7" w:rsidR="00AB7FFD" w:rsidRDefault="004A2E07" w:rsidP="003B658B">
      <w:pPr>
        <w:pStyle w:val="3-BodyText"/>
      </w:pPr>
      <w:r>
        <w:t xml:space="preserve">ALK Positive Australia was particularly concerned </w:t>
      </w:r>
      <w:r w:rsidR="003B658B">
        <w:t>regarding</w:t>
      </w:r>
      <w:r w:rsidR="00FF01FD">
        <w:t xml:space="preserve"> the impact on priority populations </w:t>
      </w:r>
      <w:r w:rsidR="003B658B">
        <w:t>including Aboriginal and Torres Strait Islander peoples, and those living in rural and remote areas. ALK Positive</w:t>
      </w:r>
      <w:r w:rsidR="00EF2C3A">
        <w:t xml:space="preserve"> Australia</w:t>
      </w:r>
      <w:r w:rsidR="003B658B">
        <w:t xml:space="preserve"> stated that </w:t>
      </w:r>
      <w:r w:rsidR="00EF2C3A">
        <w:t xml:space="preserve">this </w:t>
      </w:r>
      <w:r w:rsidR="003B658B">
        <w:t xml:space="preserve">restriction </w:t>
      </w:r>
      <w:r w:rsidR="00EF2C3A">
        <w:t>may</w:t>
      </w:r>
      <w:r w:rsidR="003B658B">
        <w:t xml:space="preserve"> further entrench existing inequities in cancer treatment for these groups.</w:t>
      </w:r>
    </w:p>
    <w:p w14:paraId="20FCF39F" w14:textId="01CA93D3" w:rsidR="00AB7FFD" w:rsidRDefault="00B60254">
      <w:pPr>
        <w:pStyle w:val="3-BodyText"/>
      </w:pPr>
      <w:r>
        <w:lastRenderedPageBreak/>
        <w:t xml:space="preserve">ALK Positive Australia </w:t>
      </w:r>
      <w:r w:rsidR="009F0615">
        <w:t>stated</w:t>
      </w:r>
      <w:r w:rsidR="00C76845">
        <w:t xml:space="preserve"> that this restriction </w:t>
      </w:r>
      <w:r w:rsidR="00D470D4">
        <w:t xml:space="preserve">did </w:t>
      </w:r>
      <w:r w:rsidR="00C76845">
        <w:t xml:space="preserve">not reflect the biology of ALK-positive NSCLC, </w:t>
      </w:r>
      <w:r w:rsidR="00DD4EA6">
        <w:t xml:space="preserve">that it </w:t>
      </w:r>
      <w:r w:rsidR="00FB3FB6">
        <w:t xml:space="preserve">departed </w:t>
      </w:r>
      <w:r w:rsidR="00C76845">
        <w:t xml:space="preserve">from current PBS practice, and </w:t>
      </w:r>
      <w:r w:rsidR="00DD4EA6">
        <w:t xml:space="preserve">it </w:t>
      </w:r>
      <w:r w:rsidR="00C76845">
        <w:t>is not in line with international standards.</w:t>
      </w:r>
      <w:r w:rsidR="00BE5C0A">
        <w:t xml:space="preserve"> </w:t>
      </w:r>
    </w:p>
    <w:p w14:paraId="2D2D9FD0" w14:textId="77777777" w:rsidR="009F5820" w:rsidRDefault="00687C3C" w:rsidP="009F5820">
      <w:pPr>
        <w:pStyle w:val="3-BodyText"/>
      </w:pPr>
      <w:r>
        <w:t>ALK Positive Australia requested the PBAC to</w:t>
      </w:r>
      <w:r w:rsidR="009F5820">
        <w:t>:</w:t>
      </w:r>
    </w:p>
    <w:p w14:paraId="4893E5BC" w14:textId="0948FB6E" w:rsidR="009F5820" w:rsidRDefault="006D1B00" w:rsidP="009F5820">
      <w:pPr>
        <w:pStyle w:val="3-BodyText"/>
        <w:numPr>
          <w:ilvl w:val="3"/>
          <w:numId w:val="37"/>
        </w:numPr>
        <w:ind w:left="1134"/>
      </w:pPr>
      <w:r>
        <w:t xml:space="preserve">clarify whether re-treatment will be entirely excluded under the proposed listing, </w:t>
      </w:r>
    </w:p>
    <w:p w14:paraId="31B3C5DC" w14:textId="00794D37" w:rsidR="009F5820" w:rsidRDefault="006D1B00" w:rsidP="009F5820">
      <w:pPr>
        <w:pStyle w:val="3-BodyText"/>
        <w:numPr>
          <w:ilvl w:val="3"/>
          <w:numId w:val="37"/>
        </w:numPr>
        <w:ind w:left="1134"/>
      </w:pPr>
      <w:r>
        <w:t>consider a more flexible approach by permitting access to a next line ALK inhibitor following recurrence</w:t>
      </w:r>
      <w:r w:rsidR="000816B7">
        <w:t xml:space="preserve">, </w:t>
      </w:r>
    </w:p>
    <w:p w14:paraId="3179B3BF" w14:textId="55B414F9" w:rsidR="009F5820" w:rsidRDefault="009F5820" w:rsidP="009F5820">
      <w:pPr>
        <w:pStyle w:val="3-BodyText"/>
        <w:numPr>
          <w:ilvl w:val="3"/>
          <w:numId w:val="37"/>
        </w:numPr>
        <w:ind w:left="1134"/>
      </w:pPr>
      <w:r>
        <w:t>continue dialogue with clinicians and patient advocates to ensure that long-term outcomes for people with ALK positive NSCLC are not compromised.</w:t>
      </w:r>
    </w:p>
    <w:p w14:paraId="0EA5EC70" w14:textId="799BC529" w:rsidR="009F5820" w:rsidRDefault="0094191B" w:rsidP="00656D96">
      <w:pPr>
        <w:pStyle w:val="3-BodyText"/>
      </w:pPr>
      <w:r>
        <w:t xml:space="preserve">On 14 October 2025, the PBAC Secretary wrote to ALK Positive Australia </w:t>
      </w:r>
      <w:r w:rsidR="00656D96">
        <w:t>advising its letter was discussed at the PBAC Executive meeting in August 2025, and that the PBAC Executive had noted ALK Positive Australia’s request and matters raised concerning patient access in the metastatic setting.</w:t>
      </w:r>
    </w:p>
    <w:p w14:paraId="38AC8D0E" w14:textId="5763F0D7" w:rsidR="00F904DB" w:rsidRDefault="007D1C13" w:rsidP="00F904DB">
      <w:pPr>
        <w:pStyle w:val="3-BodyText"/>
      </w:pPr>
      <w:r>
        <w:t>On 17 October 2025, the PBAC Secretary wrote to MOGA</w:t>
      </w:r>
      <w:r w:rsidR="007B63D3">
        <w:t xml:space="preserve"> requesting input on the </w:t>
      </w:r>
      <w:r w:rsidR="00D80021" w:rsidRPr="00D80021">
        <w:t>re</w:t>
      </w:r>
      <w:r w:rsidR="00723863">
        <w:noBreakHyphen/>
      </w:r>
      <w:r w:rsidR="00D80021" w:rsidRPr="00D80021">
        <w:t>treatment of ALK-positive NSCLC following adjuvant alectinib</w:t>
      </w:r>
      <w:r w:rsidR="00D80021">
        <w:t xml:space="preserve">. </w:t>
      </w:r>
    </w:p>
    <w:p w14:paraId="48B37178" w14:textId="71A22D1F" w:rsidR="002F1AA9" w:rsidRDefault="00D80021" w:rsidP="00774A50">
      <w:pPr>
        <w:pStyle w:val="3-BodyText"/>
      </w:pPr>
      <w:r>
        <w:t xml:space="preserve">MOGA </w:t>
      </w:r>
      <w:r w:rsidR="002C01EA">
        <w:t>indicated it</w:t>
      </w:r>
      <w:r w:rsidR="00F904DB">
        <w:t xml:space="preserve"> </w:t>
      </w:r>
      <w:r w:rsidR="001E593C">
        <w:t xml:space="preserve">strong </w:t>
      </w:r>
      <w:r w:rsidR="00F904DB">
        <w:t xml:space="preserve">support for expanding the availability of </w:t>
      </w:r>
      <w:r w:rsidR="00743ECE">
        <w:t>third</w:t>
      </w:r>
      <w:r w:rsidR="0050403B">
        <w:t xml:space="preserve">/subsequent- </w:t>
      </w:r>
      <w:r w:rsidR="00743ECE">
        <w:t xml:space="preserve">generation </w:t>
      </w:r>
      <w:r w:rsidR="00F904DB">
        <w:t>ALK TKIs on the PBS to include use in the metastatic or recurrent setting following adjuvant alectinib.</w:t>
      </w:r>
      <w:r w:rsidR="000867D4" w:rsidRPr="000867D4">
        <w:t xml:space="preserve"> </w:t>
      </w:r>
      <w:r w:rsidR="00AE4C71">
        <w:t>Input from MOGA included that</w:t>
      </w:r>
      <w:r w:rsidR="002F1AA9">
        <w:t>:</w:t>
      </w:r>
    </w:p>
    <w:p w14:paraId="5C572854" w14:textId="3C1A4312" w:rsidR="002F1AA9" w:rsidRDefault="008F5B99" w:rsidP="00AE4C71">
      <w:pPr>
        <w:pStyle w:val="3-BodyText"/>
        <w:numPr>
          <w:ilvl w:val="3"/>
          <w:numId w:val="37"/>
        </w:numPr>
        <w:ind w:left="1134"/>
      </w:pPr>
      <w:r>
        <w:t xml:space="preserve">There is </w:t>
      </w:r>
      <w:r w:rsidR="00EA30EB">
        <w:t xml:space="preserve">a clear clinical rationale </w:t>
      </w:r>
      <w:r w:rsidR="00534D0B">
        <w:t xml:space="preserve">for re-treatment – the use of lorlatinib upon recurrence after adjuvant </w:t>
      </w:r>
      <w:r w:rsidR="000A293A">
        <w:t xml:space="preserve">alectinib is biologically and clinically equivalent to patients progressing on first line alectinib </w:t>
      </w:r>
      <w:r w:rsidR="00A00EE4">
        <w:t>and aligns with the current PBS listing of lorlatinib.</w:t>
      </w:r>
    </w:p>
    <w:p w14:paraId="6738D047" w14:textId="6297BB9B" w:rsidR="00A00EE4" w:rsidRDefault="00D347EF" w:rsidP="00D347EF">
      <w:pPr>
        <w:pStyle w:val="3-BodyText"/>
        <w:numPr>
          <w:ilvl w:val="3"/>
          <w:numId w:val="37"/>
        </w:numPr>
        <w:ind w:left="1134"/>
      </w:pPr>
      <w:r w:rsidRPr="00D347EF">
        <w:t>The evidence for use of lorlatinib in this setting comes from a phase II study that included a subgroup of 198 patients with ALK-positive, metastatic NSCLC previously treated with ≥1 ALK inhibitor. The overall response rate with lorlatinib among these patients was 47 percent and median progression free survival of 11</w:t>
      </w:r>
      <w:r w:rsidR="00A61204">
        <w:t> </w:t>
      </w:r>
      <w:r w:rsidRPr="00D347EF">
        <w:t>months</w:t>
      </w:r>
      <w:r w:rsidR="00A61204">
        <w:t>.</w:t>
      </w:r>
    </w:p>
    <w:p w14:paraId="498545F1" w14:textId="62EE9686" w:rsidR="00D1354C" w:rsidRDefault="00941470" w:rsidP="00D1354C">
      <w:pPr>
        <w:pStyle w:val="3-BodyText"/>
        <w:numPr>
          <w:ilvl w:val="3"/>
          <w:numId w:val="37"/>
        </w:numPr>
        <w:ind w:left="1134"/>
      </w:pPr>
      <w:r w:rsidRPr="00941470">
        <w:t>Based on the updated results of the ALINA study</w:t>
      </w:r>
      <w:r>
        <w:t>,</w:t>
      </w:r>
      <w:r w:rsidRPr="00941470">
        <w:t xml:space="preserve"> the recurrence rate at 4 years was 25% therefore </w:t>
      </w:r>
      <w:r>
        <w:t>MOGA estimated</w:t>
      </w:r>
      <w:r w:rsidRPr="00941470">
        <w:t xml:space="preserve"> the number of patients needing to access an ALK TKI </w:t>
      </w:r>
      <w:proofErr w:type="gramStart"/>
      <w:r w:rsidRPr="00941470">
        <w:t>subsequent to</w:t>
      </w:r>
      <w:proofErr w:type="gramEnd"/>
      <w:r w:rsidRPr="00941470">
        <w:t xml:space="preserve"> adjuvant alectinib </w:t>
      </w:r>
      <w:r w:rsidR="00FC6C74">
        <w:t>would</w:t>
      </w:r>
      <w:r w:rsidRPr="00941470">
        <w:t xml:space="preserve"> be very modest (likely </w:t>
      </w:r>
      <w:r w:rsidR="00DF7E53">
        <w:t>fewer</w:t>
      </w:r>
      <w:r w:rsidRPr="00941470">
        <w:t xml:space="preserve"> than 50 patients/year).</w:t>
      </w:r>
    </w:p>
    <w:p w14:paraId="6A7A5618" w14:textId="7C50AFC5" w:rsidR="000867D4" w:rsidRPr="00AB7FFD" w:rsidRDefault="00D1354C" w:rsidP="00FB433A">
      <w:pPr>
        <w:pStyle w:val="3-BodyText"/>
        <w:numPr>
          <w:ilvl w:val="3"/>
          <w:numId w:val="37"/>
        </w:numPr>
        <w:ind w:left="1134"/>
      </w:pPr>
      <w:r>
        <w:t>R</w:t>
      </w:r>
      <w:r w:rsidR="000867D4">
        <w:t xml:space="preserve">estricting access to ALK TKIs post-adjuvant therapy would place </w:t>
      </w:r>
      <w:r>
        <w:t xml:space="preserve">Australian </w:t>
      </w:r>
      <w:r w:rsidR="000867D4">
        <w:t>patients at a significant disadvantage, and recurrence after adjuvant treatment should be managed in accordance with metastatic disease paradigms.</w:t>
      </w:r>
    </w:p>
    <w:p w14:paraId="0436B7D8" w14:textId="115FA37E" w:rsidR="00C27C1C" w:rsidRPr="00A6439B" w:rsidRDefault="00FA688E" w:rsidP="0079250E">
      <w:pPr>
        <w:pStyle w:val="Heading1"/>
        <w:keepLines/>
        <w:numPr>
          <w:ilvl w:val="0"/>
          <w:numId w:val="2"/>
        </w:numPr>
        <w:spacing w:before="240"/>
        <w:ind w:left="709" w:hanging="709"/>
        <w:rPr>
          <w:sz w:val="32"/>
          <w:szCs w:val="32"/>
        </w:rPr>
      </w:pPr>
      <w:r>
        <w:rPr>
          <w:sz w:val="32"/>
          <w:szCs w:val="32"/>
        </w:rPr>
        <w:t>Current situation with alectinib pricing proposal</w:t>
      </w:r>
    </w:p>
    <w:p w14:paraId="213E0A9E" w14:textId="4DEB95E4" w:rsidR="00592E88" w:rsidRPr="00592E88" w:rsidRDefault="00DF7E53" w:rsidP="00592E88">
      <w:pPr>
        <w:pStyle w:val="3-BodyText"/>
        <w:numPr>
          <w:ilvl w:val="1"/>
          <w:numId w:val="2"/>
        </w:numPr>
      </w:pPr>
      <w:r>
        <w:t>At the time of the March 2026 PBAC meeting, n</w:t>
      </w:r>
      <w:r w:rsidR="00592E88" w:rsidRPr="00592E88">
        <w:t xml:space="preserve">egotiations </w:t>
      </w:r>
      <w:r w:rsidR="00592E88">
        <w:t>with</w:t>
      </w:r>
      <w:r w:rsidR="00592E88" w:rsidRPr="00592E88">
        <w:t xml:space="preserve"> Roche </w:t>
      </w:r>
      <w:r w:rsidR="00EF2AE7">
        <w:t xml:space="preserve">Products Pty Ltd </w:t>
      </w:r>
      <w:r>
        <w:t>had</w:t>
      </w:r>
      <w:r w:rsidR="00FC7839">
        <w:t xml:space="preserve"> stalled as the sponsor </w:t>
      </w:r>
      <w:r w:rsidR="00592E88" w:rsidRPr="00592E88">
        <w:t>ha</w:t>
      </w:r>
      <w:r>
        <w:t>d</w:t>
      </w:r>
      <w:r w:rsidR="00592E88" w:rsidRPr="00592E88">
        <w:t xml:space="preserve"> not accepted the </w:t>
      </w:r>
      <w:r w:rsidR="0040490C">
        <w:t xml:space="preserve">economic </w:t>
      </w:r>
      <w:r w:rsidR="00592E88" w:rsidRPr="00592E88">
        <w:t xml:space="preserve">model changes </w:t>
      </w:r>
      <w:r w:rsidR="00592E88" w:rsidRPr="00592E88">
        <w:lastRenderedPageBreak/>
        <w:t>recommended by PBAC and instead insist</w:t>
      </w:r>
      <w:r>
        <w:t>ed</w:t>
      </w:r>
      <w:r w:rsidR="00592E88" w:rsidRPr="00592E88">
        <w:t xml:space="preserve"> that the </w:t>
      </w:r>
      <w:r w:rsidR="0078183C">
        <w:t xml:space="preserve">economic </w:t>
      </w:r>
      <w:r w:rsidR="00592E88" w:rsidRPr="00592E88">
        <w:t>model must also remove re</w:t>
      </w:r>
      <w:r w:rsidR="00316310">
        <w:t>-</w:t>
      </w:r>
      <w:r w:rsidR="00592E88" w:rsidRPr="00592E88">
        <w:t xml:space="preserve">treatment for ‘consistency’ with the PBS recommendation regarding the restriction. </w:t>
      </w:r>
      <w:r w:rsidR="00FC7839" w:rsidRPr="00E13AB4">
        <w:t>T</w:t>
      </w:r>
      <w:r w:rsidR="00592E88" w:rsidRPr="00E13AB4">
        <w:t xml:space="preserve">his </w:t>
      </w:r>
      <w:r w:rsidR="00FC7839" w:rsidRPr="00E13AB4">
        <w:t xml:space="preserve">does not </w:t>
      </w:r>
      <w:r w:rsidR="002234E2" w:rsidRPr="00E13AB4">
        <w:t xml:space="preserve">factor </w:t>
      </w:r>
      <w:r w:rsidR="00D51750">
        <w:t xml:space="preserve">in </w:t>
      </w:r>
      <w:r w:rsidR="00592E88" w:rsidRPr="003B0FF3">
        <w:t>the PBAC’s advice that the recommended model parameters were intended to address the uncertainty with the overall survival and subsequent ALK use</w:t>
      </w:r>
      <w:r w:rsidR="00592E88" w:rsidRPr="00E82A10">
        <w:t>.</w:t>
      </w:r>
    </w:p>
    <w:p w14:paraId="1B8111A7" w14:textId="1F6E8608" w:rsidR="00E82A10" w:rsidRPr="00592E88" w:rsidRDefault="00E82A10" w:rsidP="00E82A10">
      <w:pPr>
        <w:pStyle w:val="3-BodyText"/>
        <w:numPr>
          <w:ilvl w:val="1"/>
          <w:numId w:val="2"/>
        </w:numPr>
      </w:pPr>
      <w:r>
        <w:t>The Pre-PBAC Response put forward two pricing proposals for PBAC consideration: (1) inclusive of subsequent retreatment and (2) precluding subsequent retreatment. The AEMPs were $</w:t>
      </w:r>
      <w:r w:rsidR="00BC2582" w:rsidRPr="00BC2582">
        <w:rPr>
          <w:sz w:val="2"/>
          <w:highlight w:val="black"/>
        </w:rPr>
        <w:t>redacted content</w:t>
      </w:r>
      <w:r>
        <w:t xml:space="preserve"> and $</w:t>
      </w:r>
      <w:r w:rsidR="00BC2582" w:rsidRPr="00BC2582">
        <w:rPr>
          <w:sz w:val="2"/>
          <w:highlight w:val="black"/>
        </w:rPr>
        <w:t>redacted content</w:t>
      </w:r>
      <w:r>
        <w:t xml:space="preserve"> respectively, and the estimated net </w:t>
      </w:r>
      <w:r w:rsidR="00F2620B">
        <w:t>R/</w:t>
      </w:r>
      <w:r>
        <w:t xml:space="preserve">PBS impacts were </w:t>
      </w:r>
      <w:r w:rsidR="00215021" w:rsidRPr="00215021">
        <w:t>$30 million to &lt; $40 million</w:t>
      </w:r>
      <w:r>
        <w:t xml:space="preserve"> and </w:t>
      </w:r>
      <w:r w:rsidR="00207135" w:rsidRPr="00207135">
        <w:t>$20 million to &lt; $30 million</w:t>
      </w:r>
      <w:r>
        <w:t xml:space="preserve"> respectively.</w:t>
      </w:r>
    </w:p>
    <w:p w14:paraId="308EAF63" w14:textId="77777777" w:rsidR="00817DD1" w:rsidRDefault="00817DD1" w:rsidP="00817DD1">
      <w:pPr>
        <w:pStyle w:val="2-SectionHeading"/>
        <w:numPr>
          <w:ilvl w:val="0"/>
          <w:numId w:val="2"/>
        </w:numPr>
      </w:pPr>
      <w:r w:rsidRPr="0090150D">
        <w:t>PBAC Outcome</w:t>
      </w:r>
    </w:p>
    <w:p w14:paraId="745CFCFF" w14:textId="70A7FA83" w:rsidR="0054091E" w:rsidRDefault="0054091E" w:rsidP="0054091E">
      <w:pPr>
        <w:pStyle w:val="3-BodyText"/>
      </w:pPr>
      <w:r>
        <w:t xml:space="preserve">The PBAC </w:t>
      </w:r>
      <w:r w:rsidR="00604B96">
        <w:t>reaffirmed its recommendation that alectinib be made available for the treatment of anap</w:t>
      </w:r>
      <w:r w:rsidR="007F33CD">
        <w:t xml:space="preserve">lastic lymphoma kinase (ALK)-positive </w:t>
      </w:r>
      <w:r w:rsidR="0092505B">
        <w:t>non-s</w:t>
      </w:r>
      <w:r w:rsidR="00F53147">
        <w:t>mall cell lung cancer</w:t>
      </w:r>
      <w:r w:rsidR="00802630">
        <w:t xml:space="preserve"> </w:t>
      </w:r>
      <w:r w:rsidR="001D30D4">
        <w:t>(NSCLC)</w:t>
      </w:r>
      <w:r w:rsidR="00401800">
        <w:t xml:space="preserve"> </w:t>
      </w:r>
      <w:r w:rsidR="00204431">
        <w:t xml:space="preserve">(tumours </w:t>
      </w:r>
      <w:r w:rsidR="00204431" w:rsidRPr="00480790">
        <w:t>≥4 cm or node positive) as adjuvant therapy after tumour resection</w:t>
      </w:r>
      <w:r w:rsidR="00204431">
        <w:t xml:space="preserve">. </w:t>
      </w:r>
      <w:r w:rsidR="00262DBD">
        <w:t xml:space="preserve">Based on the </w:t>
      </w:r>
      <w:r w:rsidR="00204431">
        <w:t xml:space="preserve">additional input received from </w:t>
      </w:r>
      <w:r w:rsidR="00BA1A9B">
        <w:t>consumer and clinical groups</w:t>
      </w:r>
      <w:r w:rsidR="00675812">
        <w:t>, the PBAC provided additional advice that</w:t>
      </w:r>
      <w:r w:rsidR="005E49C5">
        <w:t xml:space="preserve">: (1) </w:t>
      </w:r>
      <w:r w:rsidR="007420BD">
        <w:t xml:space="preserve">reaffirmed that </w:t>
      </w:r>
      <w:r w:rsidR="00675812">
        <w:t>re-treatment</w:t>
      </w:r>
      <w:r w:rsidR="000469DB">
        <w:t xml:space="preserve"> with alectinib</w:t>
      </w:r>
      <w:r w:rsidR="00675812">
        <w:t xml:space="preserve"> in the </w:t>
      </w:r>
      <w:r w:rsidR="003C599D">
        <w:t>locally advanced/metastatic</w:t>
      </w:r>
      <w:r w:rsidR="00675812">
        <w:t xml:space="preserve"> </w:t>
      </w:r>
      <w:r w:rsidR="000469DB">
        <w:t xml:space="preserve">setting </w:t>
      </w:r>
      <w:r w:rsidR="007420BD">
        <w:t xml:space="preserve">would not </w:t>
      </w:r>
      <w:r w:rsidR="000469DB">
        <w:t>be permitted</w:t>
      </w:r>
      <w:r w:rsidR="007420BD">
        <w:t xml:space="preserve"> following treatment with alectinib as adjuvant therapy after tumour resection</w:t>
      </w:r>
      <w:r w:rsidR="00E32121">
        <w:t xml:space="preserve">; </w:t>
      </w:r>
      <w:r w:rsidR="007420BD">
        <w:t xml:space="preserve">however </w:t>
      </w:r>
      <w:r w:rsidR="005E49C5">
        <w:t xml:space="preserve">(2) </w:t>
      </w:r>
      <w:r w:rsidR="000469DB">
        <w:t xml:space="preserve">adjuvant alectinib </w:t>
      </w:r>
      <w:r w:rsidR="005E49C5">
        <w:t>may be followed by use of another ALK TKI in</w:t>
      </w:r>
      <w:r w:rsidR="003C599D">
        <w:t xml:space="preserve"> the</w:t>
      </w:r>
      <w:r w:rsidR="005E49C5">
        <w:t xml:space="preserve"> </w:t>
      </w:r>
      <w:r w:rsidR="003C599D">
        <w:t xml:space="preserve">locally advanced/metastatic </w:t>
      </w:r>
      <w:r w:rsidR="005E49C5">
        <w:t xml:space="preserve">setting. </w:t>
      </w:r>
      <w:r w:rsidR="004F3D5D">
        <w:t xml:space="preserve">The PBAC maintained that the listing would be cost-effective </w:t>
      </w:r>
      <w:r w:rsidR="00EB2360">
        <w:t>with the updates to the</w:t>
      </w:r>
      <w:r w:rsidR="004F3D5D">
        <w:t xml:space="preserve"> economic </w:t>
      </w:r>
      <w:r w:rsidR="00EB2360">
        <w:t>model that</w:t>
      </w:r>
      <w:r w:rsidR="004F3D5D">
        <w:t xml:space="preserve"> it had previously recommended (</w:t>
      </w:r>
      <w:r w:rsidR="00B42855">
        <w:t>paragraphs 7.9 to 7.11</w:t>
      </w:r>
      <w:r w:rsidR="00EB2360">
        <w:t xml:space="preserve">, 6.01 alectinib </w:t>
      </w:r>
      <w:r w:rsidR="00DD3EAF">
        <w:t>Public Summary Document [PSD]</w:t>
      </w:r>
      <w:r w:rsidR="00EB2360">
        <w:t>, May 2025 PBAC meeting).</w:t>
      </w:r>
    </w:p>
    <w:p w14:paraId="3F11A78A" w14:textId="597387AD" w:rsidR="008C437E" w:rsidRDefault="005D242D">
      <w:pPr>
        <w:pStyle w:val="3-BodyText"/>
      </w:pPr>
      <w:r>
        <w:t xml:space="preserve">The PBAC </w:t>
      </w:r>
      <w:r w:rsidR="00DF676F">
        <w:t xml:space="preserve">recalled that it had previously considered it </w:t>
      </w:r>
      <w:r w:rsidR="00D81C6A">
        <w:t xml:space="preserve">would like to increase patient access to ALK TKI treatment </w:t>
      </w:r>
      <w:r w:rsidR="0030051A">
        <w:t xml:space="preserve">in the metastatic setting </w:t>
      </w:r>
      <w:r w:rsidR="00D81C6A">
        <w:t>following adjuvant alectinib</w:t>
      </w:r>
      <w:r w:rsidR="0030051A">
        <w:t xml:space="preserve"> treatment</w:t>
      </w:r>
      <w:r w:rsidR="00BD79A7">
        <w:t xml:space="preserve">, but had </w:t>
      </w:r>
      <w:r w:rsidR="001122A9">
        <w:t xml:space="preserve">not </w:t>
      </w:r>
      <w:r w:rsidR="00213DB9">
        <w:t xml:space="preserve">received </w:t>
      </w:r>
      <w:r w:rsidR="00BD79A7">
        <w:t xml:space="preserve">adequate evidence </w:t>
      </w:r>
      <w:r w:rsidR="00500DE0">
        <w:t>to support</w:t>
      </w:r>
      <w:r w:rsidR="00BD79A7">
        <w:t xml:space="preserve"> such a recommendation. </w:t>
      </w:r>
      <w:r w:rsidR="0040205F">
        <w:t xml:space="preserve">The PBAC </w:t>
      </w:r>
      <w:r w:rsidR="003C599D">
        <w:t xml:space="preserve">therefore </w:t>
      </w:r>
      <w:r w:rsidR="0040205F">
        <w:t xml:space="preserve">welcomed the </w:t>
      </w:r>
      <w:r>
        <w:t xml:space="preserve">input provided by ALK Positive Australia and </w:t>
      </w:r>
      <w:r w:rsidRPr="005D242D">
        <w:t>Medical Oncology Group of Australia</w:t>
      </w:r>
      <w:r w:rsidR="007420BD">
        <w:t xml:space="preserve"> (MOGA)</w:t>
      </w:r>
      <w:r w:rsidR="007D5EB3">
        <w:t>, noting the equity issues raised, the clinical rationale and expected outcomes of re</w:t>
      </w:r>
      <w:r w:rsidR="009A7F73">
        <w:t>-</w:t>
      </w:r>
      <w:r w:rsidR="007D5EB3">
        <w:t xml:space="preserve">treatment </w:t>
      </w:r>
      <w:r w:rsidR="00512FF1">
        <w:t xml:space="preserve">with </w:t>
      </w:r>
      <w:r w:rsidR="00DC7028">
        <w:t xml:space="preserve">an ALK TKI following adjuvant alectinib treatment, </w:t>
      </w:r>
      <w:r w:rsidR="007420BD">
        <w:t xml:space="preserve">the supporting evidence provided by MOGA, </w:t>
      </w:r>
      <w:r w:rsidR="0028678F">
        <w:t xml:space="preserve">and the </w:t>
      </w:r>
      <w:r w:rsidR="002F1EFD">
        <w:t>potential modest financial impact</w:t>
      </w:r>
      <w:r w:rsidR="009E3FB4">
        <w:t xml:space="preserve"> given expected clinical outcomes with adjuvant treatment. </w:t>
      </w:r>
    </w:p>
    <w:p w14:paraId="36ED0756" w14:textId="11524D33" w:rsidR="009E3FB4" w:rsidRDefault="0073756A">
      <w:pPr>
        <w:pStyle w:val="3-BodyText"/>
      </w:pPr>
      <w:r>
        <w:t>In view of the substantial equity issues</w:t>
      </w:r>
      <w:r w:rsidR="00F900A4">
        <w:t xml:space="preserve"> associated with preventing re-treatment</w:t>
      </w:r>
      <w:r>
        <w:t>,</w:t>
      </w:r>
      <w:r w:rsidR="00F900A4">
        <w:t xml:space="preserve"> </w:t>
      </w:r>
      <w:r w:rsidR="00421DF3">
        <w:t>while still</w:t>
      </w:r>
      <w:r w:rsidR="00780EFA">
        <w:t xml:space="preserve"> recognising </w:t>
      </w:r>
      <w:r w:rsidR="00F03E0C">
        <w:t xml:space="preserve">the uncertainties with respect to overall survival </w:t>
      </w:r>
      <w:r w:rsidR="00234245">
        <w:t xml:space="preserve">(OS) </w:t>
      </w:r>
      <w:r w:rsidR="00F03E0C">
        <w:t xml:space="preserve">and subsequent </w:t>
      </w:r>
      <w:r w:rsidR="00421DF3">
        <w:t xml:space="preserve">ALK use, the PBAC considered it would </w:t>
      </w:r>
      <w:r w:rsidR="00D66A7D">
        <w:t xml:space="preserve">be cost-effective to allow treatment </w:t>
      </w:r>
      <w:r w:rsidR="007420BD">
        <w:t xml:space="preserve">with </w:t>
      </w:r>
      <w:r w:rsidR="007420BD" w:rsidRPr="007420BD">
        <w:t xml:space="preserve">another ALK TKI </w:t>
      </w:r>
      <w:r w:rsidR="007420BD">
        <w:t xml:space="preserve">in the locally advanced/metastatic setting </w:t>
      </w:r>
      <w:r w:rsidR="00D66A7D">
        <w:t xml:space="preserve">under the economic parameters it had previously recommended. </w:t>
      </w:r>
    </w:p>
    <w:p w14:paraId="605EA85E" w14:textId="2E8A1C01" w:rsidR="001874B1" w:rsidRDefault="001874B1">
      <w:pPr>
        <w:pStyle w:val="3-BodyText"/>
      </w:pPr>
      <w:r>
        <w:t xml:space="preserve">The PBAC noted </w:t>
      </w:r>
      <w:r w:rsidR="00D16DCD">
        <w:t xml:space="preserve">the </w:t>
      </w:r>
      <w:r w:rsidR="00281EA3">
        <w:t>pre-PBAC response had mo</w:t>
      </w:r>
      <w:r w:rsidR="00C62CF5">
        <w:t xml:space="preserve">delled an estimated </w:t>
      </w:r>
      <w:r w:rsidR="00F2620B">
        <w:t xml:space="preserve">net </w:t>
      </w:r>
      <w:r w:rsidR="00C62CF5">
        <w:t xml:space="preserve">financial impact of </w:t>
      </w:r>
      <w:r w:rsidR="00E86780" w:rsidRPr="00E86780">
        <w:t>$30 million to &lt; $40 million</w:t>
      </w:r>
      <w:r w:rsidR="00C62CF5">
        <w:t xml:space="preserve"> </w:t>
      </w:r>
      <w:r w:rsidR="00F2620B">
        <w:t xml:space="preserve">to the R/PBS, inclusive of downstream </w:t>
      </w:r>
      <w:r w:rsidR="00F2274E">
        <w:t xml:space="preserve">costs associated with distant recurrence. </w:t>
      </w:r>
      <w:r w:rsidR="00FE07EB">
        <w:t xml:space="preserve">The PBAC recalled it had previously agreed with the ESC that adjuvant use of alectinib may result in a reduced need for treatment in the later line setting </w:t>
      </w:r>
      <w:r w:rsidR="00686C19">
        <w:t xml:space="preserve">and yet the potential cost savings had not been accounted for in </w:t>
      </w:r>
      <w:r w:rsidR="00686C19">
        <w:lastRenderedPageBreak/>
        <w:t>the analyses (para</w:t>
      </w:r>
      <w:r w:rsidR="002521CA">
        <w:t>graph</w:t>
      </w:r>
      <w:r w:rsidR="000C4B84">
        <w:t>s</w:t>
      </w:r>
      <w:r w:rsidR="00686C19">
        <w:t xml:space="preserve"> 7.12, 6.01 alectinib </w:t>
      </w:r>
      <w:r w:rsidR="00DD3EAF">
        <w:t>PSD</w:t>
      </w:r>
      <w:r w:rsidR="00686C19">
        <w:t xml:space="preserve">, May 2025 PBAC meeting). </w:t>
      </w:r>
      <w:r w:rsidR="00F2274E">
        <w:t xml:space="preserve">The PBAC noted that the </w:t>
      </w:r>
      <w:r w:rsidR="00904788">
        <w:t xml:space="preserve">revised </w:t>
      </w:r>
      <w:r w:rsidR="00F2274E">
        <w:t xml:space="preserve">approach had not been evaluated and </w:t>
      </w:r>
      <w:r w:rsidR="00904788">
        <w:t>would be subject to finalisation during the post-PBAC processes</w:t>
      </w:r>
      <w:r w:rsidR="005C27E4">
        <w:t xml:space="preserve">, including </w:t>
      </w:r>
      <w:r w:rsidR="00E06ADA">
        <w:t xml:space="preserve">the required </w:t>
      </w:r>
      <w:r w:rsidR="005C27E4">
        <w:t>alignment with previously recommended changes to the model (para</w:t>
      </w:r>
      <w:r w:rsidR="00DD3EAF">
        <w:t>graphs</w:t>
      </w:r>
      <w:r w:rsidR="005C27E4">
        <w:t xml:space="preserve"> 7.12</w:t>
      </w:r>
      <w:r w:rsidR="00113DF0">
        <w:t xml:space="preserve"> and 7.13</w:t>
      </w:r>
      <w:r w:rsidR="005C27E4">
        <w:t xml:space="preserve">, 6.01 alectinib </w:t>
      </w:r>
      <w:r w:rsidR="00DD3EAF">
        <w:t>PSD</w:t>
      </w:r>
      <w:r w:rsidR="005C27E4">
        <w:t>, May</w:t>
      </w:r>
      <w:r w:rsidR="00881FD0">
        <w:t> </w:t>
      </w:r>
      <w:r w:rsidR="005C27E4">
        <w:t>2025 PBAC meeting)</w:t>
      </w:r>
      <w:r w:rsidR="00113DF0">
        <w:t>.</w:t>
      </w:r>
    </w:p>
    <w:p w14:paraId="69870047" w14:textId="073E6AB9" w:rsidR="00113DF0" w:rsidRDefault="00113DF0">
      <w:pPr>
        <w:pStyle w:val="3-BodyText"/>
      </w:pPr>
      <w:r>
        <w:t xml:space="preserve">In terms of the restrictions, the PBAC advised that </w:t>
      </w:r>
      <w:r w:rsidR="0069404C">
        <w:t>its</w:t>
      </w:r>
      <w:r>
        <w:t xml:space="preserve"> previously recommended flow</w:t>
      </w:r>
      <w:r w:rsidR="0069404C">
        <w:noBreakHyphen/>
      </w:r>
      <w:r>
        <w:t xml:space="preserve">ons to later line ALK TKIs to preclude re-treatment </w:t>
      </w:r>
      <w:r w:rsidR="00B967AB">
        <w:t>(para</w:t>
      </w:r>
      <w:r w:rsidR="00DD3EAF">
        <w:t>graphs</w:t>
      </w:r>
      <w:r w:rsidR="00B967AB">
        <w:t xml:space="preserve"> 8.2 and 8.3, 6.01 alectinib </w:t>
      </w:r>
      <w:r w:rsidR="00DD3EAF">
        <w:t>PSD</w:t>
      </w:r>
      <w:r w:rsidR="00B967AB">
        <w:t>, May 2025 PBAC meeting)</w:t>
      </w:r>
      <w:r w:rsidR="00200D00">
        <w:t xml:space="preserve"> </w:t>
      </w:r>
      <w:r>
        <w:t>would not be required</w:t>
      </w:r>
      <w:r w:rsidR="007420BD">
        <w:t xml:space="preserve">, however </w:t>
      </w:r>
      <w:r w:rsidR="00354CC0">
        <w:t>flow-on</w:t>
      </w:r>
      <w:r w:rsidR="00171EB4">
        <w:t>s</w:t>
      </w:r>
      <w:r w:rsidR="00354CC0">
        <w:t xml:space="preserve"> to later </w:t>
      </w:r>
      <w:r w:rsidR="007420BD">
        <w:t xml:space="preserve">line alectinib would be </w:t>
      </w:r>
      <w:r w:rsidR="00354CC0">
        <w:t>required to preclude alectinib re-treatment</w:t>
      </w:r>
      <w:r>
        <w:t xml:space="preserve">. </w:t>
      </w:r>
    </w:p>
    <w:p w14:paraId="6B793198" w14:textId="402E19F5" w:rsidR="009A382B" w:rsidRPr="00101CA4" w:rsidRDefault="009A382B" w:rsidP="009A382B">
      <w:pPr>
        <w:pStyle w:val="3-BodyText"/>
      </w:pPr>
      <w:r>
        <w:t xml:space="preserve">The PBAC again </w:t>
      </w:r>
      <w:r w:rsidRPr="009C2F7B">
        <w:t>requested that the committee be provided with mature OS data when available, to allow an opportunity to re-evaluate the cost-effectiveness of adjuvant alectinib</w:t>
      </w:r>
      <w:r>
        <w:t xml:space="preserve"> (</w:t>
      </w:r>
      <w:r w:rsidR="00914E2C">
        <w:t>para</w:t>
      </w:r>
      <w:r w:rsidR="000C4B84">
        <w:t>graphs</w:t>
      </w:r>
      <w:r w:rsidR="00914E2C">
        <w:t xml:space="preserve"> 7.6, 6.01 alectinib </w:t>
      </w:r>
      <w:r w:rsidR="000C4B84">
        <w:t>PSD</w:t>
      </w:r>
      <w:r w:rsidR="00914E2C">
        <w:t>, May 2025 PBAC meeting).</w:t>
      </w:r>
    </w:p>
    <w:p w14:paraId="1910A758" w14:textId="77777777" w:rsidR="00D16062" w:rsidRPr="00525B39" w:rsidRDefault="00D16062" w:rsidP="00D16062">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CC2CD29" w14:textId="37837FFB" w:rsidR="00C91E88" w:rsidRPr="00FF0667" w:rsidRDefault="002A6EAF" w:rsidP="006A3F0D">
      <w:pPr>
        <w:rPr>
          <w:rFonts w:asciiTheme="minorHAnsi" w:hAnsiTheme="minorHAnsi" w:cs="Arial"/>
          <w:bCs/>
          <w:snapToGrid w:val="0"/>
          <w:lang w:val="en-GB"/>
        </w:rPr>
      </w:pPr>
      <w:r>
        <w:rPr>
          <w:rFonts w:asciiTheme="minorHAnsi" w:hAnsiTheme="minorHAnsi" w:cs="Arial"/>
          <w:bCs/>
          <w:snapToGrid w:val="0"/>
          <w:lang w:val="en-GB"/>
        </w:rPr>
        <w:t>Advice provided</w:t>
      </w:r>
    </w:p>
    <w:p w14:paraId="0FE35F3F" w14:textId="4442C2F5" w:rsidR="00C91E88" w:rsidRDefault="00C91E88" w:rsidP="00C91E88">
      <w:pPr>
        <w:pStyle w:val="2-SectionHeading"/>
        <w:numPr>
          <w:ilvl w:val="0"/>
          <w:numId w:val="2"/>
        </w:numPr>
      </w:pPr>
      <w:r>
        <w:t>Recommended listing</w:t>
      </w:r>
    </w:p>
    <w:p w14:paraId="264A0C4A" w14:textId="0CDCAE25" w:rsidR="00C91E88" w:rsidRDefault="00C91E88" w:rsidP="00C91E88">
      <w:pPr>
        <w:pStyle w:val="3-BodyText"/>
      </w:pPr>
      <w:r>
        <w:t>Add new adjuvant listing: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w:tblPr>
      <w:tblGrid>
        <w:gridCol w:w="490"/>
        <w:gridCol w:w="784"/>
        <w:gridCol w:w="2659"/>
        <w:gridCol w:w="811"/>
        <w:gridCol w:w="812"/>
        <w:gridCol w:w="811"/>
        <w:gridCol w:w="812"/>
        <w:gridCol w:w="1837"/>
      </w:tblGrid>
      <w:tr w:rsidR="00C91E88" w:rsidRPr="00C91E88" w14:paraId="530D8204" w14:textId="77777777">
        <w:trPr>
          <w:cantSplit/>
          <w:trHeight w:val="20"/>
        </w:trPr>
        <w:tc>
          <w:tcPr>
            <w:tcW w:w="3937" w:type="dxa"/>
            <w:gridSpan w:val="3"/>
            <w:tcBorders>
              <w:top w:val="single" w:sz="4" w:space="0" w:color="auto"/>
              <w:left w:val="single" w:sz="4" w:space="0" w:color="auto"/>
              <w:bottom w:val="single" w:sz="4" w:space="0" w:color="auto"/>
              <w:right w:val="single" w:sz="4" w:space="0" w:color="auto"/>
            </w:tcBorders>
            <w:vAlign w:val="center"/>
            <w:hideMark/>
          </w:tcPr>
          <w:p w14:paraId="17DE38AC"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MEDICINAL PRODUCT</w:t>
            </w:r>
          </w:p>
          <w:p w14:paraId="4330DE40"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bCs/>
                <w:kern w:val="2"/>
                <w:sz w:val="20"/>
                <w:szCs w:val="20"/>
                <w14:ligatures w14:val="standardContextual"/>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44CB06D4" w14:textId="77777777" w:rsidR="00C91E88" w:rsidRPr="00C91E88" w:rsidRDefault="00C91E88" w:rsidP="00C91E88">
            <w:pPr>
              <w:keepLines/>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3BD1DB17" w14:textId="77777777" w:rsidR="00C91E88" w:rsidRPr="00C91E88" w:rsidRDefault="00C91E88" w:rsidP="00C91E88">
            <w:pPr>
              <w:keepLines/>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7CCEE6A8" w14:textId="77777777" w:rsidR="00C91E88" w:rsidRPr="00C91E88" w:rsidRDefault="00C91E88" w:rsidP="00C91E88">
            <w:pPr>
              <w:keepLines/>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2873AB0D" w14:textId="77777777" w:rsidR="00C91E88" w:rsidRPr="00C91E88" w:rsidRDefault="00C91E88" w:rsidP="00C91E88">
            <w:pPr>
              <w:keepLines/>
              <w:jc w:val="cente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№.of</w:t>
            </w:r>
          </w:p>
          <w:p w14:paraId="7875DA7A" w14:textId="77777777" w:rsidR="00C91E88" w:rsidRPr="00C91E88" w:rsidRDefault="00C91E88" w:rsidP="00C91E88">
            <w:pPr>
              <w:keepLines/>
              <w:jc w:val="cente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Rpts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C4B6278"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Available brands</w:t>
            </w:r>
          </w:p>
        </w:tc>
      </w:tr>
      <w:tr w:rsidR="00C91E88" w:rsidRPr="00C91E88" w14:paraId="19AD92EA" w14:textId="77777777">
        <w:trPr>
          <w:cantSplit/>
          <w:trHeight w:val="20"/>
        </w:trPr>
        <w:tc>
          <w:tcPr>
            <w:tcW w:w="9021" w:type="dxa"/>
            <w:gridSpan w:val="8"/>
            <w:tcBorders>
              <w:top w:val="single" w:sz="4" w:space="0" w:color="auto"/>
              <w:left w:val="single" w:sz="4" w:space="0" w:color="auto"/>
              <w:bottom w:val="single" w:sz="4" w:space="0" w:color="auto"/>
              <w:right w:val="single" w:sz="4" w:space="0" w:color="auto"/>
            </w:tcBorders>
            <w:vAlign w:val="center"/>
            <w:hideMark/>
          </w:tcPr>
          <w:p w14:paraId="4841A6EC"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ALECTINIB</w:t>
            </w:r>
          </w:p>
        </w:tc>
      </w:tr>
      <w:tr w:rsidR="00C91E88" w:rsidRPr="00C91E88" w14:paraId="06CABBC8" w14:textId="77777777">
        <w:trPr>
          <w:cantSplit/>
          <w:trHeight w:val="20"/>
        </w:trPr>
        <w:tc>
          <w:tcPr>
            <w:tcW w:w="3937" w:type="dxa"/>
            <w:gridSpan w:val="3"/>
            <w:tcBorders>
              <w:top w:val="single" w:sz="4" w:space="0" w:color="auto"/>
              <w:left w:val="single" w:sz="4" w:space="0" w:color="auto"/>
              <w:bottom w:val="single" w:sz="4" w:space="0" w:color="auto"/>
              <w:right w:val="single" w:sz="4" w:space="0" w:color="auto"/>
            </w:tcBorders>
            <w:vAlign w:val="center"/>
            <w:hideMark/>
          </w:tcPr>
          <w:p w14:paraId="32E9D30E"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alectinib 150 mg capsule, 4 x 56</w:t>
            </w:r>
          </w:p>
        </w:tc>
        <w:tc>
          <w:tcPr>
            <w:tcW w:w="811" w:type="dxa"/>
            <w:tcBorders>
              <w:top w:val="single" w:sz="4" w:space="0" w:color="auto"/>
              <w:left w:val="single" w:sz="4" w:space="0" w:color="auto"/>
              <w:bottom w:val="single" w:sz="4" w:space="0" w:color="auto"/>
              <w:right w:val="single" w:sz="4" w:space="0" w:color="auto"/>
            </w:tcBorders>
            <w:vAlign w:val="center"/>
            <w:hideMark/>
          </w:tcPr>
          <w:p w14:paraId="4F5294D4"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2E247391"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47724064"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224</w:t>
            </w:r>
          </w:p>
        </w:tc>
        <w:tc>
          <w:tcPr>
            <w:tcW w:w="812" w:type="dxa"/>
            <w:tcBorders>
              <w:top w:val="single" w:sz="4" w:space="0" w:color="auto"/>
              <w:left w:val="single" w:sz="4" w:space="0" w:color="auto"/>
              <w:bottom w:val="single" w:sz="4" w:space="0" w:color="auto"/>
              <w:right w:val="single" w:sz="4" w:space="0" w:color="auto"/>
            </w:tcBorders>
            <w:vAlign w:val="center"/>
            <w:hideMark/>
          </w:tcPr>
          <w:p w14:paraId="051D1772"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3</w:t>
            </w:r>
          </w:p>
        </w:tc>
        <w:tc>
          <w:tcPr>
            <w:tcW w:w="1838" w:type="dxa"/>
            <w:tcBorders>
              <w:top w:val="single" w:sz="4" w:space="0" w:color="auto"/>
              <w:left w:val="single" w:sz="4" w:space="0" w:color="auto"/>
              <w:bottom w:val="single" w:sz="4" w:space="0" w:color="auto"/>
              <w:right w:val="single" w:sz="4" w:space="0" w:color="auto"/>
            </w:tcBorders>
            <w:vAlign w:val="center"/>
            <w:hideMark/>
          </w:tcPr>
          <w:p w14:paraId="48191F18"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 xml:space="preserve">Alecensa </w:t>
            </w:r>
          </w:p>
        </w:tc>
      </w:tr>
      <w:tr w:rsidR="00C91E88" w:rsidRPr="00C91E88" w14:paraId="548D0213" w14:textId="77777777">
        <w:trPr>
          <w:trHeight w:val="20"/>
        </w:trPr>
        <w:tc>
          <w:tcPr>
            <w:tcW w:w="9021"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9295E3" w14:textId="77777777" w:rsidR="00C91E88" w:rsidRPr="00C91E88" w:rsidRDefault="00C91E88" w:rsidP="00C91E88">
            <w:pPr>
              <w:rPr>
                <w:rFonts w:ascii="Arial Narrow" w:hAnsi="Arial Narrow" w:cs="Arial"/>
                <w:kern w:val="2"/>
                <w:sz w:val="20"/>
                <w:szCs w:val="20"/>
                <w14:ligatures w14:val="standardContextual"/>
              </w:rPr>
            </w:pPr>
          </w:p>
        </w:tc>
      </w:tr>
      <w:tr w:rsidR="00C91E88" w:rsidRPr="00C91E88" w14:paraId="33B4BFA1" w14:textId="77777777">
        <w:trPr>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0958039" w14:textId="77777777" w:rsidR="00C91E88" w:rsidRPr="00C91E88" w:rsidRDefault="00C91E88" w:rsidP="00C91E88">
            <w:pPr>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 xml:space="preserve">Concept ID </w:t>
            </w:r>
            <w:r w:rsidRPr="00C91E88">
              <w:rPr>
                <w:rFonts w:ascii="Arial Narrow" w:hAnsi="Arial Narrow" w:cs="Arial"/>
                <w:kern w:val="2"/>
                <w:sz w:val="20"/>
                <w:szCs w:val="20"/>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64E512"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kern w:val="2"/>
                <w:sz w:val="20"/>
                <w:szCs w:val="20"/>
                <w14:ligatures w14:val="standardContextual"/>
              </w:rPr>
              <w:t>Category / Program:</w:t>
            </w:r>
            <w:r w:rsidRPr="00C91E88">
              <w:rPr>
                <w:rFonts w:ascii="Arial Narrow" w:hAnsi="Arial Narrow" w:cs="Arial"/>
                <w:kern w:val="2"/>
                <w:sz w:val="20"/>
                <w:szCs w:val="20"/>
                <w14:ligatures w14:val="standardContextual"/>
              </w:rPr>
              <w:t xml:space="preserve"> </w:t>
            </w:r>
            <w:r w:rsidRPr="00C91E8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C91E88">
              <w:rPr>
                <w:rFonts w:ascii="Arial Narrow" w:eastAsia="Calibri" w:hAnsi="Arial Narrow" w:cs="Arial"/>
                <w:kern w:val="2"/>
                <w:sz w:val="20"/>
                <w:szCs w:val="20"/>
                <w14:ligatures w14:val="standardContextual"/>
              </w:rPr>
              <w:instrText xml:space="preserve"> FORMCHECKBOX </w:instrText>
            </w:r>
            <w:r w:rsidRPr="00C91E88">
              <w:rPr>
                <w:rFonts w:ascii="Arial Narrow" w:eastAsia="Calibri" w:hAnsi="Arial Narrow" w:cs="Arial"/>
                <w:kern w:val="2"/>
                <w:sz w:val="20"/>
                <w:szCs w:val="20"/>
                <w14:ligatures w14:val="standardContextual"/>
              </w:rPr>
            </w:r>
            <w:r w:rsidRPr="00C91E88">
              <w:rPr>
                <w:rFonts w:ascii="Arial Narrow" w:eastAsia="Calibri" w:hAnsi="Arial Narrow" w:cs="Arial"/>
                <w:kern w:val="2"/>
                <w:sz w:val="20"/>
                <w:szCs w:val="20"/>
                <w14:ligatures w14:val="standardContextual"/>
              </w:rPr>
              <w:fldChar w:fldCharType="separate"/>
            </w:r>
            <w:r w:rsidRPr="00C91E88">
              <w:rPr>
                <w:rFonts w:ascii="Arial Narrow" w:eastAsia="Calibri" w:hAnsi="Arial Narrow" w:cs="Arial"/>
                <w:kern w:val="2"/>
                <w:sz w:val="20"/>
                <w:szCs w:val="20"/>
                <w14:ligatures w14:val="standardContextual"/>
              </w:rPr>
              <w:fldChar w:fldCharType="end"/>
            </w:r>
            <w:r w:rsidRPr="00C91E88">
              <w:rPr>
                <w:rFonts w:ascii="Arial Narrow" w:eastAsia="Calibri" w:hAnsi="Arial Narrow" w:cs="Arial"/>
                <w:kern w:val="2"/>
                <w:sz w:val="20"/>
                <w:szCs w:val="20"/>
                <w14:ligatures w14:val="standardContextual"/>
              </w:rPr>
              <w:t xml:space="preserve"> GENERAL - General Schedule (Code GE) </w:t>
            </w:r>
          </w:p>
        </w:tc>
      </w:tr>
      <w:tr w:rsidR="00C91E88" w:rsidRPr="00C91E88" w14:paraId="128D1C95" w14:textId="77777777">
        <w:trPr>
          <w:trHeight w:val="20"/>
        </w:trPr>
        <w:tc>
          <w:tcPr>
            <w:tcW w:w="9806" w:type="dxa"/>
            <w:gridSpan w:val="2"/>
            <w:vMerge/>
            <w:tcBorders>
              <w:top w:val="single" w:sz="4" w:space="0" w:color="auto"/>
              <w:left w:val="single" w:sz="4" w:space="0" w:color="auto"/>
              <w:bottom w:val="single" w:sz="4" w:space="0" w:color="auto"/>
              <w:right w:val="single" w:sz="4" w:space="0" w:color="auto"/>
            </w:tcBorders>
            <w:vAlign w:val="center"/>
            <w:hideMark/>
          </w:tcPr>
          <w:p w14:paraId="38284008" w14:textId="77777777" w:rsidR="00C91E88" w:rsidRPr="00C91E88" w:rsidRDefault="00C91E88" w:rsidP="00C91E88">
            <w:pPr>
              <w:spacing w:line="256" w:lineRule="auto"/>
              <w:jc w:val="left"/>
              <w:rPr>
                <w:rFonts w:ascii="Arial Narrow"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2D43C0"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 xml:space="preserve">Prescriber type: </w:t>
            </w:r>
            <w:r w:rsidRPr="00C91E88">
              <w:rPr>
                <w:rFonts w:ascii="Arial Narrow" w:hAnsi="Arial Narrow" w:cs="Arial"/>
                <w:kern w:val="2"/>
                <w:sz w:val="20"/>
                <w:szCs w:val="20"/>
                <w14:ligatures w14:val="standardContextual"/>
              </w:rPr>
              <w:t xml:space="preserve"> </w:t>
            </w:r>
            <w:r w:rsidRPr="00C91E88">
              <w:rPr>
                <w:rFonts w:ascii="Arial Narrow" w:hAnsi="Arial Narrow" w:cs="Arial"/>
                <w:kern w:val="2"/>
                <w:sz w:val="20"/>
                <w:szCs w:val="20"/>
                <w14:ligatures w14:val="standardContextual"/>
              </w:rPr>
              <w:fldChar w:fldCharType="begin">
                <w:ffData>
                  <w:name w:val=""/>
                  <w:enabled/>
                  <w:calcOnExit w:val="0"/>
                  <w:checkBox>
                    <w:sizeAuto/>
                    <w:default w:val="1"/>
                  </w:checkBox>
                </w:ffData>
              </w:fldChar>
            </w:r>
            <w:r w:rsidRPr="00C91E88">
              <w:rPr>
                <w:rFonts w:ascii="Arial Narrow" w:hAnsi="Arial Narrow" w:cs="Arial"/>
                <w:kern w:val="2"/>
                <w:sz w:val="20"/>
                <w:szCs w:val="20"/>
                <w14:ligatures w14:val="standardContextual"/>
              </w:rPr>
              <w:instrText xml:space="preserve"> FORMCHECKBOX </w:instrText>
            </w:r>
            <w:r w:rsidRPr="00C91E88">
              <w:rPr>
                <w:rFonts w:ascii="Arial Narrow" w:hAnsi="Arial Narrow" w:cs="Arial"/>
                <w:kern w:val="2"/>
                <w:sz w:val="20"/>
                <w:szCs w:val="20"/>
                <w14:ligatures w14:val="standardContextual"/>
              </w:rPr>
            </w:r>
            <w:r w:rsidRPr="00C91E88">
              <w:rPr>
                <w:rFonts w:ascii="Arial Narrow" w:hAnsi="Arial Narrow" w:cs="Arial"/>
                <w:kern w:val="2"/>
                <w:sz w:val="20"/>
                <w:szCs w:val="20"/>
                <w14:ligatures w14:val="standardContextual"/>
              </w:rPr>
              <w:fldChar w:fldCharType="separate"/>
            </w:r>
            <w:r w:rsidRPr="00C91E88">
              <w:rPr>
                <w:rFonts w:ascii="Arial Narrow" w:hAnsi="Arial Narrow" w:cs="Arial"/>
                <w:kern w:val="2"/>
                <w:sz w:val="20"/>
                <w:szCs w:val="20"/>
                <w14:ligatures w14:val="standardContextual"/>
              </w:rPr>
              <w:fldChar w:fldCharType="end"/>
            </w:r>
            <w:r w:rsidRPr="00C91E88">
              <w:rPr>
                <w:rFonts w:ascii="Arial Narrow" w:hAnsi="Arial Narrow" w:cs="Arial"/>
                <w:kern w:val="2"/>
                <w:sz w:val="20"/>
                <w:szCs w:val="20"/>
                <w14:ligatures w14:val="standardContextual"/>
              </w:rPr>
              <w:t xml:space="preserve">Medical Practitioners </w:t>
            </w:r>
          </w:p>
        </w:tc>
      </w:tr>
      <w:tr w:rsidR="00C91E88" w:rsidRPr="00C91E88" w14:paraId="0AB8AF23" w14:textId="77777777">
        <w:trPr>
          <w:trHeight w:val="184"/>
        </w:trPr>
        <w:tc>
          <w:tcPr>
            <w:tcW w:w="9806" w:type="dxa"/>
            <w:gridSpan w:val="2"/>
            <w:vMerge/>
            <w:tcBorders>
              <w:top w:val="single" w:sz="4" w:space="0" w:color="auto"/>
              <w:left w:val="single" w:sz="4" w:space="0" w:color="auto"/>
              <w:bottom w:val="single" w:sz="4" w:space="0" w:color="auto"/>
              <w:right w:val="single" w:sz="4" w:space="0" w:color="auto"/>
            </w:tcBorders>
            <w:vAlign w:val="center"/>
            <w:hideMark/>
          </w:tcPr>
          <w:p w14:paraId="4A8E2F1C" w14:textId="77777777" w:rsidR="00C91E88" w:rsidRPr="00C91E88" w:rsidRDefault="00C91E88" w:rsidP="00C91E88">
            <w:pPr>
              <w:spacing w:line="256" w:lineRule="auto"/>
              <w:jc w:val="left"/>
              <w:rPr>
                <w:rFonts w:ascii="Arial Narrow"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B21ABD" w14:textId="77777777" w:rsidR="00C91E88" w:rsidRPr="00C91E88" w:rsidRDefault="00C91E88" w:rsidP="00C91E88">
            <w:pPr>
              <w:keepLines/>
              <w:rPr>
                <w:rFonts w:ascii="Arial Narrow" w:eastAsia="Calibri" w:hAnsi="Arial Narrow" w:cs="Arial"/>
                <w:kern w:val="2"/>
                <w:sz w:val="20"/>
                <w:szCs w:val="20"/>
                <w14:ligatures w14:val="standardContextual"/>
              </w:rPr>
            </w:pPr>
            <w:r w:rsidRPr="00C91E88">
              <w:rPr>
                <w:rFonts w:ascii="Arial Narrow" w:hAnsi="Arial Narrow" w:cs="Arial"/>
                <w:b/>
                <w:kern w:val="2"/>
                <w:sz w:val="20"/>
                <w:szCs w:val="20"/>
                <w14:ligatures w14:val="standardContextual"/>
              </w:rPr>
              <w:t xml:space="preserve">Restriction type: </w:t>
            </w:r>
            <w:r w:rsidRPr="00C91E8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C91E88">
              <w:rPr>
                <w:rFonts w:ascii="Arial Narrow" w:eastAsia="Calibri" w:hAnsi="Arial Narrow" w:cs="Arial"/>
                <w:kern w:val="2"/>
                <w:sz w:val="20"/>
                <w:szCs w:val="20"/>
                <w14:ligatures w14:val="standardContextual"/>
              </w:rPr>
              <w:instrText xml:space="preserve"> FORMCHECKBOX </w:instrText>
            </w:r>
            <w:r w:rsidRPr="00C91E88">
              <w:rPr>
                <w:rFonts w:ascii="Arial Narrow" w:eastAsia="Calibri" w:hAnsi="Arial Narrow" w:cs="Arial"/>
                <w:kern w:val="2"/>
                <w:sz w:val="20"/>
                <w:szCs w:val="20"/>
                <w14:ligatures w14:val="standardContextual"/>
              </w:rPr>
            </w:r>
            <w:r w:rsidRPr="00C91E88">
              <w:rPr>
                <w:rFonts w:ascii="Arial Narrow" w:eastAsia="Calibri" w:hAnsi="Arial Narrow" w:cs="Arial"/>
                <w:kern w:val="2"/>
                <w:sz w:val="20"/>
                <w:szCs w:val="20"/>
                <w14:ligatures w14:val="standardContextual"/>
              </w:rPr>
              <w:fldChar w:fldCharType="separate"/>
            </w:r>
            <w:r w:rsidRPr="00C91E88">
              <w:rPr>
                <w:rFonts w:ascii="Arial Narrow" w:eastAsia="Calibri" w:hAnsi="Arial Narrow" w:cs="Arial"/>
                <w:kern w:val="2"/>
                <w:sz w:val="20"/>
                <w:szCs w:val="20"/>
                <w14:ligatures w14:val="standardContextual"/>
              </w:rPr>
              <w:fldChar w:fldCharType="end"/>
            </w:r>
            <w:r w:rsidRPr="00C91E88">
              <w:rPr>
                <w:rFonts w:ascii="Arial Narrow" w:eastAsia="Calibri" w:hAnsi="Arial Narrow" w:cs="Arial"/>
                <w:kern w:val="2"/>
                <w:sz w:val="20"/>
                <w:szCs w:val="20"/>
                <w14:ligatures w14:val="standardContextual"/>
              </w:rPr>
              <w:t>Authority Required (immediate assessment) - Telephone/Online PBS Authorities</w:t>
            </w:r>
          </w:p>
        </w:tc>
      </w:tr>
      <w:tr w:rsidR="00C91E88" w:rsidRPr="00C91E88" w14:paraId="62607679" w14:textId="77777777">
        <w:trPr>
          <w:trHeight w:val="20"/>
        </w:trPr>
        <w:tc>
          <w:tcPr>
            <w:tcW w:w="49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6A238976" w14:textId="77777777" w:rsidR="00C91E88" w:rsidRPr="00C91E88" w:rsidRDefault="00C91E88" w:rsidP="00C91E88">
            <w:pPr>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Prescribing rule level</w:t>
            </w: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5D5319" w14:textId="1F3E1C51" w:rsidR="00C91E88" w:rsidRPr="00C91E88" w:rsidRDefault="00C91E88" w:rsidP="00C91E88">
            <w:pPr>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49E11D"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Administration advice:</w:t>
            </w:r>
          </w:p>
          <w:p w14:paraId="784DF943" w14:textId="77777777" w:rsidR="00C91E88" w:rsidRPr="00C91E88" w:rsidRDefault="00C91E88" w:rsidP="00C91E88">
            <w:pP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888 333.</w:t>
            </w:r>
          </w:p>
        </w:tc>
      </w:tr>
      <w:tr w:rsidR="00C91E88" w:rsidRPr="00C91E88" w14:paraId="67E030EF" w14:textId="77777777">
        <w:trPr>
          <w:trHeight w:val="20"/>
        </w:trPr>
        <w:tc>
          <w:tcPr>
            <w:tcW w:w="9021" w:type="dxa"/>
            <w:vMerge/>
            <w:tcBorders>
              <w:top w:val="single" w:sz="4" w:space="0" w:color="auto"/>
              <w:left w:val="single" w:sz="4" w:space="0" w:color="auto"/>
              <w:bottom w:val="single" w:sz="4" w:space="0" w:color="auto"/>
              <w:right w:val="single" w:sz="4" w:space="0" w:color="auto"/>
            </w:tcBorders>
            <w:vAlign w:val="center"/>
            <w:hideMark/>
          </w:tcPr>
          <w:p w14:paraId="29ADF8F8"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3502FC" w14:textId="2CD1103E" w:rsidR="00C91E88" w:rsidRPr="00C91E88" w:rsidRDefault="00C91E88" w:rsidP="00C91E88">
            <w:pPr>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C03C90" w14:textId="77777777" w:rsidR="00C91E88" w:rsidRPr="00C91E88" w:rsidRDefault="00C91E88" w:rsidP="00C91E88">
            <w:pP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Administrative Advice: </w:t>
            </w:r>
            <w:r w:rsidRPr="00C91E88">
              <w:rPr>
                <w:rFonts w:ascii="Arial Narrow" w:hAnsi="Arial Narrow" w:cs="Arial"/>
                <w:bCs/>
                <w:kern w:val="2"/>
                <w:sz w:val="20"/>
                <w:szCs w:val="20"/>
                <w14:ligatures w14:val="standardContextual"/>
              </w:rPr>
              <w:t>No increase in the maximum quantity or number of units may be authorised.</w:t>
            </w:r>
          </w:p>
        </w:tc>
      </w:tr>
      <w:tr w:rsidR="00C91E88" w:rsidRPr="00C91E88" w14:paraId="76E1FF26" w14:textId="77777777">
        <w:trPr>
          <w:trHeight w:val="20"/>
        </w:trPr>
        <w:tc>
          <w:tcPr>
            <w:tcW w:w="9021" w:type="dxa"/>
            <w:vMerge/>
            <w:tcBorders>
              <w:top w:val="single" w:sz="4" w:space="0" w:color="auto"/>
              <w:left w:val="single" w:sz="4" w:space="0" w:color="auto"/>
              <w:bottom w:val="single" w:sz="4" w:space="0" w:color="auto"/>
              <w:right w:val="single" w:sz="4" w:space="0" w:color="auto"/>
            </w:tcBorders>
            <w:vAlign w:val="center"/>
            <w:hideMark/>
          </w:tcPr>
          <w:p w14:paraId="1EC22BC0"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51FF2" w14:textId="3101C70A" w:rsidR="00C91E88" w:rsidRPr="00C91E88" w:rsidRDefault="00C91E88" w:rsidP="00C91E88">
            <w:pPr>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774D6C" w14:textId="77777777" w:rsidR="00C91E88" w:rsidRPr="00C91E88" w:rsidRDefault="00C91E88" w:rsidP="00C91E88">
            <w:pP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Administrative Advice: </w:t>
            </w:r>
            <w:r w:rsidRPr="00C91E88">
              <w:rPr>
                <w:rFonts w:ascii="Arial Narrow" w:hAnsi="Arial Narrow" w:cs="Arial"/>
                <w:bCs/>
                <w:kern w:val="2"/>
                <w:sz w:val="20"/>
                <w:szCs w:val="20"/>
                <w14:ligatures w14:val="standardContextual"/>
              </w:rPr>
              <w:t>No increase in the maximum number of repeats may be authorised.</w:t>
            </w:r>
          </w:p>
        </w:tc>
      </w:tr>
      <w:tr w:rsidR="00C91E88" w:rsidRPr="00C91E88" w14:paraId="1D533FB6" w14:textId="77777777">
        <w:trPr>
          <w:trHeight w:val="20"/>
        </w:trPr>
        <w:tc>
          <w:tcPr>
            <w:tcW w:w="9021" w:type="dxa"/>
            <w:vMerge/>
            <w:tcBorders>
              <w:top w:val="single" w:sz="4" w:space="0" w:color="auto"/>
              <w:left w:val="single" w:sz="4" w:space="0" w:color="auto"/>
              <w:bottom w:val="single" w:sz="4" w:space="0" w:color="auto"/>
              <w:right w:val="single" w:sz="4" w:space="0" w:color="auto"/>
            </w:tcBorders>
            <w:vAlign w:val="center"/>
            <w:hideMark/>
          </w:tcPr>
          <w:p w14:paraId="5706499E"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431322" w14:textId="136072C7" w:rsidR="00C91E88" w:rsidRPr="00C91E88" w:rsidRDefault="00C91E88" w:rsidP="00C91E88">
            <w:pPr>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41C5EF" w14:textId="77777777" w:rsidR="00C91E88" w:rsidRPr="00C91E88" w:rsidRDefault="00C91E88" w:rsidP="00C91E88">
            <w:pP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Administrative Advice: </w:t>
            </w:r>
            <w:r w:rsidRPr="00C91E88">
              <w:rPr>
                <w:rFonts w:ascii="Arial Narrow" w:hAnsi="Arial Narrow" w:cs="Arial"/>
                <w:bCs/>
                <w:kern w:val="2"/>
                <w:sz w:val="20"/>
                <w:szCs w:val="20"/>
                <w14:ligatures w14:val="standardContextual"/>
              </w:rPr>
              <w:t>Special Pricing Arrangements apply.</w:t>
            </w:r>
          </w:p>
        </w:tc>
      </w:tr>
      <w:tr w:rsidR="00C91E88" w:rsidRPr="00C91E88" w14:paraId="67EB3D72" w14:textId="77777777">
        <w:trPr>
          <w:cantSplit/>
          <w:trHeight w:val="20"/>
        </w:trPr>
        <w:tc>
          <w:tcPr>
            <w:tcW w:w="9021"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BFF373"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kern w:val="2"/>
                <w:sz w:val="20"/>
                <w:szCs w:val="20"/>
                <w14:ligatures w14:val="standardContextual"/>
              </w:rPr>
              <w:t xml:space="preserve">Restriction Summary [new1] / Treatment of Concept: [new1A] </w:t>
            </w:r>
          </w:p>
        </w:tc>
      </w:tr>
      <w:tr w:rsidR="00C91E88" w:rsidRPr="00C91E88" w14:paraId="20592656" w14:textId="77777777">
        <w:trPr>
          <w:cantSplit/>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A120DF"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76D86A"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 xml:space="preserve">Episodicity: </w:t>
            </w:r>
            <w:r w:rsidRPr="00C91E88">
              <w:rPr>
                <w:rFonts w:ascii="Arial Narrow" w:hAnsi="Arial Narrow" w:cs="Arial"/>
                <w:kern w:val="2"/>
                <w:sz w:val="20"/>
                <w:szCs w:val="20"/>
                <w14:ligatures w14:val="standardContextual"/>
              </w:rPr>
              <w:t xml:space="preserve">Resected </w:t>
            </w:r>
          </w:p>
        </w:tc>
      </w:tr>
      <w:tr w:rsidR="00C91E88" w:rsidRPr="00C91E88" w14:paraId="116D336D" w14:textId="77777777">
        <w:trPr>
          <w:cantSplit/>
          <w:trHeight w:val="20"/>
        </w:trPr>
        <w:tc>
          <w:tcPr>
            <w:tcW w:w="9806" w:type="dxa"/>
            <w:gridSpan w:val="2"/>
            <w:vMerge/>
            <w:tcBorders>
              <w:top w:val="single" w:sz="4" w:space="0" w:color="auto"/>
              <w:left w:val="single" w:sz="4" w:space="0" w:color="auto"/>
              <w:bottom w:val="single" w:sz="4" w:space="0" w:color="auto"/>
              <w:right w:val="single" w:sz="4" w:space="0" w:color="auto"/>
            </w:tcBorders>
            <w:vAlign w:val="center"/>
            <w:hideMark/>
          </w:tcPr>
          <w:p w14:paraId="17208431"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7C0233"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Severity: </w:t>
            </w:r>
            <w:r w:rsidRPr="00C91E88">
              <w:rPr>
                <w:rFonts w:ascii="Arial Narrow" w:hAnsi="Arial Narrow" w:cs="Arial"/>
                <w:bCs/>
                <w:kern w:val="2"/>
                <w:sz w:val="20"/>
                <w:szCs w:val="20"/>
                <w14:ligatures w14:val="standardContextual"/>
              </w:rPr>
              <w:t xml:space="preserve">[blank] </w:t>
            </w:r>
          </w:p>
        </w:tc>
      </w:tr>
      <w:tr w:rsidR="00C91E88" w:rsidRPr="00C91E88" w14:paraId="0526180F" w14:textId="77777777">
        <w:trPr>
          <w:cantSplit/>
          <w:trHeight w:val="20"/>
        </w:trPr>
        <w:tc>
          <w:tcPr>
            <w:tcW w:w="9806" w:type="dxa"/>
            <w:gridSpan w:val="2"/>
            <w:vMerge/>
            <w:tcBorders>
              <w:top w:val="single" w:sz="4" w:space="0" w:color="auto"/>
              <w:left w:val="single" w:sz="4" w:space="0" w:color="auto"/>
              <w:bottom w:val="single" w:sz="4" w:space="0" w:color="auto"/>
              <w:right w:val="single" w:sz="4" w:space="0" w:color="auto"/>
            </w:tcBorders>
            <w:vAlign w:val="center"/>
            <w:hideMark/>
          </w:tcPr>
          <w:p w14:paraId="255A885C"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2DE7E6"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Condition: </w:t>
            </w:r>
            <w:r w:rsidRPr="00C91E88">
              <w:rPr>
                <w:rFonts w:ascii="Arial Narrow" w:hAnsi="Arial Narrow" w:cs="Arial"/>
                <w:kern w:val="2"/>
                <w:sz w:val="20"/>
                <w:szCs w:val="20"/>
                <w14:ligatures w14:val="standardContextual"/>
              </w:rPr>
              <w:t>Non-small cell lung cancer (NSCLC)</w:t>
            </w:r>
          </w:p>
        </w:tc>
      </w:tr>
      <w:tr w:rsidR="00C91E88" w:rsidRPr="00C91E88" w14:paraId="12C65F3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759F17" w14:textId="761FF7DC"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64EC34"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Indication:</w:t>
            </w:r>
            <w:r w:rsidRPr="00C91E88">
              <w:rPr>
                <w:rFonts w:ascii="Arial Narrow" w:hAnsi="Arial Narrow" w:cs="Arial"/>
                <w:kern w:val="2"/>
                <w:sz w:val="20"/>
                <w:szCs w:val="20"/>
                <w14:ligatures w14:val="standardContextual"/>
              </w:rPr>
              <w:t xml:space="preserve"> Resected non-small cell lung cancer (NSCLC)</w:t>
            </w:r>
          </w:p>
        </w:tc>
      </w:tr>
      <w:tr w:rsidR="00C91E88" w:rsidRPr="00C91E88" w14:paraId="6BC9F33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403A31"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0548E3"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Treatment Phase:</w:t>
            </w:r>
            <w:r w:rsidRPr="00C91E88">
              <w:rPr>
                <w:rFonts w:cs="Arial"/>
                <w:kern w:val="2"/>
                <w14:ligatures w14:val="standardContextual"/>
              </w:rPr>
              <w:t xml:space="preserve"> </w:t>
            </w:r>
            <w:r w:rsidRPr="00C91E88">
              <w:rPr>
                <w:rFonts w:ascii="Arial Narrow" w:hAnsi="Arial Narrow" w:cs="Arial"/>
                <w:kern w:val="2"/>
                <w:sz w:val="20"/>
                <w:szCs w:val="20"/>
                <w14:ligatures w14:val="standardContextual"/>
              </w:rPr>
              <w:t xml:space="preserve">Adjuvant therapy </w:t>
            </w:r>
          </w:p>
        </w:tc>
      </w:tr>
      <w:tr w:rsidR="00C91E88" w:rsidRPr="00C91E88" w14:paraId="5755474A"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83B0FD"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299C13"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Clinical criteria:</w:t>
            </w:r>
          </w:p>
        </w:tc>
      </w:tr>
      <w:tr w:rsidR="00C91E88" w:rsidRPr="00C91E88" w14:paraId="35505D0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9CB92C" w14:textId="43749C45"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78CCAB"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Patient must be both: (i) initiating treatment, (ii) untreated with an Anaplastic Lymphoma Kinase-Tyrosine Kinase Inhibitor (ALK-TKI) for non-small cell lung cancer; OR</w:t>
            </w:r>
          </w:p>
        </w:tc>
      </w:tr>
      <w:tr w:rsidR="00C91E88" w:rsidRPr="00C91E88" w14:paraId="2ED57B7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0D3253" w14:textId="6B9BEBE4"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5097A0"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Patient must be continuing existing PBS-subsidised treatment with this drug; OR</w:t>
            </w:r>
          </w:p>
        </w:tc>
      </w:tr>
      <w:tr w:rsidR="00C91E88" w:rsidRPr="00C91E88" w14:paraId="22FC4A4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EF4440" w14:textId="57B56816"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1A2B4F"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Patient must be both: (i) transitioning from existing non-PBS to PBS-subsidised supply of this drug, (ii) untreated with ALK-TKI at the time this drug was initiated.</w:t>
            </w:r>
          </w:p>
        </w:tc>
      </w:tr>
      <w:tr w:rsidR="00C91E88" w:rsidRPr="00C91E88" w14:paraId="431EAB1A"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BAFBDC"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5CEDE0"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AND</w:t>
            </w:r>
          </w:p>
        </w:tc>
      </w:tr>
      <w:tr w:rsidR="00C91E88" w:rsidRPr="00C91E88" w14:paraId="16A935B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96E0B0"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36640D"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Clinical criteria</w:t>
            </w:r>
          </w:p>
        </w:tc>
      </w:tr>
      <w:tr w:rsidR="00C91E88" w:rsidRPr="00C91E88" w14:paraId="21ABB7AB"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7DA183" w14:textId="65670150"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AA131B"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The condition must be/have been at least one of: (i) node positive, (ii) at least 4 cm in size,</w:t>
            </w:r>
          </w:p>
        </w:tc>
      </w:tr>
      <w:tr w:rsidR="00C91E88" w:rsidRPr="00C91E88" w14:paraId="0FC4321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B1F230"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A4F7D2"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AND</w:t>
            </w:r>
          </w:p>
        </w:tc>
      </w:tr>
      <w:tr w:rsidR="00C91E88" w:rsidRPr="00C91E88" w14:paraId="076CB95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C19CE6"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AD24E2"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Clinical criteria</w:t>
            </w:r>
          </w:p>
        </w:tc>
      </w:tr>
      <w:tr w:rsidR="00C91E88" w:rsidRPr="00C91E88" w14:paraId="2C56CD19"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0FCE4B" w14:textId="3BAA346D"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6A0537"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 xml:space="preserve">The treatment must be for the purpose of adjuvant therapy following surgical resection, </w:t>
            </w:r>
          </w:p>
        </w:tc>
      </w:tr>
      <w:tr w:rsidR="00C91E88" w:rsidRPr="00C91E88" w14:paraId="128DECAE"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0701D0"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DD5836"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AND</w:t>
            </w:r>
          </w:p>
        </w:tc>
      </w:tr>
      <w:tr w:rsidR="00C91E88" w:rsidRPr="00C91E88" w14:paraId="0696AB9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BD999D"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BB040A"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Clinical criteria</w:t>
            </w:r>
          </w:p>
        </w:tc>
      </w:tr>
      <w:tr w:rsidR="00C91E88" w:rsidRPr="00C91E88" w14:paraId="7BA32B4F"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422715" w14:textId="0BAA15B0"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E23F4C"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The treatment must be commenced within 26 weeks of surgery,</w:t>
            </w:r>
          </w:p>
        </w:tc>
      </w:tr>
      <w:tr w:rsidR="00C91E88" w:rsidRPr="00C91E88" w14:paraId="32BC031F"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C17AB3"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8CE863"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AND</w:t>
            </w:r>
          </w:p>
        </w:tc>
      </w:tr>
      <w:tr w:rsidR="00C91E88" w:rsidRPr="00C91E88" w14:paraId="063F513F"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D077FA"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97A91B"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Clinical criteria</w:t>
            </w:r>
          </w:p>
        </w:tc>
      </w:tr>
      <w:tr w:rsidR="00C91E88" w:rsidRPr="00C91E88" w14:paraId="58C8F2AF"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1C8899" w14:textId="170EBD7B"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B11D96"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 xml:space="preserve">Patient must have evidence of an anaplastic lymphoma kinase (ALK) gene rearrangement in tumour material, defined as either: (i) 15% (or greater) positive cells by fluorescence in situ hybridisation (FISH) testing, (ii) positive next generation sequencing (NGS) testing, </w:t>
            </w:r>
          </w:p>
        </w:tc>
      </w:tr>
      <w:tr w:rsidR="00C91E88" w:rsidRPr="00C91E88" w14:paraId="1408400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1312B2"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C0F873"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AND</w:t>
            </w:r>
          </w:p>
        </w:tc>
      </w:tr>
      <w:tr w:rsidR="00C91E88" w:rsidRPr="00C91E88" w14:paraId="4A88A191"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8DF842"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79C508"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Clinical criteria</w:t>
            </w:r>
          </w:p>
        </w:tc>
      </w:tr>
      <w:tr w:rsidR="00C91E88" w:rsidRPr="00C91E88" w14:paraId="26B682A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AB1376" w14:textId="2B87E888"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168344"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 xml:space="preserve">Patient must have/have had a WHO performance status of no greater than 1 at treatment initiation with this drug, </w:t>
            </w:r>
          </w:p>
        </w:tc>
      </w:tr>
      <w:tr w:rsidR="00C91E88" w:rsidRPr="00C91E88" w14:paraId="20B2E7C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BFD873"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DF970E"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AND</w:t>
            </w:r>
          </w:p>
        </w:tc>
      </w:tr>
      <w:tr w:rsidR="00C91E88" w:rsidRPr="00C91E88" w14:paraId="72BB7F2E"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728228"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F7E93C"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Clinical criteria</w:t>
            </w:r>
          </w:p>
        </w:tc>
      </w:tr>
      <w:tr w:rsidR="00C91E88" w:rsidRPr="00C91E88" w14:paraId="5BB1A9A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0B067E" w14:textId="17F082E0"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04D023"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The treatment must be the sole PBS-subsidised systemic anti-cancer therapy for this condition,</w:t>
            </w:r>
          </w:p>
        </w:tc>
      </w:tr>
      <w:tr w:rsidR="00C91E88" w:rsidRPr="00C91E88" w14:paraId="32D7296B"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C73F51"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D4EEB9"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AND</w:t>
            </w:r>
          </w:p>
        </w:tc>
      </w:tr>
      <w:tr w:rsidR="00C91E88" w:rsidRPr="00C91E88" w14:paraId="57638A5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5CAB3E"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2213F0"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Treatment criteria:</w:t>
            </w:r>
          </w:p>
        </w:tc>
      </w:tr>
      <w:tr w:rsidR="00C91E88" w:rsidRPr="00C91E88" w14:paraId="78E72E5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BE451B" w14:textId="00D97A36" w:rsidR="00C91E88" w:rsidRPr="00C91E88" w:rsidRDefault="00C91E88" w:rsidP="00C91E88">
            <w:pPr>
              <w:keepLines/>
              <w:jc w:val="center"/>
              <w:rPr>
                <w:rFonts w:ascii="Arial Narrow"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6DE411"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 xml:space="preserve">Patient must be undergoing treatment that does not occur beyond the following, whichever comes first: (i) the first instance of disease progression/recurrence, </w:t>
            </w:r>
          </w:p>
          <w:p w14:paraId="18D3300D"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(ii) 24 months of combined non-PBS and PBS-subsidised treatment for this condition from the first administered dose; mark any remaining repeat prescriptions with the words 'cancelled' where (i)/(ii) has occurred.</w:t>
            </w:r>
          </w:p>
        </w:tc>
      </w:tr>
    </w:tbl>
    <w:p w14:paraId="729E17C0" w14:textId="77777777" w:rsidR="00C91E88" w:rsidRDefault="00C91E88" w:rsidP="001E4EDA">
      <w:pPr>
        <w:pStyle w:val="3-BodyText"/>
        <w:numPr>
          <w:ilvl w:val="0"/>
          <w:numId w:val="0"/>
        </w:numPr>
        <w:ind w:left="720"/>
      </w:pPr>
    </w:p>
    <w:p w14:paraId="2B690CF0" w14:textId="5BAB415C" w:rsidR="00C91E88" w:rsidRPr="00C91E88" w:rsidRDefault="00C91E88" w:rsidP="001E4EDA">
      <w:pPr>
        <w:pStyle w:val="3-BodyText"/>
      </w:pPr>
      <w:r>
        <w:t>Flow-on changes to the alectinib listing in advanced or metastatic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w:tblPr>
      <w:tblGrid>
        <w:gridCol w:w="487"/>
        <w:gridCol w:w="926"/>
        <w:gridCol w:w="1984"/>
        <w:gridCol w:w="993"/>
        <w:gridCol w:w="992"/>
        <w:gridCol w:w="991"/>
        <w:gridCol w:w="812"/>
        <w:gridCol w:w="1831"/>
      </w:tblGrid>
      <w:tr w:rsidR="00C91E88" w:rsidRPr="00C91E88" w14:paraId="48304023" w14:textId="77777777">
        <w:trPr>
          <w:cantSplit/>
          <w:trHeight w:val="20"/>
        </w:trPr>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29F73520"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MEDICINAL PRODUCT</w:t>
            </w:r>
          </w:p>
          <w:p w14:paraId="0BBDDC34"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B566A0" w14:textId="77777777" w:rsidR="00C91E88" w:rsidRPr="00C91E88" w:rsidRDefault="00C91E88" w:rsidP="00C91E88">
            <w:pPr>
              <w:keepLines/>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2EB04A" w14:textId="77777777" w:rsidR="00C91E88" w:rsidRPr="00C91E88" w:rsidRDefault="00C91E88" w:rsidP="00C91E88">
            <w:pPr>
              <w:keepLines/>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312DC826" w14:textId="77777777" w:rsidR="00C91E88" w:rsidRPr="00C91E88" w:rsidRDefault="00C91E88" w:rsidP="00C91E88">
            <w:pPr>
              <w:keepLines/>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4464154D" w14:textId="77777777" w:rsidR="00C91E88" w:rsidRPr="00C91E88" w:rsidRDefault="00C91E88" w:rsidP="00C91E88">
            <w:pPr>
              <w:keepLines/>
              <w:jc w:val="cente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№.of</w:t>
            </w:r>
          </w:p>
          <w:p w14:paraId="4E91FDFE" w14:textId="77777777" w:rsidR="00C91E88" w:rsidRPr="00C91E88" w:rsidRDefault="00C91E88" w:rsidP="00C91E88">
            <w:pPr>
              <w:keepLines/>
              <w:jc w:val="cente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1C9DD01"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Available brands</w:t>
            </w:r>
          </w:p>
        </w:tc>
      </w:tr>
      <w:tr w:rsidR="00C91E88" w:rsidRPr="00C91E88" w14:paraId="2C4D5DEF" w14:textId="77777777">
        <w:trPr>
          <w:cantSplit/>
          <w:trHeight w:val="2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7E195135"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ALECTINIB</w:t>
            </w:r>
          </w:p>
        </w:tc>
      </w:tr>
      <w:tr w:rsidR="00C91E88" w:rsidRPr="00C91E88" w14:paraId="49CD9DBF" w14:textId="77777777">
        <w:trPr>
          <w:cantSplit/>
          <w:trHeight w:val="20"/>
        </w:trPr>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2F196115"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alectinib 150 mg capsule, 4 x 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AE3280"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11226W</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44A77"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hideMark/>
          </w:tcPr>
          <w:p w14:paraId="3F399BB6"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224</w:t>
            </w:r>
          </w:p>
        </w:tc>
        <w:tc>
          <w:tcPr>
            <w:tcW w:w="812" w:type="dxa"/>
            <w:tcBorders>
              <w:top w:val="single" w:sz="4" w:space="0" w:color="auto"/>
              <w:left w:val="single" w:sz="4" w:space="0" w:color="auto"/>
              <w:bottom w:val="single" w:sz="4" w:space="0" w:color="auto"/>
              <w:right w:val="single" w:sz="4" w:space="0" w:color="auto"/>
            </w:tcBorders>
            <w:vAlign w:val="center"/>
            <w:hideMark/>
          </w:tcPr>
          <w:p w14:paraId="20175ED9" w14:textId="77777777" w:rsidR="00C91E88" w:rsidRPr="00C91E88" w:rsidRDefault="00C91E88" w:rsidP="00C91E88">
            <w:pPr>
              <w:keepLines/>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3</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B9E7A7B"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 xml:space="preserve">Alecensa </w:t>
            </w:r>
          </w:p>
        </w:tc>
      </w:tr>
      <w:tr w:rsidR="00C91E88" w:rsidRPr="00C91E88" w14:paraId="01259763" w14:textId="77777777">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2972CA" w14:textId="77777777" w:rsidR="00C91E88" w:rsidRPr="00C91E88" w:rsidRDefault="00C91E88" w:rsidP="00C91E88">
            <w:pPr>
              <w:rPr>
                <w:rFonts w:ascii="Arial Narrow" w:hAnsi="Arial Narrow" w:cs="Arial"/>
                <w:kern w:val="2"/>
                <w:sz w:val="20"/>
                <w:szCs w:val="20"/>
                <w14:ligatures w14:val="standardContextual"/>
              </w:rPr>
            </w:pPr>
          </w:p>
        </w:tc>
      </w:tr>
      <w:tr w:rsidR="00C91E88" w:rsidRPr="00C91E88" w14:paraId="646FB389" w14:textId="77777777">
        <w:trPr>
          <w:trHeight w:val="20"/>
        </w:trPr>
        <w:tc>
          <w:tcPr>
            <w:tcW w:w="1413"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A2D68F0" w14:textId="77777777" w:rsidR="00C91E88" w:rsidRPr="00C91E88" w:rsidRDefault="00C91E88" w:rsidP="00C91E88">
            <w:pPr>
              <w:jc w:val="center"/>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 xml:space="preserve">Concept ID </w:t>
            </w:r>
            <w:r w:rsidRPr="00C91E88">
              <w:rPr>
                <w:rFonts w:ascii="Arial Narrow" w:hAnsi="Arial Narrow" w:cs="Arial"/>
                <w:kern w:val="2"/>
                <w:sz w:val="16"/>
                <w:szCs w:val="16"/>
                <w14:ligatures w14:val="standardContextual"/>
              </w:rPr>
              <w:t>(for internal Dept. use)</w:t>
            </w: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1F8CF7"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kern w:val="2"/>
                <w:sz w:val="20"/>
                <w:szCs w:val="20"/>
                <w14:ligatures w14:val="standardContextual"/>
              </w:rPr>
              <w:t>Category / Program:</w:t>
            </w:r>
            <w:r w:rsidRPr="00C91E88">
              <w:rPr>
                <w:rFonts w:ascii="Arial Narrow" w:hAnsi="Arial Narrow" w:cs="Arial"/>
                <w:kern w:val="2"/>
                <w:sz w:val="20"/>
                <w:szCs w:val="20"/>
                <w14:ligatures w14:val="standardContextual"/>
              </w:rPr>
              <w:t xml:space="preserve"> </w:t>
            </w:r>
            <w:r w:rsidRPr="00C91E8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C91E88">
              <w:rPr>
                <w:rFonts w:ascii="Arial Narrow" w:eastAsia="Calibri" w:hAnsi="Arial Narrow" w:cs="Arial"/>
                <w:kern w:val="2"/>
                <w:sz w:val="20"/>
                <w:szCs w:val="20"/>
                <w14:ligatures w14:val="standardContextual"/>
              </w:rPr>
              <w:instrText xml:space="preserve"> FORMCHECKBOX </w:instrText>
            </w:r>
            <w:r w:rsidRPr="00C91E88">
              <w:rPr>
                <w:rFonts w:ascii="Arial Narrow" w:eastAsia="Calibri" w:hAnsi="Arial Narrow" w:cs="Arial"/>
                <w:kern w:val="2"/>
                <w:sz w:val="20"/>
                <w:szCs w:val="20"/>
                <w14:ligatures w14:val="standardContextual"/>
              </w:rPr>
            </w:r>
            <w:r w:rsidRPr="00C91E88">
              <w:rPr>
                <w:rFonts w:ascii="Arial Narrow" w:eastAsia="Calibri" w:hAnsi="Arial Narrow" w:cs="Arial"/>
                <w:kern w:val="2"/>
                <w:sz w:val="20"/>
                <w:szCs w:val="20"/>
                <w14:ligatures w14:val="standardContextual"/>
              </w:rPr>
              <w:fldChar w:fldCharType="separate"/>
            </w:r>
            <w:r w:rsidRPr="00C91E88">
              <w:rPr>
                <w:rFonts w:ascii="Arial Narrow" w:eastAsia="Calibri" w:hAnsi="Arial Narrow" w:cs="Arial"/>
                <w:kern w:val="2"/>
                <w:sz w:val="20"/>
                <w:szCs w:val="20"/>
                <w14:ligatures w14:val="standardContextual"/>
              </w:rPr>
              <w:fldChar w:fldCharType="end"/>
            </w:r>
            <w:r w:rsidRPr="00C91E88">
              <w:rPr>
                <w:rFonts w:ascii="Arial Narrow" w:eastAsia="Calibri" w:hAnsi="Arial Narrow" w:cs="Arial"/>
                <w:kern w:val="2"/>
                <w:sz w:val="20"/>
                <w:szCs w:val="20"/>
                <w14:ligatures w14:val="standardContextual"/>
              </w:rPr>
              <w:t xml:space="preserve"> GENERAL - General Schedule (Code GE) </w:t>
            </w:r>
          </w:p>
        </w:tc>
      </w:tr>
      <w:tr w:rsidR="00C91E88" w:rsidRPr="00C91E88" w14:paraId="4E4FE813" w14:textId="77777777" w:rsidTr="00C91E88">
        <w:trPr>
          <w:trHeight w:val="20"/>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2C478229" w14:textId="77777777" w:rsidR="00C91E88" w:rsidRPr="00C91E88" w:rsidRDefault="00C91E88" w:rsidP="00C91E88">
            <w:pPr>
              <w:spacing w:line="256" w:lineRule="auto"/>
              <w:jc w:val="left"/>
              <w:rPr>
                <w:rFonts w:ascii="Arial Narrow" w:hAnsi="Arial Narrow" w:cs="Arial"/>
                <w:b/>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592E3E"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 xml:space="preserve">Prescriber type: </w:t>
            </w:r>
            <w:r w:rsidRPr="00C91E88">
              <w:rPr>
                <w:rFonts w:ascii="Arial Narrow" w:hAnsi="Arial Narrow" w:cs="Arial"/>
                <w:kern w:val="2"/>
                <w:sz w:val="20"/>
                <w:szCs w:val="20"/>
                <w14:ligatures w14:val="standardContextual"/>
              </w:rPr>
              <w:t xml:space="preserve"> </w:t>
            </w:r>
            <w:r w:rsidRPr="00C91E88">
              <w:rPr>
                <w:rFonts w:ascii="Arial Narrow" w:hAnsi="Arial Narrow" w:cs="Arial"/>
                <w:kern w:val="2"/>
                <w:sz w:val="20"/>
                <w:szCs w:val="20"/>
                <w14:ligatures w14:val="standardContextual"/>
              </w:rPr>
              <w:fldChar w:fldCharType="begin">
                <w:ffData>
                  <w:name w:val=""/>
                  <w:enabled/>
                  <w:calcOnExit w:val="0"/>
                  <w:checkBox>
                    <w:sizeAuto/>
                    <w:default w:val="1"/>
                  </w:checkBox>
                </w:ffData>
              </w:fldChar>
            </w:r>
            <w:r w:rsidRPr="00C91E88">
              <w:rPr>
                <w:rFonts w:ascii="Arial Narrow" w:hAnsi="Arial Narrow" w:cs="Arial"/>
                <w:kern w:val="2"/>
                <w:sz w:val="20"/>
                <w:szCs w:val="20"/>
                <w14:ligatures w14:val="standardContextual"/>
              </w:rPr>
              <w:instrText xml:space="preserve"> FORMCHECKBOX </w:instrText>
            </w:r>
            <w:r w:rsidRPr="00C91E88">
              <w:rPr>
                <w:rFonts w:ascii="Arial Narrow" w:hAnsi="Arial Narrow" w:cs="Arial"/>
                <w:kern w:val="2"/>
                <w:sz w:val="20"/>
                <w:szCs w:val="20"/>
                <w14:ligatures w14:val="standardContextual"/>
              </w:rPr>
            </w:r>
            <w:r w:rsidRPr="00C91E88">
              <w:rPr>
                <w:rFonts w:ascii="Arial Narrow" w:hAnsi="Arial Narrow" w:cs="Arial"/>
                <w:kern w:val="2"/>
                <w:sz w:val="20"/>
                <w:szCs w:val="20"/>
                <w14:ligatures w14:val="standardContextual"/>
              </w:rPr>
              <w:fldChar w:fldCharType="separate"/>
            </w:r>
            <w:r w:rsidRPr="00C91E88">
              <w:rPr>
                <w:rFonts w:ascii="Arial Narrow" w:hAnsi="Arial Narrow" w:cs="Arial"/>
                <w:kern w:val="2"/>
                <w:sz w:val="20"/>
                <w:szCs w:val="20"/>
                <w14:ligatures w14:val="standardContextual"/>
              </w:rPr>
              <w:fldChar w:fldCharType="end"/>
            </w:r>
            <w:r w:rsidRPr="00C91E88">
              <w:rPr>
                <w:rFonts w:ascii="Arial Narrow" w:hAnsi="Arial Narrow" w:cs="Arial"/>
                <w:kern w:val="2"/>
                <w:sz w:val="20"/>
                <w:szCs w:val="20"/>
                <w14:ligatures w14:val="standardContextual"/>
              </w:rPr>
              <w:t>Medical Practitioners</w:t>
            </w:r>
          </w:p>
        </w:tc>
      </w:tr>
      <w:tr w:rsidR="00C91E88" w:rsidRPr="00C91E88" w14:paraId="72897C85" w14:textId="77777777" w:rsidTr="00C91E88">
        <w:trPr>
          <w:trHeight w:val="20"/>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6A86FBCA" w14:textId="77777777" w:rsidR="00C91E88" w:rsidRPr="00C91E88" w:rsidRDefault="00C91E88" w:rsidP="00C91E88">
            <w:pPr>
              <w:spacing w:line="256" w:lineRule="auto"/>
              <w:jc w:val="left"/>
              <w:rPr>
                <w:rFonts w:ascii="Arial Narrow" w:hAnsi="Arial Narrow" w:cs="Arial"/>
                <w:b/>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765AE2"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 xml:space="preserve">Restriction type: </w:t>
            </w:r>
            <w:r w:rsidRPr="00C91E8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C91E88">
              <w:rPr>
                <w:rFonts w:ascii="Arial Narrow" w:eastAsia="Calibri" w:hAnsi="Arial Narrow" w:cs="Arial"/>
                <w:kern w:val="2"/>
                <w:sz w:val="20"/>
                <w:szCs w:val="20"/>
                <w14:ligatures w14:val="standardContextual"/>
              </w:rPr>
              <w:instrText xml:space="preserve"> FORMCHECKBOX </w:instrText>
            </w:r>
            <w:r w:rsidRPr="00C91E88">
              <w:rPr>
                <w:rFonts w:ascii="Arial Narrow" w:eastAsia="Calibri" w:hAnsi="Arial Narrow" w:cs="Arial"/>
                <w:kern w:val="2"/>
                <w:sz w:val="20"/>
                <w:szCs w:val="20"/>
                <w14:ligatures w14:val="standardContextual"/>
              </w:rPr>
            </w:r>
            <w:r w:rsidRPr="00C91E88">
              <w:rPr>
                <w:rFonts w:ascii="Arial Narrow" w:eastAsia="Calibri" w:hAnsi="Arial Narrow" w:cs="Arial"/>
                <w:kern w:val="2"/>
                <w:sz w:val="20"/>
                <w:szCs w:val="20"/>
                <w14:ligatures w14:val="standardContextual"/>
              </w:rPr>
              <w:fldChar w:fldCharType="separate"/>
            </w:r>
            <w:r w:rsidRPr="00C91E88">
              <w:rPr>
                <w:rFonts w:ascii="Arial Narrow" w:eastAsia="Calibri" w:hAnsi="Arial Narrow" w:cs="Arial"/>
                <w:kern w:val="2"/>
                <w:sz w:val="20"/>
                <w:szCs w:val="20"/>
                <w14:ligatures w14:val="standardContextual"/>
              </w:rPr>
              <w:fldChar w:fldCharType="end"/>
            </w:r>
            <w:r w:rsidRPr="00C91E88">
              <w:rPr>
                <w:rFonts w:ascii="Arial Narrow" w:eastAsia="Calibri" w:hAnsi="Arial Narrow" w:cs="Arial"/>
                <w:kern w:val="2"/>
                <w:sz w:val="20"/>
                <w:szCs w:val="20"/>
                <w14:ligatures w14:val="standardContextual"/>
              </w:rPr>
              <w:t>Authority Required (immediate assessment) - Telephone/Online PBS Authorities</w:t>
            </w:r>
          </w:p>
        </w:tc>
      </w:tr>
      <w:tr w:rsidR="00C91E88" w:rsidRPr="00C91E88" w14:paraId="2CD77652" w14:textId="77777777">
        <w:trPr>
          <w:trHeight w:val="20"/>
        </w:trPr>
        <w:tc>
          <w:tcPr>
            <w:tcW w:w="48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1F7AF427" w14:textId="77777777" w:rsidR="00C91E88" w:rsidRPr="00C91E88" w:rsidRDefault="00C91E88" w:rsidP="00C91E88">
            <w:pPr>
              <w:jc w:val="cente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Prescribing rule level</w:t>
            </w:r>
          </w:p>
        </w:tc>
        <w:tc>
          <w:tcPr>
            <w:tcW w:w="92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F53D21" w14:textId="32320AE3" w:rsidR="00C91E88" w:rsidRPr="00C91E88" w:rsidRDefault="00C91E88" w:rsidP="00C91E88">
            <w:pPr>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370756"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Administration advice:</w:t>
            </w:r>
          </w:p>
          <w:p w14:paraId="03213ABF" w14:textId="77777777" w:rsidR="00C91E88" w:rsidRPr="00C91E88" w:rsidRDefault="00C91E88" w:rsidP="00C91E88">
            <w:pPr>
              <w:rPr>
                <w:rFonts w:ascii="Arial Narrow" w:hAnsi="Arial Narrow" w:cs="Arial"/>
                <w:kern w:val="2"/>
                <w:sz w:val="20"/>
                <w:szCs w:val="20"/>
                <w14:ligatures w14:val="standardContextual"/>
              </w:rPr>
            </w:pPr>
            <w:r w:rsidRPr="00C91E88">
              <w:rPr>
                <w:rFonts w:ascii="Arial Narrow" w:hAnsi="Arial Narrow" w:cs="Arial"/>
                <w:kern w:val="2"/>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888 333.</w:t>
            </w:r>
          </w:p>
        </w:tc>
      </w:tr>
      <w:tr w:rsidR="00C91E88" w:rsidRPr="00C91E88" w14:paraId="6EB79388" w14:textId="77777777" w:rsidTr="00C91E88">
        <w:trPr>
          <w:trHeight w:val="2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60E305D3"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92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635EED" w14:textId="44D872D1" w:rsidR="00C91E88" w:rsidRPr="00C91E88" w:rsidRDefault="00C91E88" w:rsidP="00C91E88">
            <w:pPr>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3D5374" w14:textId="77777777" w:rsidR="00C91E88" w:rsidRPr="00C91E88" w:rsidRDefault="00C91E88" w:rsidP="00C91E88">
            <w:pP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Administrative Advice: </w:t>
            </w:r>
            <w:r w:rsidRPr="00C91E88">
              <w:rPr>
                <w:rFonts w:ascii="Arial Narrow" w:hAnsi="Arial Narrow" w:cs="Arial"/>
                <w:bCs/>
                <w:kern w:val="2"/>
                <w:sz w:val="20"/>
                <w:szCs w:val="20"/>
                <w14:ligatures w14:val="standardContextual"/>
              </w:rPr>
              <w:t>No increase in the maximum quantity or number of units may be authorised.</w:t>
            </w:r>
          </w:p>
        </w:tc>
      </w:tr>
      <w:tr w:rsidR="00C91E88" w:rsidRPr="00C91E88" w14:paraId="63AF22BF" w14:textId="77777777" w:rsidTr="00C91E88">
        <w:trPr>
          <w:trHeight w:val="2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13A3C384"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92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906337" w14:textId="3EB9A4CA" w:rsidR="00C91E88" w:rsidRPr="00C91E88" w:rsidRDefault="00C91E88" w:rsidP="00C91E88">
            <w:pPr>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3AFAAB" w14:textId="77777777" w:rsidR="00C91E88" w:rsidRPr="00C91E88" w:rsidRDefault="00C91E88" w:rsidP="00C91E88">
            <w:pP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Administrative Advice: </w:t>
            </w:r>
            <w:r w:rsidRPr="00C91E88">
              <w:rPr>
                <w:rFonts w:ascii="Arial Narrow" w:hAnsi="Arial Narrow" w:cs="Arial"/>
                <w:bCs/>
                <w:kern w:val="2"/>
                <w:sz w:val="20"/>
                <w:szCs w:val="20"/>
                <w14:ligatures w14:val="standardContextual"/>
              </w:rPr>
              <w:t>No increase in the maximum number of repeats may be authorised.</w:t>
            </w:r>
          </w:p>
        </w:tc>
      </w:tr>
      <w:tr w:rsidR="00C91E88" w:rsidRPr="00C91E88" w14:paraId="56329796" w14:textId="77777777" w:rsidTr="00C91E88">
        <w:trPr>
          <w:trHeight w:val="2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50D4F52B" w14:textId="77777777" w:rsidR="00C91E88" w:rsidRPr="00C91E88" w:rsidRDefault="00C91E88" w:rsidP="00C91E88">
            <w:pPr>
              <w:spacing w:line="256" w:lineRule="auto"/>
              <w:jc w:val="left"/>
              <w:rPr>
                <w:rFonts w:ascii="Arial Narrow" w:hAnsi="Arial Narrow" w:cs="Arial"/>
                <w:kern w:val="2"/>
                <w:sz w:val="20"/>
                <w:szCs w:val="20"/>
                <w14:ligatures w14:val="standardContextual"/>
              </w:rPr>
            </w:pPr>
          </w:p>
        </w:tc>
        <w:tc>
          <w:tcPr>
            <w:tcW w:w="92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CE4F29" w14:textId="5D4138BA" w:rsidR="00C91E88" w:rsidRPr="00C91E88" w:rsidRDefault="00C91E88" w:rsidP="00C91E88">
            <w:pPr>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BF97E2" w14:textId="77777777" w:rsidR="00C91E88" w:rsidRPr="00C91E88" w:rsidRDefault="00C91E88" w:rsidP="00C91E88">
            <w:pPr>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Administrative Advice: </w:t>
            </w:r>
            <w:r w:rsidRPr="00C91E88">
              <w:rPr>
                <w:rFonts w:ascii="Arial Narrow" w:hAnsi="Arial Narrow" w:cs="Arial"/>
                <w:bCs/>
                <w:kern w:val="2"/>
                <w:sz w:val="20"/>
                <w:szCs w:val="20"/>
                <w14:ligatures w14:val="standardContextual"/>
              </w:rPr>
              <w:t>Special Pricing Arrangements apply.</w:t>
            </w:r>
          </w:p>
        </w:tc>
      </w:tr>
      <w:tr w:rsidR="00C91E88" w:rsidRPr="00C91E88" w14:paraId="65E27E51" w14:textId="77777777">
        <w:trPr>
          <w:trHeight w:val="182"/>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DEE3134" w14:textId="77777777" w:rsidR="00C91E88" w:rsidRPr="00C91E88" w:rsidRDefault="00C91E88" w:rsidP="00C91E88">
            <w:pPr>
              <w:keepLines/>
              <w:rPr>
                <w:rFonts w:ascii="Arial Narrow" w:hAnsi="Arial Narrow" w:cs="Arial"/>
                <w:b/>
                <w:kern w:val="2"/>
                <w:sz w:val="20"/>
                <w:szCs w:val="20"/>
                <w14:ligatures w14:val="standardContextual"/>
              </w:rPr>
            </w:pPr>
            <w:r w:rsidRPr="00C91E88">
              <w:rPr>
                <w:rFonts w:ascii="Arial Narrow" w:hAnsi="Arial Narrow" w:cs="Arial"/>
                <w:b/>
                <w:kern w:val="2"/>
                <w:sz w:val="20"/>
                <w:szCs w:val="20"/>
                <w14:ligatures w14:val="standardContextual"/>
              </w:rPr>
              <w:t>Restriction Summary 15802 / Treatment of Concept: 15759</w:t>
            </w:r>
          </w:p>
        </w:tc>
      </w:tr>
      <w:tr w:rsidR="00C91E88" w:rsidRPr="00C91E88" w14:paraId="55EF9835"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14CEF4" w14:textId="2A2A257E"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544533"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Arial"/>
                <w:b/>
                <w:bCs/>
                <w:kern w:val="2"/>
                <w:sz w:val="20"/>
                <w:szCs w:val="20"/>
                <w14:ligatures w14:val="standardContextual"/>
              </w:rPr>
              <w:t>Indication:</w:t>
            </w:r>
            <w:r w:rsidRPr="00C91E88">
              <w:rPr>
                <w:rFonts w:ascii="Arial Narrow" w:hAnsi="Arial Narrow" w:cs="Arial"/>
                <w:kern w:val="2"/>
                <w:sz w:val="20"/>
                <w:szCs w:val="20"/>
                <w14:ligatures w14:val="standardContextual"/>
              </w:rPr>
              <w:t xml:space="preserve"> Stage IIIB (locally advanced) or Stage IV (metastatic) non-small cell lung cancer (NSCLC)</w:t>
            </w:r>
          </w:p>
        </w:tc>
      </w:tr>
      <w:tr w:rsidR="00C91E88" w:rsidRPr="00C91E88" w14:paraId="4383705D"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AF0B8F"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5B52C7"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 xml:space="preserve">Treatment Phase: </w:t>
            </w:r>
            <w:r w:rsidRPr="00C91E88">
              <w:rPr>
                <w:rFonts w:ascii="Arial Narrow" w:hAnsi="Arial Narrow" w:cs="Arial"/>
                <w:kern w:val="2"/>
                <w:sz w:val="20"/>
                <w:szCs w:val="20"/>
                <w14:ligatures w14:val="standardContextual"/>
              </w:rPr>
              <w:t>Initial treatment</w:t>
            </w:r>
          </w:p>
        </w:tc>
      </w:tr>
      <w:tr w:rsidR="00C91E88" w:rsidRPr="00C91E88" w14:paraId="541AFAA6"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7A71FC" w14:textId="77777777" w:rsidR="00C91E88" w:rsidRPr="00C91E88" w:rsidRDefault="00C91E88" w:rsidP="00C91E88">
            <w:pPr>
              <w:keepLines/>
              <w:jc w:val="center"/>
              <w:rPr>
                <w:rFonts w:ascii="Arial Narrow" w:hAnsi="Arial Narrow" w:cs="Arial"/>
                <w:i/>
                <w:iCs/>
                <w:color w:val="FF0000"/>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738DFE" w14:textId="77777777" w:rsidR="00C91E88" w:rsidRPr="00C91E88" w:rsidRDefault="00C91E88" w:rsidP="00C91E88">
            <w:pPr>
              <w:keepLines/>
              <w:rPr>
                <w:rFonts w:ascii="Arial Narrow" w:hAnsi="Arial Narrow" w:cs="Arial"/>
                <w:b/>
                <w:bCs/>
                <w:i/>
                <w:iCs/>
                <w:color w:val="FF0000"/>
                <w:kern w:val="2"/>
                <w:sz w:val="20"/>
                <w:szCs w:val="20"/>
                <w14:ligatures w14:val="standardContextual"/>
              </w:rPr>
            </w:pPr>
            <w:r w:rsidRPr="00C91E88">
              <w:rPr>
                <w:rFonts w:ascii="Arial Narrow" w:hAnsi="Arial Narrow" w:cs="Open Sans"/>
                <w:b/>
                <w:bCs/>
                <w:i/>
                <w:iCs/>
                <w:color w:val="FF0000"/>
                <w:kern w:val="2"/>
                <w:sz w:val="20"/>
                <w:szCs w:val="20"/>
                <w:bdr w:val="none" w:sz="0" w:space="0" w:color="auto" w:frame="1"/>
                <w14:ligatures w14:val="standardContextual"/>
              </w:rPr>
              <w:t>Clinical criteria:</w:t>
            </w:r>
          </w:p>
        </w:tc>
      </w:tr>
      <w:tr w:rsidR="00C91E88" w:rsidRPr="00C91E88" w14:paraId="6476591D"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2B2AB0" w14:textId="7BC49802" w:rsidR="00C91E88" w:rsidRPr="00C91E88" w:rsidRDefault="00C91E88" w:rsidP="00C91E88">
            <w:pPr>
              <w:keepLines/>
              <w:jc w:val="center"/>
              <w:rPr>
                <w:rFonts w:ascii="Arial Narrow" w:hAnsi="Arial Narrow" w:cs="Arial"/>
                <w:i/>
                <w:iCs/>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1165AD" w14:textId="77777777" w:rsidR="00C91E88" w:rsidRPr="00C91E88" w:rsidRDefault="00C91E88" w:rsidP="00C91E88">
            <w:pPr>
              <w:keepLines/>
              <w:rPr>
                <w:rFonts w:ascii="Arial Narrow" w:hAnsi="Arial Narrow" w:cs="Arial"/>
                <w:i/>
                <w:iCs/>
                <w:kern w:val="2"/>
                <w:sz w:val="20"/>
                <w:szCs w:val="20"/>
                <w14:ligatures w14:val="standardContextual"/>
              </w:rPr>
            </w:pPr>
            <w:r w:rsidRPr="00C91E88">
              <w:rPr>
                <w:rFonts w:ascii="Arial Narrow" w:hAnsi="Arial Narrow" w:cs="Arial"/>
                <w:i/>
                <w:iCs/>
                <w:color w:val="FF0000"/>
                <w:kern w:val="2"/>
                <w:sz w:val="20"/>
                <w:szCs w:val="20"/>
                <w14:ligatures w14:val="standardContextual"/>
              </w:rPr>
              <w:t>Patient must not have previously received PBS-subsidised treatment with alectinib as adjuvant therapy in resected NSCLC</w:t>
            </w:r>
          </w:p>
        </w:tc>
      </w:tr>
      <w:tr w:rsidR="00C91E88" w:rsidRPr="00C91E88" w14:paraId="7E6F3F4E"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45A160" w14:textId="77777777" w:rsidR="00C91E88" w:rsidRPr="00C91E88" w:rsidRDefault="00C91E88" w:rsidP="00C91E88">
            <w:pPr>
              <w:keepLines/>
              <w:jc w:val="center"/>
              <w:rPr>
                <w:rFonts w:ascii="Arial Narrow" w:hAnsi="Arial Narrow" w:cs="Arial"/>
                <w:i/>
                <w:iCs/>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4CB2AC" w14:textId="77777777" w:rsidR="00C91E88" w:rsidRPr="00C91E88" w:rsidRDefault="00C91E88" w:rsidP="00C91E88">
            <w:pPr>
              <w:keepLines/>
              <w:rPr>
                <w:rFonts w:ascii="Arial Narrow" w:hAnsi="Arial Narrow" w:cs="Arial"/>
                <w:b/>
                <w:bCs/>
                <w:i/>
                <w:iCs/>
                <w:kern w:val="2"/>
                <w:sz w:val="20"/>
                <w:szCs w:val="20"/>
                <w14:ligatures w14:val="standardContextual"/>
              </w:rPr>
            </w:pPr>
            <w:r w:rsidRPr="00C91E88">
              <w:rPr>
                <w:rFonts w:ascii="Arial Narrow" w:hAnsi="Arial Narrow" w:cs="Open Sans"/>
                <w:b/>
                <w:bCs/>
                <w:i/>
                <w:iCs/>
                <w:kern w:val="2"/>
                <w:sz w:val="20"/>
                <w:szCs w:val="20"/>
                <w:bdr w:val="none" w:sz="0" w:space="0" w:color="auto" w:frame="1"/>
                <w14:ligatures w14:val="standardContextual"/>
              </w:rPr>
              <w:t>AND</w:t>
            </w:r>
          </w:p>
        </w:tc>
      </w:tr>
      <w:tr w:rsidR="00C91E88" w:rsidRPr="00C91E88" w14:paraId="0204594A"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DC96D7" w14:textId="400890FE"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5936131"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Clinical criteria:</w:t>
            </w:r>
          </w:p>
        </w:tc>
      </w:tr>
      <w:tr w:rsidR="00C91E88" w:rsidRPr="00C91E88" w14:paraId="670DBCD2"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CF69CCE" w14:textId="64AC0969"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BEA5219" w14:textId="77777777" w:rsidR="00C91E88" w:rsidRPr="00C91E88" w:rsidRDefault="00C91E88" w:rsidP="00C91E88">
            <w:pPr>
              <w:keepLines/>
              <w:rPr>
                <w:rFonts w:ascii="Arial Narrow" w:hAnsi="Arial Narrow" w:cs="Open Sans"/>
                <w:strike/>
                <w:kern w:val="2"/>
                <w:sz w:val="20"/>
                <w:szCs w:val="20"/>
                <w14:ligatures w14:val="standardContextual"/>
              </w:rPr>
            </w:pPr>
            <w:r w:rsidRPr="00C91E88">
              <w:rPr>
                <w:rFonts w:ascii="Arial Narrow" w:hAnsi="Arial Narrow" w:cs="Open Sans"/>
                <w:strike/>
                <w:kern w:val="2"/>
                <w:sz w:val="20"/>
                <w:szCs w:val="20"/>
                <w14:ligatures w14:val="standardContextual"/>
              </w:rPr>
              <w:t>The treatment must be as monotherapy</w:t>
            </w:r>
          </w:p>
          <w:p w14:paraId="375C3298" w14:textId="77777777" w:rsidR="00C91E88" w:rsidRPr="00C91E88" w:rsidRDefault="00C91E88" w:rsidP="00C91E88">
            <w:pPr>
              <w:keepLines/>
              <w:rPr>
                <w:rFonts w:ascii="Arial Narrow" w:hAnsi="Arial Narrow" w:cs="Arial"/>
                <w:i/>
                <w:iCs/>
                <w:kern w:val="2"/>
                <w:sz w:val="20"/>
                <w:szCs w:val="20"/>
                <w14:ligatures w14:val="standardContextual"/>
              </w:rPr>
            </w:pPr>
            <w:r w:rsidRPr="00C91E88">
              <w:rPr>
                <w:rFonts w:ascii="Arial Narrow" w:hAnsi="Arial Narrow" w:cs="Arial"/>
                <w:i/>
                <w:iCs/>
                <w:color w:val="FF0000"/>
                <w:kern w:val="2"/>
                <w:sz w:val="20"/>
                <w:szCs w:val="20"/>
                <w14:ligatures w14:val="standardContextual"/>
              </w:rPr>
              <w:t>The treatment must be the sole PBS-subsidised systemic anti-cancer therapy for this condition</w:t>
            </w:r>
          </w:p>
        </w:tc>
      </w:tr>
      <w:tr w:rsidR="00C91E88" w:rsidRPr="00C91E88" w14:paraId="3ECF645E"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511A8B2"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81776C"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AND</w:t>
            </w:r>
          </w:p>
        </w:tc>
      </w:tr>
      <w:tr w:rsidR="00C91E88" w:rsidRPr="00C91E88" w14:paraId="0A8C6F5E"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54A46D6" w14:textId="36F1E147"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8C4DAA"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Clinical criteria:</w:t>
            </w:r>
          </w:p>
        </w:tc>
      </w:tr>
      <w:tr w:rsidR="00C91E88" w:rsidRPr="00C91E88" w14:paraId="5D750A90"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8991F52" w14:textId="00235CDD"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5537324"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Open Sans"/>
                <w:kern w:val="2"/>
                <w:sz w:val="20"/>
                <w:szCs w:val="20"/>
                <w14:ligatures w14:val="standardContextual"/>
              </w:rPr>
              <w:t>The condition must be non-squamous type non-small cell lung cancer (NSCLC) or not otherwise specified type NSCLC</w:t>
            </w:r>
          </w:p>
        </w:tc>
      </w:tr>
      <w:tr w:rsidR="00C91E88" w:rsidRPr="00C91E88" w14:paraId="47425DD6"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E231206"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277569B"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AND</w:t>
            </w:r>
          </w:p>
        </w:tc>
      </w:tr>
      <w:tr w:rsidR="00C91E88" w:rsidRPr="00C91E88" w14:paraId="0A7965FA"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16B94D" w14:textId="28DB6C43"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ACFA1A6"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Clinical criteria:</w:t>
            </w:r>
          </w:p>
        </w:tc>
      </w:tr>
      <w:tr w:rsidR="00C91E88" w:rsidRPr="00C91E88" w14:paraId="7A6F0633"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49E748" w14:textId="04D510D3"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3AAF97"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kern w:val="2"/>
                <w:sz w:val="20"/>
                <w:szCs w:val="20"/>
                <w14:ligatures w14:val="standardContextual"/>
              </w:rPr>
              <w:t>Patient must have a WHO performance status of 2 or less</w:t>
            </w:r>
          </w:p>
        </w:tc>
      </w:tr>
      <w:tr w:rsidR="00C91E88" w:rsidRPr="00C91E88" w14:paraId="54F7FB8A"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04DC446"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26F5AB8"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AND</w:t>
            </w:r>
          </w:p>
        </w:tc>
      </w:tr>
      <w:tr w:rsidR="00C91E88" w:rsidRPr="00C91E88" w14:paraId="4A6C9DEC"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879CDE6" w14:textId="7CF310E4"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3DCD88F"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Clinical criteria:</w:t>
            </w:r>
          </w:p>
        </w:tc>
      </w:tr>
      <w:tr w:rsidR="00C91E88" w:rsidRPr="00C91E88" w14:paraId="78E32EE4"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3F33483" w14:textId="13DBFB68"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4324DE5"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kern w:val="2"/>
                <w:sz w:val="20"/>
                <w:szCs w:val="20"/>
                <w14:ligatures w14:val="standardContextual"/>
              </w:rPr>
              <w:t>Patient must have evidence of an anaplastic lymphoma kinase (ALK) gene rearrangement in tumour material, defined as either: (i) 15% (or greater) positive cells by fluorescence in situ hybridisation (FISH) testing, (ii) positive next generation sequencing (NGS) testing</w:t>
            </w:r>
          </w:p>
        </w:tc>
      </w:tr>
      <w:tr w:rsidR="00C91E88" w:rsidRPr="00C91E88" w14:paraId="719FB960" w14:textId="77777777">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8AE5D4" w14:textId="77777777" w:rsidR="00C91E88" w:rsidRPr="00C91E88" w:rsidRDefault="00C91E88" w:rsidP="00C91E88">
            <w:pPr>
              <w:keepLines/>
              <w:rPr>
                <w:rFonts w:ascii="Arial Narrow" w:hAnsi="Arial Narrow" w:cs="Arial"/>
                <w:b/>
                <w:bCs/>
                <w:kern w:val="2"/>
                <w:sz w:val="20"/>
                <w:szCs w:val="20"/>
                <w14:ligatures w14:val="standardContextual"/>
              </w:rPr>
            </w:pPr>
          </w:p>
        </w:tc>
      </w:tr>
      <w:tr w:rsidR="00C91E88" w:rsidRPr="00C91E88" w14:paraId="29A457C7" w14:textId="77777777">
        <w:trPr>
          <w:cantSplit/>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7977D08"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Arial"/>
                <w:b/>
                <w:bCs/>
                <w:kern w:val="2"/>
                <w:sz w:val="20"/>
                <w:szCs w:val="20"/>
                <w14:ligatures w14:val="standardContextual"/>
              </w:rPr>
              <w:t>Restriction Summary 7346 / Treatment of Concept: 7346</w:t>
            </w:r>
          </w:p>
        </w:tc>
      </w:tr>
      <w:tr w:rsidR="00C91E88" w:rsidRPr="00C91E88" w14:paraId="7B906F39"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0C825CB" w14:textId="1F960683"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95E8E93" w14:textId="77777777" w:rsidR="00C91E88" w:rsidRPr="00C91E88" w:rsidRDefault="00C91E88" w:rsidP="00C91E88">
            <w:pPr>
              <w:jc w:val="left"/>
              <w:textAlignment w:val="baseline"/>
              <w:rPr>
                <w:rFonts w:ascii="Arial Narrow" w:hAnsi="Arial Narrow"/>
                <w:snapToGrid w:val="0"/>
                <w:kern w:val="2"/>
                <w:sz w:val="20"/>
                <w:szCs w:val="20"/>
                <w14:ligatures w14:val="standardContextual"/>
              </w:rPr>
            </w:pPr>
            <w:r w:rsidRPr="00C91E88">
              <w:rPr>
                <w:rFonts w:ascii="Arial Narrow" w:hAnsi="Arial Narrow" w:cs="Open Sans"/>
                <w:b/>
                <w:bCs/>
                <w:snapToGrid w:val="0"/>
                <w:kern w:val="2"/>
                <w:sz w:val="20"/>
                <w:szCs w:val="20"/>
                <w:bdr w:val="none" w:sz="0" w:space="0" w:color="auto" w:frame="1"/>
                <w14:ligatures w14:val="standardContextual"/>
              </w:rPr>
              <w:t xml:space="preserve">Indication: </w:t>
            </w:r>
            <w:r w:rsidRPr="00C91E88">
              <w:rPr>
                <w:rFonts w:ascii="Arial Narrow" w:hAnsi="Arial Narrow" w:cs="Open Sans"/>
                <w:snapToGrid w:val="0"/>
                <w:kern w:val="2"/>
                <w:sz w:val="20"/>
                <w:szCs w:val="20"/>
                <w14:ligatures w14:val="standardContextual"/>
              </w:rPr>
              <w:t>Stage IIIB (locally advanced) or Stage IV (metastatic) non-small cell lung cancer (NSCLC)</w:t>
            </w:r>
          </w:p>
        </w:tc>
      </w:tr>
      <w:tr w:rsidR="00C91E88" w:rsidRPr="00C91E88" w14:paraId="6C5F5A0F"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07C508"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1EB055" w14:textId="77777777" w:rsidR="00C91E88" w:rsidRPr="00C91E88" w:rsidRDefault="00C91E88" w:rsidP="00C91E88">
            <w:pPr>
              <w:jc w:val="left"/>
              <w:textAlignment w:val="baseline"/>
              <w:rPr>
                <w:rFonts w:ascii="Arial Narrow" w:hAnsi="Arial Narrow"/>
                <w:snapToGrid w:val="0"/>
                <w:kern w:val="2"/>
                <w:sz w:val="20"/>
                <w:szCs w:val="20"/>
                <w14:ligatures w14:val="standardContextual"/>
              </w:rPr>
            </w:pPr>
            <w:r w:rsidRPr="00C91E88">
              <w:rPr>
                <w:rFonts w:ascii="Arial Narrow" w:hAnsi="Arial Narrow" w:cs="Open Sans"/>
                <w:b/>
                <w:bCs/>
                <w:snapToGrid w:val="0"/>
                <w:kern w:val="2"/>
                <w:sz w:val="20"/>
                <w:szCs w:val="20"/>
                <w:bdr w:val="none" w:sz="0" w:space="0" w:color="auto" w:frame="1"/>
                <w14:ligatures w14:val="standardContextual"/>
              </w:rPr>
              <w:t xml:space="preserve">Treatment Phase: </w:t>
            </w:r>
            <w:r w:rsidRPr="00C91E88">
              <w:rPr>
                <w:rFonts w:ascii="Arial Narrow" w:hAnsi="Arial Narrow" w:cs="Open Sans"/>
                <w:snapToGrid w:val="0"/>
                <w:kern w:val="2"/>
                <w:sz w:val="20"/>
                <w:szCs w:val="20"/>
                <w14:ligatures w14:val="standardContextual"/>
              </w:rPr>
              <w:t>Continuing treatment</w:t>
            </w:r>
          </w:p>
        </w:tc>
      </w:tr>
      <w:tr w:rsidR="00C91E88" w:rsidRPr="00C91E88" w14:paraId="114DA417"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10EDF99" w14:textId="59848EE7" w:rsidR="00C91E88" w:rsidRPr="00C91E88" w:rsidRDefault="00C91E88" w:rsidP="00C91E88">
            <w:pPr>
              <w:keepLines/>
              <w:jc w:val="center"/>
              <w:rPr>
                <w:rFonts w:ascii="Arial Narrow" w:hAnsi="Arial Narrow" w:cs="Arial"/>
                <w:strike/>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2A4A4A8" w14:textId="77777777" w:rsidR="00C91E88" w:rsidRPr="00C91E88" w:rsidRDefault="00C91E88" w:rsidP="00C91E88">
            <w:pPr>
              <w:keepLines/>
              <w:rPr>
                <w:rFonts w:ascii="Arial Narrow" w:hAnsi="Arial Narrow" w:cs="Arial"/>
                <w:strike/>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Clinical criteria:</w:t>
            </w:r>
          </w:p>
        </w:tc>
      </w:tr>
      <w:tr w:rsidR="00C91E88" w:rsidRPr="00C91E88" w14:paraId="0BA43F19"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A4FA985" w14:textId="784592F7" w:rsidR="00C91E88" w:rsidRPr="00C91E88" w:rsidRDefault="00C91E88" w:rsidP="00C91E88">
            <w:pPr>
              <w:keepLines/>
              <w:jc w:val="center"/>
              <w:rPr>
                <w:rFonts w:ascii="Arial Narrow" w:hAnsi="Arial Narrow" w:cs="Arial"/>
                <w:strike/>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2702E4" w14:textId="77777777" w:rsidR="00C91E88" w:rsidRPr="00C91E88" w:rsidRDefault="00C91E88" w:rsidP="00C91E88">
            <w:pPr>
              <w:keepLines/>
              <w:rPr>
                <w:rFonts w:ascii="Arial Narrow" w:hAnsi="Arial Narrow" w:cs="Open Sans"/>
                <w:strike/>
                <w:kern w:val="2"/>
                <w:sz w:val="20"/>
                <w:szCs w:val="20"/>
                <w14:ligatures w14:val="standardContextual"/>
              </w:rPr>
            </w:pPr>
            <w:r w:rsidRPr="00C91E88">
              <w:rPr>
                <w:rFonts w:ascii="Arial Narrow" w:hAnsi="Arial Narrow" w:cs="Open Sans"/>
                <w:strike/>
                <w:kern w:val="2"/>
                <w:sz w:val="20"/>
                <w:szCs w:val="20"/>
                <w14:ligatures w14:val="standardContextual"/>
              </w:rPr>
              <w:t>The treatment must be as monotherapy</w:t>
            </w:r>
          </w:p>
          <w:p w14:paraId="5CA6F224" w14:textId="77777777" w:rsidR="00C91E88" w:rsidRPr="00C91E88" w:rsidRDefault="00C91E88" w:rsidP="00C91E88">
            <w:pPr>
              <w:keepLines/>
              <w:rPr>
                <w:rFonts w:ascii="Arial Narrow" w:hAnsi="Arial Narrow" w:cs="Arial"/>
                <w:strike/>
                <w:kern w:val="2"/>
                <w:sz w:val="20"/>
                <w:szCs w:val="20"/>
                <w14:ligatures w14:val="standardContextual"/>
              </w:rPr>
            </w:pPr>
            <w:r w:rsidRPr="00C91E88">
              <w:rPr>
                <w:rFonts w:ascii="Arial Narrow" w:hAnsi="Arial Narrow" w:cs="Arial"/>
                <w:i/>
                <w:iCs/>
                <w:color w:val="FF0000"/>
                <w:kern w:val="2"/>
                <w:sz w:val="20"/>
                <w:szCs w:val="20"/>
                <w14:ligatures w14:val="standardContextual"/>
              </w:rPr>
              <w:t>The treatment must be the sole PBS-subsidised systemic anti-cancer therapy for this condition</w:t>
            </w:r>
          </w:p>
        </w:tc>
      </w:tr>
      <w:tr w:rsidR="00C91E88" w:rsidRPr="00C91E88" w14:paraId="5E475C35"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7156AC3" w14:textId="77777777" w:rsidR="00C91E88" w:rsidRPr="00C91E88" w:rsidRDefault="00C91E88" w:rsidP="00C91E88">
            <w:pPr>
              <w:keepLines/>
              <w:jc w:val="center"/>
              <w:rPr>
                <w:rFonts w:ascii="Arial Narrow" w:hAnsi="Arial Narrow" w:cs="Arial"/>
                <w:strike/>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BAD9C05" w14:textId="77777777" w:rsidR="00C91E88" w:rsidRPr="00C91E88" w:rsidRDefault="00C91E88" w:rsidP="00C91E88">
            <w:pPr>
              <w:keepLines/>
              <w:rPr>
                <w:rFonts w:ascii="Arial Narrow" w:hAnsi="Arial Narrow" w:cs="Arial"/>
                <w:strike/>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AND</w:t>
            </w:r>
          </w:p>
        </w:tc>
      </w:tr>
      <w:tr w:rsidR="00C91E88" w:rsidRPr="00C91E88" w14:paraId="062F2511"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2A948C6" w14:textId="202412E1"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59C6DE"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Clinical criteria:</w:t>
            </w:r>
          </w:p>
        </w:tc>
      </w:tr>
      <w:tr w:rsidR="00C91E88" w:rsidRPr="00C91E88" w14:paraId="1EF7BCC8"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9785027" w14:textId="2EE81D2F"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7A7E48D" w14:textId="45983E24"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kern w:val="2"/>
                <w:sz w:val="20"/>
                <w:szCs w:val="20"/>
                <w14:ligatures w14:val="standardContextual"/>
              </w:rPr>
              <w:t xml:space="preserve">Patient must have previously received PBS-subsidised treatment with this drug for this </w:t>
            </w:r>
            <w:r w:rsidRPr="00C91E88">
              <w:rPr>
                <w:rFonts w:ascii="Arial Narrow" w:hAnsi="Arial Narrow" w:cs="Open Sans"/>
                <w:strike/>
                <w:kern w:val="2"/>
                <w:sz w:val="20"/>
                <w:szCs w:val="20"/>
                <w14:ligatures w14:val="standardContextual"/>
              </w:rPr>
              <w:t xml:space="preserve">condition </w:t>
            </w:r>
            <w:r w:rsidRPr="00C91E88">
              <w:rPr>
                <w:rFonts w:ascii="Arial Narrow" w:hAnsi="Arial Narrow" w:cs="Open Sans"/>
                <w:i/>
                <w:iCs/>
                <w:color w:val="FF0000"/>
                <w:kern w:val="2"/>
                <w:sz w:val="20"/>
                <w:szCs w:val="20"/>
                <w14:ligatures w14:val="standardContextual"/>
              </w:rPr>
              <w:t>indication</w:t>
            </w:r>
            <w:r>
              <w:rPr>
                <w:rFonts w:ascii="Arial Narrow" w:hAnsi="Arial Narrow" w:cs="Open Sans"/>
                <w:i/>
                <w:iCs/>
                <w:color w:val="FF0000"/>
                <w:kern w:val="2"/>
                <w:sz w:val="20"/>
                <w:szCs w:val="20"/>
                <w14:ligatures w14:val="standardContextual"/>
              </w:rPr>
              <w:t xml:space="preserve"> (i.e. for s</w:t>
            </w:r>
            <w:r w:rsidRPr="00C91E88">
              <w:rPr>
                <w:rFonts w:ascii="Arial Narrow" w:hAnsi="Arial Narrow" w:cs="Open Sans"/>
                <w:i/>
                <w:iCs/>
                <w:color w:val="FF0000"/>
                <w:kern w:val="2"/>
                <w:sz w:val="20"/>
                <w:szCs w:val="20"/>
                <w14:ligatures w14:val="standardContextual"/>
              </w:rPr>
              <w:t>tage IIIB</w:t>
            </w:r>
            <w:r>
              <w:rPr>
                <w:rFonts w:ascii="Arial Narrow" w:hAnsi="Arial Narrow" w:cs="Open Sans"/>
                <w:i/>
                <w:iCs/>
                <w:color w:val="FF0000"/>
                <w:kern w:val="2"/>
                <w:sz w:val="20"/>
                <w:szCs w:val="20"/>
                <w14:ligatures w14:val="standardContextual"/>
              </w:rPr>
              <w:t>/IV NSCLC</w:t>
            </w:r>
            <w:r w:rsidRPr="00C91E88">
              <w:rPr>
                <w:rFonts w:ascii="Arial Narrow" w:hAnsi="Arial Narrow" w:cs="Open Sans"/>
                <w:i/>
                <w:iCs/>
                <w:color w:val="FF0000"/>
                <w:kern w:val="2"/>
                <w:sz w:val="20"/>
                <w:szCs w:val="20"/>
                <w14:ligatures w14:val="standardContextual"/>
              </w:rPr>
              <w:t>)</w:t>
            </w:r>
          </w:p>
        </w:tc>
      </w:tr>
      <w:tr w:rsidR="00C91E88" w:rsidRPr="00C91E88" w14:paraId="503C5570"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120A0B" w14:textId="77777777"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C18031D"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AND</w:t>
            </w:r>
          </w:p>
        </w:tc>
      </w:tr>
      <w:tr w:rsidR="00C91E88" w:rsidRPr="00C91E88" w14:paraId="0DCC1B20"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5A684BA" w14:textId="19B4508B"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03EA1A5" w14:textId="77777777" w:rsidR="00C91E88" w:rsidRPr="00C91E88" w:rsidRDefault="00C91E88" w:rsidP="00C91E88">
            <w:pPr>
              <w:keepLines/>
              <w:rPr>
                <w:rFonts w:ascii="Arial Narrow" w:hAnsi="Arial Narrow" w:cs="Arial"/>
                <w:kern w:val="2"/>
                <w:sz w:val="20"/>
                <w:szCs w:val="20"/>
                <w14:ligatures w14:val="standardContextual"/>
              </w:rPr>
            </w:pPr>
            <w:r w:rsidRPr="00C91E88">
              <w:rPr>
                <w:rFonts w:ascii="Arial Narrow" w:hAnsi="Arial Narrow" w:cs="Open Sans"/>
                <w:b/>
                <w:bCs/>
                <w:kern w:val="2"/>
                <w:sz w:val="20"/>
                <w:szCs w:val="20"/>
                <w:bdr w:val="none" w:sz="0" w:space="0" w:color="auto" w:frame="1"/>
                <w14:ligatures w14:val="standardContextual"/>
              </w:rPr>
              <w:t>Clinical criteria:</w:t>
            </w:r>
          </w:p>
        </w:tc>
      </w:tr>
      <w:tr w:rsidR="00C91E88" w:rsidRPr="00C91E88" w14:paraId="04410B7E"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39487B" w14:textId="22A79DD2" w:rsidR="00C91E88" w:rsidRPr="00C91E88" w:rsidRDefault="00C91E88" w:rsidP="00C91E88">
            <w:pPr>
              <w:keepLines/>
              <w:jc w:val="center"/>
              <w:rPr>
                <w:rFonts w:ascii="Arial Narrow" w:hAnsi="Arial Narrow" w:cs="Arial"/>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29E76D1" w14:textId="77777777" w:rsidR="00C91E88" w:rsidRPr="00C91E88" w:rsidRDefault="00C91E88" w:rsidP="00C91E88">
            <w:pPr>
              <w:keepLines/>
              <w:rPr>
                <w:rFonts w:ascii="Arial Narrow" w:hAnsi="Arial Narrow" w:cs="Arial"/>
                <w:b/>
                <w:bCs/>
                <w:kern w:val="2"/>
                <w:sz w:val="20"/>
                <w:szCs w:val="20"/>
                <w14:ligatures w14:val="standardContextual"/>
              </w:rPr>
            </w:pPr>
            <w:r w:rsidRPr="00C91E88">
              <w:rPr>
                <w:rFonts w:ascii="Arial Narrow" w:hAnsi="Arial Narrow" w:cs="Open Sans"/>
                <w:kern w:val="2"/>
                <w:sz w:val="20"/>
                <w:szCs w:val="20"/>
                <w14:ligatures w14:val="standardContextual"/>
              </w:rPr>
              <w:t>Patient must not develop disease progression while receiving PBS-subsidised treatment with this drug for this condition</w:t>
            </w:r>
          </w:p>
        </w:tc>
      </w:tr>
      <w:tr w:rsidR="00C91E88" w:rsidRPr="00C91E88" w14:paraId="628F5F2C" w14:textId="77777777">
        <w:trPr>
          <w:cantSplit/>
          <w:trHeight w:val="20"/>
        </w:trPr>
        <w:tc>
          <w:tcPr>
            <w:tcW w:w="14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AB844AD" w14:textId="77777777" w:rsidR="00C91E88" w:rsidRPr="00C91E88" w:rsidRDefault="00C91E88" w:rsidP="00C91E88">
            <w:pPr>
              <w:keepLines/>
              <w:jc w:val="center"/>
              <w:rPr>
                <w:rFonts w:ascii="Arial Narrow" w:hAnsi="Arial Narrow" w:cs="Open Sans"/>
                <w:kern w:val="2"/>
                <w:sz w:val="20"/>
                <w:szCs w:val="20"/>
                <w14:ligatures w14:val="standardContextual"/>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2F45A3" w14:textId="77777777" w:rsidR="00C91E88" w:rsidRPr="00C91E88" w:rsidRDefault="00C91E88" w:rsidP="00C91E88">
            <w:pPr>
              <w:keepLines/>
              <w:rPr>
                <w:rFonts w:ascii="Arial Narrow" w:hAnsi="Arial Narrow" w:cs="Open Sans"/>
                <w:kern w:val="2"/>
                <w:sz w:val="20"/>
                <w:szCs w:val="20"/>
                <w14:ligatures w14:val="standardContextual"/>
              </w:rPr>
            </w:pPr>
          </w:p>
        </w:tc>
      </w:tr>
    </w:tbl>
    <w:p w14:paraId="01768328" w14:textId="77777777" w:rsidR="00C91E88" w:rsidRDefault="00C91E88" w:rsidP="006A3F0D">
      <w:pPr>
        <w:rPr>
          <w:rFonts w:asciiTheme="minorHAnsi" w:hAnsiTheme="minorHAnsi" w:cstheme="minorHAnsi"/>
        </w:rPr>
      </w:pPr>
    </w:p>
    <w:p w14:paraId="569D580E" w14:textId="44F93787" w:rsidR="00C91E88" w:rsidRPr="00C91E88" w:rsidRDefault="00C91E88" w:rsidP="001E4EDA">
      <w:pPr>
        <w:pStyle w:val="3-BodyText"/>
      </w:pPr>
      <w:r>
        <w:t>No flow-on changes to any other ALK-TKIs advanced or metastatic setting.</w:t>
      </w:r>
    </w:p>
    <w:p w14:paraId="04F25E6F" w14:textId="77777777" w:rsidR="00AC0A1C" w:rsidRDefault="00AC0A1C" w:rsidP="006A3F0D">
      <w:pPr>
        <w:rPr>
          <w:rFonts w:asciiTheme="minorHAnsi" w:hAnsiTheme="minorHAnsi" w:cstheme="minorHAnsi"/>
          <w:b/>
          <w:bCs/>
          <w:i/>
          <w:iCs/>
        </w:rPr>
      </w:pPr>
    </w:p>
    <w:p w14:paraId="29F0EF7A" w14:textId="5A29574D" w:rsidR="00170C4D" w:rsidRDefault="00AC0A1C" w:rsidP="00A43152">
      <w:pPr>
        <w:rPr>
          <w:rFonts w:asciiTheme="minorHAnsi" w:hAnsiTheme="minorHAnsi" w:cstheme="minorHAnsi"/>
          <w:b/>
          <w:bCs/>
          <w:i/>
          <w:iCs/>
        </w:rPr>
      </w:pPr>
      <w:r w:rsidRPr="00AC0A1C">
        <w:rPr>
          <w:rFonts w:asciiTheme="minorHAnsi" w:hAnsiTheme="minorHAnsi" w:cstheme="minorHAnsi"/>
          <w:b/>
          <w:bCs/>
          <w:i/>
          <w:iCs/>
        </w:rPr>
        <w:t>These restrictions may be subject to further review. Should there be any changes made to the restriction the sponsor will be informed.</w:t>
      </w:r>
    </w:p>
    <w:p w14:paraId="4093FB91" w14:textId="69AE30F0" w:rsidR="00026081" w:rsidRPr="00026081" w:rsidRDefault="00026081" w:rsidP="00026081">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7</w:t>
      </w:r>
      <w:r w:rsidRPr="00026081">
        <w:rPr>
          <w:rFonts w:asciiTheme="minorHAnsi" w:hAnsiTheme="minorHAnsi" w:cs="Arial"/>
          <w:b/>
          <w:snapToGrid w:val="0"/>
          <w:sz w:val="32"/>
          <w:szCs w:val="32"/>
          <w:lang w:eastAsia="en-US"/>
        </w:rPr>
        <w:tab/>
        <w:t>Context for Decision</w:t>
      </w:r>
    </w:p>
    <w:p w14:paraId="0826AE77" w14:textId="77777777" w:rsidR="00026081" w:rsidRPr="00026081" w:rsidRDefault="00026081" w:rsidP="00026081">
      <w:pPr>
        <w:spacing w:after="120"/>
        <w:ind w:left="720"/>
        <w:rPr>
          <w:rFonts w:cs="Calibri"/>
          <w:bCs/>
          <w:szCs w:val="22"/>
          <w:lang w:val="en-GB"/>
        </w:rPr>
      </w:pPr>
      <w:r w:rsidRPr="00026081">
        <w:rPr>
          <w:rFonts w:cs="Calibri"/>
          <w:bCs/>
          <w:szCs w:val="22"/>
          <w:lang w:val="en-GB"/>
        </w:rPr>
        <w:t xml:space="preserve">The PBAC helps decide whether and, if so, how medicines should be subsidised through the Pharmaceutical Benefits Scheme (PBS) in Australia. It considers </w:t>
      </w:r>
      <w:r w:rsidRPr="00026081">
        <w:rPr>
          <w:rFonts w:cs="Calibri"/>
          <w:bCs/>
          <w:szCs w:val="22"/>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FFB4F7" w14:textId="5B40BA9E" w:rsidR="00026081" w:rsidRPr="00026081" w:rsidRDefault="00026081" w:rsidP="00026081">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9</w:t>
      </w:r>
      <w:r w:rsidRPr="00026081">
        <w:rPr>
          <w:rFonts w:asciiTheme="minorHAnsi" w:hAnsiTheme="minorHAnsi" w:cs="Arial"/>
          <w:b/>
          <w:snapToGrid w:val="0"/>
          <w:sz w:val="32"/>
          <w:szCs w:val="32"/>
          <w:lang w:eastAsia="en-US"/>
        </w:rPr>
        <w:tab/>
        <w:t>Sponsor’s Comment</w:t>
      </w:r>
    </w:p>
    <w:p w14:paraId="123BB29A" w14:textId="77777777" w:rsidR="006714A3" w:rsidRPr="006714A3" w:rsidRDefault="006714A3" w:rsidP="004828A2">
      <w:pPr>
        <w:ind w:left="720"/>
        <w:rPr>
          <w:rFonts w:cs="Calibri"/>
          <w:bCs/>
          <w:szCs w:val="22"/>
          <w:lang w:eastAsia="en-US"/>
        </w:rPr>
      </w:pPr>
      <w:r w:rsidRPr="006714A3">
        <w:rPr>
          <w:rFonts w:cs="Calibri"/>
          <w:bCs/>
          <w:szCs w:val="22"/>
          <w:lang w:eastAsia="en-US"/>
        </w:rPr>
        <w:t xml:space="preserve">Roche welcomes the PBAC's recommendation that alectinib, as adjuvant treatment, may be followed by use of another ALK TKI in the locally advanced/metastatic setting and is committed to finalising the listing to ensure subsidised patient access at the earliest opportunity. </w:t>
      </w:r>
    </w:p>
    <w:p w14:paraId="173F7E29" w14:textId="77777777" w:rsidR="006714A3" w:rsidRPr="006714A3" w:rsidRDefault="006714A3" w:rsidP="006714A3">
      <w:pPr>
        <w:ind w:firstLine="720"/>
        <w:rPr>
          <w:rFonts w:cs="Calibri"/>
          <w:bCs/>
          <w:szCs w:val="22"/>
          <w:lang w:eastAsia="en-US"/>
        </w:rPr>
      </w:pPr>
    </w:p>
    <w:p w14:paraId="24C31407" w14:textId="5B7BCA3C" w:rsidR="006714A3" w:rsidRDefault="006714A3" w:rsidP="004828A2">
      <w:pPr>
        <w:ind w:left="720"/>
        <w:rPr>
          <w:rFonts w:cs="Calibri"/>
          <w:bCs/>
          <w:szCs w:val="22"/>
          <w:lang w:eastAsia="en-US"/>
        </w:rPr>
      </w:pPr>
      <w:r w:rsidRPr="006714A3">
        <w:rPr>
          <w:rFonts w:cs="Calibri"/>
          <w:bCs/>
          <w:szCs w:val="22"/>
          <w:lang w:eastAsia="en-US"/>
        </w:rPr>
        <w:t>We extend our sincere thanks to ALK Positive Australia and the MOGA for their vital input regarding re-treatment, which successfully addressed critical clinical rationale and patient equity concerns.</w:t>
      </w:r>
    </w:p>
    <w:p w14:paraId="19E5CC13" w14:textId="77777777" w:rsidR="006714A3" w:rsidRDefault="006714A3" w:rsidP="006714A3">
      <w:pPr>
        <w:ind w:firstLine="720"/>
        <w:rPr>
          <w:rFonts w:cs="Calibri"/>
          <w:bCs/>
          <w:szCs w:val="22"/>
          <w:lang w:eastAsia="en-US"/>
        </w:rPr>
      </w:pPr>
    </w:p>
    <w:p w14:paraId="3ADCBDAD" w14:textId="6542B289" w:rsidR="006714A3" w:rsidRDefault="006714A3" w:rsidP="004828A2">
      <w:pPr>
        <w:ind w:left="720"/>
        <w:rPr>
          <w:rFonts w:cs="Calibri"/>
          <w:bCs/>
          <w:szCs w:val="22"/>
          <w:lang w:eastAsia="en-US"/>
        </w:rPr>
      </w:pPr>
      <w:r w:rsidRPr="006714A3">
        <w:rPr>
          <w:rFonts w:cs="Calibri"/>
          <w:bCs/>
          <w:szCs w:val="22"/>
          <w:lang w:eastAsia="en-US"/>
        </w:rPr>
        <w:t>Roche sees significant value in how this outcome was achieved with open, constructive dialogue. For future outcomes, we support establishing more responsive collaborative frameworks to minimise the delay in timely access for patients.</w:t>
      </w:r>
    </w:p>
    <w:p w14:paraId="651DA2BF" w14:textId="77777777" w:rsidR="006714A3" w:rsidRDefault="006714A3" w:rsidP="006714A3">
      <w:pPr>
        <w:ind w:firstLine="720"/>
        <w:rPr>
          <w:rFonts w:cs="Calibri"/>
          <w:bCs/>
          <w:szCs w:val="22"/>
          <w:lang w:eastAsia="en-US"/>
        </w:rPr>
      </w:pPr>
    </w:p>
    <w:p w14:paraId="302819D2" w14:textId="77777777" w:rsidR="006714A3" w:rsidRDefault="006714A3" w:rsidP="006714A3">
      <w:pPr>
        <w:ind w:firstLine="720"/>
        <w:rPr>
          <w:rFonts w:cs="Calibri"/>
          <w:bCs/>
          <w:szCs w:val="22"/>
          <w:lang w:eastAsia="en-US"/>
        </w:rPr>
      </w:pPr>
    </w:p>
    <w:p w14:paraId="372A7A25" w14:textId="54C40F51" w:rsidR="00026081" w:rsidRDefault="00026081" w:rsidP="006714A3">
      <w:pPr>
        <w:ind w:firstLine="720"/>
        <w:rPr>
          <w:rFonts w:asciiTheme="minorHAnsi" w:hAnsiTheme="minorHAnsi" w:cs="Arial"/>
          <w:b/>
          <w:i/>
          <w:snapToGrid w:val="0"/>
          <w:sz w:val="28"/>
          <w:szCs w:val="28"/>
        </w:rPr>
      </w:pPr>
    </w:p>
    <w:sectPr w:rsidR="00026081"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A240" w14:textId="77777777" w:rsidR="00A16FE5" w:rsidRDefault="00A16FE5">
      <w:r>
        <w:separator/>
      </w:r>
    </w:p>
    <w:p w14:paraId="12285C2D" w14:textId="77777777" w:rsidR="00A16FE5" w:rsidRDefault="00A16FE5"/>
  </w:endnote>
  <w:endnote w:type="continuationSeparator" w:id="0">
    <w:p w14:paraId="06C9ABE1" w14:textId="77777777" w:rsidR="00A16FE5" w:rsidRDefault="00A16FE5">
      <w:r>
        <w:continuationSeparator/>
      </w:r>
    </w:p>
    <w:p w14:paraId="01D3832D" w14:textId="77777777" w:rsidR="00A16FE5" w:rsidRDefault="00A16FE5"/>
  </w:endnote>
  <w:endnote w:type="continuationNotice" w:id="1">
    <w:p w14:paraId="2624CB57" w14:textId="77777777" w:rsidR="00A16FE5" w:rsidRDefault="00A16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1AA7E1D2" w:rsidR="009C26AA" w:rsidRPr="005A3173" w:rsidRDefault="00375711"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75653" behindDoc="0" locked="0" layoutInCell="1" allowOverlap="1" wp14:anchorId="358EE29F" wp14:editId="5EA30BA5">
                    <wp:simplePos x="635" y="635"/>
                    <wp:positionH relativeFrom="page">
                      <wp:align>center</wp:align>
                    </wp:positionH>
                    <wp:positionV relativeFrom="page">
                      <wp:align>bottom</wp:align>
                    </wp:positionV>
                    <wp:extent cx="622300" cy="376555"/>
                    <wp:effectExtent l="0" t="0" r="6350" b="0"/>
                    <wp:wrapNone/>
                    <wp:docPr id="17141005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9017BC" w14:textId="02EB36CE"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8EE29F" id="_x0000_t202" coordsize="21600,21600" o:spt="202" path="m,l,21600r21600,l21600,xe">
                    <v:stroke joinstyle="miter"/>
                    <v:path gradientshapeok="t" o:connecttype="rect"/>
                  </v:shapetype>
                  <v:shape id="Text Box 23" o:spid="_x0000_s1028" type="#_x0000_t202" alt="OFFICIAL" style="position:absolute;left:0;text-align:left;margin-left:0;margin-top:0;width:49pt;height:29.65pt;z-index:2516756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09017BC" w14:textId="02EB36CE"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48D5A02C"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75711">
      <w:rPr>
        <w:rStyle w:val="PageNumber"/>
      </w:rPr>
      <w:fldChar w:fldCharType="separate"/>
    </w:r>
    <w:r w:rsidR="00375711">
      <w:rPr>
        <w:rStyle w:val="PageNumber"/>
        <w:noProof/>
      </w:rPr>
      <w:t>1</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6DCE73F0" w:rsidR="009C26AA" w:rsidRPr="00D429EC" w:rsidRDefault="00375711"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76677" behindDoc="0" locked="0" layoutInCell="1" allowOverlap="1" wp14:anchorId="2442B194" wp14:editId="15A1591F">
              <wp:simplePos x="635" y="635"/>
              <wp:positionH relativeFrom="page">
                <wp:align>center</wp:align>
              </wp:positionH>
              <wp:positionV relativeFrom="page">
                <wp:align>bottom</wp:align>
              </wp:positionV>
              <wp:extent cx="622300" cy="376555"/>
              <wp:effectExtent l="0" t="0" r="6350" b="0"/>
              <wp:wrapNone/>
              <wp:docPr id="46719318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5F2215" w14:textId="18AB80E2"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2B194" id="_x0000_t202" coordsize="21600,21600" o:spt="202" path="m,l,21600r21600,l21600,xe">
              <v:stroke joinstyle="miter"/>
              <v:path gradientshapeok="t" o:connecttype="rect"/>
            </v:shapetype>
            <v:shape id="Text Box 24" o:spid="_x0000_s1029" type="#_x0000_t202" alt="OFFICIAL" style="position:absolute;left:0;text-align:left;margin-left:0;margin-top:0;width:49pt;height:29.65pt;z-index:2516766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C5F2215" w14:textId="18AB80E2"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513F" w14:textId="5ED1AE25" w:rsidR="003961AD" w:rsidRDefault="00375711">
    <w:pPr>
      <w:pStyle w:val="Footer"/>
    </w:pPr>
    <w:r>
      <w:rPr>
        <w:noProof/>
      </w:rPr>
      <mc:AlternateContent>
        <mc:Choice Requires="wps">
          <w:drawing>
            <wp:anchor distT="0" distB="0" distL="0" distR="0" simplePos="0" relativeHeight="251674629" behindDoc="0" locked="0" layoutInCell="1" allowOverlap="1" wp14:anchorId="2D12B056" wp14:editId="460EA8A0">
              <wp:simplePos x="635" y="635"/>
              <wp:positionH relativeFrom="page">
                <wp:align>center</wp:align>
              </wp:positionH>
              <wp:positionV relativeFrom="page">
                <wp:align>bottom</wp:align>
              </wp:positionV>
              <wp:extent cx="622300" cy="376555"/>
              <wp:effectExtent l="0" t="0" r="6350" b="0"/>
              <wp:wrapNone/>
              <wp:docPr id="138960405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16DBAE" w14:textId="3BF68CFC"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2B056" id="_x0000_t202" coordsize="21600,21600" o:spt="202" path="m,l,21600r21600,l21600,xe">
              <v:stroke joinstyle="miter"/>
              <v:path gradientshapeok="t" o:connecttype="rect"/>
            </v:shapetype>
            <v:shape id="Text Box 22" o:spid="_x0000_s1031" type="#_x0000_t202" alt="OFFICIAL" style="position:absolute;left:0;text-align:left;margin-left:0;margin-top:0;width:49pt;height:29.65pt;z-index:2516746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416DBAE" w14:textId="3BF68CFC"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359E" w14:textId="77777777" w:rsidR="00A16FE5" w:rsidRDefault="00A16FE5">
      <w:r>
        <w:separator/>
      </w:r>
    </w:p>
    <w:p w14:paraId="073DD2E2" w14:textId="77777777" w:rsidR="00A16FE5" w:rsidRDefault="00A16FE5"/>
  </w:footnote>
  <w:footnote w:type="continuationSeparator" w:id="0">
    <w:p w14:paraId="63BD8A3E" w14:textId="77777777" w:rsidR="00A16FE5" w:rsidRDefault="00A16FE5">
      <w:r>
        <w:continuationSeparator/>
      </w:r>
    </w:p>
    <w:p w14:paraId="796D4995" w14:textId="77777777" w:rsidR="00A16FE5" w:rsidRDefault="00A16FE5"/>
  </w:footnote>
  <w:footnote w:type="continuationNotice" w:id="1">
    <w:p w14:paraId="2FCA3E45" w14:textId="77777777" w:rsidR="00A16FE5" w:rsidRDefault="00A16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200E1560" w:rsidR="009C26AA" w:rsidRPr="00A06225" w:rsidRDefault="00375711">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72581" behindDoc="0" locked="0" layoutInCell="1" allowOverlap="1" wp14:anchorId="5756D638" wp14:editId="7B0F36DB">
                    <wp:simplePos x="635" y="635"/>
                    <wp:positionH relativeFrom="page">
                      <wp:align>center</wp:align>
                    </wp:positionH>
                    <wp:positionV relativeFrom="page">
                      <wp:align>top</wp:align>
                    </wp:positionV>
                    <wp:extent cx="622300" cy="376555"/>
                    <wp:effectExtent l="0" t="0" r="6350" b="4445"/>
                    <wp:wrapNone/>
                    <wp:docPr id="52622002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C05F7D" w14:textId="701C33E5"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56D638" id="_x0000_t202" coordsize="21600,21600" o:spt="202" path="m,l,21600r21600,l21600,xe">
                    <v:stroke joinstyle="miter"/>
                    <v:path gradientshapeok="t" o:connecttype="rect"/>
                  </v:shapetype>
                  <v:shape id="Text Box 20" o:spid="_x0000_s1026" type="#_x0000_t202" alt="OFFICIAL" style="position:absolute;left:0;text-align:left;margin-left:0;margin-top:0;width:49pt;height:29.65pt;z-index:2516725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5C05F7D" w14:textId="701C33E5"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6B680060" w:rsidR="00C56D78" w:rsidRPr="00C56D78" w:rsidRDefault="00375711"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73605" behindDoc="0" locked="0" layoutInCell="1" allowOverlap="1" wp14:anchorId="0FE35405" wp14:editId="00FBD57C">
              <wp:simplePos x="635" y="635"/>
              <wp:positionH relativeFrom="page">
                <wp:align>center</wp:align>
              </wp:positionH>
              <wp:positionV relativeFrom="page">
                <wp:align>top</wp:align>
              </wp:positionV>
              <wp:extent cx="622300" cy="376555"/>
              <wp:effectExtent l="0" t="0" r="6350" b="4445"/>
              <wp:wrapNone/>
              <wp:docPr id="1847712389"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2BB74B" w14:textId="2A23A605"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E35405" id="_x0000_t202" coordsize="21600,21600" o:spt="202" path="m,l,21600r21600,l21600,xe">
              <v:stroke joinstyle="miter"/>
              <v:path gradientshapeok="t" o:connecttype="rect"/>
            </v:shapetype>
            <v:shape id="Text Box 21" o:spid="_x0000_s1027" type="#_x0000_t202" alt="OFFICIAL" style="position:absolute;left:0;text-align:left;margin-left:0;margin-top:0;width:49pt;height:29.65pt;z-index:2516736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A2BB74B" w14:textId="2A23A605"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v:textbox>
              <w10:wrap anchorx="page" anchory="page"/>
            </v:shape>
          </w:pict>
        </mc:Fallback>
      </mc:AlternateContent>
    </w:r>
    <w:r w:rsidR="002D429B">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 </w:t>
    </w:r>
    <w:r w:rsidR="009C2F7B">
      <w:rPr>
        <w:rFonts w:asciiTheme="minorHAnsi" w:eastAsiaTheme="minorEastAsia" w:hAnsiTheme="minorHAnsi" w:cstheme="minorHAnsi"/>
        <w:i/>
        <w:color w:val="808080"/>
      </w:rPr>
      <w:t>March 2026</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4EE5" w14:textId="1857080D" w:rsidR="003961AD" w:rsidRDefault="00375711">
    <w:pPr>
      <w:pStyle w:val="Header"/>
    </w:pPr>
    <w:r>
      <w:rPr>
        <w:noProof/>
      </w:rPr>
      <mc:AlternateContent>
        <mc:Choice Requires="wps">
          <w:drawing>
            <wp:anchor distT="0" distB="0" distL="0" distR="0" simplePos="0" relativeHeight="251671557" behindDoc="0" locked="0" layoutInCell="1" allowOverlap="1" wp14:anchorId="5DDCA2BA" wp14:editId="396AE8E7">
              <wp:simplePos x="635" y="635"/>
              <wp:positionH relativeFrom="page">
                <wp:align>center</wp:align>
              </wp:positionH>
              <wp:positionV relativeFrom="page">
                <wp:align>top</wp:align>
              </wp:positionV>
              <wp:extent cx="622300" cy="376555"/>
              <wp:effectExtent l="0" t="0" r="6350" b="4445"/>
              <wp:wrapNone/>
              <wp:docPr id="421095178"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662FF5" w14:textId="1A4AB23B"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DCA2BA" id="_x0000_t202" coordsize="21600,21600" o:spt="202" path="m,l,21600r21600,l21600,xe">
              <v:stroke joinstyle="miter"/>
              <v:path gradientshapeok="t" o:connecttype="rect"/>
            </v:shapetype>
            <v:shape id="Text Box 19" o:spid="_x0000_s1030" type="#_x0000_t202" alt="OFFICIAL" style="position:absolute;left:0;text-align:left;margin-left:0;margin-top:0;width:49pt;height:29.65pt;z-index:2516715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B662FF5" w14:textId="1A4AB23B" w:rsidR="00375711" w:rsidRPr="00375711" w:rsidRDefault="00375711" w:rsidP="00375711">
                    <w:pPr>
                      <w:rPr>
                        <w:rFonts w:ascii="Aptos" w:eastAsia="Aptos" w:hAnsi="Aptos" w:cs="Aptos"/>
                        <w:noProof/>
                        <w:color w:val="FF0000"/>
                      </w:rPr>
                    </w:pPr>
                    <w:r w:rsidRPr="0037571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2B21A5C"/>
    <w:multiLevelType w:val="hybridMultilevel"/>
    <w:tmpl w:val="E2ACA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4D033C"/>
    <w:multiLevelType w:val="multilevel"/>
    <w:tmpl w:val="C3C4B23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C9D5EB9"/>
    <w:multiLevelType w:val="hybridMultilevel"/>
    <w:tmpl w:val="4A16B0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1"/>
  </w:num>
  <w:num w:numId="2" w16cid:durableId="957570559">
    <w:abstractNumId w:val="33"/>
  </w:num>
  <w:num w:numId="3" w16cid:durableId="536628895">
    <w:abstractNumId w:val="0"/>
  </w:num>
  <w:num w:numId="4" w16cid:durableId="1159004663">
    <w:abstractNumId w:val="24"/>
  </w:num>
  <w:num w:numId="5" w16cid:durableId="418600173">
    <w:abstractNumId w:val="34"/>
  </w:num>
  <w:num w:numId="6" w16cid:durableId="34236669">
    <w:abstractNumId w:val="29"/>
  </w:num>
  <w:num w:numId="7" w16cid:durableId="1279799443">
    <w:abstractNumId w:val="20"/>
  </w:num>
  <w:num w:numId="8" w16cid:durableId="495537779">
    <w:abstractNumId w:val="15"/>
  </w:num>
  <w:num w:numId="9" w16cid:durableId="1468400811">
    <w:abstractNumId w:val="1"/>
  </w:num>
  <w:num w:numId="10" w16cid:durableId="132985464">
    <w:abstractNumId w:val="33"/>
  </w:num>
  <w:num w:numId="11" w16cid:durableId="1915313393">
    <w:abstractNumId w:val="27"/>
  </w:num>
  <w:num w:numId="12" w16cid:durableId="473567604">
    <w:abstractNumId w:val="30"/>
  </w:num>
  <w:num w:numId="13" w16cid:durableId="315574325">
    <w:abstractNumId w:val="8"/>
  </w:num>
  <w:num w:numId="14" w16cid:durableId="1841651190">
    <w:abstractNumId w:val="7"/>
  </w:num>
  <w:num w:numId="15" w16cid:durableId="1751541441">
    <w:abstractNumId w:val="2"/>
  </w:num>
  <w:num w:numId="16" w16cid:durableId="939459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8"/>
  </w:num>
  <w:num w:numId="19" w16cid:durableId="216868142">
    <w:abstractNumId w:val="14"/>
  </w:num>
  <w:num w:numId="20" w16cid:durableId="670838392">
    <w:abstractNumId w:val="31"/>
  </w:num>
  <w:num w:numId="21" w16cid:durableId="848180824">
    <w:abstractNumId w:val="6"/>
  </w:num>
  <w:num w:numId="22" w16cid:durableId="1182285320">
    <w:abstractNumId w:val="3"/>
  </w:num>
  <w:num w:numId="23" w16cid:durableId="1862936798">
    <w:abstractNumId w:val="36"/>
  </w:num>
  <w:num w:numId="24" w16cid:durableId="296691022">
    <w:abstractNumId w:val="19"/>
  </w:num>
  <w:num w:numId="25" w16cid:durableId="1974167109">
    <w:abstractNumId w:val="13"/>
  </w:num>
  <w:num w:numId="26" w16cid:durableId="30034796">
    <w:abstractNumId w:val="12"/>
  </w:num>
  <w:num w:numId="27" w16cid:durableId="85926888">
    <w:abstractNumId w:val="17"/>
  </w:num>
  <w:num w:numId="28" w16cid:durableId="277377558">
    <w:abstractNumId w:val="32"/>
  </w:num>
  <w:num w:numId="29" w16cid:durableId="299964396">
    <w:abstractNumId w:val="28"/>
  </w:num>
  <w:num w:numId="30" w16cid:durableId="1834561270">
    <w:abstractNumId w:val="16"/>
  </w:num>
  <w:num w:numId="31" w16cid:durableId="370961351">
    <w:abstractNumId w:val="4"/>
  </w:num>
  <w:num w:numId="32" w16cid:durableId="1007446205">
    <w:abstractNumId w:val="23"/>
  </w:num>
  <w:num w:numId="33" w16cid:durableId="447705833">
    <w:abstractNumId w:val="33"/>
  </w:num>
  <w:num w:numId="34" w16cid:durableId="224487594">
    <w:abstractNumId w:val="33"/>
  </w:num>
  <w:num w:numId="35" w16cid:durableId="1103570019">
    <w:abstractNumId w:val="9"/>
  </w:num>
  <w:num w:numId="36" w16cid:durableId="296230563">
    <w:abstractNumId w:val="33"/>
  </w:num>
  <w:num w:numId="37" w16cid:durableId="2041346921">
    <w:abstractNumId w:val="33"/>
  </w:num>
  <w:num w:numId="38" w16cid:durableId="1127431152">
    <w:abstractNumId w:val="1"/>
  </w:num>
  <w:num w:numId="39" w16cid:durableId="608783099">
    <w:abstractNumId w:val="1"/>
  </w:num>
  <w:num w:numId="40" w16cid:durableId="1069771012">
    <w:abstractNumId w:val="10"/>
  </w:num>
  <w:num w:numId="41" w16cid:durableId="708383221">
    <w:abstractNumId w:val="33"/>
  </w:num>
  <w:num w:numId="42" w16cid:durableId="1556619918">
    <w:abstractNumId w:val="33"/>
  </w:num>
  <w:num w:numId="43" w16cid:durableId="302779489">
    <w:abstractNumId w:val="9"/>
  </w:num>
  <w:num w:numId="44" w16cid:durableId="1573005167">
    <w:abstractNumId w:val="21"/>
  </w:num>
  <w:num w:numId="45" w16cid:durableId="408699874">
    <w:abstractNumId w:val="22"/>
  </w:num>
  <w:num w:numId="46"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2896745">
    <w:abstractNumId w:val="35"/>
  </w:num>
  <w:num w:numId="48" w16cid:durableId="39331137">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BAC"/>
    <w:rsid w:val="00001663"/>
    <w:rsid w:val="000025AD"/>
    <w:rsid w:val="0000335D"/>
    <w:rsid w:val="00003EC5"/>
    <w:rsid w:val="00005A58"/>
    <w:rsid w:val="00006782"/>
    <w:rsid w:val="0001044E"/>
    <w:rsid w:val="0001179A"/>
    <w:rsid w:val="00011A59"/>
    <w:rsid w:val="00014D69"/>
    <w:rsid w:val="000164E3"/>
    <w:rsid w:val="00016A41"/>
    <w:rsid w:val="000214D1"/>
    <w:rsid w:val="00021F20"/>
    <w:rsid w:val="000240A7"/>
    <w:rsid w:val="0002464A"/>
    <w:rsid w:val="00025A04"/>
    <w:rsid w:val="00026081"/>
    <w:rsid w:val="0002693D"/>
    <w:rsid w:val="00027A58"/>
    <w:rsid w:val="0003050E"/>
    <w:rsid w:val="0003106B"/>
    <w:rsid w:val="000335B9"/>
    <w:rsid w:val="00034905"/>
    <w:rsid w:val="000374AC"/>
    <w:rsid w:val="00037906"/>
    <w:rsid w:val="00040A30"/>
    <w:rsid w:val="000414C9"/>
    <w:rsid w:val="000421A1"/>
    <w:rsid w:val="0004240E"/>
    <w:rsid w:val="000425A2"/>
    <w:rsid w:val="00044E52"/>
    <w:rsid w:val="00044EC4"/>
    <w:rsid w:val="00045E26"/>
    <w:rsid w:val="00046903"/>
    <w:rsid w:val="000469DB"/>
    <w:rsid w:val="00047247"/>
    <w:rsid w:val="00050378"/>
    <w:rsid w:val="000514B5"/>
    <w:rsid w:val="00051A11"/>
    <w:rsid w:val="000521ED"/>
    <w:rsid w:val="0005322E"/>
    <w:rsid w:val="000546CF"/>
    <w:rsid w:val="00054E2B"/>
    <w:rsid w:val="00055A8E"/>
    <w:rsid w:val="00060E64"/>
    <w:rsid w:val="000621AB"/>
    <w:rsid w:val="00062C03"/>
    <w:rsid w:val="00062E88"/>
    <w:rsid w:val="00066193"/>
    <w:rsid w:val="00066755"/>
    <w:rsid w:val="000674AD"/>
    <w:rsid w:val="00071A5B"/>
    <w:rsid w:val="00072730"/>
    <w:rsid w:val="0007337F"/>
    <w:rsid w:val="00074320"/>
    <w:rsid w:val="000761AF"/>
    <w:rsid w:val="000763D5"/>
    <w:rsid w:val="00076C38"/>
    <w:rsid w:val="00077143"/>
    <w:rsid w:val="00077DF7"/>
    <w:rsid w:val="0008050C"/>
    <w:rsid w:val="000816B7"/>
    <w:rsid w:val="00082169"/>
    <w:rsid w:val="000834BE"/>
    <w:rsid w:val="00083F01"/>
    <w:rsid w:val="0008432C"/>
    <w:rsid w:val="000865EF"/>
    <w:rsid w:val="000867D4"/>
    <w:rsid w:val="00087C4C"/>
    <w:rsid w:val="00087E15"/>
    <w:rsid w:val="000918CB"/>
    <w:rsid w:val="00091B06"/>
    <w:rsid w:val="000948E3"/>
    <w:rsid w:val="000951C4"/>
    <w:rsid w:val="00095ADA"/>
    <w:rsid w:val="00095F3A"/>
    <w:rsid w:val="000969AD"/>
    <w:rsid w:val="000975FB"/>
    <w:rsid w:val="000A02F8"/>
    <w:rsid w:val="000A293A"/>
    <w:rsid w:val="000A3371"/>
    <w:rsid w:val="000A3AA2"/>
    <w:rsid w:val="000A42EF"/>
    <w:rsid w:val="000A44B2"/>
    <w:rsid w:val="000A52F6"/>
    <w:rsid w:val="000A58B8"/>
    <w:rsid w:val="000A66A1"/>
    <w:rsid w:val="000A6DEB"/>
    <w:rsid w:val="000A78B8"/>
    <w:rsid w:val="000B44C3"/>
    <w:rsid w:val="000B4983"/>
    <w:rsid w:val="000B558D"/>
    <w:rsid w:val="000B5662"/>
    <w:rsid w:val="000B5A89"/>
    <w:rsid w:val="000B65F6"/>
    <w:rsid w:val="000B7767"/>
    <w:rsid w:val="000C0270"/>
    <w:rsid w:val="000C1AFF"/>
    <w:rsid w:val="000C4B41"/>
    <w:rsid w:val="000C4B84"/>
    <w:rsid w:val="000C4E9F"/>
    <w:rsid w:val="000C5740"/>
    <w:rsid w:val="000C5F95"/>
    <w:rsid w:val="000C6996"/>
    <w:rsid w:val="000C7C46"/>
    <w:rsid w:val="000D09E9"/>
    <w:rsid w:val="000D113F"/>
    <w:rsid w:val="000D23BA"/>
    <w:rsid w:val="000D4F18"/>
    <w:rsid w:val="000E1603"/>
    <w:rsid w:val="000E19B7"/>
    <w:rsid w:val="000E20FC"/>
    <w:rsid w:val="000E3168"/>
    <w:rsid w:val="000E3C1D"/>
    <w:rsid w:val="000E3DFB"/>
    <w:rsid w:val="000E49B7"/>
    <w:rsid w:val="000E5657"/>
    <w:rsid w:val="000E5EA1"/>
    <w:rsid w:val="000E65A1"/>
    <w:rsid w:val="000E681E"/>
    <w:rsid w:val="000E696B"/>
    <w:rsid w:val="000E7E52"/>
    <w:rsid w:val="000E7E90"/>
    <w:rsid w:val="000EE1C7"/>
    <w:rsid w:val="000F0003"/>
    <w:rsid w:val="000F2962"/>
    <w:rsid w:val="000F3384"/>
    <w:rsid w:val="000F3438"/>
    <w:rsid w:val="000F4E6A"/>
    <w:rsid w:val="000F6378"/>
    <w:rsid w:val="000F6ABB"/>
    <w:rsid w:val="000F7354"/>
    <w:rsid w:val="000F7689"/>
    <w:rsid w:val="000F7C27"/>
    <w:rsid w:val="00101ABE"/>
    <w:rsid w:val="00101CA4"/>
    <w:rsid w:val="00102202"/>
    <w:rsid w:val="00102700"/>
    <w:rsid w:val="00102A78"/>
    <w:rsid w:val="00103118"/>
    <w:rsid w:val="00103F1B"/>
    <w:rsid w:val="00104227"/>
    <w:rsid w:val="001053D5"/>
    <w:rsid w:val="00107409"/>
    <w:rsid w:val="001107BF"/>
    <w:rsid w:val="001118C4"/>
    <w:rsid w:val="00111F92"/>
    <w:rsid w:val="001122A9"/>
    <w:rsid w:val="00113649"/>
    <w:rsid w:val="00113D5C"/>
    <w:rsid w:val="00113DF0"/>
    <w:rsid w:val="00116B03"/>
    <w:rsid w:val="00120AA6"/>
    <w:rsid w:val="001239DB"/>
    <w:rsid w:val="0012417C"/>
    <w:rsid w:val="00124610"/>
    <w:rsid w:val="00124BF2"/>
    <w:rsid w:val="00125837"/>
    <w:rsid w:val="0012597F"/>
    <w:rsid w:val="00126B19"/>
    <w:rsid w:val="00126D3A"/>
    <w:rsid w:val="0012749D"/>
    <w:rsid w:val="00127A23"/>
    <w:rsid w:val="001306A5"/>
    <w:rsid w:val="00130918"/>
    <w:rsid w:val="001311AE"/>
    <w:rsid w:val="00134994"/>
    <w:rsid w:val="001366C2"/>
    <w:rsid w:val="00136C17"/>
    <w:rsid w:val="00136E5F"/>
    <w:rsid w:val="00140B74"/>
    <w:rsid w:val="00140CFC"/>
    <w:rsid w:val="00140D94"/>
    <w:rsid w:val="00142395"/>
    <w:rsid w:val="0014250D"/>
    <w:rsid w:val="00142714"/>
    <w:rsid w:val="00144D09"/>
    <w:rsid w:val="00144E06"/>
    <w:rsid w:val="001452ED"/>
    <w:rsid w:val="00147D84"/>
    <w:rsid w:val="00151CBD"/>
    <w:rsid w:val="00153009"/>
    <w:rsid w:val="001533C3"/>
    <w:rsid w:val="0015418C"/>
    <w:rsid w:val="001549C1"/>
    <w:rsid w:val="00155A10"/>
    <w:rsid w:val="00156225"/>
    <w:rsid w:val="00156C8D"/>
    <w:rsid w:val="00160F4D"/>
    <w:rsid w:val="00162BDD"/>
    <w:rsid w:val="00162D4E"/>
    <w:rsid w:val="00163329"/>
    <w:rsid w:val="00164623"/>
    <w:rsid w:val="001652DE"/>
    <w:rsid w:val="001653EC"/>
    <w:rsid w:val="00165450"/>
    <w:rsid w:val="00165B64"/>
    <w:rsid w:val="001661F3"/>
    <w:rsid w:val="00167C39"/>
    <w:rsid w:val="00170C4D"/>
    <w:rsid w:val="00171EB4"/>
    <w:rsid w:val="00174CD3"/>
    <w:rsid w:val="00174EB8"/>
    <w:rsid w:val="001756CB"/>
    <w:rsid w:val="00175787"/>
    <w:rsid w:val="00176B9D"/>
    <w:rsid w:val="00180713"/>
    <w:rsid w:val="00180720"/>
    <w:rsid w:val="00180FAD"/>
    <w:rsid w:val="001827FF"/>
    <w:rsid w:val="001830CE"/>
    <w:rsid w:val="001835A9"/>
    <w:rsid w:val="001836E3"/>
    <w:rsid w:val="00184659"/>
    <w:rsid w:val="001860E5"/>
    <w:rsid w:val="0018643B"/>
    <w:rsid w:val="001874B1"/>
    <w:rsid w:val="00187962"/>
    <w:rsid w:val="00191E01"/>
    <w:rsid w:val="00193E3B"/>
    <w:rsid w:val="00194B10"/>
    <w:rsid w:val="00196307"/>
    <w:rsid w:val="00196D43"/>
    <w:rsid w:val="00197C70"/>
    <w:rsid w:val="00197F03"/>
    <w:rsid w:val="001A0D10"/>
    <w:rsid w:val="001A33EA"/>
    <w:rsid w:val="001A3615"/>
    <w:rsid w:val="001A439A"/>
    <w:rsid w:val="001A4413"/>
    <w:rsid w:val="001A4817"/>
    <w:rsid w:val="001A4C4F"/>
    <w:rsid w:val="001A5A2B"/>
    <w:rsid w:val="001A76FB"/>
    <w:rsid w:val="001A7E8D"/>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6C87"/>
    <w:rsid w:val="001C6EA3"/>
    <w:rsid w:val="001D1F5F"/>
    <w:rsid w:val="001D30D4"/>
    <w:rsid w:val="001D595B"/>
    <w:rsid w:val="001E0297"/>
    <w:rsid w:val="001E06D2"/>
    <w:rsid w:val="001E17C4"/>
    <w:rsid w:val="001E1C64"/>
    <w:rsid w:val="001E2A47"/>
    <w:rsid w:val="001E2D65"/>
    <w:rsid w:val="001E37E0"/>
    <w:rsid w:val="001E4EDA"/>
    <w:rsid w:val="001E4F1C"/>
    <w:rsid w:val="001E593C"/>
    <w:rsid w:val="001F005B"/>
    <w:rsid w:val="001F0266"/>
    <w:rsid w:val="001F1850"/>
    <w:rsid w:val="001F1FBF"/>
    <w:rsid w:val="001F2311"/>
    <w:rsid w:val="001F2B80"/>
    <w:rsid w:val="001F2F1C"/>
    <w:rsid w:val="001F3189"/>
    <w:rsid w:val="001F3D3B"/>
    <w:rsid w:val="00200BEA"/>
    <w:rsid w:val="00200D00"/>
    <w:rsid w:val="00201FB8"/>
    <w:rsid w:val="0020264B"/>
    <w:rsid w:val="00203FAC"/>
    <w:rsid w:val="00204431"/>
    <w:rsid w:val="00207135"/>
    <w:rsid w:val="00212FA3"/>
    <w:rsid w:val="002133FB"/>
    <w:rsid w:val="00213CFB"/>
    <w:rsid w:val="00213DB9"/>
    <w:rsid w:val="00215021"/>
    <w:rsid w:val="0021553C"/>
    <w:rsid w:val="0021557B"/>
    <w:rsid w:val="00216B87"/>
    <w:rsid w:val="002174FD"/>
    <w:rsid w:val="00217BE1"/>
    <w:rsid w:val="002206D5"/>
    <w:rsid w:val="00221361"/>
    <w:rsid w:val="002214B9"/>
    <w:rsid w:val="00222680"/>
    <w:rsid w:val="00223370"/>
    <w:rsid w:val="002234E2"/>
    <w:rsid w:val="00224D1E"/>
    <w:rsid w:val="00226611"/>
    <w:rsid w:val="00227BC5"/>
    <w:rsid w:val="0023011F"/>
    <w:rsid w:val="0023054B"/>
    <w:rsid w:val="00230F63"/>
    <w:rsid w:val="0023306B"/>
    <w:rsid w:val="00233FF1"/>
    <w:rsid w:val="00234245"/>
    <w:rsid w:val="00234252"/>
    <w:rsid w:val="0023466E"/>
    <w:rsid w:val="00234AD9"/>
    <w:rsid w:val="00237AC6"/>
    <w:rsid w:val="002418D5"/>
    <w:rsid w:val="00242B64"/>
    <w:rsid w:val="00242BFD"/>
    <w:rsid w:val="00244139"/>
    <w:rsid w:val="002441E6"/>
    <w:rsid w:val="00244490"/>
    <w:rsid w:val="00244BEC"/>
    <w:rsid w:val="00245444"/>
    <w:rsid w:val="00245B9C"/>
    <w:rsid w:val="00250874"/>
    <w:rsid w:val="00250DF3"/>
    <w:rsid w:val="00251B85"/>
    <w:rsid w:val="002521CA"/>
    <w:rsid w:val="00252587"/>
    <w:rsid w:val="00253499"/>
    <w:rsid w:val="002551A4"/>
    <w:rsid w:val="00257664"/>
    <w:rsid w:val="00257D6F"/>
    <w:rsid w:val="00260165"/>
    <w:rsid w:val="002620DC"/>
    <w:rsid w:val="00262DBD"/>
    <w:rsid w:val="002636F5"/>
    <w:rsid w:val="00265151"/>
    <w:rsid w:val="00265C2C"/>
    <w:rsid w:val="00266509"/>
    <w:rsid w:val="00266849"/>
    <w:rsid w:val="00267098"/>
    <w:rsid w:val="00271BA1"/>
    <w:rsid w:val="00272BEA"/>
    <w:rsid w:val="00272C12"/>
    <w:rsid w:val="00272DE5"/>
    <w:rsid w:val="00273AC5"/>
    <w:rsid w:val="00273F24"/>
    <w:rsid w:val="00275ED0"/>
    <w:rsid w:val="002762FA"/>
    <w:rsid w:val="00276B3F"/>
    <w:rsid w:val="00276BE3"/>
    <w:rsid w:val="00277505"/>
    <w:rsid w:val="00277873"/>
    <w:rsid w:val="00277C96"/>
    <w:rsid w:val="0028158C"/>
    <w:rsid w:val="00281EA3"/>
    <w:rsid w:val="002823B6"/>
    <w:rsid w:val="0028678F"/>
    <w:rsid w:val="00290C03"/>
    <w:rsid w:val="00290D15"/>
    <w:rsid w:val="00292392"/>
    <w:rsid w:val="00292E3B"/>
    <w:rsid w:val="002933A8"/>
    <w:rsid w:val="00294274"/>
    <w:rsid w:val="0029458F"/>
    <w:rsid w:val="00295D04"/>
    <w:rsid w:val="002960F3"/>
    <w:rsid w:val="002962B3"/>
    <w:rsid w:val="00297A63"/>
    <w:rsid w:val="002A018F"/>
    <w:rsid w:val="002A0E04"/>
    <w:rsid w:val="002A104C"/>
    <w:rsid w:val="002A1EF7"/>
    <w:rsid w:val="002A2B7B"/>
    <w:rsid w:val="002A494D"/>
    <w:rsid w:val="002A4960"/>
    <w:rsid w:val="002A62AE"/>
    <w:rsid w:val="002A636A"/>
    <w:rsid w:val="002A6EAF"/>
    <w:rsid w:val="002A755F"/>
    <w:rsid w:val="002B0AE0"/>
    <w:rsid w:val="002B0B2B"/>
    <w:rsid w:val="002B1AE6"/>
    <w:rsid w:val="002B1D51"/>
    <w:rsid w:val="002B2DE8"/>
    <w:rsid w:val="002B30F8"/>
    <w:rsid w:val="002B388A"/>
    <w:rsid w:val="002B3BFE"/>
    <w:rsid w:val="002B3C1A"/>
    <w:rsid w:val="002B4C2A"/>
    <w:rsid w:val="002B4F76"/>
    <w:rsid w:val="002B5596"/>
    <w:rsid w:val="002B77D7"/>
    <w:rsid w:val="002C01EA"/>
    <w:rsid w:val="002C0763"/>
    <w:rsid w:val="002C0AED"/>
    <w:rsid w:val="002C212F"/>
    <w:rsid w:val="002C2F35"/>
    <w:rsid w:val="002C32C7"/>
    <w:rsid w:val="002C5850"/>
    <w:rsid w:val="002C5A2C"/>
    <w:rsid w:val="002C6AA9"/>
    <w:rsid w:val="002C7485"/>
    <w:rsid w:val="002D2641"/>
    <w:rsid w:val="002D283A"/>
    <w:rsid w:val="002D4184"/>
    <w:rsid w:val="002D429B"/>
    <w:rsid w:val="002D4543"/>
    <w:rsid w:val="002D70B4"/>
    <w:rsid w:val="002D715F"/>
    <w:rsid w:val="002D7276"/>
    <w:rsid w:val="002E022A"/>
    <w:rsid w:val="002E3153"/>
    <w:rsid w:val="002E3FD4"/>
    <w:rsid w:val="002E4A02"/>
    <w:rsid w:val="002E4CED"/>
    <w:rsid w:val="002E5292"/>
    <w:rsid w:val="002E72CA"/>
    <w:rsid w:val="002E75DD"/>
    <w:rsid w:val="002F1AA9"/>
    <w:rsid w:val="002F1D07"/>
    <w:rsid w:val="002F1EFD"/>
    <w:rsid w:val="002F5C5B"/>
    <w:rsid w:val="002F5EB1"/>
    <w:rsid w:val="002F600D"/>
    <w:rsid w:val="002F6303"/>
    <w:rsid w:val="002F6F0F"/>
    <w:rsid w:val="002F7E47"/>
    <w:rsid w:val="0030051A"/>
    <w:rsid w:val="00300AD6"/>
    <w:rsid w:val="00300B1B"/>
    <w:rsid w:val="003019D0"/>
    <w:rsid w:val="003019DE"/>
    <w:rsid w:val="0030311E"/>
    <w:rsid w:val="00303CFE"/>
    <w:rsid w:val="003047C4"/>
    <w:rsid w:val="00305C8C"/>
    <w:rsid w:val="003064AF"/>
    <w:rsid w:val="00307325"/>
    <w:rsid w:val="00307DC6"/>
    <w:rsid w:val="00310A8B"/>
    <w:rsid w:val="00310B68"/>
    <w:rsid w:val="00310DD1"/>
    <w:rsid w:val="00312501"/>
    <w:rsid w:val="003160D2"/>
    <w:rsid w:val="00316310"/>
    <w:rsid w:val="003173FC"/>
    <w:rsid w:val="00317C6C"/>
    <w:rsid w:val="00320B80"/>
    <w:rsid w:val="00320CD3"/>
    <w:rsid w:val="003215FF"/>
    <w:rsid w:val="00322667"/>
    <w:rsid w:val="0032607C"/>
    <w:rsid w:val="00326E79"/>
    <w:rsid w:val="0032748A"/>
    <w:rsid w:val="003301B1"/>
    <w:rsid w:val="00331189"/>
    <w:rsid w:val="0033263D"/>
    <w:rsid w:val="00332BE6"/>
    <w:rsid w:val="00332CD2"/>
    <w:rsid w:val="0033446F"/>
    <w:rsid w:val="00334E69"/>
    <w:rsid w:val="0033518A"/>
    <w:rsid w:val="00335535"/>
    <w:rsid w:val="00335D95"/>
    <w:rsid w:val="003367EF"/>
    <w:rsid w:val="00341AE4"/>
    <w:rsid w:val="003425CA"/>
    <w:rsid w:val="0034269C"/>
    <w:rsid w:val="00343FB7"/>
    <w:rsid w:val="003441E2"/>
    <w:rsid w:val="003476EE"/>
    <w:rsid w:val="003541DD"/>
    <w:rsid w:val="00354CC0"/>
    <w:rsid w:val="00356E5B"/>
    <w:rsid w:val="003577D7"/>
    <w:rsid w:val="00360887"/>
    <w:rsid w:val="0036249F"/>
    <w:rsid w:val="00363ABA"/>
    <w:rsid w:val="00364EB5"/>
    <w:rsid w:val="0036718C"/>
    <w:rsid w:val="00371246"/>
    <w:rsid w:val="00371DF3"/>
    <w:rsid w:val="003736C9"/>
    <w:rsid w:val="00375711"/>
    <w:rsid w:val="00377FF1"/>
    <w:rsid w:val="00380995"/>
    <w:rsid w:val="00381245"/>
    <w:rsid w:val="00383B77"/>
    <w:rsid w:val="00384027"/>
    <w:rsid w:val="00384988"/>
    <w:rsid w:val="003872CF"/>
    <w:rsid w:val="003874CB"/>
    <w:rsid w:val="00395AAC"/>
    <w:rsid w:val="003961AD"/>
    <w:rsid w:val="00396E08"/>
    <w:rsid w:val="003970DD"/>
    <w:rsid w:val="0039782C"/>
    <w:rsid w:val="00397F98"/>
    <w:rsid w:val="003A13A6"/>
    <w:rsid w:val="003A2165"/>
    <w:rsid w:val="003A22B9"/>
    <w:rsid w:val="003A2C1A"/>
    <w:rsid w:val="003A3AF3"/>
    <w:rsid w:val="003A3FD4"/>
    <w:rsid w:val="003A586A"/>
    <w:rsid w:val="003A5B4A"/>
    <w:rsid w:val="003A5D95"/>
    <w:rsid w:val="003A6510"/>
    <w:rsid w:val="003A74E2"/>
    <w:rsid w:val="003A7FD3"/>
    <w:rsid w:val="003B0D3A"/>
    <w:rsid w:val="003B0FF3"/>
    <w:rsid w:val="003B2302"/>
    <w:rsid w:val="003B23C5"/>
    <w:rsid w:val="003B2A75"/>
    <w:rsid w:val="003B49B2"/>
    <w:rsid w:val="003B4A98"/>
    <w:rsid w:val="003B6124"/>
    <w:rsid w:val="003B63B4"/>
    <w:rsid w:val="003B658B"/>
    <w:rsid w:val="003B7960"/>
    <w:rsid w:val="003C0908"/>
    <w:rsid w:val="003C093A"/>
    <w:rsid w:val="003C1ECF"/>
    <w:rsid w:val="003C2FB5"/>
    <w:rsid w:val="003C3DCA"/>
    <w:rsid w:val="003C599D"/>
    <w:rsid w:val="003D24C5"/>
    <w:rsid w:val="003D2E21"/>
    <w:rsid w:val="003D4594"/>
    <w:rsid w:val="003D4AC4"/>
    <w:rsid w:val="003D53A8"/>
    <w:rsid w:val="003D5433"/>
    <w:rsid w:val="003D63B7"/>
    <w:rsid w:val="003D74C5"/>
    <w:rsid w:val="003E2372"/>
    <w:rsid w:val="003E4374"/>
    <w:rsid w:val="003E468B"/>
    <w:rsid w:val="003E4B57"/>
    <w:rsid w:val="003E62BD"/>
    <w:rsid w:val="003E658D"/>
    <w:rsid w:val="003F044F"/>
    <w:rsid w:val="003F0C3A"/>
    <w:rsid w:val="003F15F0"/>
    <w:rsid w:val="003F2AD9"/>
    <w:rsid w:val="003F3228"/>
    <w:rsid w:val="003F4542"/>
    <w:rsid w:val="003F468D"/>
    <w:rsid w:val="003F4D95"/>
    <w:rsid w:val="003F5C8C"/>
    <w:rsid w:val="003F63CE"/>
    <w:rsid w:val="003F775A"/>
    <w:rsid w:val="00400042"/>
    <w:rsid w:val="00400928"/>
    <w:rsid w:val="00400E55"/>
    <w:rsid w:val="0040128E"/>
    <w:rsid w:val="00401640"/>
    <w:rsid w:val="00401800"/>
    <w:rsid w:val="00401D3A"/>
    <w:rsid w:val="0040205F"/>
    <w:rsid w:val="0040216B"/>
    <w:rsid w:val="00404852"/>
    <w:rsid w:val="0040490C"/>
    <w:rsid w:val="00405299"/>
    <w:rsid w:val="0040590E"/>
    <w:rsid w:val="004077E6"/>
    <w:rsid w:val="00407CC8"/>
    <w:rsid w:val="0041051F"/>
    <w:rsid w:val="00411D3A"/>
    <w:rsid w:val="00412DAA"/>
    <w:rsid w:val="00414F0C"/>
    <w:rsid w:val="00417703"/>
    <w:rsid w:val="00417BFD"/>
    <w:rsid w:val="00420400"/>
    <w:rsid w:val="00420488"/>
    <w:rsid w:val="00421DF3"/>
    <w:rsid w:val="00423E78"/>
    <w:rsid w:val="004252EC"/>
    <w:rsid w:val="00430D39"/>
    <w:rsid w:val="00432EBF"/>
    <w:rsid w:val="00434321"/>
    <w:rsid w:val="00435A6C"/>
    <w:rsid w:val="00441776"/>
    <w:rsid w:val="00442205"/>
    <w:rsid w:val="00442C91"/>
    <w:rsid w:val="00444E9D"/>
    <w:rsid w:val="004455C5"/>
    <w:rsid w:val="004465BD"/>
    <w:rsid w:val="00446938"/>
    <w:rsid w:val="00450690"/>
    <w:rsid w:val="0045275E"/>
    <w:rsid w:val="004528FA"/>
    <w:rsid w:val="004529CD"/>
    <w:rsid w:val="00452A6C"/>
    <w:rsid w:val="00452B15"/>
    <w:rsid w:val="00455F80"/>
    <w:rsid w:val="00461A44"/>
    <w:rsid w:val="00462D26"/>
    <w:rsid w:val="0046368B"/>
    <w:rsid w:val="0046385A"/>
    <w:rsid w:val="00464039"/>
    <w:rsid w:val="0046509D"/>
    <w:rsid w:val="00466ADA"/>
    <w:rsid w:val="0046737B"/>
    <w:rsid w:val="004702BB"/>
    <w:rsid w:val="0047211D"/>
    <w:rsid w:val="0047494B"/>
    <w:rsid w:val="00475C3F"/>
    <w:rsid w:val="00476245"/>
    <w:rsid w:val="004773C4"/>
    <w:rsid w:val="00477A9B"/>
    <w:rsid w:val="00480CFA"/>
    <w:rsid w:val="004828A2"/>
    <w:rsid w:val="00482AE4"/>
    <w:rsid w:val="00483035"/>
    <w:rsid w:val="00485940"/>
    <w:rsid w:val="00486C95"/>
    <w:rsid w:val="004877C2"/>
    <w:rsid w:val="004904B9"/>
    <w:rsid w:val="00491EDC"/>
    <w:rsid w:val="004924EB"/>
    <w:rsid w:val="004928E1"/>
    <w:rsid w:val="00492D8D"/>
    <w:rsid w:val="00496662"/>
    <w:rsid w:val="004A1431"/>
    <w:rsid w:val="004A2484"/>
    <w:rsid w:val="004A2D3E"/>
    <w:rsid w:val="004A2E07"/>
    <w:rsid w:val="004A378E"/>
    <w:rsid w:val="004A5A85"/>
    <w:rsid w:val="004A71D1"/>
    <w:rsid w:val="004A7C5B"/>
    <w:rsid w:val="004B14C7"/>
    <w:rsid w:val="004B1845"/>
    <w:rsid w:val="004B2348"/>
    <w:rsid w:val="004B2E01"/>
    <w:rsid w:val="004B2E98"/>
    <w:rsid w:val="004B5640"/>
    <w:rsid w:val="004B6084"/>
    <w:rsid w:val="004BCF29"/>
    <w:rsid w:val="004C0206"/>
    <w:rsid w:val="004C03D0"/>
    <w:rsid w:val="004C18EC"/>
    <w:rsid w:val="004C1BD7"/>
    <w:rsid w:val="004C1BF2"/>
    <w:rsid w:val="004C239C"/>
    <w:rsid w:val="004C2693"/>
    <w:rsid w:val="004C31FE"/>
    <w:rsid w:val="004C524C"/>
    <w:rsid w:val="004C5EDD"/>
    <w:rsid w:val="004C5FFA"/>
    <w:rsid w:val="004C691D"/>
    <w:rsid w:val="004C6C07"/>
    <w:rsid w:val="004C7E15"/>
    <w:rsid w:val="004C7EC6"/>
    <w:rsid w:val="004D2CD1"/>
    <w:rsid w:val="004D365C"/>
    <w:rsid w:val="004D4FF6"/>
    <w:rsid w:val="004D5ADD"/>
    <w:rsid w:val="004E0CC3"/>
    <w:rsid w:val="004E692D"/>
    <w:rsid w:val="004E7230"/>
    <w:rsid w:val="004E7D87"/>
    <w:rsid w:val="004F2553"/>
    <w:rsid w:val="004F306A"/>
    <w:rsid w:val="004F38F6"/>
    <w:rsid w:val="004F3D5D"/>
    <w:rsid w:val="004F46A8"/>
    <w:rsid w:val="00500DE0"/>
    <w:rsid w:val="00501554"/>
    <w:rsid w:val="00502AFE"/>
    <w:rsid w:val="00502E64"/>
    <w:rsid w:val="00503AD7"/>
    <w:rsid w:val="00503E89"/>
    <w:rsid w:val="0050403B"/>
    <w:rsid w:val="00504E0C"/>
    <w:rsid w:val="00504E13"/>
    <w:rsid w:val="00505ACA"/>
    <w:rsid w:val="005109D4"/>
    <w:rsid w:val="0051230A"/>
    <w:rsid w:val="00512FAE"/>
    <w:rsid w:val="00512FF1"/>
    <w:rsid w:val="00514CD7"/>
    <w:rsid w:val="005153FB"/>
    <w:rsid w:val="005167EC"/>
    <w:rsid w:val="005170DA"/>
    <w:rsid w:val="00520D6A"/>
    <w:rsid w:val="00522DB6"/>
    <w:rsid w:val="0052604B"/>
    <w:rsid w:val="005260B4"/>
    <w:rsid w:val="005264A7"/>
    <w:rsid w:val="0052792D"/>
    <w:rsid w:val="00530504"/>
    <w:rsid w:val="005311B4"/>
    <w:rsid w:val="005319B2"/>
    <w:rsid w:val="00532402"/>
    <w:rsid w:val="0053255C"/>
    <w:rsid w:val="00532C74"/>
    <w:rsid w:val="0053319E"/>
    <w:rsid w:val="00533239"/>
    <w:rsid w:val="00534D0B"/>
    <w:rsid w:val="00534E2E"/>
    <w:rsid w:val="00535133"/>
    <w:rsid w:val="0053635A"/>
    <w:rsid w:val="0054064C"/>
    <w:rsid w:val="0054091E"/>
    <w:rsid w:val="005420E2"/>
    <w:rsid w:val="00542BBA"/>
    <w:rsid w:val="00544552"/>
    <w:rsid w:val="00545130"/>
    <w:rsid w:val="00546B36"/>
    <w:rsid w:val="00550297"/>
    <w:rsid w:val="0055286A"/>
    <w:rsid w:val="00554EC5"/>
    <w:rsid w:val="00555745"/>
    <w:rsid w:val="00557D4F"/>
    <w:rsid w:val="00561150"/>
    <w:rsid w:val="0056122E"/>
    <w:rsid w:val="00562032"/>
    <w:rsid w:val="00563352"/>
    <w:rsid w:val="005645EE"/>
    <w:rsid w:val="0056484E"/>
    <w:rsid w:val="00564DFE"/>
    <w:rsid w:val="00565999"/>
    <w:rsid w:val="00567D8A"/>
    <w:rsid w:val="00570231"/>
    <w:rsid w:val="005714B7"/>
    <w:rsid w:val="005750E9"/>
    <w:rsid w:val="005764CD"/>
    <w:rsid w:val="0057703E"/>
    <w:rsid w:val="00577B4D"/>
    <w:rsid w:val="00577C4D"/>
    <w:rsid w:val="00577D5D"/>
    <w:rsid w:val="00580532"/>
    <w:rsid w:val="00581932"/>
    <w:rsid w:val="00582F18"/>
    <w:rsid w:val="00583002"/>
    <w:rsid w:val="005856E2"/>
    <w:rsid w:val="005903BB"/>
    <w:rsid w:val="00592E88"/>
    <w:rsid w:val="00593893"/>
    <w:rsid w:val="005963BB"/>
    <w:rsid w:val="0059645C"/>
    <w:rsid w:val="00596D37"/>
    <w:rsid w:val="005A15D2"/>
    <w:rsid w:val="005A3173"/>
    <w:rsid w:val="005A3223"/>
    <w:rsid w:val="005A33F1"/>
    <w:rsid w:val="005A3DA3"/>
    <w:rsid w:val="005A3E3F"/>
    <w:rsid w:val="005A52C4"/>
    <w:rsid w:val="005A63A1"/>
    <w:rsid w:val="005A758A"/>
    <w:rsid w:val="005A7BB0"/>
    <w:rsid w:val="005B0486"/>
    <w:rsid w:val="005B1032"/>
    <w:rsid w:val="005B1473"/>
    <w:rsid w:val="005B36FA"/>
    <w:rsid w:val="005C26A4"/>
    <w:rsid w:val="005C27E4"/>
    <w:rsid w:val="005C4F73"/>
    <w:rsid w:val="005D03AB"/>
    <w:rsid w:val="005D242D"/>
    <w:rsid w:val="005D2AA3"/>
    <w:rsid w:val="005D401D"/>
    <w:rsid w:val="005D5017"/>
    <w:rsid w:val="005D5708"/>
    <w:rsid w:val="005D63FA"/>
    <w:rsid w:val="005D643D"/>
    <w:rsid w:val="005D69AC"/>
    <w:rsid w:val="005D73C7"/>
    <w:rsid w:val="005E0050"/>
    <w:rsid w:val="005E0C2D"/>
    <w:rsid w:val="005E0D82"/>
    <w:rsid w:val="005E0F59"/>
    <w:rsid w:val="005E1333"/>
    <w:rsid w:val="005E3136"/>
    <w:rsid w:val="005E3CDA"/>
    <w:rsid w:val="005E49C5"/>
    <w:rsid w:val="005E507D"/>
    <w:rsid w:val="005F0AD0"/>
    <w:rsid w:val="005F0C3F"/>
    <w:rsid w:val="005F25A4"/>
    <w:rsid w:val="005F3BC8"/>
    <w:rsid w:val="00600A18"/>
    <w:rsid w:val="00601A91"/>
    <w:rsid w:val="00602063"/>
    <w:rsid w:val="00602BA3"/>
    <w:rsid w:val="006046C9"/>
    <w:rsid w:val="00604B96"/>
    <w:rsid w:val="00605B63"/>
    <w:rsid w:val="00605F9A"/>
    <w:rsid w:val="00606442"/>
    <w:rsid w:val="00606A7B"/>
    <w:rsid w:val="00606EED"/>
    <w:rsid w:val="00607DDB"/>
    <w:rsid w:val="0061076E"/>
    <w:rsid w:val="00612A95"/>
    <w:rsid w:val="00612E34"/>
    <w:rsid w:val="00614159"/>
    <w:rsid w:val="006158A3"/>
    <w:rsid w:val="00616C5F"/>
    <w:rsid w:val="00616DAC"/>
    <w:rsid w:val="00617725"/>
    <w:rsid w:val="00617C00"/>
    <w:rsid w:val="0062141A"/>
    <w:rsid w:val="0062316F"/>
    <w:rsid w:val="00624574"/>
    <w:rsid w:val="006256B9"/>
    <w:rsid w:val="006263BF"/>
    <w:rsid w:val="0062748A"/>
    <w:rsid w:val="00630546"/>
    <w:rsid w:val="0063067C"/>
    <w:rsid w:val="00630A2C"/>
    <w:rsid w:val="00630CF2"/>
    <w:rsid w:val="0063160D"/>
    <w:rsid w:val="00632180"/>
    <w:rsid w:val="00634A75"/>
    <w:rsid w:val="00635B89"/>
    <w:rsid w:val="0063682E"/>
    <w:rsid w:val="00636D93"/>
    <w:rsid w:val="00640088"/>
    <w:rsid w:val="00640D16"/>
    <w:rsid w:val="00642672"/>
    <w:rsid w:val="00642DA8"/>
    <w:rsid w:val="006436CD"/>
    <w:rsid w:val="00645AEB"/>
    <w:rsid w:val="00650976"/>
    <w:rsid w:val="00650CA2"/>
    <w:rsid w:val="00651169"/>
    <w:rsid w:val="00653D69"/>
    <w:rsid w:val="006552E6"/>
    <w:rsid w:val="00655794"/>
    <w:rsid w:val="00656D96"/>
    <w:rsid w:val="00656F2F"/>
    <w:rsid w:val="00657C63"/>
    <w:rsid w:val="00661CBC"/>
    <w:rsid w:val="00662B85"/>
    <w:rsid w:val="00663EE9"/>
    <w:rsid w:val="00664987"/>
    <w:rsid w:val="006670B3"/>
    <w:rsid w:val="006670BE"/>
    <w:rsid w:val="00670A76"/>
    <w:rsid w:val="006711AA"/>
    <w:rsid w:val="006714A3"/>
    <w:rsid w:val="00672B57"/>
    <w:rsid w:val="00673F1F"/>
    <w:rsid w:val="006751BF"/>
    <w:rsid w:val="00675622"/>
    <w:rsid w:val="00675812"/>
    <w:rsid w:val="00675DEB"/>
    <w:rsid w:val="00676ACF"/>
    <w:rsid w:val="0067747D"/>
    <w:rsid w:val="00680386"/>
    <w:rsid w:val="006818D5"/>
    <w:rsid w:val="00681CA4"/>
    <w:rsid w:val="00681F2E"/>
    <w:rsid w:val="00686559"/>
    <w:rsid w:val="00686C19"/>
    <w:rsid w:val="00686C1C"/>
    <w:rsid w:val="00687C3C"/>
    <w:rsid w:val="0069039D"/>
    <w:rsid w:val="006906DB"/>
    <w:rsid w:val="00691900"/>
    <w:rsid w:val="00691A2C"/>
    <w:rsid w:val="00691E6C"/>
    <w:rsid w:val="00693425"/>
    <w:rsid w:val="0069342D"/>
    <w:rsid w:val="006937CF"/>
    <w:rsid w:val="00693DFB"/>
    <w:rsid w:val="0069404C"/>
    <w:rsid w:val="00694FD5"/>
    <w:rsid w:val="0069501D"/>
    <w:rsid w:val="00696129"/>
    <w:rsid w:val="00697CF2"/>
    <w:rsid w:val="006A12A5"/>
    <w:rsid w:val="006A2515"/>
    <w:rsid w:val="006A3F0D"/>
    <w:rsid w:val="006A40B5"/>
    <w:rsid w:val="006A439E"/>
    <w:rsid w:val="006A572D"/>
    <w:rsid w:val="006A5E20"/>
    <w:rsid w:val="006B0D94"/>
    <w:rsid w:val="006B16B6"/>
    <w:rsid w:val="006B46A7"/>
    <w:rsid w:val="006B485D"/>
    <w:rsid w:val="006B4EF4"/>
    <w:rsid w:val="006B7DDA"/>
    <w:rsid w:val="006C0C45"/>
    <w:rsid w:val="006C1CF3"/>
    <w:rsid w:val="006C2806"/>
    <w:rsid w:val="006C334C"/>
    <w:rsid w:val="006C5F92"/>
    <w:rsid w:val="006C6C10"/>
    <w:rsid w:val="006C708E"/>
    <w:rsid w:val="006C7678"/>
    <w:rsid w:val="006D14E7"/>
    <w:rsid w:val="006D1B00"/>
    <w:rsid w:val="006D401B"/>
    <w:rsid w:val="006D4444"/>
    <w:rsid w:val="006D4B7B"/>
    <w:rsid w:val="006D6493"/>
    <w:rsid w:val="006D6EC7"/>
    <w:rsid w:val="006D7B05"/>
    <w:rsid w:val="006D7E45"/>
    <w:rsid w:val="006E1143"/>
    <w:rsid w:val="006E17EF"/>
    <w:rsid w:val="006E1BCD"/>
    <w:rsid w:val="006E26B0"/>
    <w:rsid w:val="006E2732"/>
    <w:rsid w:val="006E59CD"/>
    <w:rsid w:val="006F00ED"/>
    <w:rsid w:val="006F026F"/>
    <w:rsid w:val="006F0A71"/>
    <w:rsid w:val="006F139A"/>
    <w:rsid w:val="006F1C6B"/>
    <w:rsid w:val="006F2ECE"/>
    <w:rsid w:val="006F40C2"/>
    <w:rsid w:val="006F5125"/>
    <w:rsid w:val="006F531B"/>
    <w:rsid w:val="006F6D41"/>
    <w:rsid w:val="006F733D"/>
    <w:rsid w:val="00700765"/>
    <w:rsid w:val="00702959"/>
    <w:rsid w:val="00702B6F"/>
    <w:rsid w:val="007030B4"/>
    <w:rsid w:val="00703B86"/>
    <w:rsid w:val="00704069"/>
    <w:rsid w:val="00706A2F"/>
    <w:rsid w:val="00706D32"/>
    <w:rsid w:val="0070718E"/>
    <w:rsid w:val="00707E52"/>
    <w:rsid w:val="00710259"/>
    <w:rsid w:val="0071031F"/>
    <w:rsid w:val="00710737"/>
    <w:rsid w:val="0071340B"/>
    <w:rsid w:val="00713C50"/>
    <w:rsid w:val="0071436D"/>
    <w:rsid w:val="0071508D"/>
    <w:rsid w:val="00715BBB"/>
    <w:rsid w:val="007174BB"/>
    <w:rsid w:val="0072025D"/>
    <w:rsid w:val="00723328"/>
    <w:rsid w:val="007237DE"/>
    <w:rsid w:val="00723863"/>
    <w:rsid w:val="00724CD3"/>
    <w:rsid w:val="0072502E"/>
    <w:rsid w:val="0073137C"/>
    <w:rsid w:val="00731814"/>
    <w:rsid w:val="007338E6"/>
    <w:rsid w:val="007338F3"/>
    <w:rsid w:val="007340B9"/>
    <w:rsid w:val="007353D3"/>
    <w:rsid w:val="0073736F"/>
    <w:rsid w:val="0073756A"/>
    <w:rsid w:val="0074156B"/>
    <w:rsid w:val="00741619"/>
    <w:rsid w:val="007420BD"/>
    <w:rsid w:val="00742885"/>
    <w:rsid w:val="00743ECE"/>
    <w:rsid w:val="00747092"/>
    <w:rsid w:val="007477FF"/>
    <w:rsid w:val="00751DEB"/>
    <w:rsid w:val="007526E6"/>
    <w:rsid w:val="00754C18"/>
    <w:rsid w:val="00754DF9"/>
    <w:rsid w:val="007555E8"/>
    <w:rsid w:val="00755CC5"/>
    <w:rsid w:val="00760AD4"/>
    <w:rsid w:val="00762862"/>
    <w:rsid w:val="0076420C"/>
    <w:rsid w:val="00764428"/>
    <w:rsid w:val="00770266"/>
    <w:rsid w:val="00771D07"/>
    <w:rsid w:val="00772649"/>
    <w:rsid w:val="00772F5D"/>
    <w:rsid w:val="00773BE3"/>
    <w:rsid w:val="007743DD"/>
    <w:rsid w:val="00774A50"/>
    <w:rsid w:val="00774E2C"/>
    <w:rsid w:val="0077503C"/>
    <w:rsid w:val="0077518D"/>
    <w:rsid w:val="007753C2"/>
    <w:rsid w:val="00776068"/>
    <w:rsid w:val="00780EFA"/>
    <w:rsid w:val="0078183C"/>
    <w:rsid w:val="007821C4"/>
    <w:rsid w:val="007838B8"/>
    <w:rsid w:val="00785779"/>
    <w:rsid w:val="00787FD8"/>
    <w:rsid w:val="007908C1"/>
    <w:rsid w:val="007915BA"/>
    <w:rsid w:val="00791844"/>
    <w:rsid w:val="0079250E"/>
    <w:rsid w:val="00793CE9"/>
    <w:rsid w:val="00796667"/>
    <w:rsid w:val="00797068"/>
    <w:rsid w:val="007979BD"/>
    <w:rsid w:val="007A3D8E"/>
    <w:rsid w:val="007A5C88"/>
    <w:rsid w:val="007A6A2F"/>
    <w:rsid w:val="007B024E"/>
    <w:rsid w:val="007B163E"/>
    <w:rsid w:val="007B27FD"/>
    <w:rsid w:val="007B3BAF"/>
    <w:rsid w:val="007B3DDC"/>
    <w:rsid w:val="007B63D3"/>
    <w:rsid w:val="007B72A6"/>
    <w:rsid w:val="007C06D2"/>
    <w:rsid w:val="007C08E0"/>
    <w:rsid w:val="007C0F57"/>
    <w:rsid w:val="007C1CA9"/>
    <w:rsid w:val="007C1D95"/>
    <w:rsid w:val="007C2F4B"/>
    <w:rsid w:val="007C40B6"/>
    <w:rsid w:val="007C5975"/>
    <w:rsid w:val="007C729F"/>
    <w:rsid w:val="007C72AD"/>
    <w:rsid w:val="007D1A6F"/>
    <w:rsid w:val="007D1C13"/>
    <w:rsid w:val="007D503D"/>
    <w:rsid w:val="007D59E7"/>
    <w:rsid w:val="007D5EB3"/>
    <w:rsid w:val="007D5F2A"/>
    <w:rsid w:val="007D6AAB"/>
    <w:rsid w:val="007E07AC"/>
    <w:rsid w:val="007E1014"/>
    <w:rsid w:val="007E12F8"/>
    <w:rsid w:val="007E14EB"/>
    <w:rsid w:val="007E1673"/>
    <w:rsid w:val="007E1D28"/>
    <w:rsid w:val="007E3DE6"/>
    <w:rsid w:val="007E4564"/>
    <w:rsid w:val="007E490F"/>
    <w:rsid w:val="007E58C7"/>
    <w:rsid w:val="007E6533"/>
    <w:rsid w:val="007E7C3C"/>
    <w:rsid w:val="007F0021"/>
    <w:rsid w:val="007F1007"/>
    <w:rsid w:val="007F2641"/>
    <w:rsid w:val="007F33CD"/>
    <w:rsid w:val="007F7C36"/>
    <w:rsid w:val="007F7F45"/>
    <w:rsid w:val="0080001F"/>
    <w:rsid w:val="00801958"/>
    <w:rsid w:val="00802630"/>
    <w:rsid w:val="008055AF"/>
    <w:rsid w:val="008057CD"/>
    <w:rsid w:val="008066B8"/>
    <w:rsid w:val="00806796"/>
    <w:rsid w:val="00810167"/>
    <w:rsid w:val="008104D0"/>
    <w:rsid w:val="00811CC0"/>
    <w:rsid w:val="0081218E"/>
    <w:rsid w:val="00814276"/>
    <w:rsid w:val="008151D6"/>
    <w:rsid w:val="00816322"/>
    <w:rsid w:val="008167EA"/>
    <w:rsid w:val="00817DD1"/>
    <w:rsid w:val="00820803"/>
    <w:rsid w:val="00821527"/>
    <w:rsid w:val="00822162"/>
    <w:rsid w:val="008225CE"/>
    <w:rsid w:val="00822696"/>
    <w:rsid w:val="00824B5F"/>
    <w:rsid w:val="0082545E"/>
    <w:rsid w:val="00825A6C"/>
    <w:rsid w:val="0082617E"/>
    <w:rsid w:val="008268BB"/>
    <w:rsid w:val="00826F6D"/>
    <w:rsid w:val="00827097"/>
    <w:rsid w:val="008306F3"/>
    <w:rsid w:val="00830E40"/>
    <w:rsid w:val="00831B88"/>
    <w:rsid w:val="00832D9A"/>
    <w:rsid w:val="00835C62"/>
    <w:rsid w:val="008368A1"/>
    <w:rsid w:val="00837B7F"/>
    <w:rsid w:val="00840EF7"/>
    <w:rsid w:val="00840F53"/>
    <w:rsid w:val="0084203F"/>
    <w:rsid w:val="008439A1"/>
    <w:rsid w:val="00844C0A"/>
    <w:rsid w:val="00844FD0"/>
    <w:rsid w:val="00846056"/>
    <w:rsid w:val="0084681F"/>
    <w:rsid w:val="00847D08"/>
    <w:rsid w:val="00847EC0"/>
    <w:rsid w:val="0085037E"/>
    <w:rsid w:val="00850A96"/>
    <w:rsid w:val="00850B71"/>
    <w:rsid w:val="00854506"/>
    <w:rsid w:val="00855FD6"/>
    <w:rsid w:val="00856DDD"/>
    <w:rsid w:val="00860233"/>
    <w:rsid w:val="008616AD"/>
    <w:rsid w:val="00863158"/>
    <w:rsid w:val="00863E68"/>
    <w:rsid w:val="008647B5"/>
    <w:rsid w:val="00864A11"/>
    <w:rsid w:val="00867D64"/>
    <w:rsid w:val="00867D85"/>
    <w:rsid w:val="00872E8F"/>
    <w:rsid w:val="00873BBF"/>
    <w:rsid w:val="008749B1"/>
    <w:rsid w:val="00875DCB"/>
    <w:rsid w:val="00876FBF"/>
    <w:rsid w:val="0087755A"/>
    <w:rsid w:val="00881FD0"/>
    <w:rsid w:val="00882085"/>
    <w:rsid w:val="00883188"/>
    <w:rsid w:val="00883F07"/>
    <w:rsid w:val="00884A0C"/>
    <w:rsid w:val="00885403"/>
    <w:rsid w:val="00886ACA"/>
    <w:rsid w:val="00886B01"/>
    <w:rsid w:val="0089031E"/>
    <w:rsid w:val="0089109A"/>
    <w:rsid w:val="00891615"/>
    <w:rsid w:val="008938DB"/>
    <w:rsid w:val="00893D5C"/>
    <w:rsid w:val="0089460B"/>
    <w:rsid w:val="00897D58"/>
    <w:rsid w:val="00897F22"/>
    <w:rsid w:val="008A03F1"/>
    <w:rsid w:val="008A0B39"/>
    <w:rsid w:val="008A17A3"/>
    <w:rsid w:val="008A1956"/>
    <w:rsid w:val="008A1E85"/>
    <w:rsid w:val="008A2419"/>
    <w:rsid w:val="008A4937"/>
    <w:rsid w:val="008A50F1"/>
    <w:rsid w:val="008A59D9"/>
    <w:rsid w:val="008A643E"/>
    <w:rsid w:val="008A6819"/>
    <w:rsid w:val="008B007A"/>
    <w:rsid w:val="008B0C61"/>
    <w:rsid w:val="008B2EC0"/>
    <w:rsid w:val="008B5BA4"/>
    <w:rsid w:val="008B6DCF"/>
    <w:rsid w:val="008B70A3"/>
    <w:rsid w:val="008C338A"/>
    <w:rsid w:val="008C437E"/>
    <w:rsid w:val="008C4D49"/>
    <w:rsid w:val="008D0531"/>
    <w:rsid w:val="008D0945"/>
    <w:rsid w:val="008D1409"/>
    <w:rsid w:val="008D15CC"/>
    <w:rsid w:val="008D1729"/>
    <w:rsid w:val="008D1B5C"/>
    <w:rsid w:val="008D3C82"/>
    <w:rsid w:val="008D447E"/>
    <w:rsid w:val="008D6ACF"/>
    <w:rsid w:val="008D7A41"/>
    <w:rsid w:val="008E039B"/>
    <w:rsid w:val="008E048D"/>
    <w:rsid w:val="008E0525"/>
    <w:rsid w:val="008E0674"/>
    <w:rsid w:val="008E0E07"/>
    <w:rsid w:val="008E1267"/>
    <w:rsid w:val="008E2C72"/>
    <w:rsid w:val="008E3680"/>
    <w:rsid w:val="008E4F87"/>
    <w:rsid w:val="008E5870"/>
    <w:rsid w:val="008E6A6F"/>
    <w:rsid w:val="008E6E7B"/>
    <w:rsid w:val="008E77E4"/>
    <w:rsid w:val="008F0213"/>
    <w:rsid w:val="008F07ED"/>
    <w:rsid w:val="008F11F8"/>
    <w:rsid w:val="008F1434"/>
    <w:rsid w:val="008F2BB9"/>
    <w:rsid w:val="008F3D6A"/>
    <w:rsid w:val="008F3E2B"/>
    <w:rsid w:val="008F54C3"/>
    <w:rsid w:val="008F586B"/>
    <w:rsid w:val="008F5B99"/>
    <w:rsid w:val="008F7355"/>
    <w:rsid w:val="009023DC"/>
    <w:rsid w:val="009027C5"/>
    <w:rsid w:val="00904413"/>
    <w:rsid w:val="00904788"/>
    <w:rsid w:val="009067B7"/>
    <w:rsid w:val="00906E7A"/>
    <w:rsid w:val="00906E7F"/>
    <w:rsid w:val="0090775A"/>
    <w:rsid w:val="00907DFD"/>
    <w:rsid w:val="00910308"/>
    <w:rsid w:val="009131C3"/>
    <w:rsid w:val="00913C99"/>
    <w:rsid w:val="00914E2C"/>
    <w:rsid w:val="009154BA"/>
    <w:rsid w:val="00915B2B"/>
    <w:rsid w:val="00917D69"/>
    <w:rsid w:val="00920B6D"/>
    <w:rsid w:val="00922B77"/>
    <w:rsid w:val="00923F2C"/>
    <w:rsid w:val="0092505B"/>
    <w:rsid w:val="00925169"/>
    <w:rsid w:val="00926074"/>
    <w:rsid w:val="00926287"/>
    <w:rsid w:val="00926560"/>
    <w:rsid w:val="00926B15"/>
    <w:rsid w:val="00927340"/>
    <w:rsid w:val="00930291"/>
    <w:rsid w:val="00930937"/>
    <w:rsid w:val="009324A6"/>
    <w:rsid w:val="00933B7D"/>
    <w:rsid w:val="00933E6C"/>
    <w:rsid w:val="00934CFC"/>
    <w:rsid w:val="00935A6E"/>
    <w:rsid w:val="00937958"/>
    <w:rsid w:val="00940529"/>
    <w:rsid w:val="009406E5"/>
    <w:rsid w:val="00941470"/>
    <w:rsid w:val="00941602"/>
    <w:rsid w:val="0094191B"/>
    <w:rsid w:val="00942160"/>
    <w:rsid w:val="009448AE"/>
    <w:rsid w:val="00945C73"/>
    <w:rsid w:val="00945CFE"/>
    <w:rsid w:val="00946921"/>
    <w:rsid w:val="00947343"/>
    <w:rsid w:val="00947C5A"/>
    <w:rsid w:val="0095146F"/>
    <w:rsid w:val="00951F2D"/>
    <w:rsid w:val="00952839"/>
    <w:rsid w:val="0095344C"/>
    <w:rsid w:val="009534C7"/>
    <w:rsid w:val="00957944"/>
    <w:rsid w:val="009602C5"/>
    <w:rsid w:val="0096103A"/>
    <w:rsid w:val="00961B60"/>
    <w:rsid w:val="00962223"/>
    <w:rsid w:val="0096252B"/>
    <w:rsid w:val="009644D9"/>
    <w:rsid w:val="009648B7"/>
    <w:rsid w:val="00964A9F"/>
    <w:rsid w:val="00966D0D"/>
    <w:rsid w:val="00967732"/>
    <w:rsid w:val="0096783C"/>
    <w:rsid w:val="00970023"/>
    <w:rsid w:val="00971F64"/>
    <w:rsid w:val="009722B3"/>
    <w:rsid w:val="00973E24"/>
    <w:rsid w:val="00974C21"/>
    <w:rsid w:val="00974D5F"/>
    <w:rsid w:val="009755FD"/>
    <w:rsid w:val="00975948"/>
    <w:rsid w:val="009772FD"/>
    <w:rsid w:val="00977BF3"/>
    <w:rsid w:val="0098037A"/>
    <w:rsid w:val="009803E4"/>
    <w:rsid w:val="00980B0E"/>
    <w:rsid w:val="00982B39"/>
    <w:rsid w:val="009836A3"/>
    <w:rsid w:val="00984C58"/>
    <w:rsid w:val="00985147"/>
    <w:rsid w:val="009855A8"/>
    <w:rsid w:val="00985CBE"/>
    <w:rsid w:val="00985D1A"/>
    <w:rsid w:val="0098633C"/>
    <w:rsid w:val="00990CF8"/>
    <w:rsid w:val="009913F4"/>
    <w:rsid w:val="00991782"/>
    <w:rsid w:val="009937F7"/>
    <w:rsid w:val="0099465B"/>
    <w:rsid w:val="009951A1"/>
    <w:rsid w:val="0099591F"/>
    <w:rsid w:val="009961CC"/>
    <w:rsid w:val="00997A44"/>
    <w:rsid w:val="009A0CDD"/>
    <w:rsid w:val="009A3168"/>
    <w:rsid w:val="009A382B"/>
    <w:rsid w:val="009A4621"/>
    <w:rsid w:val="009A490D"/>
    <w:rsid w:val="009A4BDF"/>
    <w:rsid w:val="009A5D04"/>
    <w:rsid w:val="009A61CA"/>
    <w:rsid w:val="009A730D"/>
    <w:rsid w:val="009A7F73"/>
    <w:rsid w:val="009B0062"/>
    <w:rsid w:val="009B0C64"/>
    <w:rsid w:val="009B0F67"/>
    <w:rsid w:val="009B208A"/>
    <w:rsid w:val="009B2756"/>
    <w:rsid w:val="009B3D56"/>
    <w:rsid w:val="009B3F8C"/>
    <w:rsid w:val="009B49BA"/>
    <w:rsid w:val="009B533B"/>
    <w:rsid w:val="009B546B"/>
    <w:rsid w:val="009B5B82"/>
    <w:rsid w:val="009B5E3C"/>
    <w:rsid w:val="009C0F49"/>
    <w:rsid w:val="009C1AF0"/>
    <w:rsid w:val="009C26AA"/>
    <w:rsid w:val="009C2F7B"/>
    <w:rsid w:val="009C3EE6"/>
    <w:rsid w:val="009C703C"/>
    <w:rsid w:val="009D0C29"/>
    <w:rsid w:val="009D206E"/>
    <w:rsid w:val="009D3CAA"/>
    <w:rsid w:val="009D507A"/>
    <w:rsid w:val="009D6532"/>
    <w:rsid w:val="009D71FD"/>
    <w:rsid w:val="009E06F0"/>
    <w:rsid w:val="009E0755"/>
    <w:rsid w:val="009E10AD"/>
    <w:rsid w:val="009E18F3"/>
    <w:rsid w:val="009E1C3D"/>
    <w:rsid w:val="009E2588"/>
    <w:rsid w:val="009E2E8E"/>
    <w:rsid w:val="009E3FB4"/>
    <w:rsid w:val="009E40E1"/>
    <w:rsid w:val="009E61E7"/>
    <w:rsid w:val="009F0615"/>
    <w:rsid w:val="009F0EFA"/>
    <w:rsid w:val="009F3929"/>
    <w:rsid w:val="009F4E46"/>
    <w:rsid w:val="009F52BA"/>
    <w:rsid w:val="009F5820"/>
    <w:rsid w:val="009F5B65"/>
    <w:rsid w:val="009F5F2E"/>
    <w:rsid w:val="009F778C"/>
    <w:rsid w:val="00A00EE4"/>
    <w:rsid w:val="00A01432"/>
    <w:rsid w:val="00A0167A"/>
    <w:rsid w:val="00A01980"/>
    <w:rsid w:val="00A01B20"/>
    <w:rsid w:val="00A0610C"/>
    <w:rsid w:val="00A06225"/>
    <w:rsid w:val="00A066E6"/>
    <w:rsid w:val="00A110D1"/>
    <w:rsid w:val="00A12587"/>
    <w:rsid w:val="00A128E6"/>
    <w:rsid w:val="00A144D3"/>
    <w:rsid w:val="00A16FE5"/>
    <w:rsid w:val="00A17EA7"/>
    <w:rsid w:val="00A21D7D"/>
    <w:rsid w:val="00A22AC3"/>
    <w:rsid w:val="00A2351E"/>
    <w:rsid w:val="00A23F3F"/>
    <w:rsid w:val="00A24067"/>
    <w:rsid w:val="00A24A4B"/>
    <w:rsid w:val="00A25D10"/>
    <w:rsid w:val="00A2744D"/>
    <w:rsid w:val="00A306F6"/>
    <w:rsid w:val="00A30D16"/>
    <w:rsid w:val="00A33EB7"/>
    <w:rsid w:val="00A34D2E"/>
    <w:rsid w:val="00A34E6C"/>
    <w:rsid w:val="00A34FD0"/>
    <w:rsid w:val="00A361EA"/>
    <w:rsid w:val="00A36398"/>
    <w:rsid w:val="00A36CC1"/>
    <w:rsid w:val="00A37C8D"/>
    <w:rsid w:val="00A4020E"/>
    <w:rsid w:val="00A40493"/>
    <w:rsid w:val="00A408E8"/>
    <w:rsid w:val="00A40FB5"/>
    <w:rsid w:val="00A42826"/>
    <w:rsid w:val="00A429B3"/>
    <w:rsid w:val="00A43152"/>
    <w:rsid w:val="00A44EC1"/>
    <w:rsid w:val="00A510E4"/>
    <w:rsid w:val="00A51F8C"/>
    <w:rsid w:val="00A526F7"/>
    <w:rsid w:val="00A5273B"/>
    <w:rsid w:val="00A52FD1"/>
    <w:rsid w:val="00A53A9D"/>
    <w:rsid w:val="00A55F20"/>
    <w:rsid w:val="00A55FEE"/>
    <w:rsid w:val="00A56304"/>
    <w:rsid w:val="00A57422"/>
    <w:rsid w:val="00A57699"/>
    <w:rsid w:val="00A61204"/>
    <w:rsid w:val="00A62C1A"/>
    <w:rsid w:val="00A63CA2"/>
    <w:rsid w:val="00A6426D"/>
    <w:rsid w:val="00A6439B"/>
    <w:rsid w:val="00A665C1"/>
    <w:rsid w:val="00A673A4"/>
    <w:rsid w:val="00A7001A"/>
    <w:rsid w:val="00A70622"/>
    <w:rsid w:val="00A70977"/>
    <w:rsid w:val="00A70D58"/>
    <w:rsid w:val="00A726C7"/>
    <w:rsid w:val="00A734DF"/>
    <w:rsid w:val="00A744F9"/>
    <w:rsid w:val="00A752E1"/>
    <w:rsid w:val="00A753A1"/>
    <w:rsid w:val="00A77613"/>
    <w:rsid w:val="00A77B87"/>
    <w:rsid w:val="00A77E01"/>
    <w:rsid w:val="00A801AD"/>
    <w:rsid w:val="00A81851"/>
    <w:rsid w:val="00A8390C"/>
    <w:rsid w:val="00A860DB"/>
    <w:rsid w:val="00A86AE0"/>
    <w:rsid w:val="00A912B0"/>
    <w:rsid w:val="00A91362"/>
    <w:rsid w:val="00A9151C"/>
    <w:rsid w:val="00A919C6"/>
    <w:rsid w:val="00A928BD"/>
    <w:rsid w:val="00A92D61"/>
    <w:rsid w:val="00A936B6"/>
    <w:rsid w:val="00A97DE9"/>
    <w:rsid w:val="00AA12CD"/>
    <w:rsid w:val="00AA24E9"/>
    <w:rsid w:val="00AA4D1C"/>
    <w:rsid w:val="00AA52FD"/>
    <w:rsid w:val="00AA54AA"/>
    <w:rsid w:val="00AA5BB8"/>
    <w:rsid w:val="00AA5D40"/>
    <w:rsid w:val="00AA6CC7"/>
    <w:rsid w:val="00AA7006"/>
    <w:rsid w:val="00AB3138"/>
    <w:rsid w:val="00AB4684"/>
    <w:rsid w:val="00AB5856"/>
    <w:rsid w:val="00AB6A80"/>
    <w:rsid w:val="00AB7FFD"/>
    <w:rsid w:val="00AC081D"/>
    <w:rsid w:val="00AC0A1C"/>
    <w:rsid w:val="00AC0C6F"/>
    <w:rsid w:val="00AC1266"/>
    <w:rsid w:val="00AC193C"/>
    <w:rsid w:val="00AC30C1"/>
    <w:rsid w:val="00AC4DE5"/>
    <w:rsid w:val="00AC5206"/>
    <w:rsid w:val="00AC6B25"/>
    <w:rsid w:val="00AD095B"/>
    <w:rsid w:val="00AD3106"/>
    <w:rsid w:val="00AD4322"/>
    <w:rsid w:val="00AD4865"/>
    <w:rsid w:val="00AD6719"/>
    <w:rsid w:val="00AE04DD"/>
    <w:rsid w:val="00AE11A5"/>
    <w:rsid w:val="00AE13E2"/>
    <w:rsid w:val="00AE22D3"/>
    <w:rsid w:val="00AE3B49"/>
    <w:rsid w:val="00AE4C71"/>
    <w:rsid w:val="00AE5987"/>
    <w:rsid w:val="00AE5A49"/>
    <w:rsid w:val="00AF03E6"/>
    <w:rsid w:val="00AF11D8"/>
    <w:rsid w:val="00AF4C6D"/>
    <w:rsid w:val="00AF5867"/>
    <w:rsid w:val="00AF62DF"/>
    <w:rsid w:val="00AF68CC"/>
    <w:rsid w:val="00AF70D7"/>
    <w:rsid w:val="00B00086"/>
    <w:rsid w:val="00B00CD0"/>
    <w:rsid w:val="00B00E7F"/>
    <w:rsid w:val="00B01FF4"/>
    <w:rsid w:val="00B0326D"/>
    <w:rsid w:val="00B05D61"/>
    <w:rsid w:val="00B06037"/>
    <w:rsid w:val="00B06478"/>
    <w:rsid w:val="00B07533"/>
    <w:rsid w:val="00B07755"/>
    <w:rsid w:val="00B07CFB"/>
    <w:rsid w:val="00B07F39"/>
    <w:rsid w:val="00B1059E"/>
    <w:rsid w:val="00B123F4"/>
    <w:rsid w:val="00B13AD1"/>
    <w:rsid w:val="00B140DB"/>
    <w:rsid w:val="00B149BA"/>
    <w:rsid w:val="00B14A36"/>
    <w:rsid w:val="00B1600B"/>
    <w:rsid w:val="00B16273"/>
    <w:rsid w:val="00B164B4"/>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106A"/>
    <w:rsid w:val="00B42855"/>
    <w:rsid w:val="00B42AF4"/>
    <w:rsid w:val="00B43E90"/>
    <w:rsid w:val="00B44308"/>
    <w:rsid w:val="00B453C6"/>
    <w:rsid w:val="00B45722"/>
    <w:rsid w:val="00B460F4"/>
    <w:rsid w:val="00B467DC"/>
    <w:rsid w:val="00B46819"/>
    <w:rsid w:val="00B4758F"/>
    <w:rsid w:val="00B47A88"/>
    <w:rsid w:val="00B51081"/>
    <w:rsid w:val="00B51E09"/>
    <w:rsid w:val="00B52303"/>
    <w:rsid w:val="00B5392A"/>
    <w:rsid w:val="00B539EF"/>
    <w:rsid w:val="00B56118"/>
    <w:rsid w:val="00B566E1"/>
    <w:rsid w:val="00B56AFB"/>
    <w:rsid w:val="00B572BE"/>
    <w:rsid w:val="00B60254"/>
    <w:rsid w:val="00B602F6"/>
    <w:rsid w:val="00B6036B"/>
    <w:rsid w:val="00B60D0B"/>
    <w:rsid w:val="00B60ED3"/>
    <w:rsid w:val="00B62EC1"/>
    <w:rsid w:val="00B63251"/>
    <w:rsid w:val="00B64A96"/>
    <w:rsid w:val="00B652CB"/>
    <w:rsid w:val="00B6533B"/>
    <w:rsid w:val="00B6773F"/>
    <w:rsid w:val="00B67E61"/>
    <w:rsid w:val="00B70EB3"/>
    <w:rsid w:val="00B72906"/>
    <w:rsid w:val="00B74F48"/>
    <w:rsid w:val="00B7525E"/>
    <w:rsid w:val="00B75433"/>
    <w:rsid w:val="00B75F70"/>
    <w:rsid w:val="00B760FB"/>
    <w:rsid w:val="00B76765"/>
    <w:rsid w:val="00B767AB"/>
    <w:rsid w:val="00B801BA"/>
    <w:rsid w:val="00B80D50"/>
    <w:rsid w:val="00B812D6"/>
    <w:rsid w:val="00B84111"/>
    <w:rsid w:val="00B846E6"/>
    <w:rsid w:val="00B84D5C"/>
    <w:rsid w:val="00B85AF6"/>
    <w:rsid w:val="00B867C4"/>
    <w:rsid w:val="00B86FCC"/>
    <w:rsid w:val="00B90853"/>
    <w:rsid w:val="00B92E46"/>
    <w:rsid w:val="00B941ED"/>
    <w:rsid w:val="00B956ED"/>
    <w:rsid w:val="00B967AB"/>
    <w:rsid w:val="00B972DF"/>
    <w:rsid w:val="00BA1A9B"/>
    <w:rsid w:val="00BA2DA8"/>
    <w:rsid w:val="00BA347C"/>
    <w:rsid w:val="00BA4C79"/>
    <w:rsid w:val="00BA4D84"/>
    <w:rsid w:val="00BA6C7C"/>
    <w:rsid w:val="00BB120A"/>
    <w:rsid w:val="00BB298A"/>
    <w:rsid w:val="00BB3469"/>
    <w:rsid w:val="00BB4144"/>
    <w:rsid w:val="00BB5C49"/>
    <w:rsid w:val="00BB6240"/>
    <w:rsid w:val="00BB6285"/>
    <w:rsid w:val="00BB69F5"/>
    <w:rsid w:val="00BB6E48"/>
    <w:rsid w:val="00BB7EC3"/>
    <w:rsid w:val="00BC04B1"/>
    <w:rsid w:val="00BC2582"/>
    <w:rsid w:val="00BC3023"/>
    <w:rsid w:val="00BC3425"/>
    <w:rsid w:val="00BC470E"/>
    <w:rsid w:val="00BC4B9A"/>
    <w:rsid w:val="00BD02C3"/>
    <w:rsid w:val="00BD08E5"/>
    <w:rsid w:val="00BD3119"/>
    <w:rsid w:val="00BD598F"/>
    <w:rsid w:val="00BD7483"/>
    <w:rsid w:val="00BD784C"/>
    <w:rsid w:val="00BD79A7"/>
    <w:rsid w:val="00BE020A"/>
    <w:rsid w:val="00BE13DF"/>
    <w:rsid w:val="00BE1EF0"/>
    <w:rsid w:val="00BE25D7"/>
    <w:rsid w:val="00BE2B57"/>
    <w:rsid w:val="00BE5C0A"/>
    <w:rsid w:val="00BE5FF2"/>
    <w:rsid w:val="00BE6F3E"/>
    <w:rsid w:val="00BF092C"/>
    <w:rsid w:val="00BF21D1"/>
    <w:rsid w:val="00BF27A0"/>
    <w:rsid w:val="00BF40E6"/>
    <w:rsid w:val="00BF4CB6"/>
    <w:rsid w:val="00BF51E1"/>
    <w:rsid w:val="00BF5D23"/>
    <w:rsid w:val="00BF6CBD"/>
    <w:rsid w:val="00C00DA7"/>
    <w:rsid w:val="00C034FB"/>
    <w:rsid w:val="00C04CDE"/>
    <w:rsid w:val="00C059D5"/>
    <w:rsid w:val="00C064E2"/>
    <w:rsid w:val="00C068A6"/>
    <w:rsid w:val="00C11DEA"/>
    <w:rsid w:val="00C124CA"/>
    <w:rsid w:val="00C12768"/>
    <w:rsid w:val="00C12D70"/>
    <w:rsid w:val="00C16724"/>
    <w:rsid w:val="00C21B09"/>
    <w:rsid w:val="00C24353"/>
    <w:rsid w:val="00C2575A"/>
    <w:rsid w:val="00C25EFF"/>
    <w:rsid w:val="00C2673A"/>
    <w:rsid w:val="00C278CD"/>
    <w:rsid w:val="00C27B58"/>
    <w:rsid w:val="00C27C1C"/>
    <w:rsid w:val="00C312B4"/>
    <w:rsid w:val="00C312CA"/>
    <w:rsid w:val="00C3166C"/>
    <w:rsid w:val="00C31844"/>
    <w:rsid w:val="00C33186"/>
    <w:rsid w:val="00C35996"/>
    <w:rsid w:val="00C42BCD"/>
    <w:rsid w:val="00C43CC0"/>
    <w:rsid w:val="00C4485F"/>
    <w:rsid w:val="00C44DED"/>
    <w:rsid w:val="00C46C13"/>
    <w:rsid w:val="00C4747E"/>
    <w:rsid w:val="00C5151E"/>
    <w:rsid w:val="00C52256"/>
    <w:rsid w:val="00C5342C"/>
    <w:rsid w:val="00C537D2"/>
    <w:rsid w:val="00C53B2B"/>
    <w:rsid w:val="00C547F5"/>
    <w:rsid w:val="00C54F3F"/>
    <w:rsid w:val="00C56D78"/>
    <w:rsid w:val="00C57465"/>
    <w:rsid w:val="00C60272"/>
    <w:rsid w:val="00C603D4"/>
    <w:rsid w:val="00C6256A"/>
    <w:rsid w:val="00C62CF5"/>
    <w:rsid w:val="00C63FDA"/>
    <w:rsid w:val="00C64EBC"/>
    <w:rsid w:val="00C664D2"/>
    <w:rsid w:val="00C677E1"/>
    <w:rsid w:val="00C70E6E"/>
    <w:rsid w:val="00C710E2"/>
    <w:rsid w:val="00C71C3F"/>
    <w:rsid w:val="00C7409E"/>
    <w:rsid w:val="00C74D6D"/>
    <w:rsid w:val="00C765A6"/>
    <w:rsid w:val="00C76845"/>
    <w:rsid w:val="00C76E76"/>
    <w:rsid w:val="00C77891"/>
    <w:rsid w:val="00C77B74"/>
    <w:rsid w:val="00C82062"/>
    <w:rsid w:val="00C829A9"/>
    <w:rsid w:val="00C855A7"/>
    <w:rsid w:val="00C858A4"/>
    <w:rsid w:val="00C85FDB"/>
    <w:rsid w:val="00C87B80"/>
    <w:rsid w:val="00C90330"/>
    <w:rsid w:val="00C91449"/>
    <w:rsid w:val="00C91E88"/>
    <w:rsid w:val="00C92D10"/>
    <w:rsid w:val="00C92F79"/>
    <w:rsid w:val="00C95200"/>
    <w:rsid w:val="00C96EC0"/>
    <w:rsid w:val="00C97DF6"/>
    <w:rsid w:val="00CA0460"/>
    <w:rsid w:val="00CA06F9"/>
    <w:rsid w:val="00CA14BB"/>
    <w:rsid w:val="00CA230C"/>
    <w:rsid w:val="00CA48D9"/>
    <w:rsid w:val="00CB1193"/>
    <w:rsid w:val="00CB2DAA"/>
    <w:rsid w:val="00CB358A"/>
    <w:rsid w:val="00CB4767"/>
    <w:rsid w:val="00CB493D"/>
    <w:rsid w:val="00CC2224"/>
    <w:rsid w:val="00CC3B97"/>
    <w:rsid w:val="00CD0A7D"/>
    <w:rsid w:val="00CD0AF7"/>
    <w:rsid w:val="00CD102A"/>
    <w:rsid w:val="00CD171B"/>
    <w:rsid w:val="00CD4A8C"/>
    <w:rsid w:val="00CD6257"/>
    <w:rsid w:val="00CD7C0B"/>
    <w:rsid w:val="00CE10C4"/>
    <w:rsid w:val="00CE2343"/>
    <w:rsid w:val="00CE27B5"/>
    <w:rsid w:val="00CE2BDF"/>
    <w:rsid w:val="00CE47D1"/>
    <w:rsid w:val="00CE6D24"/>
    <w:rsid w:val="00CE6DAF"/>
    <w:rsid w:val="00CE7D68"/>
    <w:rsid w:val="00CF410A"/>
    <w:rsid w:val="00CF47B8"/>
    <w:rsid w:val="00CF7528"/>
    <w:rsid w:val="00CF7FDE"/>
    <w:rsid w:val="00D012AF"/>
    <w:rsid w:val="00D025AF"/>
    <w:rsid w:val="00D03079"/>
    <w:rsid w:val="00D0321E"/>
    <w:rsid w:val="00D03D62"/>
    <w:rsid w:val="00D05457"/>
    <w:rsid w:val="00D069EB"/>
    <w:rsid w:val="00D07A8A"/>
    <w:rsid w:val="00D10E31"/>
    <w:rsid w:val="00D11199"/>
    <w:rsid w:val="00D1354C"/>
    <w:rsid w:val="00D1455A"/>
    <w:rsid w:val="00D14573"/>
    <w:rsid w:val="00D14A70"/>
    <w:rsid w:val="00D14E03"/>
    <w:rsid w:val="00D16062"/>
    <w:rsid w:val="00D16DCD"/>
    <w:rsid w:val="00D16DD6"/>
    <w:rsid w:val="00D207EA"/>
    <w:rsid w:val="00D211FB"/>
    <w:rsid w:val="00D22093"/>
    <w:rsid w:val="00D22E09"/>
    <w:rsid w:val="00D30106"/>
    <w:rsid w:val="00D31150"/>
    <w:rsid w:val="00D3138B"/>
    <w:rsid w:val="00D31FCE"/>
    <w:rsid w:val="00D3280C"/>
    <w:rsid w:val="00D3398A"/>
    <w:rsid w:val="00D3406A"/>
    <w:rsid w:val="00D347EF"/>
    <w:rsid w:val="00D34D24"/>
    <w:rsid w:val="00D40B11"/>
    <w:rsid w:val="00D42864"/>
    <w:rsid w:val="00D429EC"/>
    <w:rsid w:val="00D437AE"/>
    <w:rsid w:val="00D441F1"/>
    <w:rsid w:val="00D4572C"/>
    <w:rsid w:val="00D469B2"/>
    <w:rsid w:val="00D46B19"/>
    <w:rsid w:val="00D470D4"/>
    <w:rsid w:val="00D47D53"/>
    <w:rsid w:val="00D51750"/>
    <w:rsid w:val="00D52015"/>
    <w:rsid w:val="00D52B24"/>
    <w:rsid w:val="00D52EAA"/>
    <w:rsid w:val="00D52ECF"/>
    <w:rsid w:val="00D53F0C"/>
    <w:rsid w:val="00D5411A"/>
    <w:rsid w:val="00D5441A"/>
    <w:rsid w:val="00D54B09"/>
    <w:rsid w:val="00D55D5F"/>
    <w:rsid w:val="00D60F08"/>
    <w:rsid w:val="00D6243E"/>
    <w:rsid w:val="00D62548"/>
    <w:rsid w:val="00D62D43"/>
    <w:rsid w:val="00D636B6"/>
    <w:rsid w:val="00D65658"/>
    <w:rsid w:val="00D66A7D"/>
    <w:rsid w:val="00D66AB1"/>
    <w:rsid w:val="00D66B57"/>
    <w:rsid w:val="00D67EB2"/>
    <w:rsid w:val="00D70349"/>
    <w:rsid w:val="00D72B6F"/>
    <w:rsid w:val="00D741EB"/>
    <w:rsid w:val="00D74CEA"/>
    <w:rsid w:val="00D7679C"/>
    <w:rsid w:val="00D80021"/>
    <w:rsid w:val="00D817A9"/>
    <w:rsid w:val="00D81C6A"/>
    <w:rsid w:val="00D820F3"/>
    <w:rsid w:val="00D83605"/>
    <w:rsid w:val="00D83B4C"/>
    <w:rsid w:val="00D84934"/>
    <w:rsid w:val="00D866EB"/>
    <w:rsid w:val="00D86C52"/>
    <w:rsid w:val="00D87D1A"/>
    <w:rsid w:val="00D906DA"/>
    <w:rsid w:val="00D91271"/>
    <w:rsid w:val="00D919F5"/>
    <w:rsid w:val="00D91A61"/>
    <w:rsid w:val="00D945F6"/>
    <w:rsid w:val="00D94F03"/>
    <w:rsid w:val="00D95161"/>
    <w:rsid w:val="00D95C23"/>
    <w:rsid w:val="00D95D53"/>
    <w:rsid w:val="00DA0A82"/>
    <w:rsid w:val="00DA0D14"/>
    <w:rsid w:val="00DA1FC9"/>
    <w:rsid w:val="00DA2CB5"/>
    <w:rsid w:val="00DA32AE"/>
    <w:rsid w:val="00DA358F"/>
    <w:rsid w:val="00DA383E"/>
    <w:rsid w:val="00DA4BAC"/>
    <w:rsid w:val="00DA5026"/>
    <w:rsid w:val="00DA722E"/>
    <w:rsid w:val="00DA792A"/>
    <w:rsid w:val="00DA7945"/>
    <w:rsid w:val="00DB0151"/>
    <w:rsid w:val="00DB0160"/>
    <w:rsid w:val="00DB04D7"/>
    <w:rsid w:val="00DB1710"/>
    <w:rsid w:val="00DB1757"/>
    <w:rsid w:val="00DB50E1"/>
    <w:rsid w:val="00DC0566"/>
    <w:rsid w:val="00DC05E1"/>
    <w:rsid w:val="00DC1499"/>
    <w:rsid w:val="00DC16CF"/>
    <w:rsid w:val="00DC2C3E"/>
    <w:rsid w:val="00DC3137"/>
    <w:rsid w:val="00DC3A71"/>
    <w:rsid w:val="00DC4880"/>
    <w:rsid w:val="00DC581F"/>
    <w:rsid w:val="00DC5E90"/>
    <w:rsid w:val="00DC6EC3"/>
    <w:rsid w:val="00DC7028"/>
    <w:rsid w:val="00DC732A"/>
    <w:rsid w:val="00DD04D7"/>
    <w:rsid w:val="00DD0BD6"/>
    <w:rsid w:val="00DD0BE9"/>
    <w:rsid w:val="00DD26F9"/>
    <w:rsid w:val="00DD350E"/>
    <w:rsid w:val="00DD3EAF"/>
    <w:rsid w:val="00DD42AB"/>
    <w:rsid w:val="00DD4EA6"/>
    <w:rsid w:val="00DD74AD"/>
    <w:rsid w:val="00DD77BB"/>
    <w:rsid w:val="00DD790C"/>
    <w:rsid w:val="00DD7F99"/>
    <w:rsid w:val="00DE06AF"/>
    <w:rsid w:val="00DE48DE"/>
    <w:rsid w:val="00DE4FB3"/>
    <w:rsid w:val="00DE6D27"/>
    <w:rsid w:val="00DE7639"/>
    <w:rsid w:val="00DE76EA"/>
    <w:rsid w:val="00DE78CA"/>
    <w:rsid w:val="00DF01F8"/>
    <w:rsid w:val="00DF021D"/>
    <w:rsid w:val="00DF14EE"/>
    <w:rsid w:val="00DF217D"/>
    <w:rsid w:val="00DF26A7"/>
    <w:rsid w:val="00DF3277"/>
    <w:rsid w:val="00DF676F"/>
    <w:rsid w:val="00DF6A31"/>
    <w:rsid w:val="00DF7407"/>
    <w:rsid w:val="00DF77A1"/>
    <w:rsid w:val="00DF7919"/>
    <w:rsid w:val="00DF7E53"/>
    <w:rsid w:val="00E01769"/>
    <w:rsid w:val="00E0207E"/>
    <w:rsid w:val="00E027A2"/>
    <w:rsid w:val="00E02AE6"/>
    <w:rsid w:val="00E03912"/>
    <w:rsid w:val="00E04748"/>
    <w:rsid w:val="00E04CB8"/>
    <w:rsid w:val="00E060AF"/>
    <w:rsid w:val="00E06ADA"/>
    <w:rsid w:val="00E078D9"/>
    <w:rsid w:val="00E10293"/>
    <w:rsid w:val="00E103A0"/>
    <w:rsid w:val="00E1043F"/>
    <w:rsid w:val="00E10FFE"/>
    <w:rsid w:val="00E1157E"/>
    <w:rsid w:val="00E11F44"/>
    <w:rsid w:val="00E12CF4"/>
    <w:rsid w:val="00E13518"/>
    <w:rsid w:val="00E13AB4"/>
    <w:rsid w:val="00E13E60"/>
    <w:rsid w:val="00E15627"/>
    <w:rsid w:val="00E164B3"/>
    <w:rsid w:val="00E16910"/>
    <w:rsid w:val="00E21164"/>
    <w:rsid w:val="00E22055"/>
    <w:rsid w:val="00E22987"/>
    <w:rsid w:val="00E239E2"/>
    <w:rsid w:val="00E24C4E"/>
    <w:rsid w:val="00E24E09"/>
    <w:rsid w:val="00E25990"/>
    <w:rsid w:val="00E26F2B"/>
    <w:rsid w:val="00E27234"/>
    <w:rsid w:val="00E32121"/>
    <w:rsid w:val="00E3495C"/>
    <w:rsid w:val="00E3566D"/>
    <w:rsid w:val="00E42BDB"/>
    <w:rsid w:val="00E50F18"/>
    <w:rsid w:val="00E524A9"/>
    <w:rsid w:val="00E53F1A"/>
    <w:rsid w:val="00E54D35"/>
    <w:rsid w:val="00E5726D"/>
    <w:rsid w:val="00E57EEB"/>
    <w:rsid w:val="00E60520"/>
    <w:rsid w:val="00E62D94"/>
    <w:rsid w:val="00E62ECC"/>
    <w:rsid w:val="00E64F37"/>
    <w:rsid w:val="00E65091"/>
    <w:rsid w:val="00E65393"/>
    <w:rsid w:val="00E65E54"/>
    <w:rsid w:val="00E661C7"/>
    <w:rsid w:val="00E66679"/>
    <w:rsid w:val="00E72B6A"/>
    <w:rsid w:val="00E732C4"/>
    <w:rsid w:val="00E74E41"/>
    <w:rsid w:val="00E75151"/>
    <w:rsid w:val="00E80155"/>
    <w:rsid w:val="00E8134B"/>
    <w:rsid w:val="00E81E0D"/>
    <w:rsid w:val="00E81F28"/>
    <w:rsid w:val="00E82089"/>
    <w:rsid w:val="00E82A10"/>
    <w:rsid w:val="00E8385B"/>
    <w:rsid w:val="00E83D9E"/>
    <w:rsid w:val="00E848C0"/>
    <w:rsid w:val="00E84BB8"/>
    <w:rsid w:val="00E86780"/>
    <w:rsid w:val="00E86F92"/>
    <w:rsid w:val="00E9197E"/>
    <w:rsid w:val="00E91B96"/>
    <w:rsid w:val="00E92F2E"/>
    <w:rsid w:val="00E933A5"/>
    <w:rsid w:val="00E935DA"/>
    <w:rsid w:val="00E93D1E"/>
    <w:rsid w:val="00E941A1"/>
    <w:rsid w:val="00E95CE3"/>
    <w:rsid w:val="00E95F9A"/>
    <w:rsid w:val="00E96E99"/>
    <w:rsid w:val="00EA0856"/>
    <w:rsid w:val="00EA1DC4"/>
    <w:rsid w:val="00EA2249"/>
    <w:rsid w:val="00EA252F"/>
    <w:rsid w:val="00EA2825"/>
    <w:rsid w:val="00EA30EB"/>
    <w:rsid w:val="00EA5027"/>
    <w:rsid w:val="00EA64C2"/>
    <w:rsid w:val="00EA6518"/>
    <w:rsid w:val="00EA71A2"/>
    <w:rsid w:val="00EA7466"/>
    <w:rsid w:val="00EA7EDE"/>
    <w:rsid w:val="00EB0B63"/>
    <w:rsid w:val="00EB0EB5"/>
    <w:rsid w:val="00EB0F69"/>
    <w:rsid w:val="00EB1936"/>
    <w:rsid w:val="00EB2360"/>
    <w:rsid w:val="00EB3545"/>
    <w:rsid w:val="00EB37BE"/>
    <w:rsid w:val="00EB4BAE"/>
    <w:rsid w:val="00EB5088"/>
    <w:rsid w:val="00EB5996"/>
    <w:rsid w:val="00EB7210"/>
    <w:rsid w:val="00EB73E8"/>
    <w:rsid w:val="00EC1CF4"/>
    <w:rsid w:val="00EC2726"/>
    <w:rsid w:val="00EC575E"/>
    <w:rsid w:val="00EC681C"/>
    <w:rsid w:val="00EC7B87"/>
    <w:rsid w:val="00ED1644"/>
    <w:rsid w:val="00ED2593"/>
    <w:rsid w:val="00ED3709"/>
    <w:rsid w:val="00ED4304"/>
    <w:rsid w:val="00ED432F"/>
    <w:rsid w:val="00ED5846"/>
    <w:rsid w:val="00ED6E34"/>
    <w:rsid w:val="00ED7D55"/>
    <w:rsid w:val="00ED7D9C"/>
    <w:rsid w:val="00EE00A7"/>
    <w:rsid w:val="00EE27F2"/>
    <w:rsid w:val="00EE2F77"/>
    <w:rsid w:val="00EE3158"/>
    <w:rsid w:val="00EE31A2"/>
    <w:rsid w:val="00EE4329"/>
    <w:rsid w:val="00EE5F5D"/>
    <w:rsid w:val="00EE6203"/>
    <w:rsid w:val="00EF0069"/>
    <w:rsid w:val="00EF00F6"/>
    <w:rsid w:val="00EF229C"/>
    <w:rsid w:val="00EF2AE7"/>
    <w:rsid w:val="00EF2C3A"/>
    <w:rsid w:val="00EF3C52"/>
    <w:rsid w:val="00EF44A0"/>
    <w:rsid w:val="00EF4580"/>
    <w:rsid w:val="00EF4FED"/>
    <w:rsid w:val="00EF5F45"/>
    <w:rsid w:val="00EF6843"/>
    <w:rsid w:val="00EF6941"/>
    <w:rsid w:val="00EF6FB3"/>
    <w:rsid w:val="00EF7E74"/>
    <w:rsid w:val="00F0068B"/>
    <w:rsid w:val="00F007C6"/>
    <w:rsid w:val="00F0172E"/>
    <w:rsid w:val="00F02655"/>
    <w:rsid w:val="00F03E0C"/>
    <w:rsid w:val="00F050BD"/>
    <w:rsid w:val="00F05657"/>
    <w:rsid w:val="00F05AB0"/>
    <w:rsid w:val="00F05AC3"/>
    <w:rsid w:val="00F060A1"/>
    <w:rsid w:val="00F063F4"/>
    <w:rsid w:val="00F101C4"/>
    <w:rsid w:val="00F12C74"/>
    <w:rsid w:val="00F12F7E"/>
    <w:rsid w:val="00F12FE5"/>
    <w:rsid w:val="00F13214"/>
    <w:rsid w:val="00F13BB9"/>
    <w:rsid w:val="00F1559A"/>
    <w:rsid w:val="00F16C47"/>
    <w:rsid w:val="00F17ED6"/>
    <w:rsid w:val="00F20015"/>
    <w:rsid w:val="00F20676"/>
    <w:rsid w:val="00F209E2"/>
    <w:rsid w:val="00F2274E"/>
    <w:rsid w:val="00F2343A"/>
    <w:rsid w:val="00F234F2"/>
    <w:rsid w:val="00F2398F"/>
    <w:rsid w:val="00F25578"/>
    <w:rsid w:val="00F25707"/>
    <w:rsid w:val="00F258E5"/>
    <w:rsid w:val="00F25B9C"/>
    <w:rsid w:val="00F2620B"/>
    <w:rsid w:val="00F2675A"/>
    <w:rsid w:val="00F26CC6"/>
    <w:rsid w:val="00F26D80"/>
    <w:rsid w:val="00F300BC"/>
    <w:rsid w:val="00F305FA"/>
    <w:rsid w:val="00F3263C"/>
    <w:rsid w:val="00F3334E"/>
    <w:rsid w:val="00F3434C"/>
    <w:rsid w:val="00F3573A"/>
    <w:rsid w:val="00F3675A"/>
    <w:rsid w:val="00F36CCB"/>
    <w:rsid w:val="00F374E5"/>
    <w:rsid w:val="00F37B93"/>
    <w:rsid w:val="00F37BAD"/>
    <w:rsid w:val="00F37ECA"/>
    <w:rsid w:val="00F37FF9"/>
    <w:rsid w:val="00F40A1C"/>
    <w:rsid w:val="00F43AF2"/>
    <w:rsid w:val="00F45216"/>
    <w:rsid w:val="00F50073"/>
    <w:rsid w:val="00F5007E"/>
    <w:rsid w:val="00F5076D"/>
    <w:rsid w:val="00F508F6"/>
    <w:rsid w:val="00F50EC4"/>
    <w:rsid w:val="00F52232"/>
    <w:rsid w:val="00F527B1"/>
    <w:rsid w:val="00F52DC2"/>
    <w:rsid w:val="00F53147"/>
    <w:rsid w:val="00F54AF9"/>
    <w:rsid w:val="00F550CF"/>
    <w:rsid w:val="00F553D2"/>
    <w:rsid w:val="00F55859"/>
    <w:rsid w:val="00F56A2D"/>
    <w:rsid w:val="00F57A6D"/>
    <w:rsid w:val="00F6044B"/>
    <w:rsid w:val="00F60BE4"/>
    <w:rsid w:val="00F62F19"/>
    <w:rsid w:val="00F638CC"/>
    <w:rsid w:val="00F64C9E"/>
    <w:rsid w:val="00F64CC1"/>
    <w:rsid w:val="00F64FC8"/>
    <w:rsid w:val="00F67742"/>
    <w:rsid w:val="00F67922"/>
    <w:rsid w:val="00F708B1"/>
    <w:rsid w:val="00F72317"/>
    <w:rsid w:val="00F73DC1"/>
    <w:rsid w:val="00F7427F"/>
    <w:rsid w:val="00F74A1B"/>
    <w:rsid w:val="00F75BB8"/>
    <w:rsid w:val="00F76C66"/>
    <w:rsid w:val="00F77714"/>
    <w:rsid w:val="00F80475"/>
    <w:rsid w:val="00F80E6E"/>
    <w:rsid w:val="00F81390"/>
    <w:rsid w:val="00F81F7A"/>
    <w:rsid w:val="00F8247A"/>
    <w:rsid w:val="00F82E5C"/>
    <w:rsid w:val="00F83E86"/>
    <w:rsid w:val="00F83F58"/>
    <w:rsid w:val="00F85206"/>
    <w:rsid w:val="00F87C7A"/>
    <w:rsid w:val="00F87CEA"/>
    <w:rsid w:val="00F900A4"/>
    <w:rsid w:val="00F904DB"/>
    <w:rsid w:val="00F92419"/>
    <w:rsid w:val="00F9265D"/>
    <w:rsid w:val="00F92B8F"/>
    <w:rsid w:val="00F944E2"/>
    <w:rsid w:val="00F9629A"/>
    <w:rsid w:val="00F97C59"/>
    <w:rsid w:val="00F97EFC"/>
    <w:rsid w:val="00FA0B04"/>
    <w:rsid w:val="00FA0C7C"/>
    <w:rsid w:val="00FA1BDD"/>
    <w:rsid w:val="00FA3017"/>
    <w:rsid w:val="00FA305C"/>
    <w:rsid w:val="00FA32EA"/>
    <w:rsid w:val="00FA462E"/>
    <w:rsid w:val="00FA4DD5"/>
    <w:rsid w:val="00FA5883"/>
    <w:rsid w:val="00FA6055"/>
    <w:rsid w:val="00FA6446"/>
    <w:rsid w:val="00FA688E"/>
    <w:rsid w:val="00FA6ED7"/>
    <w:rsid w:val="00FB0A4A"/>
    <w:rsid w:val="00FB0B39"/>
    <w:rsid w:val="00FB1851"/>
    <w:rsid w:val="00FB322F"/>
    <w:rsid w:val="00FB3FB6"/>
    <w:rsid w:val="00FB433A"/>
    <w:rsid w:val="00FB442F"/>
    <w:rsid w:val="00FB5C8B"/>
    <w:rsid w:val="00FC118C"/>
    <w:rsid w:val="00FC1929"/>
    <w:rsid w:val="00FC1C57"/>
    <w:rsid w:val="00FC3181"/>
    <w:rsid w:val="00FC5584"/>
    <w:rsid w:val="00FC5B46"/>
    <w:rsid w:val="00FC6C74"/>
    <w:rsid w:val="00FC7839"/>
    <w:rsid w:val="00FD1D4F"/>
    <w:rsid w:val="00FD24BF"/>
    <w:rsid w:val="00FD3405"/>
    <w:rsid w:val="00FD3B6E"/>
    <w:rsid w:val="00FD4140"/>
    <w:rsid w:val="00FD46BD"/>
    <w:rsid w:val="00FD57EB"/>
    <w:rsid w:val="00FD6D8E"/>
    <w:rsid w:val="00FE0663"/>
    <w:rsid w:val="00FE07EB"/>
    <w:rsid w:val="00FE0E94"/>
    <w:rsid w:val="00FE18CD"/>
    <w:rsid w:val="00FE369C"/>
    <w:rsid w:val="00FE3CD9"/>
    <w:rsid w:val="00FE54E0"/>
    <w:rsid w:val="00FE75A0"/>
    <w:rsid w:val="00FF00BD"/>
    <w:rsid w:val="00FF01FD"/>
    <w:rsid w:val="00FF0667"/>
    <w:rsid w:val="00FF067C"/>
    <w:rsid w:val="00FF0B13"/>
    <w:rsid w:val="00FF1672"/>
    <w:rsid w:val="00FF1ED4"/>
    <w:rsid w:val="00FF2801"/>
    <w:rsid w:val="00FF6473"/>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849FF0"/>
    <w:rsid w:val="0DC4E36E"/>
    <w:rsid w:val="0E5E506F"/>
    <w:rsid w:val="0EAAAFE3"/>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75A209"/>
    <w:rsid w:val="2AA490C3"/>
    <w:rsid w:val="2AB480AD"/>
    <w:rsid w:val="2B8D5B09"/>
    <w:rsid w:val="2C4C1D68"/>
    <w:rsid w:val="2C7C3DFB"/>
    <w:rsid w:val="2C9785E9"/>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7FDD0F"/>
    <w:rsid w:val="398863F1"/>
    <w:rsid w:val="3A1C6358"/>
    <w:rsid w:val="3A20C143"/>
    <w:rsid w:val="3A4C135D"/>
    <w:rsid w:val="3B7E4D94"/>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723D43"/>
    <w:rsid w:val="54C17BA2"/>
    <w:rsid w:val="553311EF"/>
    <w:rsid w:val="55ACD1A0"/>
    <w:rsid w:val="56AFA43F"/>
    <w:rsid w:val="58963761"/>
    <w:rsid w:val="59185BFB"/>
    <w:rsid w:val="593F501C"/>
    <w:rsid w:val="5A05D725"/>
    <w:rsid w:val="5A2B8B42"/>
    <w:rsid w:val="5ADD90BE"/>
    <w:rsid w:val="5B1E38D7"/>
    <w:rsid w:val="5B9D8C93"/>
    <w:rsid w:val="5CB076C8"/>
    <w:rsid w:val="5D5832E9"/>
    <w:rsid w:val="5D80A09E"/>
    <w:rsid w:val="5DC1C88E"/>
    <w:rsid w:val="5DF2A876"/>
    <w:rsid w:val="5EACEEBD"/>
    <w:rsid w:val="5EBDDC85"/>
    <w:rsid w:val="5F8C18FC"/>
    <w:rsid w:val="600E03FD"/>
    <w:rsid w:val="6145CD3B"/>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6EA60F95"/>
    <w:rsid w:val="70971A32"/>
    <w:rsid w:val="709A626A"/>
    <w:rsid w:val="716D6D8F"/>
    <w:rsid w:val="72678DD0"/>
    <w:rsid w:val="731BA24E"/>
    <w:rsid w:val="73C929CD"/>
    <w:rsid w:val="73E7CF48"/>
    <w:rsid w:val="75B5D97D"/>
    <w:rsid w:val="75B9CE48"/>
    <w:rsid w:val="764DA178"/>
    <w:rsid w:val="7656EE9D"/>
    <w:rsid w:val="76718017"/>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8616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Datecreated xmlns="7f856f8d-13b3-495a-9a4b-41f8182eda4c" xsi:nil="true"/>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A6A59481-9739-4004-8405-490548133668}"/>
</file>

<file path=customXml/itemProps3.xml><?xml version="1.0" encoding="utf-8"?>
<ds:datastoreItem xmlns:ds="http://schemas.openxmlformats.org/officeDocument/2006/customXml" ds:itemID="{01455836-7DD3-4715-9576-BC792A1BED48}"/>
</file>

<file path=customXml/itemProps4.xml><?xml version="1.0" encoding="utf-8"?>
<ds:datastoreItem xmlns:ds="http://schemas.openxmlformats.org/officeDocument/2006/customXml" ds:itemID="{6C71DA43-A4E9-402E-A86C-D4E339C33534}"/>
</file>

<file path=docProps/app.xml><?xml version="1.0" encoding="utf-8"?>
<Properties xmlns="http://schemas.openxmlformats.org/officeDocument/2006/extended-properties" xmlns:vt="http://schemas.openxmlformats.org/officeDocument/2006/docPropsVTypes">
  <Template>Normal.dotm</Template>
  <TotalTime>0</TotalTime>
  <Pages>8</Pages>
  <Words>2827</Words>
  <Characters>16117</Characters>
  <Application>Microsoft Office Word</Application>
  <DocSecurity>0</DocSecurity>
  <Lines>474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2026-07-03T02:29:00Z</dcterms:created>
  <dcterms:modified xsi:type="dcterms:W3CDTF">2026-07-03T02:38:00Z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1919670a,1f5d7af5,6e21da85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52d3acdb,a378285,1bd8cd64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2026-07-03T02:29:43Z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57bcb0bd-30ad-4d68-8c3a-eeddf3ce67f8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ies>
</file>